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theme/themeOverride7.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9.xml" ContentType="application/vnd.openxmlformats-officedocument.themeOverride+xml"/>
  <Override PartName="/word/charts/chart27.xml" ContentType="application/vnd.openxmlformats-officedocument.drawingml.chart+xml"/>
  <Override PartName="/word/theme/themeOverride10.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11.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12.xml" ContentType="application/vnd.openxmlformats-officedocument.themeOverride+xml"/>
  <Override PartName="/word/charts/chart33.xml" ContentType="application/vnd.openxmlformats-officedocument.drawingml.chart+xml"/>
  <Override PartName="/word/theme/themeOverride13.xml" ContentType="application/vnd.openxmlformats-officedocument.themeOverride+xml"/>
  <Override PartName="/word/charts/chart34.xml" ContentType="application/vnd.openxmlformats-officedocument.drawingml.chart+xml"/>
  <Override PartName="/word/theme/themeOverride14.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A1A" w:rsidRDefault="003D29C9" w:rsidP="003D29C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87EEB6B9-CD21-43AE-A44F-67EA576B0684" style="width:450.6pt;height:680.3pt">
            <v:imagedata r:id="rId9" o:title=""/>
          </v:shape>
        </w:pict>
      </w:r>
    </w:p>
    <w:bookmarkEnd w:id="0"/>
    <w:p w:rsidR="00333A1A" w:rsidRDefault="00333A1A">
      <w:pPr>
        <w:rPr>
          <w:noProof/>
        </w:rPr>
        <w:sectPr w:rsidR="00333A1A" w:rsidSect="003D29C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333A1A" w:rsidRDefault="003D29C9">
      <w:pPr>
        <w:pStyle w:val="TOCHeading"/>
        <w:rPr>
          <w:noProof/>
          <w:sz w:val="36"/>
          <w:szCs w:val="28"/>
        </w:rPr>
      </w:pPr>
      <w:r>
        <w:rPr>
          <w:noProof/>
          <w:sz w:val="36"/>
          <w:szCs w:val="28"/>
        </w:rPr>
        <w:lastRenderedPageBreak/>
        <w:t>Annexes</w:t>
      </w:r>
    </w:p>
    <w:p w:rsidR="00333A1A" w:rsidRDefault="003D29C9">
      <w:pPr>
        <w:pStyle w:val="TOCHeading"/>
        <w:rPr>
          <w:noProof/>
          <w:sz w:val="28"/>
          <w:szCs w:val="28"/>
        </w:rPr>
      </w:pPr>
      <w:r>
        <w:rPr>
          <w:noProof/>
          <w:sz w:val="28"/>
          <w:szCs w:val="28"/>
        </w:rPr>
        <w:t>Table of contents</w:t>
      </w:r>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r>
        <w:rPr>
          <w:rFonts w:cs="Times New Roman"/>
          <w:noProof/>
          <w:sz w:val="24"/>
        </w:rPr>
        <w:fldChar w:fldCharType="begin"/>
      </w:r>
      <w:r>
        <w:rPr>
          <w:rFonts w:cs="Times New Roman"/>
          <w:noProof/>
          <w:sz w:val="24"/>
        </w:rPr>
        <w:instrText xml:space="preserve"> TOC \h \z \t "Heading 1;2;Heading 2;3;Annex Title;1;Subtitle;2" </w:instrText>
      </w:r>
      <w:r>
        <w:rPr>
          <w:rFonts w:cs="Times New Roman"/>
          <w:noProof/>
          <w:sz w:val="24"/>
        </w:rPr>
        <w:fldChar w:fldCharType="separate"/>
      </w:r>
      <w:hyperlink w:anchor="_Toc514514603" w:history="1">
        <w:r>
          <w:rPr>
            <w:rStyle w:val="Hyperlink"/>
            <w:noProof/>
          </w:rPr>
          <w:t xml:space="preserve">Annex 5: Results of </w:t>
        </w:r>
        <w:r>
          <w:rPr>
            <w:rStyle w:val="Hyperlink"/>
            <w:noProof/>
          </w:rPr>
          <w:t>quantitative and Multi Criteria Analysis</w:t>
        </w:r>
        <w:r>
          <w:rPr>
            <w:noProof/>
            <w:webHidden/>
          </w:rPr>
          <w:tab/>
        </w:r>
        <w:r>
          <w:rPr>
            <w:noProof/>
            <w:webHidden/>
          </w:rPr>
          <w:fldChar w:fldCharType="begin"/>
        </w:r>
        <w:r>
          <w:rPr>
            <w:noProof/>
            <w:webHidden/>
          </w:rPr>
          <w:instrText xml:space="preserve"> PAGEREF _Toc514514603 \h </w:instrText>
        </w:r>
        <w:r>
          <w:rPr>
            <w:noProof/>
            <w:webHidden/>
          </w:rPr>
        </w:r>
        <w:r>
          <w:rPr>
            <w:noProof/>
            <w:webHidden/>
          </w:rPr>
          <w:fldChar w:fldCharType="separate"/>
        </w:r>
        <w:r>
          <w:rPr>
            <w:noProof/>
            <w:webHidden/>
          </w:rPr>
          <w:t>4</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04" w:history="1">
        <w:r>
          <w:rPr>
            <w:rStyle w:val="Hyperlink"/>
            <w:noProof/>
          </w:rPr>
          <w:t>1.</w:t>
        </w:r>
        <w:r>
          <w:rPr>
            <w:rFonts w:asciiTheme="minorHAnsi" w:eastAsiaTheme="minorEastAsia" w:hAnsiTheme="minorHAnsi"/>
            <w:b w:val="0"/>
            <w:bCs w:val="0"/>
            <w:small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_Toc514514604 \h </w:instrText>
        </w:r>
        <w:r>
          <w:rPr>
            <w:noProof/>
            <w:webHidden/>
          </w:rPr>
        </w:r>
        <w:r>
          <w:rPr>
            <w:noProof/>
            <w:webHidden/>
          </w:rPr>
          <w:fldChar w:fldCharType="separate"/>
        </w:r>
        <w:r>
          <w:rPr>
            <w:noProof/>
            <w:webHidden/>
          </w:rPr>
          <w:t>8</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05" w:history="1">
        <w:r>
          <w:rPr>
            <w:rStyle w:val="Hyperlink"/>
            <w:noProof/>
          </w:rPr>
          <w:t>2.</w:t>
        </w:r>
        <w:r>
          <w:rPr>
            <w:rFonts w:asciiTheme="minorHAnsi" w:eastAsiaTheme="minorEastAsia" w:hAnsiTheme="minorHAnsi"/>
            <w:b w:val="0"/>
            <w:bCs w:val="0"/>
            <w:smallCaps w:val="0"/>
            <w:noProof/>
            <w:sz w:val="22"/>
            <w:szCs w:val="22"/>
            <w:lang w:eastAsia="en-GB"/>
          </w:rPr>
          <w:tab/>
        </w:r>
        <w:r>
          <w:rPr>
            <w:rStyle w:val="Hyperlink"/>
            <w:noProof/>
          </w:rPr>
          <w:t>Results of quantitative analysis</w:t>
        </w:r>
        <w:r>
          <w:rPr>
            <w:noProof/>
            <w:webHidden/>
          </w:rPr>
          <w:tab/>
        </w:r>
        <w:r>
          <w:rPr>
            <w:noProof/>
            <w:webHidden/>
          </w:rPr>
          <w:fldChar w:fldCharType="begin"/>
        </w:r>
        <w:r>
          <w:rPr>
            <w:noProof/>
            <w:webHidden/>
          </w:rPr>
          <w:instrText xml:space="preserve"> PAGEREF _Toc514514605 \h </w:instrText>
        </w:r>
        <w:r>
          <w:rPr>
            <w:noProof/>
            <w:webHidden/>
          </w:rPr>
        </w:r>
        <w:r>
          <w:rPr>
            <w:noProof/>
            <w:webHidden/>
          </w:rPr>
          <w:fldChar w:fldCharType="separate"/>
        </w:r>
        <w:r>
          <w:rPr>
            <w:noProof/>
            <w:webHidden/>
          </w:rPr>
          <w:t>9</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06" w:history="1">
        <w:r>
          <w:rPr>
            <w:rStyle w:val="Hyperlink"/>
            <w:noProof/>
          </w:rPr>
          <w:t>2.1.</w:t>
        </w:r>
        <w:r>
          <w:rPr>
            <w:rFonts w:eastAsiaTheme="minorEastAsia"/>
            <w:noProof/>
            <w:sz w:val="22"/>
            <w:szCs w:val="22"/>
            <w:lang w:eastAsia="en-GB"/>
          </w:rPr>
          <w:tab/>
        </w:r>
        <w:r>
          <w:rPr>
            <w:rStyle w:val="Hyperlink"/>
            <w:noProof/>
          </w:rPr>
          <w:t>Support viable farm income and resilience across the EU territory</w:t>
        </w:r>
        <w:r>
          <w:rPr>
            <w:noProof/>
            <w:webHidden/>
          </w:rPr>
          <w:tab/>
        </w:r>
        <w:r>
          <w:rPr>
            <w:noProof/>
            <w:webHidden/>
          </w:rPr>
          <w:fldChar w:fldCharType="begin"/>
        </w:r>
        <w:r>
          <w:rPr>
            <w:noProof/>
            <w:webHidden/>
          </w:rPr>
          <w:instrText xml:space="preserve"> PAGEREF _Toc514514606 \h </w:instrText>
        </w:r>
        <w:r>
          <w:rPr>
            <w:noProof/>
            <w:webHidden/>
          </w:rPr>
        </w:r>
        <w:r>
          <w:rPr>
            <w:noProof/>
            <w:webHidden/>
          </w:rPr>
          <w:fldChar w:fldCharType="separate"/>
        </w:r>
        <w:r>
          <w:rPr>
            <w:noProof/>
            <w:webHidden/>
          </w:rPr>
          <w:t>9</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07" w:history="1">
        <w:r>
          <w:rPr>
            <w:rStyle w:val="Hyperlink"/>
            <w:noProof/>
          </w:rPr>
          <w:t>2.2.</w:t>
        </w:r>
        <w:r>
          <w:rPr>
            <w:rFonts w:eastAsiaTheme="minorEastAsia"/>
            <w:noProof/>
            <w:sz w:val="22"/>
            <w:szCs w:val="22"/>
            <w:lang w:eastAsia="en-GB"/>
          </w:rPr>
          <w:tab/>
        </w:r>
        <w:r>
          <w:rPr>
            <w:rStyle w:val="Hyperlink"/>
            <w:noProof/>
          </w:rPr>
          <w:t>Increasing the environmental and climatic ben</w:t>
        </w:r>
        <w:r>
          <w:rPr>
            <w:rStyle w:val="Hyperlink"/>
            <w:noProof/>
          </w:rPr>
          <w:t>efits of the CAP</w:t>
        </w:r>
        <w:r>
          <w:rPr>
            <w:noProof/>
            <w:webHidden/>
          </w:rPr>
          <w:tab/>
        </w:r>
        <w:r>
          <w:rPr>
            <w:noProof/>
            <w:webHidden/>
          </w:rPr>
          <w:fldChar w:fldCharType="begin"/>
        </w:r>
        <w:r>
          <w:rPr>
            <w:noProof/>
            <w:webHidden/>
          </w:rPr>
          <w:instrText xml:space="preserve"> PAGEREF _Toc514514607 \h </w:instrText>
        </w:r>
        <w:r>
          <w:rPr>
            <w:noProof/>
            <w:webHidden/>
          </w:rPr>
        </w:r>
        <w:r>
          <w:rPr>
            <w:noProof/>
            <w:webHidden/>
          </w:rPr>
          <w:fldChar w:fldCharType="separate"/>
        </w:r>
        <w:r>
          <w:rPr>
            <w:noProof/>
            <w:webHidden/>
          </w:rPr>
          <w:t>27</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08" w:history="1">
        <w:r>
          <w:rPr>
            <w:rStyle w:val="Hyperlink"/>
            <w:noProof/>
          </w:rPr>
          <w:t>3.</w:t>
        </w:r>
        <w:r>
          <w:rPr>
            <w:rFonts w:asciiTheme="minorHAnsi" w:eastAsiaTheme="minorEastAsia" w:hAnsiTheme="minorHAnsi"/>
            <w:b w:val="0"/>
            <w:bCs w:val="0"/>
            <w:smallCaps w:val="0"/>
            <w:noProof/>
            <w:sz w:val="22"/>
            <w:szCs w:val="22"/>
            <w:lang w:eastAsia="en-GB"/>
          </w:rPr>
          <w:tab/>
        </w:r>
        <w:r>
          <w:rPr>
            <w:rStyle w:val="Hyperlink"/>
            <w:noProof/>
          </w:rPr>
          <w:t>Multi Criteria Analysis</w:t>
        </w:r>
        <w:r>
          <w:rPr>
            <w:noProof/>
            <w:webHidden/>
          </w:rPr>
          <w:tab/>
        </w:r>
        <w:r>
          <w:rPr>
            <w:noProof/>
            <w:webHidden/>
          </w:rPr>
          <w:fldChar w:fldCharType="begin"/>
        </w:r>
        <w:r>
          <w:rPr>
            <w:noProof/>
            <w:webHidden/>
          </w:rPr>
          <w:instrText xml:space="preserve"> PAGEREF _Toc514514608 \h </w:instrText>
        </w:r>
        <w:r>
          <w:rPr>
            <w:noProof/>
            <w:webHidden/>
          </w:rPr>
        </w:r>
        <w:r>
          <w:rPr>
            <w:noProof/>
            <w:webHidden/>
          </w:rPr>
          <w:fldChar w:fldCharType="separate"/>
        </w:r>
        <w:r>
          <w:rPr>
            <w:noProof/>
            <w:webHidden/>
          </w:rPr>
          <w:t>40</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09" w:history="1">
        <w:r>
          <w:rPr>
            <w:rStyle w:val="Hyperlink"/>
            <w:noProof/>
          </w:rPr>
          <w:t>3.1.</w:t>
        </w:r>
        <w:r>
          <w:rPr>
            <w:rFonts w:eastAsiaTheme="minorEastAsia"/>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_Toc514514609 \h </w:instrText>
        </w:r>
        <w:r>
          <w:rPr>
            <w:noProof/>
            <w:webHidden/>
          </w:rPr>
        </w:r>
        <w:r>
          <w:rPr>
            <w:noProof/>
            <w:webHidden/>
          </w:rPr>
          <w:fldChar w:fldCharType="separate"/>
        </w:r>
        <w:r>
          <w:rPr>
            <w:noProof/>
            <w:webHidden/>
          </w:rPr>
          <w:t>40</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10" w:history="1">
        <w:r>
          <w:rPr>
            <w:rStyle w:val="Hyperlink"/>
            <w:noProof/>
          </w:rPr>
          <w:t>3.2.</w:t>
        </w:r>
        <w:r>
          <w:rPr>
            <w:rFonts w:eastAsiaTheme="minorEastAsia"/>
            <w:noProof/>
            <w:sz w:val="22"/>
            <w:szCs w:val="22"/>
            <w:lang w:eastAsia="en-GB"/>
          </w:rPr>
          <w:tab/>
        </w:r>
        <w:r>
          <w:rPr>
            <w:rStyle w:val="Hyperlink"/>
            <w:noProof/>
          </w:rPr>
          <w:t>Effectiveness of policy options</w:t>
        </w:r>
        <w:r>
          <w:rPr>
            <w:noProof/>
            <w:webHidden/>
          </w:rPr>
          <w:tab/>
        </w:r>
        <w:r>
          <w:rPr>
            <w:noProof/>
            <w:webHidden/>
          </w:rPr>
          <w:fldChar w:fldCharType="begin"/>
        </w:r>
        <w:r>
          <w:rPr>
            <w:noProof/>
            <w:webHidden/>
          </w:rPr>
          <w:instrText xml:space="preserve"> PAGEREF _Toc514514610 \h </w:instrText>
        </w:r>
        <w:r>
          <w:rPr>
            <w:noProof/>
            <w:webHidden/>
          </w:rPr>
        </w:r>
        <w:r>
          <w:rPr>
            <w:noProof/>
            <w:webHidden/>
          </w:rPr>
          <w:fldChar w:fldCharType="separate"/>
        </w:r>
        <w:r>
          <w:rPr>
            <w:noProof/>
            <w:webHidden/>
          </w:rPr>
          <w:t>40</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11" w:history="1">
        <w:r>
          <w:rPr>
            <w:rStyle w:val="Hyperlink"/>
            <w:noProof/>
          </w:rPr>
          <w:t>3.3.</w:t>
        </w:r>
        <w:r>
          <w:rPr>
            <w:rFonts w:eastAsiaTheme="minorEastAsia"/>
            <w:noProof/>
            <w:sz w:val="22"/>
            <w:szCs w:val="22"/>
            <w:lang w:eastAsia="en-GB"/>
          </w:rPr>
          <w:tab/>
        </w:r>
        <w:r>
          <w:rPr>
            <w:rStyle w:val="Hyperlink"/>
            <w:noProof/>
          </w:rPr>
          <w:t>Efficiency of the policy options: simplification</w:t>
        </w:r>
        <w:r>
          <w:rPr>
            <w:noProof/>
            <w:webHidden/>
          </w:rPr>
          <w:tab/>
        </w:r>
        <w:r>
          <w:rPr>
            <w:noProof/>
            <w:webHidden/>
          </w:rPr>
          <w:fldChar w:fldCharType="begin"/>
        </w:r>
        <w:r>
          <w:rPr>
            <w:noProof/>
            <w:webHidden/>
          </w:rPr>
          <w:instrText xml:space="preserve"> PAGEREF _Toc514514611 \h </w:instrText>
        </w:r>
        <w:r>
          <w:rPr>
            <w:noProof/>
            <w:webHidden/>
          </w:rPr>
        </w:r>
        <w:r>
          <w:rPr>
            <w:noProof/>
            <w:webHidden/>
          </w:rPr>
          <w:fldChar w:fldCharType="separate"/>
        </w:r>
        <w:r>
          <w:rPr>
            <w:noProof/>
            <w:webHidden/>
          </w:rPr>
          <w:t>62</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12" w:history="1">
        <w:r>
          <w:rPr>
            <w:rStyle w:val="Hyperlink"/>
            <w:noProof/>
          </w:rPr>
          <w:t>3.4.</w:t>
        </w:r>
        <w:r>
          <w:rPr>
            <w:rFonts w:eastAsiaTheme="minorEastAsia"/>
            <w:noProof/>
            <w:sz w:val="22"/>
            <w:szCs w:val="22"/>
            <w:lang w:eastAsia="en-GB"/>
          </w:rPr>
          <w:tab/>
        </w:r>
        <w:r>
          <w:rPr>
            <w:rStyle w:val="Hyperlink"/>
            <w:noProof/>
          </w:rPr>
          <w:t>Promoting knowledge and innovation in agriculture and rural</w:t>
        </w:r>
        <w:r>
          <w:rPr>
            <w:rStyle w:val="Hyperlink"/>
            <w:noProof/>
          </w:rPr>
          <w:t xml:space="preserve"> areas: Modernisation</w:t>
        </w:r>
        <w:r>
          <w:rPr>
            <w:noProof/>
            <w:webHidden/>
          </w:rPr>
          <w:tab/>
        </w:r>
        <w:r>
          <w:rPr>
            <w:noProof/>
            <w:webHidden/>
          </w:rPr>
          <w:fldChar w:fldCharType="begin"/>
        </w:r>
        <w:r>
          <w:rPr>
            <w:noProof/>
            <w:webHidden/>
          </w:rPr>
          <w:instrText xml:space="preserve"> PAGEREF _Toc514514612 \h </w:instrText>
        </w:r>
        <w:r>
          <w:rPr>
            <w:noProof/>
            <w:webHidden/>
          </w:rPr>
        </w:r>
        <w:r>
          <w:rPr>
            <w:noProof/>
            <w:webHidden/>
          </w:rPr>
          <w:fldChar w:fldCharType="separate"/>
        </w:r>
        <w:r>
          <w:rPr>
            <w:noProof/>
            <w:webHidden/>
          </w:rPr>
          <w:t>64</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13" w:history="1">
        <w:r>
          <w:rPr>
            <w:rStyle w:val="Hyperlink"/>
            <w:noProof/>
          </w:rPr>
          <w:t>3.5.</w:t>
        </w:r>
        <w:r>
          <w:rPr>
            <w:rFonts w:eastAsiaTheme="minorEastAsia"/>
            <w:noProof/>
            <w:sz w:val="22"/>
            <w:szCs w:val="22"/>
            <w:lang w:eastAsia="en-GB"/>
          </w:rPr>
          <w:tab/>
        </w:r>
        <w:r>
          <w:rPr>
            <w:rStyle w:val="Hyperlink"/>
            <w:noProof/>
          </w:rPr>
          <w:t>Policy coherence</w:t>
        </w:r>
        <w:r>
          <w:rPr>
            <w:noProof/>
            <w:webHidden/>
          </w:rPr>
          <w:tab/>
        </w:r>
        <w:r>
          <w:rPr>
            <w:noProof/>
            <w:webHidden/>
          </w:rPr>
          <w:fldChar w:fldCharType="begin"/>
        </w:r>
        <w:r>
          <w:rPr>
            <w:noProof/>
            <w:webHidden/>
          </w:rPr>
          <w:instrText xml:space="preserve"> PAGEREF _Toc514514613 \h </w:instrText>
        </w:r>
        <w:r>
          <w:rPr>
            <w:noProof/>
            <w:webHidden/>
          </w:rPr>
        </w:r>
        <w:r>
          <w:rPr>
            <w:noProof/>
            <w:webHidden/>
          </w:rPr>
          <w:fldChar w:fldCharType="separate"/>
        </w:r>
        <w:r>
          <w:rPr>
            <w:noProof/>
            <w:webHidden/>
          </w:rPr>
          <w:t>66</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14" w:history="1">
        <w:r>
          <w:rPr>
            <w:rStyle w:val="Hyperlink"/>
            <w:noProof/>
          </w:rPr>
          <w:t>3.6.</w:t>
        </w:r>
        <w:r>
          <w:rPr>
            <w:rFonts w:eastAsiaTheme="minorEastAsia"/>
            <w:noProof/>
            <w:sz w:val="22"/>
            <w:szCs w:val="22"/>
            <w:lang w:eastAsia="en-GB"/>
          </w:rPr>
          <w:tab/>
        </w:r>
        <w:r>
          <w:rPr>
            <w:rStyle w:val="Hyperlink"/>
            <w:noProof/>
          </w:rPr>
          <w:t>Cross cutting: Improving sustainable development for farming, food and rural areas</w:t>
        </w:r>
        <w:r>
          <w:rPr>
            <w:noProof/>
            <w:webHidden/>
          </w:rPr>
          <w:tab/>
        </w:r>
        <w:r>
          <w:rPr>
            <w:noProof/>
            <w:webHidden/>
          </w:rPr>
          <w:fldChar w:fldCharType="begin"/>
        </w:r>
        <w:r>
          <w:rPr>
            <w:noProof/>
            <w:webHidden/>
          </w:rPr>
          <w:instrText xml:space="preserve"> PAGEREF _Toc514514614 \h </w:instrText>
        </w:r>
        <w:r>
          <w:rPr>
            <w:noProof/>
            <w:webHidden/>
          </w:rPr>
        </w:r>
        <w:r>
          <w:rPr>
            <w:noProof/>
            <w:webHidden/>
          </w:rPr>
          <w:fldChar w:fldCharType="separate"/>
        </w:r>
        <w:r>
          <w:rPr>
            <w:noProof/>
            <w:webHidden/>
          </w:rPr>
          <w:t>69</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15" w:history="1">
        <w:r>
          <w:rPr>
            <w:rStyle w:val="Hyperlink"/>
            <w:noProof/>
          </w:rPr>
          <w:t>Annex 5.1 Policy options for the IA</w:t>
        </w:r>
        <w:r>
          <w:rPr>
            <w:noProof/>
            <w:webHidden/>
          </w:rPr>
          <w:tab/>
        </w:r>
        <w:r>
          <w:rPr>
            <w:noProof/>
            <w:webHidden/>
          </w:rPr>
          <w:fldChar w:fldCharType="begin"/>
        </w:r>
        <w:r>
          <w:rPr>
            <w:noProof/>
            <w:webHidden/>
          </w:rPr>
          <w:instrText xml:space="preserve"> PAGEREF _Toc514514615 \h </w:instrText>
        </w:r>
        <w:r>
          <w:rPr>
            <w:noProof/>
            <w:webHidden/>
          </w:rPr>
        </w:r>
        <w:r>
          <w:rPr>
            <w:noProof/>
            <w:webHidden/>
          </w:rPr>
          <w:fldChar w:fldCharType="separate"/>
        </w:r>
        <w:r>
          <w:rPr>
            <w:noProof/>
            <w:webHidden/>
          </w:rPr>
          <w:t>78</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16" w:history="1">
        <w:r>
          <w:rPr>
            <w:rStyle w:val="Hyperlink"/>
            <w:noProof/>
          </w:rPr>
          <w:t>1.</w:t>
        </w:r>
        <w:r>
          <w:rPr>
            <w:rFonts w:asciiTheme="minorHAnsi" w:eastAsiaTheme="minorEastAsia" w:hAnsiTheme="minorHAnsi"/>
            <w:b w:val="0"/>
            <w:bCs w:val="0"/>
            <w:smallCaps w:val="0"/>
            <w:noProof/>
            <w:sz w:val="22"/>
            <w:szCs w:val="22"/>
            <w:lang w:eastAsia="en-GB"/>
          </w:rPr>
          <w:tab/>
        </w:r>
        <w:r>
          <w:rPr>
            <w:rStyle w:val="Hyperlink"/>
            <w:noProof/>
          </w:rPr>
          <w:t>Elements common to all options</w:t>
        </w:r>
        <w:r>
          <w:rPr>
            <w:noProof/>
            <w:webHidden/>
          </w:rPr>
          <w:tab/>
        </w:r>
        <w:r>
          <w:rPr>
            <w:noProof/>
            <w:webHidden/>
          </w:rPr>
          <w:fldChar w:fldCharType="begin"/>
        </w:r>
        <w:r>
          <w:rPr>
            <w:noProof/>
            <w:webHidden/>
          </w:rPr>
          <w:instrText xml:space="preserve"> PAGEREF _Toc514514616 \h </w:instrText>
        </w:r>
        <w:r>
          <w:rPr>
            <w:noProof/>
            <w:webHidden/>
          </w:rPr>
        </w:r>
        <w:r>
          <w:rPr>
            <w:noProof/>
            <w:webHidden/>
          </w:rPr>
          <w:fldChar w:fldCharType="separate"/>
        </w:r>
        <w:r>
          <w:rPr>
            <w:noProof/>
            <w:webHidden/>
          </w:rPr>
          <w:t>78</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17" w:history="1">
        <w:r>
          <w:rPr>
            <w:rStyle w:val="Hyperlink"/>
            <w:noProof/>
          </w:rPr>
          <w:t>1.1.</w:t>
        </w:r>
        <w:r>
          <w:rPr>
            <w:rFonts w:eastAsiaTheme="minorEastAsia"/>
            <w:noProof/>
            <w:sz w:val="22"/>
            <w:szCs w:val="22"/>
            <w:lang w:eastAsia="en-GB"/>
          </w:rPr>
          <w:tab/>
        </w:r>
        <w:r>
          <w:rPr>
            <w:rStyle w:val="Hyperlink"/>
            <w:noProof/>
          </w:rPr>
          <w:t>Budgetary framework</w:t>
        </w:r>
        <w:r>
          <w:rPr>
            <w:noProof/>
            <w:webHidden/>
          </w:rPr>
          <w:tab/>
        </w:r>
        <w:r>
          <w:rPr>
            <w:noProof/>
            <w:webHidden/>
          </w:rPr>
          <w:fldChar w:fldCharType="begin"/>
        </w:r>
        <w:r>
          <w:rPr>
            <w:noProof/>
            <w:webHidden/>
          </w:rPr>
          <w:instrText xml:space="preserve"> PAGEREF _Toc514514617 \h </w:instrText>
        </w:r>
        <w:r>
          <w:rPr>
            <w:noProof/>
            <w:webHidden/>
          </w:rPr>
        </w:r>
        <w:r>
          <w:rPr>
            <w:noProof/>
            <w:webHidden/>
          </w:rPr>
          <w:fldChar w:fldCharType="separate"/>
        </w:r>
        <w:r>
          <w:rPr>
            <w:noProof/>
            <w:webHidden/>
          </w:rPr>
          <w:t>78</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18" w:history="1">
        <w:r>
          <w:rPr>
            <w:rStyle w:val="Hyperlink"/>
            <w:noProof/>
          </w:rPr>
          <w:t>1.2.</w:t>
        </w:r>
        <w:r>
          <w:rPr>
            <w:rFonts w:eastAsiaTheme="minorEastAsia"/>
            <w:noProof/>
            <w:sz w:val="22"/>
            <w:szCs w:val="22"/>
            <w:lang w:eastAsia="en-GB"/>
          </w:rPr>
          <w:tab/>
        </w:r>
        <w:r>
          <w:rPr>
            <w:rStyle w:val="Hyperlink"/>
            <w:noProof/>
          </w:rPr>
          <w:t>Delivery model and planning</w:t>
        </w:r>
        <w:r>
          <w:rPr>
            <w:noProof/>
            <w:webHidden/>
          </w:rPr>
          <w:tab/>
        </w:r>
        <w:r>
          <w:rPr>
            <w:noProof/>
            <w:webHidden/>
          </w:rPr>
          <w:fldChar w:fldCharType="begin"/>
        </w:r>
        <w:r>
          <w:rPr>
            <w:noProof/>
            <w:webHidden/>
          </w:rPr>
          <w:instrText xml:space="preserve"> PAGEREF _Toc514514618 \h </w:instrText>
        </w:r>
        <w:r>
          <w:rPr>
            <w:noProof/>
            <w:webHidden/>
          </w:rPr>
        </w:r>
        <w:r>
          <w:rPr>
            <w:noProof/>
            <w:webHidden/>
          </w:rPr>
          <w:fldChar w:fldCharType="separate"/>
        </w:r>
        <w:r>
          <w:rPr>
            <w:noProof/>
            <w:webHidden/>
          </w:rPr>
          <w:t>78</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19" w:history="1">
        <w:r>
          <w:rPr>
            <w:rStyle w:val="Hyperlink"/>
            <w:noProof/>
          </w:rPr>
          <w:t>1.3.</w:t>
        </w:r>
        <w:r>
          <w:rPr>
            <w:rFonts w:eastAsiaTheme="minorEastAsia"/>
            <w:noProof/>
            <w:sz w:val="22"/>
            <w:szCs w:val="22"/>
            <w:lang w:eastAsia="en-GB"/>
          </w:rPr>
          <w:tab/>
        </w:r>
        <w:r>
          <w:rPr>
            <w:rStyle w:val="Hyperlink"/>
            <w:noProof/>
          </w:rPr>
          <w:t>Knowledge, innovation and technology</w:t>
        </w:r>
        <w:r>
          <w:rPr>
            <w:noProof/>
            <w:webHidden/>
          </w:rPr>
          <w:tab/>
        </w:r>
        <w:r>
          <w:rPr>
            <w:noProof/>
            <w:webHidden/>
          </w:rPr>
          <w:fldChar w:fldCharType="begin"/>
        </w:r>
        <w:r>
          <w:rPr>
            <w:noProof/>
            <w:webHidden/>
          </w:rPr>
          <w:instrText xml:space="preserve"> PAGEREF _Toc514514619 \h </w:instrText>
        </w:r>
        <w:r>
          <w:rPr>
            <w:noProof/>
            <w:webHidden/>
          </w:rPr>
        </w:r>
        <w:r>
          <w:rPr>
            <w:noProof/>
            <w:webHidden/>
          </w:rPr>
          <w:fldChar w:fldCharType="separate"/>
        </w:r>
        <w:r>
          <w:rPr>
            <w:noProof/>
            <w:webHidden/>
          </w:rPr>
          <w:t>78</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20" w:history="1">
        <w:r>
          <w:rPr>
            <w:rStyle w:val="Hyperlink"/>
            <w:noProof/>
          </w:rPr>
          <w:t>1.4.</w:t>
        </w:r>
        <w:r>
          <w:rPr>
            <w:rFonts w:eastAsiaTheme="minorEastAsia"/>
            <w:noProof/>
            <w:sz w:val="22"/>
            <w:szCs w:val="22"/>
            <w:lang w:eastAsia="en-GB"/>
          </w:rPr>
          <w:tab/>
        </w:r>
        <w:r>
          <w:rPr>
            <w:rStyle w:val="Hyperlink"/>
            <w:noProof/>
          </w:rPr>
          <w:t>Market-related measures</w:t>
        </w:r>
        <w:r>
          <w:rPr>
            <w:noProof/>
            <w:webHidden/>
          </w:rPr>
          <w:tab/>
        </w:r>
        <w:r>
          <w:rPr>
            <w:noProof/>
            <w:webHidden/>
          </w:rPr>
          <w:fldChar w:fldCharType="begin"/>
        </w:r>
        <w:r>
          <w:rPr>
            <w:noProof/>
            <w:webHidden/>
          </w:rPr>
          <w:instrText xml:space="preserve"> PAGEREF _Toc514514620 \h </w:instrText>
        </w:r>
        <w:r>
          <w:rPr>
            <w:noProof/>
            <w:webHidden/>
          </w:rPr>
        </w:r>
        <w:r>
          <w:rPr>
            <w:noProof/>
            <w:webHidden/>
          </w:rPr>
          <w:fldChar w:fldCharType="separate"/>
        </w:r>
        <w:r>
          <w:rPr>
            <w:noProof/>
            <w:webHidden/>
          </w:rPr>
          <w:t>79</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21" w:history="1">
        <w:r>
          <w:rPr>
            <w:rStyle w:val="Hyperlink"/>
            <w:noProof/>
          </w:rPr>
          <w:t>1.5.</w:t>
        </w:r>
        <w:r>
          <w:rPr>
            <w:rFonts w:eastAsiaTheme="minorEastAsia"/>
            <w:noProof/>
            <w:sz w:val="22"/>
            <w:szCs w:val="22"/>
            <w:lang w:eastAsia="en-GB"/>
          </w:rPr>
          <w:tab/>
        </w:r>
        <w:r>
          <w:rPr>
            <w:rStyle w:val="Hyperlink"/>
            <w:noProof/>
          </w:rPr>
          <w:t>Conditionality and green architecture of the CAP</w:t>
        </w:r>
        <w:r>
          <w:rPr>
            <w:noProof/>
            <w:webHidden/>
          </w:rPr>
          <w:tab/>
        </w:r>
        <w:r>
          <w:rPr>
            <w:noProof/>
            <w:webHidden/>
          </w:rPr>
          <w:fldChar w:fldCharType="begin"/>
        </w:r>
        <w:r>
          <w:rPr>
            <w:noProof/>
            <w:webHidden/>
          </w:rPr>
          <w:instrText xml:space="preserve"> PAGEREF _Toc514514621 \h </w:instrText>
        </w:r>
        <w:r>
          <w:rPr>
            <w:noProof/>
            <w:webHidden/>
          </w:rPr>
        </w:r>
        <w:r>
          <w:rPr>
            <w:noProof/>
            <w:webHidden/>
          </w:rPr>
          <w:fldChar w:fldCharType="separate"/>
        </w:r>
        <w:r>
          <w:rPr>
            <w:noProof/>
            <w:webHidden/>
          </w:rPr>
          <w:t>79</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22" w:history="1">
        <w:r>
          <w:rPr>
            <w:rStyle w:val="Hyperlink"/>
            <w:noProof/>
          </w:rPr>
          <w:t>2.</w:t>
        </w:r>
        <w:r>
          <w:rPr>
            <w:rFonts w:asciiTheme="minorHAnsi" w:eastAsiaTheme="minorEastAsia" w:hAnsiTheme="minorHAnsi"/>
            <w:b w:val="0"/>
            <w:bCs w:val="0"/>
            <w:smallCaps w:val="0"/>
            <w:noProof/>
            <w:sz w:val="22"/>
            <w:szCs w:val="22"/>
            <w:lang w:eastAsia="en-GB"/>
          </w:rPr>
          <w:tab/>
        </w:r>
        <w:r>
          <w:rPr>
            <w:rStyle w:val="Hyperlink"/>
            <w:noProof/>
          </w:rPr>
          <w:t>Options description</w:t>
        </w:r>
        <w:r>
          <w:rPr>
            <w:noProof/>
            <w:webHidden/>
          </w:rPr>
          <w:tab/>
        </w:r>
        <w:r>
          <w:rPr>
            <w:noProof/>
            <w:webHidden/>
          </w:rPr>
          <w:fldChar w:fldCharType="begin"/>
        </w:r>
        <w:r>
          <w:rPr>
            <w:noProof/>
            <w:webHidden/>
          </w:rPr>
          <w:instrText xml:space="preserve"> PAGEREF _Toc514514622 \h </w:instrText>
        </w:r>
        <w:r>
          <w:rPr>
            <w:noProof/>
            <w:webHidden/>
          </w:rPr>
        </w:r>
        <w:r>
          <w:rPr>
            <w:noProof/>
            <w:webHidden/>
          </w:rPr>
          <w:fldChar w:fldCharType="separate"/>
        </w:r>
        <w:r>
          <w:rPr>
            <w:noProof/>
            <w:webHidden/>
          </w:rPr>
          <w:t>80</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23" w:history="1">
        <w:r>
          <w:rPr>
            <w:rStyle w:val="Hyperlink"/>
            <w:noProof/>
          </w:rPr>
          <w:t>2.1.</w:t>
        </w:r>
        <w:r>
          <w:rPr>
            <w:rFonts w:eastAsiaTheme="minorEastAsia"/>
            <w:noProof/>
            <w:sz w:val="22"/>
            <w:szCs w:val="22"/>
            <w:lang w:eastAsia="en-GB"/>
          </w:rPr>
          <w:tab/>
        </w:r>
        <w:r>
          <w:rPr>
            <w:rStyle w:val="Hyperlink"/>
            <w:noProof/>
          </w:rPr>
          <w:t>Option 1: Updated baseline</w:t>
        </w:r>
        <w:r>
          <w:rPr>
            <w:noProof/>
            <w:webHidden/>
          </w:rPr>
          <w:tab/>
        </w:r>
        <w:r>
          <w:rPr>
            <w:noProof/>
            <w:webHidden/>
          </w:rPr>
          <w:fldChar w:fldCharType="begin"/>
        </w:r>
        <w:r>
          <w:rPr>
            <w:noProof/>
            <w:webHidden/>
          </w:rPr>
          <w:instrText xml:space="preserve"> PAGEREF _Toc514514623 \h </w:instrText>
        </w:r>
        <w:r>
          <w:rPr>
            <w:noProof/>
            <w:webHidden/>
          </w:rPr>
        </w:r>
        <w:r>
          <w:rPr>
            <w:noProof/>
            <w:webHidden/>
          </w:rPr>
          <w:fldChar w:fldCharType="separate"/>
        </w:r>
        <w:r>
          <w:rPr>
            <w:noProof/>
            <w:webHidden/>
          </w:rPr>
          <w:t>81</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24" w:history="1">
        <w:r>
          <w:rPr>
            <w:rStyle w:val="Hyperlink"/>
            <w:noProof/>
          </w:rPr>
          <w:t>2.2.</w:t>
        </w:r>
        <w:r>
          <w:rPr>
            <w:rFonts w:eastAsiaTheme="minorEastAsia"/>
            <w:noProof/>
            <w:sz w:val="22"/>
            <w:szCs w:val="22"/>
            <w:lang w:eastAsia="en-GB"/>
          </w:rPr>
          <w:tab/>
        </w:r>
        <w:r>
          <w:rPr>
            <w:rStyle w:val="Hyperlink"/>
            <w:noProof/>
          </w:rPr>
          <w:t>Option 3: Incentives for environment, climate action and health</w:t>
        </w:r>
        <w:r>
          <w:rPr>
            <w:noProof/>
            <w:webHidden/>
          </w:rPr>
          <w:tab/>
        </w:r>
        <w:r>
          <w:rPr>
            <w:noProof/>
            <w:webHidden/>
          </w:rPr>
          <w:fldChar w:fldCharType="begin"/>
        </w:r>
        <w:r>
          <w:rPr>
            <w:noProof/>
            <w:webHidden/>
          </w:rPr>
          <w:instrText xml:space="preserve"> PAGEREF _Toc514514624 \h </w:instrText>
        </w:r>
        <w:r>
          <w:rPr>
            <w:noProof/>
            <w:webHidden/>
          </w:rPr>
        </w:r>
        <w:r>
          <w:rPr>
            <w:noProof/>
            <w:webHidden/>
          </w:rPr>
          <w:fldChar w:fldCharType="separate"/>
        </w:r>
        <w:r>
          <w:rPr>
            <w:noProof/>
            <w:webHidden/>
          </w:rPr>
          <w:t>81</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25" w:history="1">
        <w:r>
          <w:rPr>
            <w:rStyle w:val="Hyperlink"/>
            <w:noProof/>
          </w:rPr>
          <w:t>2.3.</w:t>
        </w:r>
        <w:r>
          <w:rPr>
            <w:rFonts w:eastAsiaTheme="minorEastAsia"/>
            <w:noProof/>
            <w:sz w:val="22"/>
            <w:szCs w:val="22"/>
            <w:lang w:eastAsia="en-GB"/>
          </w:rPr>
          <w:tab/>
        </w:r>
        <w:r>
          <w:rPr>
            <w:rStyle w:val="Hyperlink"/>
            <w:noProof/>
          </w:rPr>
          <w:t>Option 4: Jointly address environmental and economic sustainability</w:t>
        </w:r>
        <w:r>
          <w:rPr>
            <w:noProof/>
            <w:webHidden/>
          </w:rPr>
          <w:tab/>
        </w:r>
        <w:r>
          <w:rPr>
            <w:noProof/>
            <w:webHidden/>
          </w:rPr>
          <w:fldChar w:fldCharType="begin"/>
        </w:r>
        <w:r>
          <w:rPr>
            <w:noProof/>
            <w:webHidden/>
          </w:rPr>
          <w:instrText xml:space="preserve"> PAGEREF _Toc514514625 \h </w:instrText>
        </w:r>
        <w:r>
          <w:rPr>
            <w:noProof/>
            <w:webHidden/>
          </w:rPr>
        </w:r>
        <w:r>
          <w:rPr>
            <w:noProof/>
            <w:webHidden/>
          </w:rPr>
          <w:fldChar w:fldCharType="separate"/>
        </w:r>
        <w:r>
          <w:rPr>
            <w:noProof/>
            <w:webHidden/>
          </w:rPr>
          <w:t>82</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26" w:history="1">
        <w:r>
          <w:rPr>
            <w:rStyle w:val="Hyperlink"/>
            <w:noProof/>
          </w:rPr>
          <w:t>2.4.</w:t>
        </w:r>
        <w:r>
          <w:rPr>
            <w:rFonts w:eastAsiaTheme="minorEastAsia"/>
            <w:noProof/>
            <w:sz w:val="22"/>
            <w:szCs w:val="22"/>
            <w:lang w:eastAsia="en-GB"/>
          </w:rPr>
          <w:tab/>
        </w:r>
        <w:r>
          <w:rPr>
            <w:rStyle w:val="Hyperlink"/>
            <w:noProof/>
          </w:rPr>
          <w:t>Option 5:</w:t>
        </w:r>
        <w:r>
          <w:rPr>
            <w:rStyle w:val="Hyperlink"/>
            <w:noProof/>
          </w:rPr>
          <w:t xml:space="preserve"> Focus on small farms and the environment</w:t>
        </w:r>
        <w:r>
          <w:rPr>
            <w:noProof/>
            <w:webHidden/>
          </w:rPr>
          <w:tab/>
        </w:r>
        <w:r>
          <w:rPr>
            <w:noProof/>
            <w:webHidden/>
          </w:rPr>
          <w:fldChar w:fldCharType="begin"/>
        </w:r>
        <w:r>
          <w:rPr>
            <w:noProof/>
            <w:webHidden/>
          </w:rPr>
          <w:instrText xml:space="preserve"> PAGEREF _Toc514514626 \h </w:instrText>
        </w:r>
        <w:r>
          <w:rPr>
            <w:noProof/>
            <w:webHidden/>
          </w:rPr>
        </w:r>
        <w:r>
          <w:rPr>
            <w:noProof/>
            <w:webHidden/>
          </w:rPr>
          <w:fldChar w:fldCharType="separate"/>
        </w:r>
        <w:r>
          <w:rPr>
            <w:noProof/>
            <w:webHidden/>
          </w:rPr>
          <w:t>83</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27" w:history="1">
        <w:r>
          <w:rPr>
            <w:rStyle w:val="Hyperlink"/>
            <w:noProof/>
          </w:rPr>
          <w:t>Annex 5.2 Methods and tools</w:t>
        </w:r>
        <w:r>
          <w:rPr>
            <w:noProof/>
            <w:webHidden/>
          </w:rPr>
          <w:tab/>
        </w:r>
        <w:r>
          <w:rPr>
            <w:noProof/>
            <w:webHidden/>
          </w:rPr>
          <w:fldChar w:fldCharType="begin"/>
        </w:r>
        <w:r>
          <w:rPr>
            <w:noProof/>
            <w:webHidden/>
          </w:rPr>
          <w:instrText xml:space="preserve"> PAGEREF _Toc514514627 \h </w:instrText>
        </w:r>
        <w:r>
          <w:rPr>
            <w:noProof/>
            <w:webHidden/>
          </w:rPr>
        </w:r>
        <w:r>
          <w:rPr>
            <w:noProof/>
            <w:webHidden/>
          </w:rPr>
          <w:fldChar w:fldCharType="separate"/>
        </w:r>
        <w:r>
          <w:rPr>
            <w:noProof/>
            <w:webHidden/>
          </w:rPr>
          <w:t>87</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28" w:history="1">
        <w:r>
          <w:rPr>
            <w:rStyle w:val="Hyperlink"/>
            <w:noProof/>
          </w:rPr>
          <w:t>1.</w:t>
        </w:r>
        <w:r>
          <w:rPr>
            <w:rFonts w:asciiTheme="minorHAnsi" w:eastAsiaTheme="minorEastAsia" w:hAnsiTheme="minorHAnsi"/>
            <w:b w:val="0"/>
            <w:bCs w:val="0"/>
            <w:small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_Toc514514628 \h </w:instrText>
        </w:r>
        <w:r>
          <w:rPr>
            <w:noProof/>
            <w:webHidden/>
          </w:rPr>
        </w:r>
        <w:r>
          <w:rPr>
            <w:noProof/>
            <w:webHidden/>
          </w:rPr>
          <w:fldChar w:fldCharType="separate"/>
        </w:r>
        <w:r>
          <w:rPr>
            <w:noProof/>
            <w:webHidden/>
          </w:rPr>
          <w:t>87</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29" w:history="1">
        <w:r>
          <w:rPr>
            <w:rStyle w:val="Hyperlink"/>
            <w:noProof/>
          </w:rPr>
          <w:t>2.</w:t>
        </w:r>
        <w:r>
          <w:rPr>
            <w:rFonts w:asciiTheme="minorHAnsi" w:eastAsiaTheme="minorEastAsia" w:hAnsiTheme="minorHAnsi"/>
            <w:b w:val="0"/>
            <w:bCs w:val="0"/>
            <w:smallCaps w:val="0"/>
            <w:noProof/>
            <w:sz w:val="22"/>
            <w:szCs w:val="22"/>
            <w:lang w:eastAsia="en-GB"/>
          </w:rPr>
          <w:tab/>
        </w:r>
        <w:r>
          <w:rPr>
            <w:rStyle w:val="Hyperlink"/>
            <w:noProof/>
          </w:rPr>
          <w:t>Brief description of the main models and tools used in the IA</w:t>
        </w:r>
        <w:r>
          <w:rPr>
            <w:noProof/>
            <w:webHidden/>
          </w:rPr>
          <w:tab/>
        </w:r>
        <w:r>
          <w:rPr>
            <w:noProof/>
            <w:webHidden/>
          </w:rPr>
          <w:fldChar w:fldCharType="begin"/>
        </w:r>
        <w:r>
          <w:rPr>
            <w:noProof/>
            <w:webHidden/>
          </w:rPr>
          <w:instrText xml:space="preserve"> PAGEREF _Toc514514629 \h </w:instrText>
        </w:r>
        <w:r>
          <w:rPr>
            <w:noProof/>
            <w:webHidden/>
          </w:rPr>
        </w:r>
        <w:r>
          <w:rPr>
            <w:noProof/>
            <w:webHidden/>
          </w:rPr>
          <w:fldChar w:fldCharType="separate"/>
        </w:r>
        <w:r>
          <w:rPr>
            <w:noProof/>
            <w:webHidden/>
          </w:rPr>
          <w:t>87</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0" w:history="1">
        <w:r>
          <w:rPr>
            <w:rStyle w:val="Hyperlink"/>
            <w:noProof/>
          </w:rPr>
          <w:t>2.1.</w:t>
        </w:r>
        <w:r>
          <w:rPr>
            <w:rFonts w:eastAsiaTheme="minorEastAsia"/>
            <w:noProof/>
            <w:sz w:val="22"/>
            <w:szCs w:val="22"/>
            <w:lang w:eastAsia="en-GB"/>
          </w:rPr>
          <w:tab/>
        </w:r>
        <w:r>
          <w:rPr>
            <w:rStyle w:val="Hyperlink"/>
            <w:noProof/>
          </w:rPr>
          <w:t>MAGNET</w:t>
        </w:r>
        <w:r>
          <w:rPr>
            <w:noProof/>
            <w:webHidden/>
          </w:rPr>
          <w:tab/>
        </w:r>
        <w:r>
          <w:rPr>
            <w:noProof/>
            <w:webHidden/>
          </w:rPr>
          <w:fldChar w:fldCharType="begin"/>
        </w:r>
        <w:r>
          <w:rPr>
            <w:noProof/>
            <w:webHidden/>
          </w:rPr>
          <w:instrText xml:space="preserve"> PAGEREF _Toc514514630 \h </w:instrText>
        </w:r>
        <w:r>
          <w:rPr>
            <w:noProof/>
            <w:webHidden/>
          </w:rPr>
        </w:r>
        <w:r>
          <w:rPr>
            <w:noProof/>
            <w:webHidden/>
          </w:rPr>
          <w:fldChar w:fldCharType="separate"/>
        </w:r>
        <w:r>
          <w:rPr>
            <w:noProof/>
            <w:webHidden/>
          </w:rPr>
          <w:t>87</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1" w:history="1">
        <w:r>
          <w:rPr>
            <w:rStyle w:val="Hyperlink"/>
            <w:noProof/>
          </w:rPr>
          <w:t>2.2.</w:t>
        </w:r>
        <w:r>
          <w:rPr>
            <w:rFonts w:eastAsiaTheme="minorEastAsia"/>
            <w:noProof/>
            <w:sz w:val="22"/>
            <w:szCs w:val="22"/>
            <w:lang w:eastAsia="en-GB"/>
          </w:rPr>
          <w:tab/>
        </w:r>
        <w:r>
          <w:rPr>
            <w:rStyle w:val="Hyperlink"/>
            <w:noProof/>
          </w:rPr>
          <w:t>Aglink-Cosimo</w:t>
        </w:r>
        <w:r>
          <w:rPr>
            <w:noProof/>
            <w:webHidden/>
          </w:rPr>
          <w:tab/>
        </w:r>
        <w:r>
          <w:rPr>
            <w:noProof/>
            <w:webHidden/>
          </w:rPr>
          <w:fldChar w:fldCharType="begin"/>
        </w:r>
        <w:r>
          <w:rPr>
            <w:noProof/>
            <w:webHidden/>
          </w:rPr>
          <w:instrText xml:space="preserve"> PAGEREF _Toc514514631 \h </w:instrText>
        </w:r>
        <w:r>
          <w:rPr>
            <w:noProof/>
            <w:webHidden/>
          </w:rPr>
        </w:r>
        <w:r>
          <w:rPr>
            <w:noProof/>
            <w:webHidden/>
          </w:rPr>
          <w:fldChar w:fldCharType="separate"/>
        </w:r>
        <w:r>
          <w:rPr>
            <w:noProof/>
            <w:webHidden/>
          </w:rPr>
          <w:t>88</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2" w:history="1">
        <w:r>
          <w:rPr>
            <w:rStyle w:val="Hyperlink"/>
            <w:noProof/>
          </w:rPr>
          <w:t>2.3.</w:t>
        </w:r>
        <w:r>
          <w:rPr>
            <w:rFonts w:eastAsiaTheme="minorEastAsia"/>
            <w:noProof/>
            <w:sz w:val="22"/>
            <w:szCs w:val="22"/>
            <w:lang w:eastAsia="en-GB"/>
          </w:rPr>
          <w:tab/>
        </w:r>
        <w:r>
          <w:rPr>
            <w:rStyle w:val="Hyperlink"/>
            <w:noProof/>
          </w:rPr>
          <w:t>CAPRI</w:t>
        </w:r>
        <w:r>
          <w:rPr>
            <w:noProof/>
            <w:webHidden/>
          </w:rPr>
          <w:tab/>
        </w:r>
        <w:r>
          <w:rPr>
            <w:noProof/>
            <w:webHidden/>
          </w:rPr>
          <w:fldChar w:fldCharType="begin"/>
        </w:r>
        <w:r>
          <w:rPr>
            <w:noProof/>
            <w:webHidden/>
          </w:rPr>
          <w:instrText xml:space="preserve"> PAGEREF _Toc514514632 \h </w:instrText>
        </w:r>
        <w:r>
          <w:rPr>
            <w:noProof/>
            <w:webHidden/>
          </w:rPr>
        </w:r>
        <w:r>
          <w:rPr>
            <w:noProof/>
            <w:webHidden/>
          </w:rPr>
          <w:fldChar w:fldCharType="separate"/>
        </w:r>
        <w:r>
          <w:rPr>
            <w:noProof/>
            <w:webHidden/>
          </w:rPr>
          <w:t>88</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3" w:history="1">
        <w:r>
          <w:rPr>
            <w:rStyle w:val="Hyperlink"/>
            <w:noProof/>
          </w:rPr>
          <w:t>2.4.</w:t>
        </w:r>
        <w:r>
          <w:rPr>
            <w:rFonts w:eastAsiaTheme="minorEastAsia"/>
            <w:noProof/>
            <w:sz w:val="22"/>
            <w:szCs w:val="22"/>
            <w:lang w:eastAsia="en-GB"/>
          </w:rPr>
          <w:tab/>
        </w:r>
        <w:r>
          <w:rPr>
            <w:rStyle w:val="Hyperlink"/>
            <w:noProof/>
          </w:rPr>
          <w:t>IFM-CAP</w:t>
        </w:r>
        <w:r>
          <w:rPr>
            <w:noProof/>
            <w:webHidden/>
          </w:rPr>
          <w:tab/>
        </w:r>
        <w:r>
          <w:rPr>
            <w:noProof/>
            <w:webHidden/>
          </w:rPr>
          <w:fldChar w:fldCharType="begin"/>
        </w:r>
        <w:r>
          <w:rPr>
            <w:noProof/>
            <w:webHidden/>
          </w:rPr>
          <w:instrText xml:space="preserve"> PAGE</w:instrText>
        </w:r>
        <w:r>
          <w:rPr>
            <w:noProof/>
            <w:webHidden/>
          </w:rPr>
          <w:instrText xml:space="preserve">REF _Toc514514633 \h </w:instrText>
        </w:r>
        <w:r>
          <w:rPr>
            <w:noProof/>
            <w:webHidden/>
          </w:rPr>
        </w:r>
        <w:r>
          <w:rPr>
            <w:noProof/>
            <w:webHidden/>
          </w:rPr>
          <w:fldChar w:fldCharType="separate"/>
        </w:r>
        <w:r>
          <w:rPr>
            <w:noProof/>
            <w:webHidden/>
          </w:rPr>
          <w:t>88</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4" w:history="1">
        <w:r>
          <w:rPr>
            <w:rStyle w:val="Hyperlink"/>
            <w:noProof/>
          </w:rPr>
          <w:t>2.5.</w:t>
        </w:r>
        <w:r>
          <w:rPr>
            <w:rFonts w:eastAsiaTheme="minorEastAsia"/>
            <w:noProof/>
            <w:sz w:val="22"/>
            <w:szCs w:val="22"/>
            <w:lang w:eastAsia="en-GB"/>
          </w:rPr>
          <w:tab/>
        </w:r>
        <w:r>
          <w:rPr>
            <w:rStyle w:val="Hyperlink"/>
            <w:noProof/>
          </w:rPr>
          <w:t>AIDSK</w:t>
        </w:r>
        <w:r>
          <w:rPr>
            <w:noProof/>
            <w:webHidden/>
          </w:rPr>
          <w:tab/>
        </w:r>
        <w:r>
          <w:rPr>
            <w:noProof/>
            <w:webHidden/>
          </w:rPr>
          <w:fldChar w:fldCharType="begin"/>
        </w:r>
        <w:r>
          <w:rPr>
            <w:noProof/>
            <w:webHidden/>
          </w:rPr>
          <w:instrText xml:space="preserve"> PAGEREF _Toc514514634 \h </w:instrText>
        </w:r>
        <w:r>
          <w:rPr>
            <w:noProof/>
            <w:webHidden/>
          </w:rPr>
        </w:r>
        <w:r>
          <w:rPr>
            <w:noProof/>
            <w:webHidden/>
          </w:rPr>
          <w:fldChar w:fldCharType="separate"/>
        </w:r>
        <w:r>
          <w:rPr>
            <w:noProof/>
            <w:webHidden/>
          </w:rPr>
          <w:t>89</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5" w:history="1">
        <w:r>
          <w:rPr>
            <w:rStyle w:val="Hyperlink"/>
            <w:noProof/>
          </w:rPr>
          <w:t>2.6.</w:t>
        </w:r>
        <w:r>
          <w:rPr>
            <w:rFonts w:eastAsiaTheme="minorEastAsia"/>
            <w:noProof/>
            <w:sz w:val="22"/>
            <w:szCs w:val="22"/>
            <w:lang w:eastAsia="en-GB"/>
          </w:rPr>
          <w:tab/>
        </w:r>
        <w:r>
          <w:rPr>
            <w:rStyle w:val="Hyperlink"/>
            <w:noProof/>
          </w:rPr>
          <w:t>RUSLE 2015</w:t>
        </w:r>
        <w:r>
          <w:rPr>
            <w:noProof/>
            <w:webHidden/>
          </w:rPr>
          <w:tab/>
        </w:r>
        <w:r>
          <w:rPr>
            <w:noProof/>
            <w:webHidden/>
          </w:rPr>
          <w:fldChar w:fldCharType="begin"/>
        </w:r>
        <w:r>
          <w:rPr>
            <w:noProof/>
            <w:webHidden/>
          </w:rPr>
          <w:instrText xml:space="preserve"> PAGEREF _Toc514514635 \h </w:instrText>
        </w:r>
        <w:r>
          <w:rPr>
            <w:noProof/>
            <w:webHidden/>
          </w:rPr>
        </w:r>
        <w:r>
          <w:rPr>
            <w:noProof/>
            <w:webHidden/>
          </w:rPr>
          <w:fldChar w:fldCharType="separate"/>
        </w:r>
        <w:r>
          <w:rPr>
            <w:noProof/>
            <w:webHidden/>
          </w:rPr>
          <w:t>89</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6" w:history="1">
        <w:r>
          <w:rPr>
            <w:rStyle w:val="Hyperlink"/>
            <w:noProof/>
          </w:rPr>
          <w:t>2.7.</w:t>
        </w:r>
        <w:r>
          <w:rPr>
            <w:rFonts w:eastAsiaTheme="minorEastAsia"/>
            <w:noProof/>
            <w:sz w:val="22"/>
            <w:szCs w:val="22"/>
            <w:lang w:eastAsia="en-GB"/>
          </w:rPr>
          <w:tab/>
        </w:r>
        <w:r>
          <w:rPr>
            <w:rStyle w:val="Hyperlink"/>
            <w:noProof/>
          </w:rPr>
          <w:t>Century model</w:t>
        </w:r>
        <w:r>
          <w:rPr>
            <w:noProof/>
            <w:webHidden/>
          </w:rPr>
          <w:tab/>
        </w:r>
        <w:r>
          <w:rPr>
            <w:noProof/>
            <w:webHidden/>
          </w:rPr>
          <w:fldChar w:fldCharType="begin"/>
        </w:r>
        <w:r>
          <w:rPr>
            <w:noProof/>
            <w:webHidden/>
          </w:rPr>
          <w:instrText xml:space="preserve"> PAGEREF _Toc514514636 \h </w:instrText>
        </w:r>
        <w:r>
          <w:rPr>
            <w:noProof/>
            <w:webHidden/>
          </w:rPr>
        </w:r>
        <w:r>
          <w:rPr>
            <w:noProof/>
            <w:webHidden/>
          </w:rPr>
          <w:fldChar w:fldCharType="separate"/>
        </w:r>
        <w:r>
          <w:rPr>
            <w:noProof/>
            <w:webHidden/>
          </w:rPr>
          <w:t>90</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7" w:history="1">
        <w:r>
          <w:rPr>
            <w:rStyle w:val="Hyperlink"/>
            <w:noProof/>
          </w:rPr>
          <w:t>2.8.</w:t>
        </w:r>
        <w:r>
          <w:rPr>
            <w:rFonts w:eastAsiaTheme="minorEastAsia"/>
            <w:noProof/>
            <w:sz w:val="22"/>
            <w:szCs w:val="22"/>
            <w:lang w:eastAsia="en-GB"/>
          </w:rPr>
          <w:tab/>
        </w:r>
        <w:r>
          <w:rPr>
            <w:rStyle w:val="Hyperlink"/>
            <w:noProof/>
          </w:rPr>
          <w:t>Standard Cost Model</w:t>
        </w:r>
        <w:r>
          <w:rPr>
            <w:noProof/>
            <w:webHidden/>
          </w:rPr>
          <w:tab/>
        </w:r>
        <w:r>
          <w:rPr>
            <w:noProof/>
            <w:webHidden/>
          </w:rPr>
          <w:fldChar w:fldCharType="begin"/>
        </w:r>
        <w:r>
          <w:rPr>
            <w:noProof/>
            <w:webHidden/>
          </w:rPr>
          <w:instrText xml:space="preserve"> PAGEREF _Toc514514637 \h </w:instrText>
        </w:r>
        <w:r>
          <w:rPr>
            <w:noProof/>
            <w:webHidden/>
          </w:rPr>
        </w:r>
        <w:r>
          <w:rPr>
            <w:noProof/>
            <w:webHidden/>
          </w:rPr>
          <w:fldChar w:fldCharType="separate"/>
        </w:r>
        <w:r>
          <w:rPr>
            <w:noProof/>
            <w:webHidden/>
          </w:rPr>
          <w:t>90</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8" w:history="1">
        <w:r>
          <w:rPr>
            <w:rStyle w:val="Hyperlink"/>
            <w:noProof/>
          </w:rPr>
          <w:t>2.9.</w:t>
        </w:r>
        <w:r>
          <w:rPr>
            <w:rFonts w:eastAsiaTheme="minorEastAsia"/>
            <w:noProof/>
            <w:sz w:val="22"/>
            <w:szCs w:val="22"/>
            <w:lang w:eastAsia="en-GB"/>
          </w:rPr>
          <w:tab/>
        </w:r>
        <w:r>
          <w:rPr>
            <w:rStyle w:val="Hyperlink"/>
            <w:noProof/>
          </w:rPr>
          <w:t>Workshops with experts</w:t>
        </w:r>
        <w:r>
          <w:rPr>
            <w:noProof/>
            <w:webHidden/>
          </w:rPr>
          <w:tab/>
        </w:r>
        <w:r>
          <w:rPr>
            <w:noProof/>
            <w:webHidden/>
          </w:rPr>
          <w:fldChar w:fldCharType="begin"/>
        </w:r>
        <w:r>
          <w:rPr>
            <w:noProof/>
            <w:webHidden/>
          </w:rPr>
          <w:instrText xml:space="preserve"> PAGEREF _Toc514514638 \h </w:instrText>
        </w:r>
        <w:r>
          <w:rPr>
            <w:noProof/>
            <w:webHidden/>
          </w:rPr>
        </w:r>
        <w:r>
          <w:rPr>
            <w:noProof/>
            <w:webHidden/>
          </w:rPr>
          <w:fldChar w:fldCharType="separate"/>
        </w:r>
        <w:r>
          <w:rPr>
            <w:noProof/>
            <w:webHidden/>
          </w:rPr>
          <w:t>91</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39" w:history="1">
        <w:r>
          <w:rPr>
            <w:rStyle w:val="Hyperlink"/>
            <w:noProof/>
          </w:rPr>
          <w:t>2.10.</w:t>
        </w:r>
        <w:r>
          <w:rPr>
            <w:rFonts w:eastAsiaTheme="minorEastAsia"/>
            <w:noProof/>
            <w:sz w:val="22"/>
            <w:szCs w:val="22"/>
            <w:lang w:eastAsia="en-GB"/>
          </w:rPr>
          <w:tab/>
        </w:r>
        <w:r>
          <w:rPr>
            <w:rStyle w:val="Hyperlink"/>
            <w:noProof/>
          </w:rPr>
          <w:t>Intervention logic based on expert judgement</w:t>
        </w:r>
        <w:r>
          <w:rPr>
            <w:noProof/>
            <w:webHidden/>
          </w:rPr>
          <w:tab/>
        </w:r>
        <w:r>
          <w:rPr>
            <w:noProof/>
            <w:webHidden/>
          </w:rPr>
          <w:fldChar w:fldCharType="begin"/>
        </w:r>
        <w:r>
          <w:rPr>
            <w:noProof/>
            <w:webHidden/>
          </w:rPr>
          <w:instrText xml:space="preserve"> PAGEREF _Toc514514639 \h </w:instrText>
        </w:r>
        <w:r>
          <w:rPr>
            <w:noProof/>
            <w:webHidden/>
          </w:rPr>
        </w:r>
        <w:r>
          <w:rPr>
            <w:noProof/>
            <w:webHidden/>
          </w:rPr>
          <w:fldChar w:fldCharType="separate"/>
        </w:r>
        <w:r>
          <w:rPr>
            <w:noProof/>
            <w:webHidden/>
          </w:rPr>
          <w:t>91</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40" w:history="1">
        <w:r>
          <w:rPr>
            <w:rStyle w:val="Hyperlink"/>
            <w:noProof/>
          </w:rPr>
          <w:t>2.11.</w:t>
        </w:r>
        <w:r>
          <w:rPr>
            <w:rFonts w:eastAsiaTheme="minorEastAsia"/>
            <w:noProof/>
            <w:sz w:val="22"/>
            <w:szCs w:val="22"/>
            <w:lang w:eastAsia="en-GB"/>
          </w:rPr>
          <w:tab/>
        </w:r>
        <w:r>
          <w:rPr>
            <w:rStyle w:val="Hyperlink"/>
            <w:noProof/>
          </w:rPr>
          <w:t>Multi-criteria-analysis</w:t>
        </w:r>
        <w:r>
          <w:rPr>
            <w:noProof/>
            <w:webHidden/>
          </w:rPr>
          <w:tab/>
        </w:r>
        <w:r>
          <w:rPr>
            <w:noProof/>
            <w:webHidden/>
          </w:rPr>
          <w:fldChar w:fldCharType="begin"/>
        </w:r>
        <w:r>
          <w:rPr>
            <w:noProof/>
            <w:webHidden/>
          </w:rPr>
          <w:instrText xml:space="preserve"> PAGEREF _Toc514514640 \h </w:instrText>
        </w:r>
        <w:r>
          <w:rPr>
            <w:noProof/>
            <w:webHidden/>
          </w:rPr>
        </w:r>
        <w:r>
          <w:rPr>
            <w:noProof/>
            <w:webHidden/>
          </w:rPr>
          <w:fldChar w:fldCharType="separate"/>
        </w:r>
        <w:r>
          <w:rPr>
            <w:noProof/>
            <w:webHidden/>
          </w:rPr>
          <w:t>91</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41" w:history="1">
        <w:r>
          <w:rPr>
            <w:rStyle w:val="Hyperlink"/>
            <w:noProof/>
          </w:rPr>
          <w:t>3.</w:t>
        </w:r>
        <w:r>
          <w:rPr>
            <w:rFonts w:asciiTheme="minorHAnsi" w:eastAsiaTheme="minorEastAsia" w:hAnsiTheme="minorHAnsi"/>
            <w:b w:val="0"/>
            <w:bCs w:val="0"/>
            <w:smallCaps w:val="0"/>
            <w:noProof/>
            <w:sz w:val="22"/>
            <w:szCs w:val="22"/>
            <w:lang w:eastAsia="en-GB"/>
          </w:rPr>
          <w:tab/>
        </w:r>
        <w:r>
          <w:rPr>
            <w:rStyle w:val="Hyperlink"/>
            <w:noProof/>
          </w:rPr>
          <w:t xml:space="preserve">Description of </w:t>
        </w:r>
        <w:r>
          <w:rPr>
            <w:rStyle w:val="Hyperlink"/>
            <w:noProof/>
          </w:rPr>
          <w:t>tools used in the different phases</w:t>
        </w:r>
        <w:r>
          <w:rPr>
            <w:noProof/>
            <w:webHidden/>
          </w:rPr>
          <w:tab/>
        </w:r>
        <w:r>
          <w:rPr>
            <w:noProof/>
            <w:webHidden/>
          </w:rPr>
          <w:fldChar w:fldCharType="begin"/>
        </w:r>
        <w:r>
          <w:rPr>
            <w:noProof/>
            <w:webHidden/>
          </w:rPr>
          <w:instrText xml:space="preserve"> PAGEREF _Toc514514641 \h </w:instrText>
        </w:r>
        <w:r>
          <w:rPr>
            <w:noProof/>
            <w:webHidden/>
          </w:rPr>
        </w:r>
        <w:r>
          <w:rPr>
            <w:noProof/>
            <w:webHidden/>
          </w:rPr>
          <w:fldChar w:fldCharType="separate"/>
        </w:r>
        <w:r>
          <w:rPr>
            <w:noProof/>
            <w:webHidden/>
          </w:rPr>
          <w:t>92</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42" w:history="1">
        <w:r>
          <w:rPr>
            <w:rStyle w:val="Hyperlink"/>
            <w:noProof/>
          </w:rPr>
          <w:t>3.1.</w:t>
        </w:r>
        <w:r>
          <w:rPr>
            <w:rFonts w:eastAsiaTheme="minorEastAsia"/>
            <w:noProof/>
            <w:sz w:val="22"/>
            <w:szCs w:val="22"/>
            <w:lang w:eastAsia="en-GB"/>
          </w:rPr>
          <w:tab/>
        </w:r>
        <w:r>
          <w:rPr>
            <w:rStyle w:val="Hyperlink"/>
            <w:noProof/>
          </w:rPr>
          <w:t>Evaluation of baseline</w:t>
        </w:r>
        <w:r>
          <w:rPr>
            <w:noProof/>
            <w:webHidden/>
          </w:rPr>
          <w:tab/>
        </w:r>
        <w:r>
          <w:rPr>
            <w:noProof/>
            <w:webHidden/>
          </w:rPr>
          <w:fldChar w:fldCharType="begin"/>
        </w:r>
        <w:r>
          <w:rPr>
            <w:noProof/>
            <w:webHidden/>
          </w:rPr>
          <w:instrText xml:space="preserve"> PAGEREF _Toc514514642 \h </w:instrText>
        </w:r>
        <w:r>
          <w:rPr>
            <w:noProof/>
            <w:webHidden/>
          </w:rPr>
        </w:r>
        <w:r>
          <w:rPr>
            <w:noProof/>
            <w:webHidden/>
          </w:rPr>
          <w:fldChar w:fldCharType="separate"/>
        </w:r>
        <w:r>
          <w:rPr>
            <w:noProof/>
            <w:webHidden/>
          </w:rPr>
          <w:t>92</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43" w:history="1">
        <w:r>
          <w:rPr>
            <w:rStyle w:val="Hyperlink"/>
            <w:noProof/>
          </w:rPr>
          <w:t>3.2.</w:t>
        </w:r>
        <w:r>
          <w:rPr>
            <w:rFonts w:eastAsiaTheme="minorEastAsia"/>
            <w:noProof/>
            <w:sz w:val="22"/>
            <w:szCs w:val="22"/>
            <w:lang w:eastAsia="en-GB"/>
          </w:rPr>
          <w:tab/>
        </w:r>
        <w:r>
          <w:rPr>
            <w:rStyle w:val="Hyperlink"/>
            <w:noProof/>
          </w:rPr>
          <w:t>Assessing the impact of options</w:t>
        </w:r>
        <w:r>
          <w:rPr>
            <w:noProof/>
            <w:webHidden/>
          </w:rPr>
          <w:tab/>
        </w:r>
        <w:r>
          <w:rPr>
            <w:noProof/>
            <w:webHidden/>
          </w:rPr>
          <w:fldChar w:fldCharType="begin"/>
        </w:r>
        <w:r>
          <w:rPr>
            <w:noProof/>
            <w:webHidden/>
          </w:rPr>
          <w:instrText xml:space="preserve"> PAGEREF _Toc514514643 \h </w:instrText>
        </w:r>
        <w:r>
          <w:rPr>
            <w:noProof/>
            <w:webHidden/>
          </w:rPr>
        </w:r>
        <w:r>
          <w:rPr>
            <w:noProof/>
            <w:webHidden/>
          </w:rPr>
          <w:fldChar w:fldCharType="separate"/>
        </w:r>
        <w:r>
          <w:rPr>
            <w:noProof/>
            <w:webHidden/>
          </w:rPr>
          <w:t>94</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44" w:history="1">
        <w:r>
          <w:rPr>
            <w:rStyle w:val="Hyperlink"/>
            <w:noProof/>
          </w:rPr>
          <w:t>3.3.</w:t>
        </w:r>
        <w:r>
          <w:rPr>
            <w:rFonts w:eastAsiaTheme="minorEastAsia"/>
            <w:noProof/>
            <w:sz w:val="22"/>
            <w:szCs w:val="22"/>
            <w:lang w:eastAsia="en-GB"/>
          </w:rPr>
          <w:tab/>
        </w:r>
        <w:r>
          <w:rPr>
            <w:rStyle w:val="Hyperlink"/>
            <w:noProof/>
          </w:rPr>
          <w:t>Addressing uncertai</w:t>
        </w:r>
        <w:r>
          <w:rPr>
            <w:rStyle w:val="Hyperlink"/>
            <w:noProof/>
          </w:rPr>
          <w:t>nties</w:t>
        </w:r>
        <w:r>
          <w:rPr>
            <w:noProof/>
            <w:webHidden/>
          </w:rPr>
          <w:tab/>
        </w:r>
        <w:r>
          <w:rPr>
            <w:noProof/>
            <w:webHidden/>
          </w:rPr>
          <w:fldChar w:fldCharType="begin"/>
        </w:r>
        <w:r>
          <w:rPr>
            <w:noProof/>
            <w:webHidden/>
          </w:rPr>
          <w:instrText xml:space="preserve"> PAGEREF _Toc514514644 \h </w:instrText>
        </w:r>
        <w:r>
          <w:rPr>
            <w:noProof/>
            <w:webHidden/>
          </w:rPr>
        </w:r>
        <w:r>
          <w:rPr>
            <w:noProof/>
            <w:webHidden/>
          </w:rPr>
          <w:fldChar w:fldCharType="separate"/>
        </w:r>
        <w:r>
          <w:rPr>
            <w:noProof/>
            <w:webHidden/>
          </w:rPr>
          <w:t>94</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45" w:history="1">
        <w:r>
          <w:rPr>
            <w:rStyle w:val="Hyperlink"/>
            <w:noProof/>
          </w:rPr>
          <w:t>3.4.</w:t>
        </w:r>
        <w:r>
          <w:rPr>
            <w:rFonts w:eastAsiaTheme="minorEastAsia"/>
            <w:noProof/>
            <w:sz w:val="22"/>
            <w:szCs w:val="22"/>
            <w:lang w:eastAsia="en-GB"/>
          </w:rPr>
          <w:tab/>
        </w:r>
        <w:r>
          <w:rPr>
            <w:rStyle w:val="Hyperlink"/>
            <w:noProof/>
          </w:rPr>
          <w:t>Comparing the baseline and the options</w:t>
        </w:r>
        <w:r>
          <w:rPr>
            <w:noProof/>
            <w:webHidden/>
          </w:rPr>
          <w:tab/>
        </w:r>
        <w:r>
          <w:rPr>
            <w:noProof/>
            <w:webHidden/>
          </w:rPr>
          <w:fldChar w:fldCharType="begin"/>
        </w:r>
        <w:r>
          <w:rPr>
            <w:noProof/>
            <w:webHidden/>
          </w:rPr>
          <w:instrText xml:space="preserve"> PAGEREF _Toc514514645 \h </w:instrText>
        </w:r>
        <w:r>
          <w:rPr>
            <w:noProof/>
            <w:webHidden/>
          </w:rPr>
        </w:r>
        <w:r>
          <w:rPr>
            <w:noProof/>
            <w:webHidden/>
          </w:rPr>
          <w:fldChar w:fldCharType="separate"/>
        </w:r>
        <w:r>
          <w:rPr>
            <w:noProof/>
            <w:webHidden/>
          </w:rPr>
          <w:t>95</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46" w:history="1">
        <w:r>
          <w:rPr>
            <w:rStyle w:val="Hyperlink"/>
            <w:noProof/>
          </w:rPr>
          <w:t>Annex 5.3: Objectives used in the MCA</w:t>
        </w:r>
        <w:r>
          <w:rPr>
            <w:noProof/>
            <w:webHidden/>
          </w:rPr>
          <w:tab/>
        </w:r>
        <w:r>
          <w:rPr>
            <w:noProof/>
            <w:webHidden/>
          </w:rPr>
          <w:fldChar w:fldCharType="begin"/>
        </w:r>
        <w:r>
          <w:rPr>
            <w:noProof/>
            <w:webHidden/>
          </w:rPr>
          <w:instrText xml:space="preserve"> PAGEREF _Toc514514646 \h </w:instrText>
        </w:r>
        <w:r>
          <w:rPr>
            <w:noProof/>
            <w:webHidden/>
          </w:rPr>
        </w:r>
        <w:r>
          <w:rPr>
            <w:noProof/>
            <w:webHidden/>
          </w:rPr>
          <w:fldChar w:fldCharType="separate"/>
        </w:r>
        <w:r>
          <w:rPr>
            <w:noProof/>
            <w:webHidden/>
          </w:rPr>
          <w:t>99</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47" w:history="1">
        <w:r>
          <w:rPr>
            <w:rStyle w:val="Hyperlink"/>
            <w:noProof/>
          </w:rPr>
          <w:t>Annex 5.4 – Non-productive elements in the EU</w:t>
        </w:r>
        <w:r>
          <w:rPr>
            <w:noProof/>
            <w:webHidden/>
          </w:rPr>
          <w:tab/>
        </w:r>
        <w:r>
          <w:rPr>
            <w:noProof/>
            <w:webHidden/>
          </w:rPr>
          <w:fldChar w:fldCharType="begin"/>
        </w:r>
        <w:r>
          <w:rPr>
            <w:noProof/>
            <w:webHidden/>
          </w:rPr>
          <w:instrText xml:space="preserve"> PAGEREF _Toc514514647 \h </w:instrText>
        </w:r>
        <w:r>
          <w:rPr>
            <w:noProof/>
            <w:webHidden/>
          </w:rPr>
        </w:r>
        <w:r>
          <w:rPr>
            <w:noProof/>
            <w:webHidden/>
          </w:rPr>
          <w:fldChar w:fldCharType="separate"/>
        </w:r>
        <w:r>
          <w:rPr>
            <w:noProof/>
            <w:webHidden/>
          </w:rPr>
          <w:t>101</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48" w:history="1">
        <w:r>
          <w:rPr>
            <w:rStyle w:val="Hyperlink"/>
            <w:noProof/>
          </w:rPr>
          <w:t>Annex 5.5: Capping</w:t>
        </w:r>
        <w:r>
          <w:rPr>
            <w:noProof/>
            <w:webHidden/>
          </w:rPr>
          <w:tab/>
        </w:r>
        <w:r>
          <w:rPr>
            <w:noProof/>
            <w:webHidden/>
          </w:rPr>
          <w:fldChar w:fldCharType="begin"/>
        </w:r>
        <w:r>
          <w:rPr>
            <w:noProof/>
            <w:webHidden/>
          </w:rPr>
          <w:instrText xml:space="preserve"> PAGEREF _Toc514514648 \h </w:instrText>
        </w:r>
        <w:r>
          <w:rPr>
            <w:noProof/>
            <w:webHidden/>
          </w:rPr>
        </w:r>
        <w:r>
          <w:rPr>
            <w:noProof/>
            <w:webHidden/>
          </w:rPr>
          <w:fldChar w:fldCharType="separate"/>
        </w:r>
        <w:r>
          <w:rPr>
            <w:noProof/>
            <w:webHidden/>
          </w:rPr>
          <w:t>102</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49" w:history="1">
        <w:r>
          <w:rPr>
            <w:rStyle w:val="Hyperlink"/>
            <w:noProof/>
          </w:rPr>
          <w:t>Annex 5.6: Share of direct payments received by biggest beneficiaries and biggest farms</w:t>
        </w:r>
        <w:r>
          <w:rPr>
            <w:noProof/>
            <w:webHidden/>
          </w:rPr>
          <w:tab/>
        </w:r>
        <w:r>
          <w:rPr>
            <w:noProof/>
            <w:webHidden/>
          </w:rPr>
          <w:fldChar w:fldCharType="begin"/>
        </w:r>
        <w:r>
          <w:rPr>
            <w:noProof/>
            <w:webHidden/>
          </w:rPr>
          <w:instrText xml:space="preserve"> PAGEREF _Toc514514649 \h </w:instrText>
        </w:r>
        <w:r>
          <w:rPr>
            <w:noProof/>
            <w:webHidden/>
          </w:rPr>
        </w:r>
        <w:r>
          <w:rPr>
            <w:noProof/>
            <w:webHidden/>
          </w:rPr>
          <w:fldChar w:fldCharType="separate"/>
        </w:r>
        <w:r>
          <w:rPr>
            <w:noProof/>
            <w:webHidden/>
          </w:rPr>
          <w:t>103</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50" w:history="1">
        <w:r>
          <w:rPr>
            <w:rStyle w:val="Hyperlink"/>
            <w:noProof/>
          </w:rPr>
          <w:t>Annex 5.7 – Income variability</w:t>
        </w:r>
        <w:r>
          <w:rPr>
            <w:noProof/>
            <w:webHidden/>
          </w:rPr>
          <w:tab/>
        </w:r>
        <w:r>
          <w:rPr>
            <w:noProof/>
            <w:webHidden/>
          </w:rPr>
          <w:fldChar w:fldCharType="begin"/>
        </w:r>
        <w:r>
          <w:rPr>
            <w:noProof/>
            <w:webHidden/>
          </w:rPr>
          <w:instrText xml:space="preserve"> PAGEREF _Toc514514650 \h </w:instrText>
        </w:r>
        <w:r>
          <w:rPr>
            <w:noProof/>
            <w:webHidden/>
          </w:rPr>
        </w:r>
        <w:r>
          <w:rPr>
            <w:noProof/>
            <w:webHidden/>
          </w:rPr>
          <w:fldChar w:fldCharType="separate"/>
        </w:r>
        <w:r>
          <w:rPr>
            <w:noProof/>
            <w:webHidden/>
          </w:rPr>
          <w:t>104</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51" w:history="1">
        <w:r>
          <w:rPr>
            <w:rStyle w:val="Hyperlink"/>
            <w:noProof/>
            <w:lang w:val="fr-BE"/>
          </w:rPr>
          <w:t>Annex 6: Promoting Modernisation</w:t>
        </w:r>
        <w:r>
          <w:rPr>
            <w:noProof/>
            <w:webHidden/>
          </w:rPr>
          <w:tab/>
        </w:r>
        <w:r>
          <w:rPr>
            <w:noProof/>
            <w:webHidden/>
          </w:rPr>
          <w:fldChar w:fldCharType="begin"/>
        </w:r>
        <w:r>
          <w:rPr>
            <w:noProof/>
            <w:webHidden/>
          </w:rPr>
          <w:instrText xml:space="preserve"> PAGEREF _Toc514514651 \h </w:instrText>
        </w:r>
        <w:r>
          <w:rPr>
            <w:noProof/>
            <w:webHidden/>
          </w:rPr>
        </w:r>
        <w:r>
          <w:rPr>
            <w:noProof/>
            <w:webHidden/>
          </w:rPr>
          <w:fldChar w:fldCharType="separate"/>
        </w:r>
        <w:r>
          <w:rPr>
            <w:noProof/>
            <w:webHidden/>
          </w:rPr>
          <w:t>105</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52" w:history="1">
        <w:r>
          <w:rPr>
            <w:rStyle w:val="Hyperlink"/>
            <w:noProof/>
            <w:lang w:eastAsia="en-GB"/>
          </w:rPr>
          <w:t xml:space="preserve">1. </w:t>
        </w:r>
        <w:r>
          <w:rPr>
            <w:rFonts w:asciiTheme="minorHAnsi" w:eastAsiaTheme="minorEastAsia" w:hAnsiTheme="minorHAnsi"/>
            <w:b w:val="0"/>
            <w:bCs w:val="0"/>
            <w:smallCaps w:val="0"/>
            <w:noProof/>
            <w:sz w:val="22"/>
            <w:szCs w:val="22"/>
            <w:lang w:eastAsia="en-GB"/>
          </w:rPr>
          <w:tab/>
        </w:r>
        <w:r>
          <w:rPr>
            <w:rStyle w:val="Hyperlink"/>
            <w:noProof/>
          </w:rPr>
          <w:t>Enhancing Agricultural Knowledge and Innovation Systems (AKIS) and strengthening lin</w:t>
        </w:r>
        <w:r>
          <w:rPr>
            <w:rStyle w:val="Hyperlink"/>
            <w:noProof/>
          </w:rPr>
          <w:t>ks with research</w:t>
        </w:r>
        <w:r>
          <w:rPr>
            <w:noProof/>
            <w:webHidden/>
          </w:rPr>
          <w:tab/>
        </w:r>
        <w:r>
          <w:rPr>
            <w:noProof/>
            <w:webHidden/>
          </w:rPr>
          <w:fldChar w:fldCharType="begin"/>
        </w:r>
        <w:r>
          <w:rPr>
            <w:noProof/>
            <w:webHidden/>
          </w:rPr>
          <w:instrText xml:space="preserve"> PAGEREF _Toc514514652 \h </w:instrText>
        </w:r>
        <w:r>
          <w:rPr>
            <w:noProof/>
            <w:webHidden/>
          </w:rPr>
        </w:r>
        <w:r>
          <w:rPr>
            <w:noProof/>
            <w:webHidden/>
          </w:rPr>
          <w:fldChar w:fldCharType="separate"/>
        </w:r>
        <w:r>
          <w:rPr>
            <w:noProof/>
            <w:webHidden/>
          </w:rPr>
          <w:t>105</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53" w:history="1">
        <w:r>
          <w:rPr>
            <w:rStyle w:val="Hyperlink"/>
            <w:noProof/>
          </w:rPr>
          <w:t xml:space="preserve">2. </w:t>
        </w:r>
        <w:r>
          <w:rPr>
            <w:rFonts w:asciiTheme="minorHAnsi" w:eastAsiaTheme="minorEastAsia" w:hAnsiTheme="minorHAnsi"/>
            <w:b w:val="0"/>
            <w:bCs w:val="0"/>
            <w:smallCaps w:val="0"/>
            <w:noProof/>
            <w:sz w:val="22"/>
            <w:szCs w:val="22"/>
            <w:lang w:eastAsia="en-GB"/>
          </w:rPr>
          <w:tab/>
        </w:r>
        <w:r>
          <w:rPr>
            <w:rStyle w:val="Hyperlink"/>
            <w:noProof/>
          </w:rPr>
          <w:t>Strengthening of farm advisory services within the Agricultural Knowledge and Innovation Systems</w:t>
        </w:r>
        <w:r>
          <w:rPr>
            <w:noProof/>
            <w:webHidden/>
          </w:rPr>
          <w:tab/>
        </w:r>
        <w:r>
          <w:rPr>
            <w:noProof/>
            <w:webHidden/>
          </w:rPr>
          <w:fldChar w:fldCharType="begin"/>
        </w:r>
        <w:r>
          <w:rPr>
            <w:noProof/>
            <w:webHidden/>
          </w:rPr>
          <w:instrText xml:space="preserve"> PAGEREF _Toc514514653 \h </w:instrText>
        </w:r>
        <w:r>
          <w:rPr>
            <w:noProof/>
            <w:webHidden/>
          </w:rPr>
        </w:r>
        <w:r>
          <w:rPr>
            <w:noProof/>
            <w:webHidden/>
          </w:rPr>
          <w:fldChar w:fldCharType="separate"/>
        </w:r>
        <w:r>
          <w:rPr>
            <w:noProof/>
            <w:webHidden/>
          </w:rPr>
          <w:t>108</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54" w:history="1">
        <w:r>
          <w:rPr>
            <w:rStyle w:val="Hyperlink"/>
            <w:noProof/>
          </w:rPr>
          <w:t xml:space="preserve">3. </w:t>
        </w:r>
        <w:r>
          <w:rPr>
            <w:rFonts w:asciiTheme="minorHAnsi" w:eastAsiaTheme="minorEastAsia" w:hAnsiTheme="minorHAnsi"/>
            <w:b w:val="0"/>
            <w:bCs w:val="0"/>
            <w:smallCaps w:val="0"/>
            <w:noProof/>
            <w:sz w:val="22"/>
            <w:szCs w:val="22"/>
            <w:lang w:eastAsia="en-GB"/>
          </w:rPr>
          <w:tab/>
        </w:r>
        <w:r>
          <w:rPr>
            <w:rStyle w:val="Hyperlink"/>
            <w:noProof/>
            <w:lang w:eastAsia="en-GB"/>
          </w:rPr>
          <w:t>Enhancing interactive innovation</w:t>
        </w:r>
        <w:r>
          <w:rPr>
            <w:noProof/>
            <w:webHidden/>
          </w:rPr>
          <w:tab/>
        </w:r>
        <w:r>
          <w:rPr>
            <w:noProof/>
            <w:webHidden/>
          </w:rPr>
          <w:fldChar w:fldCharType="begin"/>
        </w:r>
        <w:r>
          <w:rPr>
            <w:noProof/>
            <w:webHidden/>
          </w:rPr>
          <w:instrText xml:space="preserve"> PAGEREF _Toc514514654 \h </w:instrText>
        </w:r>
        <w:r>
          <w:rPr>
            <w:noProof/>
            <w:webHidden/>
          </w:rPr>
        </w:r>
        <w:r>
          <w:rPr>
            <w:noProof/>
            <w:webHidden/>
          </w:rPr>
          <w:fldChar w:fldCharType="separate"/>
        </w:r>
        <w:r>
          <w:rPr>
            <w:noProof/>
            <w:webHidden/>
          </w:rPr>
          <w:t>110</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55" w:history="1">
        <w:r>
          <w:rPr>
            <w:rStyle w:val="Hyperlink"/>
            <w:noProof/>
          </w:rPr>
          <w:t>4.</w:t>
        </w:r>
        <w:r>
          <w:rPr>
            <w:rFonts w:asciiTheme="minorHAnsi" w:eastAsiaTheme="minorEastAsia" w:hAnsiTheme="minorHAnsi"/>
            <w:b w:val="0"/>
            <w:bCs w:val="0"/>
            <w:smallCaps w:val="0"/>
            <w:noProof/>
            <w:sz w:val="22"/>
            <w:szCs w:val="22"/>
            <w:lang w:eastAsia="en-GB"/>
          </w:rPr>
          <w:tab/>
        </w:r>
        <w:r>
          <w:rPr>
            <w:rStyle w:val="Hyperlink"/>
            <w:noProof/>
          </w:rPr>
          <w:t>Supporting digital transition in agriculture</w:t>
        </w:r>
        <w:r>
          <w:rPr>
            <w:noProof/>
            <w:webHidden/>
          </w:rPr>
          <w:tab/>
        </w:r>
        <w:r>
          <w:rPr>
            <w:noProof/>
            <w:webHidden/>
          </w:rPr>
          <w:fldChar w:fldCharType="begin"/>
        </w:r>
        <w:r>
          <w:rPr>
            <w:noProof/>
            <w:webHidden/>
          </w:rPr>
          <w:instrText xml:space="preserve"> PAGEREF _Toc514514655 \h </w:instrText>
        </w:r>
        <w:r>
          <w:rPr>
            <w:noProof/>
            <w:webHidden/>
          </w:rPr>
        </w:r>
        <w:r>
          <w:rPr>
            <w:noProof/>
            <w:webHidden/>
          </w:rPr>
          <w:fldChar w:fldCharType="separate"/>
        </w:r>
        <w:r>
          <w:rPr>
            <w:noProof/>
            <w:webHidden/>
          </w:rPr>
          <w:t>113</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56" w:history="1">
        <w:r>
          <w:rPr>
            <w:rStyle w:val="Hyperlink"/>
            <w:noProof/>
          </w:rPr>
          <w:t>Annex 7: Simplifying the CAP</w:t>
        </w:r>
        <w:r>
          <w:rPr>
            <w:noProof/>
            <w:webHidden/>
          </w:rPr>
          <w:tab/>
        </w:r>
        <w:r>
          <w:rPr>
            <w:noProof/>
            <w:webHidden/>
          </w:rPr>
          <w:fldChar w:fldCharType="begin"/>
        </w:r>
        <w:r>
          <w:rPr>
            <w:noProof/>
            <w:webHidden/>
          </w:rPr>
          <w:instrText xml:space="preserve"> PAGERE</w:instrText>
        </w:r>
        <w:r>
          <w:rPr>
            <w:noProof/>
            <w:webHidden/>
          </w:rPr>
          <w:instrText xml:space="preserve">F _Toc514514656 \h </w:instrText>
        </w:r>
        <w:r>
          <w:rPr>
            <w:noProof/>
            <w:webHidden/>
          </w:rPr>
        </w:r>
        <w:r>
          <w:rPr>
            <w:noProof/>
            <w:webHidden/>
          </w:rPr>
          <w:fldChar w:fldCharType="separate"/>
        </w:r>
        <w:r>
          <w:rPr>
            <w:noProof/>
            <w:webHidden/>
          </w:rPr>
          <w:t>120</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57" w:history="1">
        <w:r>
          <w:rPr>
            <w:rStyle w:val="Hyperlink"/>
            <w:noProof/>
          </w:rPr>
          <w:t>1.</w:t>
        </w:r>
        <w:r>
          <w:rPr>
            <w:rFonts w:asciiTheme="minorHAnsi" w:eastAsiaTheme="minorEastAsia" w:hAnsiTheme="minorHAnsi"/>
            <w:b w:val="0"/>
            <w:bCs w:val="0"/>
            <w:smallCaps w:val="0"/>
            <w:noProof/>
            <w:sz w:val="22"/>
            <w:szCs w:val="22"/>
            <w:lang w:eastAsia="en-GB"/>
          </w:rPr>
          <w:tab/>
        </w:r>
        <w:r>
          <w:rPr>
            <w:rStyle w:val="Hyperlink"/>
            <w:noProof/>
          </w:rPr>
          <w:t>Administrative burden under the CAP</w:t>
        </w:r>
        <w:r>
          <w:rPr>
            <w:noProof/>
            <w:webHidden/>
          </w:rPr>
          <w:tab/>
        </w:r>
        <w:r>
          <w:rPr>
            <w:noProof/>
            <w:webHidden/>
          </w:rPr>
          <w:fldChar w:fldCharType="begin"/>
        </w:r>
        <w:r>
          <w:rPr>
            <w:noProof/>
            <w:webHidden/>
          </w:rPr>
          <w:instrText xml:space="preserve"> PAGEREF _Toc514514657 \h </w:instrText>
        </w:r>
        <w:r>
          <w:rPr>
            <w:noProof/>
            <w:webHidden/>
          </w:rPr>
        </w:r>
        <w:r>
          <w:rPr>
            <w:noProof/>
            <w:webHidden/>
          </w:rPr>
          <w:fldChar w:fldCharType="separate"/>
        </w:r>
        <w:r>
          <w:rPr>
            <w:noProof/>
            <w:webHidden/>
          </w:rPr>
          <w:t>121</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58" w:history="1">
        <w:r>
          <w:rPr>
            <w:rStyle w:val="Hyperlink"/>
            <w:noProof/>
          </w:rPr>
          <w:t>2.</w:t>
        </w:r>
        <w:r>
          <w:rPr>
            <w:rFonts w:asciiTheme="minorHAnsi" w:eastAsiaTheme="minorEastAsia" w:hAnsiTheme="minorHAnsi"/>
            <w:b w:val="0"/>
            <w:bCs w:val="0"/>
            <w:smallCaps w:val="0"/>
            <w:noProof/>
            <w:sz w:val="22"/>
            <w:szCs w:val="22"/>
            <w:lang w:eastAsia="en-GB"/>
          </w:rPr>
          <w:tab/>
        </w:r>
        <w:r>
          <w:rPr>
            <w:rStyle w:val="Hyperlink"/>
            <w:noProof/>
          </w:rPr>
          <w:t>CAP simplification and modernisation: changes considered for post-2020</w:t>
        </w:r>
        <w:r>
          <w:rPr>
            <w:noProof/>
            <w:webHidden/>
          </w:rPr>
          <w:tab/>
        </w:r>
        <w:r>
          <w:rPr>
            <w:noProof/>
            <w:webHidden/>
          </w:rPr>
          <w:fldChar w:fldCharType="begin"/>
        </w:r>
        <w:r>
          <w:rPr>
            <w:noProof/>
            <w:webHidden/>
          </w:rPr>
          <w:instrText xml:space="preserve"> PAGEREF _Toc514514658 \h </w:instrText>
        </w:r>
        <w:r>
          <w:rPr>
            <w:noProof/>
            <w:webHidden/>
          </w:rPr>
        </w:r>
        <w:r>
          <w:rPr>
            <w:noProof/>
            <w:webHidden/>
          </w:rPr>
          <w:fldChar w:fldCharType="separate"/>
        </w:r>
        <w:r>
          <w:rPr>
            <w:noProof/>
            <w:webHidden/>
          </w:rPr>
          <w:t>125</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59" w:history="1">
        <w:r>
          <w:rPr>
            <w:rStyle w:val="Hyperlink"/>
            <w:noProof/>
          </w:rPr>
          <w:t>2.1.</w:t>
        </w:r>
        <w:r>
          <w:rPr>
            <w:rFonts w:eastAsiaTheme="minorEastAsia"/>
            <w:noProof/>
            <w:sz w:val="22"/>
            <w:szCs w:val="22"/>
            <w:lang w:eastAsia="en-GB"/>
          </w:rPr>
          <w:tab/>
        </w:r>
        <w:r>
          <w:rPr>
            <w:rStyle w:val="Hyperlink"/>
            <w:noProof/>
          </w:rPr>
          <w:t>The new delivery model</w:t>
        </w:r>
        <w:r>
          <w:rPr>
            <w:noProof/>
            <w:webHidden/>
          </w:rPr>
          <w:tab/>
        </w:r>
        <w:r>
          <w:rPr>
            <w:noProof/>
            <w:webHidden/>
          </w:rPr>
          <w:fldChar w:fldCharType="begin"/>
        </w:r>
        <w:r>
          <w:rPr>
            <w:noProof/>
            <w:webHidden/>
          </w:rPr>
          <w:instrText xml:space="preserve"> PAGEREF _Toc514514659 \h </w:instrText>
        </w:r>
        <w:r>
          <w:rPr>
            <w:noProof/>
            <w:webHidden/>
          </w:rPr>
        </w:r>
        <w:r>
          <w:rPr>
            <w:noProof/>
            <w:webHidden/>
          </w:rPr>
          <w:fldChar w:fldCharType="separate"/>
        </w:r>
        <w:r>
          <w:rPr>
            <w:noProof/>
            <w:webHidden/>
          </w:rPr>
          <w:t>125</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60" w:history="1">
        <w:r>
          <w:rPr>
            <w:rStyle w:val="Hyperlink"/>
            <w:noProof/>
          </w:rPr>
          <w:t>2.2.</w:t>
        </w:r>
        <w:r>
          <w:rPr>
            <w:rFonts w:eastAsiaTheme="minorEastAsia"/>
            <w:noProof/>
            <w:sz w:val="22"/>
            <w:szCs w:val="22"/>
            <w:lang w:eastAsia="en-GB"/>
          </w:rPr>
          <w:tab/>
        </w:r>
        <w:r>
          <w:rPr>
            <w:rStyle w:val="Hyperlink"/>
            <w:noProof/>
          </w:rPr>
          <w:t>Changes under the Common Market Organisation</w:t>
        </w:r>
        <w:r>
          <w:rPr>
            <w:noProof/>
            <w:webHidden/>
          </w:rPr>
          <w:tab/>
        </w:r>
        <w:r>
          <w:rPr>
            <w:noProof/>
            <w:webHidden/>
          </w:rPr>
          <w:fldChar w:fldCharType="begin"/>
        </w:r>
        <w:r>
          <w:rPr>
            <w:noProof/>
            <w:webHidden/>
          </w:rPr>
          <w:instrText xml:space="preserve"> P</w:instrText>
        </w:r>
        <w:r>
          <w:rPr>
            <w:noProof/>
            <w:webHidden/>
          </w:rPr>
          <w:instrText xml:space="preserve">AGEREF _Toc514514660 \h </w:instrText>
        </w:r>
        <w:r>
          <w:rPr>
            <w:noProof/>
            <w:webHidden/>
          </w:rPr>
        </w:r>
        <w:r>
          <w:rPr>
            <w:noProof/>
            <w:webHidden/>
          </w:rPr>
          <w:fldChar w:fldCharType="separate"/>
        </w:r>
        <w:r>
          <w:rPr>
            <w:noProof/>
            <w:webHidden/>
          </w:rPr>
          <w:t>126</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61" w:history="1">
        <w:r>
          <w:rPr>
            <w:rStyle w:val="Hyperlink"/>
            <w:noProof/>
          </w:rPr>
          <w:t>3.</w:t>
        </w:r>
        <w:r>
          <w:rPr>
            <w:rFonts w:asciiTheme="minorHAnsi" w:eastAsiaTheme="minorEastAsia" w:hAnsiTheme="minorHAnsi"/>
            <w:b w:val="0"/>
            <w:bCs w:val="0"/>
            <w:smallCaps w:val="0"/>
            <w:noProof/>
            <w:sz w:val="22"/>
            <w:szCs w:val="22"/>
            <w:lang w:eastAsia="en-GB"/>
          </w:rPr>
          <w:tab/>
        </w:r>
        <w:r>
          <w:rPr>
            <w:rStyle w:val="Hyperlink"/>
            <w:noProof/>
          </w:rPr>
          <w:t>A CAP oriented towards performance</w:t>
        </w:r>
        <w:r>
          <w:rPr>
            <w:noProof/>
            <w:webHidden/>
          </w:rPr>
          <w:tab/>
        </w:r>
        <w:r>
          <w:rPr>
            <w:noProof/>
            <w:webHidden/>
          </w:rPr>
          <w:fldChar w:fldCharType="begin"/>
        </w:r>
        <w:r>
          <w:rPr>
            <w:noProof/>
            <w:webHidden/>
          </w:rPr>
          <w:instrText xml:space="preserve"> PAGEREF _Toc514514661 \h </w:instrText>
        </w:r>
        <w:r>
          <w:rPr>
            <w:noProof/>
            <w:webHidden/>
          </w:rPr>
        </w:r>
        <w:r>
          <w:rPr>
            <w:noProof/>
            <w:webHidden/>
          </w:rPr>
          <w:fldChar w:fldCharType="separate"/>
        </w:r>
        <w:r>
          <w:rPr>
            <w:noProof/>
            <w:webHidden/>
          </w:rPr>
          <w:t>129</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62" w:history="1">
        <w:r>
          <w:rPr>
            <w:rStyle w:val="Hyperlink"/>
            <w:noProof/>
          </w:rPr>
          <w:t>4.</w:t>
        </w:r>
        <w:r>
          <w:rPr>
            <w:rFonts w:asciiTheme="minorHAnsi" w:eastAsiaTheme="minorEastAsia" w:hAnsiTheme="minorHAnsi"/>
            <w:b w:val="0"/>
            <w:bCs w:val="0"/>
            <w:smallCaps w:val="0"/>
            <w:noProof/>
            <w:sz w:val="22"/>
            <w:szCs w:val="22"/>
            <w:lang w:eastAsia="en-GB"/>
          </w:rPr>
          <w:tab/>
        </w:r>
        <w:r>
          <w:rPr>
            <w:rStyle w:val="Hyperlink"/>
            <w:noProof/>
          </w:rPr>
          <w:t>Scope for reducing administrative burden</w:t>
        </w:r>
        <w:r>
          <w:rPr>
            <w:noProof/>
            <w:webHidden/>
          </w:rPr>
          <w:tab/>
        </w:r>
        <w:r>
          <w:rPr>
            <w:noProof/>
            <w:webHidden/>
          </w:rPr>
          <w:fldChar w:fldCharType="begin"/>
        </w:r>
        <w:r>
          <w:rPr>
            <w:noProof/>
            <w:webHidden/>
          </w:rPr>
          <w:instrText xml:space="preserve"> PAGEREF _Toc514514662 \h </w:instrText>
        </w:r>
        <w:r>
          <w:rPr>
            <w:noProof/>
            <w:webHidden/>
          </w:rPr>
        </w:r>
        <w:r>
          <w:rPr>
            <w:noProof/>
            <w:webHidden/>
          </w:rPr>
          <w:fldChar w:fldCharType="separate"/>
        </w:r>
        <w:r>
          <w:rPr>
            <w:noProof/>
            <w:webHidden/>
          </w:rPr>
          <w:t>129</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63" w:history="1">
        <w:r>
          <w:rPr>
            <w:rStyle w:val="Hyperlink"/>
            <w:noProof/>
          </w:rPr>
          <w:t>4.1.</w:t>
        </w:r>
        <w:r>
          <w:rPr>
            <w:rFonts w:eastAsiaTheme="minorEastAsia"/>
            <w:noProof/>
            <w:sz w:val="22"/>
            <w:szCs w:val="22"/>
            <w:lang w:eastAsia="en-GB"/>
          </w:rPr>
          <w:tab/>
        </w:r>
        <w:r>
          <w:rPr>
            <w:rStyle w:val="Hyperlink"/>
            <w:noProof/>
          </w:rPr>
          <w:t>Simplification under the new delivery model</w:t>
        </w:r>
        <w:r>
          <w:rPr>
            <w:noProof/>
            <w:webHidden/>
          </w:rPr>
          <w:tab/>
        </w:r>
        <w:r>
          <w:rPr>
            <w:noProof/>
            <w:webHidden/>
          </w:rPr>
          <w:fldChar w:fldCharType="begin"/>
        </w:r>
        <w:r>
          <w:rPr>
            <w:noProof/>
            <w:webHidden/>
          </w:rPr>
          <w:instrText xml:space="preserve"> PAGEREF _Toc514514663 \h </w:instrText>
        </w:r>
        <w:r>
          <w:rPr>
            <w:noProof/>
            <w:webHidden/>
          </w:rPr>
        </w:r>
        <w:r>
          <w:rPr>
            <w:noProof/>
            <w:webHidden/>
          </w:rPr>
          <w:fldChar w:fldCharType="separate"/>
        </w:r>
        <w:r>
          <w:rPr>
            <w:noProof/>
            <w:webHidden/>
          </w:rPr>
          <w:t>129</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64" w:history="1">
        <w:r>
          <w:rPr>
            <w:rStyle w:val="Hyperlink"/>
            <w:noProof/>
          </w:rPr>
          <w:t>4.2.</w:t>
        </w:r>
        <w:r>
          <w:rPr>
            <w:rFonts w:eastAsiaTheme="minorEastAsia"/>
            <w:noProof/>
            <w:sz w:val="22"/>
            <w:szCs w:val="22"/>
            <w:lang w:eastAsia="en-GB"/>
          </w:rPr>
          <w:tab/>
        </w:r>
        <w:r>
          <w:rPr>
            <w:rStyle w:val="Hyperlink"/>
            <w:noProof/>
          </w:rPr>
          <w:t>Strategic design and delivery for adminis</w:t>
        </w:r>
        <w:r>
          <w:rPr>
            <w:rStyle w:val="Hyperlink"/>
            <w:noProof/>
          </w:rPr>
          <w:t>trative burden reduction</w:t>
        </w:r>
        <w:r>
          <w:rPr>
            <w:noProof/>
            <w:webHidden/>
          </w:rPr>
          <w:tab/>
        </w:r>
        <w:r>
          <w:rPr>
            <w:noProof/>
            <w:webHidden/>
          </w:rPr>
          <w:fldChar w:fldCharType="begin"/>
        </w:r>
        <w:r>
          <w:rPr>
            <w:noProof/>
            <w:webHidden/>
          </w:rPr>
          <w:instrText xml:space="preserve"> PAGEREF _Toc514514664 \h </w:instrText>
        </w:r>
        <w:r>
          <w:rPr>
            <w:noProof/>
            <w:webHidden/>
          </w:rPr>
        </w:r>
        <w:r>
          <w:rPr>
            <w:noProof/>
            <w:webHidden/>
          </w:rPr>
          <w:fldChar w:fldCharType="separate"/>
        </w:r>
        <w:r>
          <w:rPr>
            <w:noProof/>
            <w:webHidden/>
          </w:rPr>
          <w:t>132</w:t>
        </w:r>
        <w:r>
          <w:rPr>
            <w:noProof/>
            <w:webHidden/>
          </w:rPr>
          <w:fldChar w:fldCharType="end"/>
        </w:r>
      </w:hyperlink>
    </w:p>
    <w:p w:rsidR="00333A1A" w:rsidRDefault="003D29C9">
      <w:pPr>
        <w:pStyle w:val="TOC3"/>
        <w:tabs>
          <w:tab w:val="left" w:pos="880"/>
          <w:tab w:val="right" w:leader="dot" w:pos="8608"/>
        </w:tabs>
        <w:rPr>
          <w:rFonts w:eastAsiaTheme="minorEastAsia"/>
          <w:noProof/>
          <w:sz w:val="22"/>
          <w:szCs w:val="22"/>
          <w:lang w:eastAsia="en-GB"/>
        </w:rPr>
      </w:pPr>
      <w:hyperlink w:anchor="_Toc514514665" w:history="1">
        <w:r>
          <w:rPr>
            <w:rStyle w:val="Hyperlink"/>
            <w:noProof/>
          </w:rPr>
          <w:t>4.3.</w:t>
        </w:r>
        <w:r>
          <w:rPr>
            <w:rFonts w:eastAsiaTheme="minorEastAsia"/>
            <w:noProof/>
            <w:sz w:val="22"/>
            <w:szCs w:val="22"/>
            <w:lang w:eastAsia="en-GB"/>
          </w:rPr>
          <w:tab/>
        </w:r>
        <w:r>
          <w:rPr>
            <w:rStyle w:val="Hyperlink"/>
            <w:noProof/>
          </w:rPr>
          <w:t>Assessing administrative burden reduction</w:t>
        </w:r>
        <w:r>
          <w:rPr>
            <w:noProof/>
            <w:webHidden/>
          </w:rPr>
          <w:tab/>
        </w:r>
        <w:r>
          <w:rPr>
            <w:noProof/>
            <w:webHidden/>
          </w:rPr>
          <w:fldChar w:fldCharType="begin"/>
        </w:r>
        <w:r>
          <w:rPr>
            <w:noProof/>
            <w:webHidden/>
          </w:rPr>
          <w:instrText xml:space="preserve"> PAGEREF _Toc514514665 \h </w:instrText>
        </w:r>
        <w:r>
          <w:rPr>
            <w:noProof/>
            <w:webHidden/>
          </w:rPr>
        </w:r>
        <w:r>
          <w:rPr>
            <w:noProof/>
            <w:webHidden/>
          </w:rPr>
          <w:fldChar w:fldCharType="separate"/>
        </w:r>
        <w:r>
          <w:rPr>
            <w:noProof/>
            <w:webHidden/>
          </w:rPr>
          <w:t>135</w:t>
        </w:r>
        <w:r>
          <w:rPr>
            <w:noProof/>
            <w:webHidden/>
          </w:rPr>
          <w:fldChar w:fldCharType="end"/>
        </w:r>
      </w:hyperlink>
    </w:p>
    <w:p w:rsidR="00333A1A" w:rsidRDefault="003D29C9">
      <w:pPr>
        <w:pStyle w:val="TOC2"/>
        <w:tabs>
          <w:tab w:val="left" w:pos="440"/>
          <w:tab w:val="right" w:leader="dot" w:pos="8608"/>
        </w:tabs>
        <w:rPr>
          <w:rFonts w:asciiTheme="minorHAnsi" w:eastAsiaTheme="minorEastAsia" w:hAnsiTheme="minorHAnsi"/>
          <w:b w:val="0"/>
          <w:bCs w:val="0"/>
          <w:smallCaps w:val="0"/>
          <w:noProof/>
          <w:sz w:val="22"/>
          <w:szCs w:val="22"/>
          <w:lang w:eastAsia="en-GB"/>
        </w:rPr>
      </w:pPr>
      <w:hyperlink w:anchor="_Toc514514666" w:history="1">
        <w:r>
          <w:rPr>
            <w:rStyle w:val="Hyperlink"/>
            <w:noProof/>
          </w:rPr>
          <w:t>5.</w:t>
        </w:r>
        <w:r>
          <w:rPr>
            <w:rFonts w:asciiTheme="minorHAnsi" w:eastAsiaTheme="minorEastAsia" w:hAnsiTheme="minorHAnsi"/>
            <w:b w:val="0"/>
            <w:bCs w:val="0"/>
            <w:smallCaps w:val="0"/>
            <w:noProof/>
            <w:sz w:val="22"/>
            <w:szCs w:val="22"/>
            <w:lang w:eastAsia="en-GB"/>
          </w:rPr>
          <w:tab/>
        </w:r>
        <w:r>
          <w:rPr>
            <w:rStyle w:val="Hyperlink"/>
            <w:noProof/>
          </w:rPr>
          <w:t>Towards efficient CAP design and delivery</w:t>
        </w:r>
        <w:r>
          <w:rPr>
            <w:noProof/>
            <w:webHidden/>
          </w:rPr>
          <w:tab/>
        </w:r>
        <w:r>
          <w:rPr>
            <w:noProof/>
            <w:webHidden/>
          </w:rPr>
          <w:fldChar w:fldCharType="begin"/>
        </w:r>
        <w:r>
          <w:rPr>
            <w:noProof/>
            <w:webHidden/>
          </w:rPr>
          <w:instrText xml:space="preserve"> PAGEREF _Toc514514666 \h </w:instrText>
        </w:r>
        <w:r>
          <w:rPr>
            <w:noProof/>
            <w:webHidden/>
          </w:rPr>
        </w:r>
        <w:r>
          <w:rPr>
            <w:noProof/>
            <w:webHidden/>
          </w:rPr>
          <w:fldChar w:fldCharType="separate"/>
        </w:r>
        <w:r>
          <w:rPr>
            <w:noProof/>
            <w:webHidden/>
          </w:rPr>
          <w:t>140</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67" w:history="1">
        <w:r>
          <w:rPr>
            <w:rStyle w:val="Hyperlink"/>
            <w:noProof/>
          </w:rPr>
          <w:t>Annex 8 - Behavioural evidence from focus groups with European farmers on approaches to encourage more environmental-friendly practices</w:t>
        </w:r>
        <w:r>
          <w:rPr>
            <w:noProof/>
            <w:webHidden/>
          </w:rPr>
          <w:tab/>
        </w:r>
        <w:r>
          <w:rPr>
            <w:noProof/>
            <w:webHidden/>
          </w:rPr>
          <w:fldChar w:fldCharType="begin"/>
        </w:r>
        <w:r>
          <w:rPr>
            <w:noProof/>
            <w:webHidden/>
          </w:rPr>
          <w:instrText xml:space="preserve"> PAGEREF _Toc514514667 \h </w:instrText>
        </w:r>
        <w:r>
          <w:rPr>
            <w:noProof/>
            <w:webHidden/>
          </w:rPr>
        </w:r>
        <w:r>
          <w:rPr>
            <w:noProof/>
            <w:webHidden/>
          </w:rPr>
          <w:fldChar w:fldCharType="separate"/>
        </w:r>
        <w:r>
          <w:rPr>
            <w:noProof/>
            <w:webHidden/>
          </w:rPr>
          <w:t>141</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68" w:history="1">
        <w:r>
          <w:rPr>
            <w:rStyle w:val="Hyperlink"/>
            <w:noProof/>
            <w:lang w:val="da-DK"/>
          </w:rPr>
          <w:t>Annex 9 – Bibliography</w:t>
        </w:r>
        <w:r>
          <w:rPr>
            <w:noProof/>
            <w:webHidden/>
          </w:rPr>
          <w:tab/>
        </w:r>
        <w:r>
          <w:rPr>
            <w:noProof/>
            <w:webHidden/>
          </w:rPr>
          <w:fldChar w:fldCharType="begin"/>
        </w:r>
        <w:r>
          <w:rPr>
            <w:noProof/>
            <w:webHidden/>
          </w:rPr>
          <w:instrText xml:space="preserve"> PAGEREF _Toc514514668 \h </w:instrText>
        </w:r>
        <w:r>
          <w:rPr>
            <w:noProof/>
            <w:webHidden/>
          </w:rPr>
        </w:r>
        <w:r>
          <w:rPr>
            <w:noProof/>
            <w:webHidden/>
          </w:rPr>
          <w:fldChar w:fldCharType="separate"/>
        </w:r>
        <w:r>
          <w:rPr>
            <w:noProof/>
            <w:webHidden/>
          </w:rPr>
          <w:t>148</w:t>
        </w:r>
        <w:r>
          <w:rPr>
            <w:noProof/>
            <w:webHidden/>
          </w:rPr>
          <w:fldChar w:fldCharType="end"/>
        </w:r>
      </w:hyperlink>
    </w:p>
    <w:p w:rsidR="00333A1A" w:rsidRDefault="003D29C9">
      <w:pPr>
        <w:pStyle w:val="TOC1"/>
        <w:tabs>
          <w:tab w:val="right" w:leader="dot" w:pos="8608"/>
        </w:tabs>
        <w:rPr>
          <w:rFonts w:asciiTheme="minorHAnsi" w:eastAsiaTheme="minorEastAsia" w:hAnsiTheme="minorHAnsi"/>
          <w:b w:val="0"/>
          <w:bCs w:val="0"/>
          <w:caps w:val="0"/>
          <w:noProof/>
          <w:sz w:val="22"/>
          <w:szCs w:val="22"/>
          <w:lang w:eastAsia="en-GB"/>
        </w:rPr>
      </w:pPr>
      <w:hyperlink w:anchor="_Toc514514669" w:history="1">
        <w:r>
          <w:rPr>
            <w:rStyle w:val="Hyperlink"/>
            <w:noProof/>
          </w:rPr>
          <w:t>Annex 10 – Glossary</w:t>
        </w:r>
        <w:r>
          <w:rPr>
            <w:noProof/>
            <w:webHidden/>
          </w:rPr>
          <w:tab/>
        </w:r>
        <w:r>
          <w:rPr>
            <w:noProof/>
            <w:webHidden/>
          </w:rPr>
          <w:fldChar w:fldCharType="begin"/>
        </w:r>
        <w:r>
          <w:rPr>
            <w:noProof/>
            <w:webHidden/>
          </w:rPr>
          <w:instrText xml:space="preserve"> PAGEREF _Toc514514669 \h </w:instrText>
        </w:r>
        <w:r>
          <w:rPr>
            <w:noProof/>
            <w:webHidden/>
          </w:rPr>
        </w:r>
        <w:r>
          <w:rPr>
            <w:noProof/>
            <w:webHidden/>
          </w:rPr>
          <w:fldChar w:fldCharType="separate"/>
        </w:r>
        <w:r>
          <w:rPr>
            <w:noProof/>
            <w:webHidden/>
          </w:rPr>
          <w:t>163</w:t>
        </w:r>
        <w:r>
          <w:rPr>
            <w:noProof/>
            <w:webHidden/>
          </w:rPr>
          <w:fldChar w:fldCharType="end"/>
        </w:r>
      </w:hyperlink>
    </w:p>
    <w:p w:rsidR="00333A1A" w:rsidRDefault="003D29C9">
      <w:pPr>
        <w:spacing w:after="240"/>
        <w:rPr>
          <w:rFonts w:ascii="Times New Roman" w:hAnsi="Times New Roman" w:cs="Times New Roman"/>
          <w:noProof/>
          <w:sz w:val="24"/>
          <w:szCs w:val="24"/>
        </w:rPr>
      </w:pPr>
      <w:r>
        <w:rPr>
          <w:rFonts w:ascii="Times New Roman" w:hAnsi="Times New Roman" w:cs="Times New Roman"/>
          <w:noProof/>
          <w:sz w:val="24"/>
          <w:szCs w:val="24"/>
        </w:rPr>
        <w:fldChar w:fldCharType="end"/>
      </w: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pPr>
    </w:p>
    <w:p w:rsidR="00333A1A" w:rsidRDefault="00333A1A">
      <w:pPr>
        <w:rPr>
          <w:rFonts w:ascii="Times New Roman" w:hAnsi="Times New Roman" w:cs="Times New Roman"/>
          <w:noProof/>
          <w:sz w:val="24"/>
          <w:szCs w:val="24"/>
        </w:rPr>
      </w:pPr>
    </w:p>
    <w:p w:rsidR="00333A1A" w:rsidRDefault="00333A1A">
      <w:pPr>
        <w:spacing w:after="240"/>
        <w:rPr>
          <w:rFonts w:ascii="Times New Roman" w:hAnsi="Times New Roman" w:cs="Times New Roman"/>
          <w:noProof/>
          <w:sz w:val="24"/>
          <w:szCs w:val="24"/>
        </w:rPr>
        <w:sectPr w:rsidR="00333A1A">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start="1"/>
          <w:cols w:space="720"/>
          <w:titlePg/>
        </w:sectPr>
      </w:pPr>
    </w:p>
    <w:p w:rsidR="00333A1A" w:rsidRDefault="003D29C9">
      <w:pPr>
        <w:pStyle w:val="AnnexTitle"/>
        <w:rPr>
          <w:noProof/>
          <w:sz w:val="28"/>
          <w:szCs w:val="28"/>
        </w:rPr>
      </w:pPr>
      <w:bookmarkStart w:id="1" w:name="_Toc513053256"/>
      <w:bookmarkStart w:id="2" w:name="_Toc513053472"/>
      <w:bookmarkStart w:id="3" w:name="_Toc514514603"/>
      <w:r>
        <w:rPr>
          <w:noProof/>
        </w:rPr>
        <w:t>Annex 5: Results of quantitative and Multi Criteria Analysis</w:t>
      </w:r>
      <w:bookmarkEnd w:id="1"/>
      <w:bookmarkEnd w:id="2"/>
      <w:bookmarkEnd w:id="3"/>
    </w:p>
    <w:p w:rsidR="00333A1A" w:rsidRDefault="003D29C9">
      <w:pPr>
        <w:pStyle w:val="TOCHeading"/>
        <w:rPr>
          <w:noProof/>
          <w:sz w:val="28"/>
          <w:szCs w:val="28"/>
        </w:rPr>
      </w:pPr>
      <w:r>
        <w:rPr>
          <w:noProof/>
          <w:sz w:val="28"/>
          <w:szCs w:val="28"/>
        </w:rPr>
        <w:t>Acknowledgments</w:t>
      </w:r>
    </w:p>
    <w:p w:rsidR="00333A1A" w:rsidRDefault="003D29C9">
      <w:pPr>
        <w:pStyle w:val="Text1"/>
        <w:ind w:left="0"/>
        <w:rPr>
          <w:noProof/>
        </w:rPr>
      </w:pPr>
      <w:r>
        <w:rPr>
          <w:noProof/>
        </w:rPr>
        <w:t xml:space="preserve">DG AGRI would like to thank colleagues in </w:t>
      </w:r>
      <w:r>
        <w:rPr>
          <w:noProof/>
        </w:rPr>
        <w:t>JRC for the support and close collaboration on the modelling of the impacts (JRC Seville) and the environmental aspects (JRC Ispra). Also for the qualitative assessment on environmental aspects, JRC Ispra was involved.</w:t>
      </w:r>
    </w:p>
    <w:p w:rsidR="00333A1A" w:rsidRDefault="003D29C9">
      <w:pPr>
        <w:rPr>
          <w:rFonts w:ascii="Times New Roman" w:hAnsi="Times New Roman" w:cs="Times New Roman"/>
          <w:b/>
          <w:noProof/>
          <w:sz w:val="28"/>
          <w:szCs w:val="28"/>
        </w:rPr>
      </w:pPr>
      <w:r>
        <w:rPr>
          <w:rFonts w:ascii="Times New Roman" w:hAnsi="Times New Roman" w:cs="Times New Roman"/>
          <w:b/>
          <w:noProof/>
          <w:sz w:val="28"/>
          <w:szCs w:val="28"/>
        </w:rPr>
        <w:br w:type="page"/>
      </w:r>
    </w:p>
    <w:p w:rsidR="00333A1A" w:rsidRDefault="003D29C9">
      <w:pPr>
        <w:jc w:val="center"/>
        <w:rPr>
          <w:rFonts w:ascii="Times New Roman" w:hAnsi="Times New Roman" w:cs="Times New Roman"/>
          <w:b/>
          <w:noProof/>
          <w:sz w:val="28"/>
          <w:szCs w:val="28"/>
        </w:rPr>
      </w:pPr>
      <w:r>
        <w:rPr>
          <w:rFonts w:ascii="Times New Roman" w:hAnsi="Times New Roman" w:cs="Times New Roman"/>
          <w:b/>
          <w:noProof/>
          <w:sz w:val="28"/>
          <w:szCs w:val="28"/>
        </w:rPr>
        <w:t>Glossary</w:t>
      </w:r>
      <w:r>
        <w:rPr>
          <w:rStyle w:val="FootnoteReference"/>
          <w:rFonts w:ascii="Times New Roman" w:hAnsi="Times New Roman" w:cs="Times New Roman"/>
          <w:b/>
          <w:noProof/>
          <w:sz w:val="28"/>
          <w:szCs w:val="28"/>
        </w:rPr>
        <w:footnoteReference w:id="2"/>
      </w:r>
    </w:p>
    <w:tbl>
      <w:tblPr>
        <w:tblStyle w:val="TableGrid"/>
        <w:tblW w:w="0" w:type="auto"/>
        <w:tblLook w:val="04A0" w:firstRow="1" w:lastRow="0" w:firstColumn="1" w:lastColumn="0" w:noHBand="0" w:noVBand="1"/>
      </w:tblPr>
      <w:tblGrid>
        <w:gridCol w:w="3227"/>
        <w:gridCol w:w="5607"/>
      </w:tblGrid>
      <w:tr w:rsidR="00333A1A">
        <w:trPr>
          <w:cantSplit/>
          <w:tblHeader/>
        </w:trPr>
        <w:tc>
          <w:tcPr>
            <w:tcW w:w="3227" w:type="dxa"/>
            <w:tcBorders>
              <w:bottom w:val="double" w:sz="4" w:space="0" w:color="auto"/>
            </w:tcBorders>
            <w:shd w:val="clear" w:color="auto" w:fill="F2F2F2" w:themeFill="background1" w:themeFillShade="F2"/>
          </w:tcPr>
          <w:p w:rsidR="00333A1A" w:rsidRDefault="003D29C9">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rsidR="00333A1A" w:rsidRDefault="003D29C9">
            <w:pPr>
              <w:spacing w:before="120" w:after="120"/>
              <w:jc w:val="center"/>
              <w:rPr>
                <w:b/>
                <w:i/>
                <w:noProof/>
              </w:rPr>
            </w:pPr>
            <w:r>
              <w:rPr>
                <w:b/>
                <w:i/>
                <w:noProof/>
              </w:rPr>
              <w:t>Meaning o</w:t>
            </w:r>
            <w:r>
              <w:rPr>
                <w:b/>
                <w:i/>
                <w:noProof/>
              </w:rPr>
              <w:t>r definition</w:t>
            </w:r>
          </w:p>
        </w:tc>
      </w:tr>
    </w:tbl>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6"/>
        <w:gridCol w:w="5608"/>
      </w:tblGrid>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AECH</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Agro Environment, Climate and Health measures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AKIS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Agricultural Knowledge and Innovation Systems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AMR</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Antimicrobial Resistance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ANC</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Areas facing Natural Constraints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AWU</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Annual Work Unit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BAS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Baseline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BP</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Basic Payment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BPS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Basic </w:t>
            </w:r>
            <w:r>
              <w:rPr>
                <w:rFonts w:ascii="Times New Roman" w:hAnsi="Times New Roman" w:cs="Times New Roman"/>
                <w:noProof/>
                <w:sz w:val="24"/>
                <w:szCs w:val="24"/>
                <w:lang w:eastAsia="it-IT"/>
              </w:rPr>
              <w:t>Payment Scheme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CAP</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Common Agricultural Policy</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CATS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Clearance Audit Trail System</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w:t>
            </w:r>
            <w:r>
              <w:rPr>
                <w:rFonts w:ascii="Times New Roman" w:hAnsi="Times New Roman" w:cs="Times New Roman"/>
                <w:noProof/>
                <w:sz w:val="24"/>
                <w:szCs w:val="24"/>
                <w:vertAlign w:val="subscript"/>
                <w:lang w:eastAsia="it-IT"/>
              </w:rPr>
              <w:t>2</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Carbon dioxide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COP</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Cereal, Oilseed and Protein crops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DG</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Directorate-General</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DP</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Direct Payments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EBA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Everything but arms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ECO</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Economic Challenges Working Group</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EEA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Environment Agency</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EIP</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Innovation Partnership</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ELS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Entry-Level Scheme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ENV</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Environmental and Climate Challenges Working Group</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Economic Size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FADN</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Farm Accountancy Data Network</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Farm Advisory System</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FNVA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Farm net value added</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GAEC</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Good Agricultural and Environmental Conditions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GGE</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Greenhouse Gas Emission</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GHG</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Greenhouse Gas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GI</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Geographical Indication</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GNB</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Gross-Nitrogen Balance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H2020</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Horizon 2020</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ha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hectare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Impact Assessment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IPM</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Integrated Pest Management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IST</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Income </w:t>
            </w:r>
            <w:r>
              <w:rPr>
                <w:rFonts w:ascii="Times New Roman" w:hAnsi="Times New Roman" w:cs="Times New Roman"/>
                <w:noProof/>
                <w:sz w:val="24"/>
                <w:szCs w:val="24"/>
                <w:lang w:eastAsia="it-IT"/>
              </w:rPr>
              <w:t>Stabilisation Tool</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JRC</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Joint Research Centre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kg</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kilogramme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km</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kilometre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LDC</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Least Developed Countries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LFA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Less Favoured Areas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MCA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Multi Criteria Analysis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MO</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Main (Policy) Objective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Member States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N</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Nitrogen</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NMP</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Nutrient Management Plans/Tools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NUTS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Nomenclature of Territorial Units for Statistics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Mt</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Million tonnes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OO</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Operational Objective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PCD</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Policy Coherence for Development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PO</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Producer Organisation</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pp</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percentage point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RD</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Rural Development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RM</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Risk Management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SAPS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Single Area Payment </w:t>
            </w:r>
            <w:r>
              <w:rPr>
                <w:rFonts w:ascii="Times New Roman" w:hAnsi="Times New Roman" w:cs="Times New Roman"/>
                <w:noProof/>
                <w:sz w:val="24"/>
                <w:szCs w:val="24"/>
                <w:lang w:eastAsia="it-IT"/>
              </w:rPr>
              <w:t>Scheme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SDG</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Sustainable Development Goals</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SME</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Small and medium-sized enterprise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SO</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Specific Objective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SOC</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Socio-economic Challenges Working Group</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SPS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Single Payment Scheme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Tonne</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TAMS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rPr>
              <w:t>Total Aggregate Measurement of Support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UAA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Utilised agricultural</w:t>
            </w:r>
            <w:r>
              <w:rPr>
                <w:rFonts w:ascii="Times New Roman" w:hAnsi="Times New Roman" w:cs="Times New Roman"/>
                <w:noProof/>
                <w:sz w:val="24"/>
                <w:szCs w:val="24"/>
                <w:lang w:eastAsia="it-IT"/>
              </w:rPr>
              <w:t xml:space="preserve"> area</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Value Added</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VCS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Voluntary Coupled Support</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YF</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Young Farmer</w:t>
            </w:r>
          </w:p>
        </w:tc>
      </w:tr>
      <w:tr w:rsidR="00333A1A">
        <w:trPr>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Yr</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Year</w:t>
            </w:r>
          </w:p>
        </w:tc>
      </w:tr>
    </w:tbl>
    <w:p w:rsidR="00333A1A" w:rsidRDefault="00333A1A">
      <w:pPr>
        <w:rPr>
          <w:rFonts w:ascii="Times New Roman" w:hAnsi="Times New Roman" w:cs="Times New Roman"/>
          <w:b/>
          <w:noProof/>
          <w:sz w:val="28"/>
          <w:szCs w:val="28"/>
        </w:rPr>
      </w:pPr>
    </w:p>
    <w:p w:rsidR="00333A1A" w:rsidRDefault="003D29C9">
      <w:pPr>
        <w:rPr>
          <w:noProof/>
        </w:rPr>
      </w:pPr>
      <w:r>
        <w:rPr>
          <w:noProof/>
        </w:rPr>
        <w:br w:type="page"/>
      </w:r>
    </w:p>
    <w:p w:rsidR="00333A1A" w:rsidRDefault="003D29C9">
      <w:pPr>
        <w:pStyle w:val="Heading1"/>
        <w:rPr>
          <w:noProof/>
        </w:rPr>
      </w:pPr>
      <w:bookmarkStart w:id="4" w:name="_Toc507689262"/>
      <w:bookmarkStart w:id="5" w:name="_Toc508286102"/>
      <w:bookmarkStart w:id="6" w:name="_Toc508286212"/>
      <w:bookmarkStart w:id="7" w:name="_Toc513053257"/>
      <w:bookmarkStart w:id="8" w:name="_Toc513053473"/>
      <w:bookmarkStart w:id="9" w:name="_Toc514514604"/>
      <w:r>
        <w:rPr>
          <w:noProof/>
        </w:rPr>
        <w:t>Introduction</w:t>
      </w:r>
      <w:bookmarkEnd w:id="4"/>
      <w:bookmarkEnd w:id="5"/>
      <w:bookmarkEnd w:id="6"/>
      <w:bookmarkEnd w:id="7"/>
      <w:bookmarkEnd w:id="8"/>
      <w:bookmarkEnd w:id="9"/>
    </w:p>
    <w:p w:rsidR="00333A1A" w:rsidRDefault="003D29C9">
      <w:pPr>
        <w:pStyle w:val="Text1"/>
        <w:ind w:left="0"/>
        <w:rPr>
          <w:noProof/>
        </w:rPr>
      </w:pPr>
      <w:r>
        <w:rPr>
          <w:noProof/>
        </w:rPr>
        <w:t>This annex first summarizes the quantitative results of the option comparison. The second part merges these results with qualitative results from a group expert judgement in a Multi Criteria Analysis (MCA). In annex a detailed description of the options (a</w:t>
      </w:r>
      <w:r>
        <w:rPr>
          <w:noProof/>
        </w:rPr>
        <w:t>nnex 5.1), the analytical tools and methods used (annex 5.2) and the objectives (annex 5.3) can be found. Annex 5.2 also details how the MCA was organized and which experts participated in the process. The qualitative assessment was organized to complement</w:t>
      </w:r>
      <w:r>
        <w:rPr>
          <w:noProof/>
        </w:rPr>
        <w:t xml:space="preserve"> the modelling exercise as the applied models are not capable of capturing all effects of the tested instruments. Especially on the social (and to a lesser extend the environmental) dimension of the policy, expert judgement offers an important contribution</w:t>
      </w:r>
      <w:r>
        <w:rPr>
          <w:noProof/>
        </w:rPr>
        <w:t xml:space="preserve"> to the analysis. The qualitative assessment also allows unveiling the reasons behind differences in option scores. </w:t>
      </w:r>
    </w:p>
    <w:p w:rsidR="00333A1A" w:rsidRDefault="003D29C9">
      <w:pPr>
        <w:pStyle w:val="Text1"/>
        <w:ind w:left="0"/>
        <w:rPr>
          <w:noProof/>
        </w:rPr>
      </w:pPr>
      <w:r>
        <w:rPr>
          <w:noProof/>
        </w:rPr>
        <w:t xml:space="preserve">On some occasions the modelling and expert judgement diverge, which can be linked on the one hand to the fact that the models cannot capture all intended policy effects and on the other hand the under- (or over-) estimation of some effects by the experts. </w:t>
      </w:r>
      <w:r>
        <w:rPr>
          <w:noProof/>
        </w:rPr>
        <w:t xml:space="preserve">For these reasons it is fruitful to combine both approaches. Where appropriate, these differences are highlighted and discussed.    </w:t>
      </w:r>
    </w:p>
    <w:p w:rsidR="00333A1A" w:rsidRDefault="003D29C9">
      <w:pPr>
        <w:pStyle w:val="Text1"/>
        <w:ind w:left="0"/>
        <w:rPr>
          <w:noProof/>
        </w:rPr>
      </w:pPr>
      <w:r>
        <w:rPr>
          <w:noProof/>
        </w:rPr>
        <w:t xml:space="preserve">The following two tables highlight the assumptions for key CAP interventions.  </w:t>
      </w:r>
    </w:p>
    <w:p w:rsidR="00333A1A" w:rsidRDefault="003D29C9">
      <w:pPr>
        <w:pStyle w:val="Text1"/>
        <w:pBdr>
          <w:top w:val="single" w:sz="4" w:space="1" w:color="auto"/>
          <w:left w:val="single" w:sz="4" w:space="4" w:color="auto"/>
          <w:bottom w:val="single" w:sz="4" w:space="1" w:color="auto"/>
          <w:right w:val="single" w:sz="4" w:space="4" w:color="auto"/>
        </w:pBdr>
        <w:ind w:left="0"/>
        <w:rPr>
          <w:b/>
          <w:noProof/>
        </w:rPr>
      </w:pPr>
      <w:r>
        <w:rPr>
          <w:b/>
          <w:noProof/>
        </w:rPr>
        <w:t xml:space="preserve">Note: </w:t>
      </w:r>
      <w:r>
        <w:rPr>
          <w:b/>
          <w:i/>
          <w:noProof/>
        </w:rPr>
        <w:t xml:space="preserve">Baseline with the post-Brexit budget </w:t>
      </w:r>
      <w:r>
        <w:rPr>
          <w:b/>
          <w:i/>
          <w:noProof/>
        </w:rPr>
        <w:t>cut</w:t>
      </w:r>
      <w:r>
        <w:rPr>
          <w:b/>
          <w:noProof/>
        </w:rPr>
        <w:t xml:space="preserve"> is referred to as </w:t>
      </w:r>
      <w:r>
        <w:rPr>
          <w:b/>
          <w:i/>
          <w:noProof/>
        </w:rPr>
        <w:t>Option 1</w:t>
      </w:r>
      <w:r>
        <w:rPr>
          <w:b/>
          <w:noProof/>
        </w:rPr>
        <w:t xml:space="preserve"> in Annex 5.</w:t>
      </w:r>
    </w:p>
    <w:p w:rsidR="00333A1A" w:rsidRDefault="003D29C9">
      <w:pPr>
        <w:keepNext/>
        <w:spacing w:before="240" w:after="120"/>
        <w:rPr>
          <w:rFonts w:ascii="Times New Roman" w:hAnsi="Times New Roman" w:cs="Times New Roman"/>
          <w:b/>
          <w:noProof/>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1</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SEQ Table \* ARABIC \s 1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1</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 xml:space="preserve"> I</w:t>
      </w:r>
      <w:r>
        <w:rPr>
          <w:rFonts w:ascii="Times New Roman" w:hAnsi="Times New Roman" w:cs="Times New Roman"/>
          <w:b/>
          <w:noProof/>
        </w:rPr>
        <w:t>ncome support and redistribution</w:t>
      </w:r>
      <w:r>
        <w:rPr>
          <w:rFonts w:ascii="Times New Roman" w:eastAsia="Times New Roman" w:hAnsi="Times New Roman" w:cs="Times New Roman"/>
          <w:b/>
          <w:noProof/>
          <w:szCs w:val="20"/>
          <w:lang w:eastAsia="en-GB"/>
        </w:rPr>
        <w:t xml:space="preserve"> in the options </w:t>
      </w:r>
    </w:p>
    <w:tbl>
      <w:tblPr>
        <w:tblStyle w:val="TableGrid"/>
        <w:tblW w:w="5000" w:type="pct"/>
        <w:tblLook w:val="04A0" w:firstRow="1" w:lastRow="0" w:firstColumn="1" w:lastColumn="0" w:noHBand="0" w:noVBand="1"/>
      </w:tblPr>
      <w:tblGrid>
        <w:gridCol w:w="1473"/>
        <w:gridCol w:w="1473"/>
        <w:gridCol w:w="1472"/>
        <w:gridCol w:w="1472"/>
        <w:gridCol w:w="1472"/>
        <w:gridCol w:w="1472"/>
      </w:tblGrid>
      <w:tr w:rsidR="00333A1A">
        <w:tc>
          <w:tcPr>
            <w:tcW w:w="833" w:type="pct"/>
          </w:tcPr>
          <w:p w:rsidR="00333A1A" w:rsidRDefault="00333A1A">
            <w:pPr>
              <w:keepNext/>
              <w:keepLines/>
              <w:jc w:val="both"/>
              <w:rPr>
                <w:noProof/>
                <w:sz w:val="18"/>
              </w:rPr>
            </w:pPr>
          </w:p>
        </w:tc>
        <w:tc>
          <w:tcPr>
            <w:tcW w:w="833" w:type="pct"/>
          </w:tcPr>
          <w:p w:rsidR="00333A1A" w:rsidRDefault="003D29C9">
            <w:pPr>
              <w:keepNext/>
              <w:keepLines/>
              <w:jc w:val="center"/>
              <w:rPr>
                <w:noProof/>
                <w:sz w:val="18"/>
              </w:rPr>
            </w:pPr>
            <w:r>
              <w:rPr>
                <w:noProof/>
                <w:sz w:val="18"/>
              </w:rPr>
              <w:t>Option 1</w:t>
            </w:r>
          </w:p>
        </w:tc>
        <w:tc>
          <w:tcPr>
            <w:tcW w:w="833" w:type="pct"/>
          </w:tcPr>
          <w:p w:rsidR="00333A1A" w:rsidRDefault="003D29C9">
            <w:pPr>
              <w:keepNext/>
              <w:keepLines/>
              <w:jc w:val="center"/>
              <w:rPr>
                <w:noProof/>
                <w:sz w:val="18"/>
              </w:rPr>
            </w:pPr>
            <w:r>
              <w:rPr>
                <w:noProof/>
                <w:sz w:val="18"/>
              </w:rPr>
              <w:t>Option 3a</w:t>
            </w:r>
          </w:p>
        </w:tc>
        <w:tc>
          <w:tcPr>
            <w:tcW w:w="833" w:type="pct"/>
          </w:tcPr>
          <w:p w:rsidR="00333A1A" w:rsidRDefault="003D29C9">
            <w:pPr>
              <w:keepNext/>
              <w:keepLines/>
              <w:jc w:val="center"/>
              <w:rPr>
                <w:noProof/>
                <w:sz w:val="18"/>
              </w:rPr>
            </w:pPr>
            <w:r>
              <w:rPr>
                <w:noProof/>
                <w:sz w:val="18"/>
              </w:rPr>
              <w:t>Option3b</w:t>
            </w:r>
          </w:p>
        </w:tc>
        <w:tc>
          <w:tcPr>
            <w:tcW w:w="833" w:type="pct"/>
          </w:tcPr>
          <w:p w:rsidR="00333A1A" w:rsidRDefault="003D29C9">
            <w:pPr>
              <w:keepNext/>
              <w:keepLines/>
              <w:jc w:val="center"/>
              <w:rPr>
                <w:noProof/>
                <w:sz w:val="18"/>
              </w:rPr>
            </w:pPr>
            <w:r>
              <w:rPr>
                <w:noProof/>
                <w:sz w:val="18"/>
              </w:rPr>
              <w:t>Option 4***</w:t>
            </w:r>
          </w:p>
        </w:tc>
        <w:tc>
          <w:tcPr>
            <w:tcW w:w="833" w:type="pct"/>
          </w:tcPr>
          <w:p w:rsidR="00333A1A" w:rsidRDefault="003D29C9">
            <w:pPr>
              <w:keepNext/>
              <w:keepLines/>
              <w:jc w:val="center"/>
              <w:rPr>
                <w:noProof/>
                <w:sz w:val="18"/>
              </w:rPr>
            </w:pPr>
            <w:r>
              <w:rPr>
                <w:noProof/>
                <w:sz w:val="18"/>
              </w:rPr>
              <w:t>Option 5</w:t>
            </w:r>
          </w:p>
        </w:tc>
      </w:tr>
      <w:tr w:rsidR="00333A1A">
        <w:tc>
          <w:tcPr>
            <w:tcW w:w="833" w:type="pct"/>
          </w:tcPr>
          <w:p w:rsidR="00333A1A" w:rsidRDefault="003D29C9">
            <w:pPr>
              <w:keepNext/>
              <w:keepLines/>
              <w:jc w:val="both"/>
              <w:rPr>
                <w:noProof/>
                <w:sz w:val="16"/>
              </w:rPr>
            </w:pPr>
            <w:r>
              <w:rPr>
                <w:noProof/>
                <w:sz w:val="16"/>
              </w:rPr>
              <w:t>Decoupled payments*</w:t>
            </w:r>
          </w:p>
        </w:tc>
        <w:tc>
          <w:tcPr>
            <w:tcW w:w="833" w:type="pct"/>
          </w:tcPr>
          <w:p w:rsidR="00333A1A" w:rsidRDefault="003D29C9">
            <w:pPr>
              <w:keepNext/>
              <w:keepLines/>
              <w:jc w:val="center"/>
              <w:rPr>
                <w:noProof/>
                <w:sz w:val="16"/>
              </w:rPr>
            </w:pPr>
            <w:r>
              <w:rPr>
                <w:noProof/>
                <w:sz w:val="16"/>
              </w:rPr>
              <w:t>High</w:t>
            </w:r>
          </w:p>
        </w:tc>
        <w:tc>
          <w:tcPr>
            <w:tcW w:w="833" w:type="pct"/>
          </w:tcPr>
          <w:p w:rsidR="00333A1A" w:rsidRDefault="003D29C9">
            <w:pPr>
              <w:keepNext/>
              <w:keepLines/>
              <w:jc w:val="center"/>
              <w:rPr>
                <w:noProof/>
                <w:sz w:val="16"/>
              </w:rPr>
            </w:pPr>
            <w:r>
              <w:rPr>
                <w:noProof/>
                <w:sz w:val="16"/>
              </w:rPr>
              <w:t>Very small</w:t>
            </w:r>
          </w:p>
          <w:p w:rsidR="00333A1A" w:rsidRDefault="003D29C9">
            <w:pPr>
              <w:keepNext/>
              <w:keepLines/>
              <w:jc w:val="center"/>
              <w:rPr>
                <w:noProof/>
                <w:sz w:val="16"/>
              </w:rPr>
            </w:pPr>
            <w:r>
              <w:rPr>
                <w:noProof/>
                <w:sz w:val="16"/>
              </w:rPr>
              <w:t>MS flat rate</w:t>
            </w:r>
          </w:p>
        </w:tc>
        <w:tc>
          <w:tcPr>
            <w:tcW w:w="833" w:type="pct"/>
          </w:tcPr>
          <w:p w:rsidR="00333A1A" w:rsidRDefault="003D29C9">
            <w:pPr>
              <w:keepNext/>
              <w:keepLines/>
              <w:jc w:val="center"/>
              <w:rPr>
                <w:noProof/>
                <w:sz w:val="16"/>
              </w:rPr>
            </w:pPr>
            <w:r>
              <w:rPr>
                <w:noProof/>
                <w:sz w:val="16"/>
              </w:rPr>
              <w:t>Medium</w:t>
            </w:r>
          </w:p>
        </w:tc>
        <w:tc>
          <w:tcPr>
            <w:tcW w:w="833" w:type="pct"/>
          </w:tcPr>
          <w:p w:rsidR="00333A1A" w:rsidRDefault="003D29C9">
            <w:pPr>
              <w:keepNext/>
              <w:keepLines/>
              <w:jc w:val="center"/>
              <w:rPr>
                <w:noProof/>
                <w:sz w:val="16"/>
              </w:rPr>
            </w:pPr>
            <w:r>
              <w:rPr>
                <w:noProof/>
                <w:sz w:val="16"/>
              </w:rPr>
              <w:t>Strong</w:t>
            </w:r>
          </w:p>
          <w:p w:rsidR="00333A1A" w:rsidRDefault="003D29C9">
            <w:pPr>
              <w:keepNext/>
              <w:keepLines/>
              <w:jc w:val="center"/>
              <w:rPr>
                <w:noProof/>
                <w:sz w:val="16"/>
              </w:rPr>
            </w:pPr>
            <w:r>
              <w:rPr>
                <w:noProof/>
                <w:sz w:val="16"/>
              </w:rPr>
              <w:t>flat rate by land type</w:t>
            </w:r>
          </w:p>
        </w:tc>
        <w:tc>
          <w:tcPr>
            <w:tcW w:w="833" w:type="pct"/>
          </w:tcPr>
          <w:p w:rsidR="00333A1A" w:rsidRDefault="003D29C9">
            <w:pPr>
              <w:keepNext/>
              <w:keepLines/>
              <w:jc w:val="center"/>
              <w:rPr>
                <w:noProof/>
                <w:sz w:val="16"/>
              </w:rPr>
            </w:pPr>
            <w:r>
              <w:rPr>
                <w:noProof/>
                <w:sz w:val="16"/>
              </w:rPr>
              <w:t>Medium</w:t>
            </w:r>
          </w:p>
          <w:p w:rsidR="00333A1A" w:rsidRDefault="003D29C9">
            <w:pPr>
              <w:keepNext/>
              <w:keepLines/>
              <w:jc w:val="center"/>
              <w:rPr>
                <w:noProof/>
                <w:sz w:val="16"/>
              </w:rPr>
            </w:pPr>
            <w:r>
              <w:rPr>
                <w:noProof/>
                <w:sz w:val="16"/>
              </w:rPr>
              <w:t>degressive with size</w:t>
            </w:r>
          </w:p>
        </w:tc>
      </w:tr>
      <w:tr w:rsidR="00333A1A">
        <w:tc>
          <w:tcPr>
            <w:tcW w:w="833" w:type="pct"/>
          </w:tcPr>
          <w:p w:rsidR="00333A1A" w:rsidRDefault="003D29C9">
            <w:pPr>
              <w:keepNext/>
              <w:keepLines/>
              <w:jc w:val="both"/>
              <w:rPr>
                <w:noProof/>
                <w:sz w:val="16"/>
              </w:rPr>
            </w:pPr>
            <w:r>
              <w:rPr>
                <w:noProof/>
                <w:sz w:val="16"/>
              </w:rPr>
              <w:t>Voluntary coupled support</w:t>
            </w:r>
          </w:p>
        </w:tc>
        <w:tc>
          <w:tcPr>
            <w:tcW w:w="833" w:type="pct"/>
          </w:tcPr>
          <w:p w:rsidR="00333A1A" w:rsidRDefault="003D29C9">
            <w:pPr>
              <w:keepNext/>
              <w:keepLines/>
              <w:jc w:val="center"/>
              <w:rPr>
                <w:noProof/>
                <w:sz w:val="16"/>
              </w:rPr>
            </w:pPr>
            <w:r>
              <w:rPr>
                <w:noProof/>
                <w:sz w:val="16"/>
              </w:rPr>
              <w:t>High</w:t>
            </w:r>
          </w:p>
        </w:tc>
        <w:tc>
          <w:tcPr>
            <w:tcW w:w="833" w:type="pct"/>
          </w:tcPr>
          <w:p w:rsidR="00333A1A" w:rsidRDefault="003D29C9">
            <w:pPr>
              <w:keepNext/>
              <w:keepLines/>
              <w:jc w:val="center"/>
              <w:rPr>
                <w:noProof/>
                <w:sz w:val="16"/>
              </w:rPr>
            </w:pPr>
            <w:r>
              <w:rPr>
                <w:noProof/>
                <w:sz w:val="16"/>
              </w:rPr>
              <w:t>0</w:t>
            </w:r>
          </w:p>
        </w:tc>
        <w:tc>
          <w:tcPr>
            <w:tcW w:w="833" w:type="pct"/>
          </w:tcPr>
          <w:p w:rsidR="00333A1A" w:rsidRDefault="003D29C9">
            <w:pPr>
              <w:keepNext/>
              <w:keepLines/>
              <w:jc w:val="center"/>
              <w:rPr>
                <w:noProof/>
                <w:sz w:val="16"/>
              </w:rPr>
            </w:pPr>
            <w:r>
              <w:rPr>
                <w:noProof/>
                <w:sz w:val="16"/>
              </w:rPr>
              <w:t>High</w:t>
            </w:r>
          </w:p>
          <w:p w:rsidR="00333A1A" w:rsidRDefault="003D29C9">
            <w:pPr>
              <w:keepNext/>
              <w:keepLines/>
              <w:jc w:val="center"/>
              <w:rPr>
                <w:noProof/>
                <w:sz w:val="16"/>
              </w:rPr>
            </w:pPr>
            <w:r>
              <w:rPr>
                <w:noProof/>
                <w:sz w:val="16"/>
              </w:rPr>
              <w:t>targeted to EU goals and improving competitiveness</w:t>
            </w:r>
          </w:p>
        </w:tc>
        <w:tc>
          <w:tcPr>
            <w:tcW w:w="833" w:type="pct"/>
          </w:tcPr>
          <w:p w:rsidR="00333A1A" w:rsidRDefault="003D29C9">
            <w:pPr>
              <w:keepNext/>
              <w:keepLines/>
              <w:jc w:val="center"/>
              <w:rPr>
                <w:noProof/>
                <w:sz w:val="16"/>
              </w:rPr>
            </w:pPr>
            <w:r>
              <w:rPr>
                <w:noProof/>
                <w:sz w:val="16"/>
              </w:rPr>
              <w:t>Small</w:t>
            </w:r>
          </w:p>
          <w:p w:rsidR="00333A1A" w:rsidRDefault="003D29C9">
            <w:pPr>
              <w:keepNext/>
              <w:keepLines/>
              <w:jc w:val="center"/>
              <w:rPr>
                <w:noProof/>
                <w:sz w:val="16"/>
              </w:rPr>
            </w:pPr>
            <w:r>
              <w:rPr>
                <w:noProof/>
                <w:sz w:val="16"/>
              </w:rPr>
              <w:t>targeted to extensive livestock</w:t>
            </w:r>
          </w:p>
        </w:tc>
        <w:tc>
          <w:tcPr>
            <w:tcW w:w="833" w:type="pct"/>
          </w:tcPr>
          <w:p w:rsidR="00333A1A" w:rsidRDefault="003D29C9">
            <w:pPr>
              <w:keepNext/>
              <w:keepLines/>
              <w:jc w:val="center"/>
              <w:rPr>
                <w:noProof/>
                <w:sz w:val="16"/>
              </w:rPr>
            </w:pPr>
            <w:r>
              <w:rPr>
                <w:noProof/>
                <w:sz w:val="16"/>
              </w:rPr>
              <w:t>Potentially high targeted to EU goals</w:t>
            </w:r>
          </w:p>
        </w:tc>
      </w:tr>
      <w:tr w:rsidR="00333A1A">
        <w:tc>
          <w:tcPr>
            <w:tcW w:w="833" w:type="pct"/>
          </w:tcPr>
          <w:p w:rsidR="00333A1A" w:rsidRDefault="003D29C9">
            <w:pPr>
              <w:keepNext/>
              <w:keepLines/>
              <w:jc w:val="both"/>
              <w:rPr>
                <w:noProof/>
                <w:sz w:val="16"/>
              </w:rPr>
            </w:pPr>
            <w:r>
              <w:rPr>
                <w:noProof/>
                <w:sz w:val="16"/>
              </w:rPr>
              <w:t>Areas with natural constraints</w:t>
            </w:r>
          </w:p>
        </w:tc>
        <w:tc>
          <w:tcPr>
            <w:tcW w:w="833" w:type="pct"/>
          </w:tcPr>
          <w:p w:rsidR="00333A1A" w:rsidRDefault="003D29C9">
            <w:pPr>
              <w:keepNext/>
              <w:keepLines/>
              <w:jc w:val="center"/>
              <w:rPr>
                <w:noProof/>
                <w:sz w:val="16"/>
              </w:rPr>
            </w:pPr>
            <w:r>
              <w:rPr>
                <w:noProof/>
                <w:sz w:val="16"/>
              </w:rPr>
              <w:t>Lower further to Brexit</w:t>
            </w:r>
          </w:p>
        </w:tc>
        <w:tc>
          <w:tcPr>
            <w:tcW w:w="833" w:type="pct"/>
          </w:tcPr>
          <w:p w:rsidR="00333A1A" w:rsidRDefault="003D29C9">
            <w:pPr>
              <w:keepNext/>
              <w:keepLines/>
              <w:jc w:val="center"/>
              <w:rPr>
                <w:noProof/>
                <w:sz w:val="16"/>
              </w:rPr>
            </w:pPr>
            <w:r>
              <w:rPr>
                <w:noProof/>
                <w:sz w:val="16"/>
              </w:rPr>
              <w:t xml:space="preserve">Maintained </w:t>
            </w:r>
          </w:p>
          <w:p w:rsidR="00333A1A" w:rsidRDefault="003D29C9">
            <w:pPr>
              <w:keepNext/>
              <w:keepLines/>
              <w:jc w:val="center"/>
              <w:rPr>
                <w:noProof/>
                <w:sz w:val="16"/>
              </w:rPr>
            </w:pPr>
            <w:r>
              <w:rPr>
                <w:noProof/>
                <w:sz w:val="16"/>
              </w:rPr>
              <w:t>in pillar II</w:t>
            </w:r>
          </w:p>
        </w:tc>
        <w:tc>
          <w:tcPr>
            <w:tcW w:w="833" w:type="pct"/>
          </w:tcPr>
          <w:p w:rsidR="00333A1A" w:rsidRDefault="003D29C9">
            <w:pPr>
              <w:keepNext/>
              <w:keepLines/>
              <w:jc w:val="center"/>
              <w:rPr>
                <w:noProof/>
                <w:sz w:val="16"/>
              </w:rPr>
            </w:pPr>
            <w:r>
              <w:rPr>
                <w:noProof/>
                <w:sz w:val="16"/>
              </w:rPr>
              <w:t>Maintained in pillar II (higher national funds)</w:t>
            </w:r>
          </w:p>
        </w:tc>
        <w:tc>
          <w:tcPr>
            <w:tcW w:w="833" w:type="pct"/>
          </w:tcPr>
          <w:p w:rsidR="00333A1A" w:rsidRDefault="003D29C9">
            <w:pPr>
              <w:keepNext/>
              <w:keepLines/>
              <w:jc w:val="center"/>
              <w:rPr>
                <w:noProof/>
                <w:sz w:val="16"/>
              </w:rPr>
            </w:pPr>
            <w:r>
              <w:rPr>
                <w:noProof/>
                <w:sz w:val="16"/>
              </w:rPr>
              <w:t>Maintained in pillar II (higher national funds)</w:t>
            </w:r>
          </w:p>
        </w:tc>
        <w:tc>
          <w:tcPr>
            <w:tcW w:w="833" w:type="pct"/>
          </w:tcPr>
          <w:p w:rsidR="00333A1A" w:rsidRDefault="003D29C9">
            <w:pPr>
              <w:keepNext/>
              <w:keepLines/>
              <w:jc w:val="center"/>
              <w:rPr>
                <w:noProof/>
                <w:sz w:val="16"/>
              </w:rPr>
            </w:pPr>
            <w:r>
              <w:rPr>
                <w:noProof/>
                <w:sz w:val="16"/>
              </w:rPr>
              <w:t>Increased</w:t>
            </w:r>
          </w:p>
          <w:p w:rsidR="00333A1A" w:rsidRDefault="003D29C9">
            <w:pPr>
              <w:keepNext/>
              <w:keepLines/>
              <w:jc w:val="center"/>
              <w:rPr>
                <w:noProof/>
                <w:sz w:val="16"/>
              </w:rPr>
            </w:pPr>
            <w:r>
              <w:rPr>
                <w:noProof/>
                <w:sz w:val="16"/>
              </w:rPr>
              <w:t>top up in pillar I</w:t>
            </w:r>
          </w:p>
        </w:tc>
      </w:tr>
      <w:tr w:rsidR="00333A1A">
        <w:tc>
          <w:tcPr>
            <w:tcW w:w="833" w:type="pct"/>
          </w:tcPr>
          <w:p w:rsidR="00333A1A" w:rsidRDefault="003D29C9">
            <w:pPr>
              <w:keepNext/>
              <w:keepLines/>
              <w:jc w:val="both"/>
              <w:rPr>
                <w:noProof/>
                <w:sz w:val="16"/>
              </w:rPr>
            </w:pPr>
            <w:r>
              <w:rPr>
                <w:noProof/>
                <w:sz w:val="16"/>
              </w:rPr>
              <w:t>Payment redistribution</w:t>
            </w:r>
          </w:p>
        </w:tc>
        <w:tc>
          <w:tcPr>
            <w:tcW w:w="833" w:type="pct"/>
          </w:tcPr>
          <w:p w:rsidR="00333A1A" w:rsidRDefault="003D29C9">
            <w:pPr>
              <w:keepNext/>
              <w:keepLines/>
              <w:jc w:val="center"/>
              <w:rPr>
                <w:noProof/>
                <w:sz w:val="14"/>
              </w:rPr>
            </w:pPr>
            <w:r>
              <w:rPr>
                <w:noProof/>
                <w:sz w:val="14"/>
              </w:rPr>
              <w:t>Top up to first ha in 8 MS.</w:t>
            </w:r>
          </w:p>
          <w:p w:rsidR="00333A1A" w:rsidRDefault="003D29C9">
            <w:pPr>
              <w:keepNext/>
              <w:keepLines/>
              <w:jc w:val="center"/>
              <w:rPr>
                <w:noProof/>
                <w:sz w:val="14"/>
              </w:rPr>
            </w:pPr>
            <w:r>
              <w:rPr>
                <w:noProof/>
                <w:sz w:val="14"/>
              </w:rPr>
              <w:t xml:space="preserve">Degressivity in 14 MS from </w:t>
            </w:r>
            <w:r>
              <w:rPr>
                <w:noProof/>
                <w:sz w:val="14"/>
              </w:rPr>
              <w:t>150 000 EUR, % cut vary by MS from 5 to 50%**</w:t>
            </w:r>
          </w:p>
        </w:tc>
        <w:tc>
          <w:tcPr>
            <w:tcW w:w="833" w:type="pct"/>
          </w:tcPr>
          <w:p w:rsidR="00333A1A" w:rsidRDefault="003D29C9">
            <w:pPr>
              <w:keepNext/>
              <w:keepLines/>
              <w:jc w:val="center"/>
              <w:rPr>
                <w:noProof/>
                <w:sz w:val="16"/>
              </w:rPr>
            </w:pPr>
            <w:r>
              <w:rPr>
                <w:noProof/>
                <w:sz w:val="16"/>
              </w:rPr>
              <w:t>0</w:t>
            </w:r>
          </w:p>
        </w:tc>
        <w:tc>
          <w:tcPr>
            <w:tcW w:w="833" w:type="pct"/>
          </w:tcPr>
          <w:p w:rsidR="00333A1A" w:rsidRDefault="003D29C9">
            <w:pPr>
              <w:keepNext/>
              <w:keepLines/>
              <w:jc w:val="center"/>
              <w:rPr>
                <w:noProof/>
                <w:sz w:val="16"/>
              </w:rPr>
            </w:pPr>
            <w:r>
              <w:rPr>
                <w:noProof/>
                <w:sz w:val="16"/>
              </w:rPr>
              <w:t>To small-medium farms via a top up to first 30 ha</w:t>
            </w:r>
          </w:p>
        </w:tc>
        <w:tc>
          <w:tcPr>
            <w:tcW w:w="833" w:type="pct"/>
          </w:tcPr>
          <w:p w:rsidR="00333A1A" w:rsidRDefault="003D29C9">
            <w:pPr>
              <w:keepNext/>
              <w:keepLines/>
              <w:jc w:val="center"/>
              <w:rPr>
                <w:noProof/>
                <w:sz w:val="16"/>
              </w:rPr>
            </w:pPr>
            <w:r>
              <w:rPr>
                <w:noProof/>
                <w:sz w:val="16"/>
              </w:rPr>
              <w:t xml:space="preserve">To farmers with lower income </w:t>
            </w:r>
          </w:p>
          <w:p w:rsidR="00333A1A" w:rsidRDefault="003D29C9">
            <w:pPr>
              <w:keepNext/>
              <w:keepLines/>
              <w:jc w:val="center"/>
              <w:rPr>
                <w:noProof/>
                <w:sz w:val="16"/>
              </w:rPr>
            </w:pPr>
            <w:r>
              <w:rPr>
                <w:noProof/>
                <w:sz w:val="16"/>
              </w:rPr>
              <w:t>via an increase in support to permanent grassland</w:t>
            </w:r>
          </w:p>
        </w:tc>
        <w:tc>
          <w:tcPr>
            <w:tcW w:w="833" w:type="pct"/>
          </w:tcPr>
          <w:p w:rsidR="00333A1A" w:rsidRDefault="003D29C9">
            <w:pPr>
              <w:keepNext/>
              <w:keepLines/>
              <w:jc w:val="center"/>
              <w:rPr>
                <w:noProof/>
                <w:sz w:val="16"/>
              </w:rPr>
            </w:pPr>
            <w:r>
              <w:rPr>
                <w:noProof/>
                <w:sz w:val="16"/>
              </w:rPr>
              <w:t>To small-medium farms</w:t>
            </w:r>
          </w:p>
          <w:p w:rsidR="00333A1A" w:rsidRDefault="003D29C9">
            <w:pPr>
              <w:keepNext/>
              <w:keepLines/>
              <w:jc w:val="center"/>
              <w:rPr>
                <w:noProof/>
                <w:sz w:val="16"/>
              </w:rPr>
            </w:pPr>
            <w:r>
              <w:rPr>
                <w:noProof/>
                <w:sz w:val="16"/>
              </w:rPr>
              <w:t>via the modulation of support by size</w:t>
            </w:r>
          </w:p>
        </w:tc>
      </w:tr>
      <w:tr w:rsidR="00333A1A">
        <w:tc>
          <w:tcPr>
            <w:tcW w:w="833" w:type="pct"/>
          </w:tcPr>
          <w:p w:rsidR="00333A1A" w:rsidRDefault="003D29C9">
            <w:pPr>
              <w:keepNext/>
              <w:keepLines/>
              <w:jc w:val="both"/>
              <w:rPr>
                <w:noProof/>
                <w:sz w:val="16"/>
              </w:rPr>
            </w:pPr>
            <w:r>
              <w:rPr>
                <w:noProof/>
                <w:sz w:val="16"/>
              </w:rPr>
              <w:t xml:space="preserve">Capping per farm </w:t>
            </w:r>
            <w:r>
              <w:rPr>
                <w:noProof/>
                <w:sz w:val="16"/>
              </w:rPr>
              <w:t>(with salaries correction)</w:t>
            </w:r>
          </w:p>
        </w:tc>
        <w:tc>
          <w:tcPr>
            <w:tcW w:w="833" w:type="pct"/>
          </w:tcPr>
          <w:p w:rsidR="00333A1A" w:rsidRDefault="003D29C9">
            <w:pPr>
              <w:keepNext/>
              <w:keepLines/>
              <w:jc w:val="center"/>
              <w:rPr>
                <w:noProof/>
                <w:sz w:val="14"/>
              </w:rPr>
            </w:pPr>
            <w:r>
              <w:rPr>
                <w:noProof/>
                <w:sz w:val="14"/>
              </w:rPr>
              <w:t xml:space="preserve">Limited, </w:t>
            </w:r>
          </w:p>
          <w:p w:rsidR="00333A1A" w:rsidRDefault="003D29C9">
            <w:pPr>
              <w:keepNext/>
              <w:keepLines/>
              <w:jc w:val="center"/>
              <w:rPr>
                <w:noProof/>
                <w:sz w:val="14"/>
              </w:rPr>
            </w:pPr>
            <w:r>
              <w:rPr>
                <w:noProof/>
                <w:sz w:val="14"/>
              </w:rPr>
              <w:t>in 8 MS</w:t>
            </w:r>
          </w:p>
          <w:p w:rsidR="00333A1A" w:rsidRDefault="003D29C9">
            <w:pPr>
              <w:keepNext/>
              <w:keepLines/>
              <w:jc w:val="center"/>
              <w:rPr>
                <w:noProof/>
                <w:sz w:val="14"/>
              </w:rPr>
            </w:pPr>
            <w:r>
              <w:rPr>
                <w:noProof/>
                <w:sz w:val="14"/>
              </w:rPr>
              <w:t>threshold from 150 000 to 500 000 EUR</w:t>
            </w:r>
          </w:p>
        </w:tc>
        <w:tc>
          <w:tcPr>
            <w:tcW w:w="833" w:type="pct"/>
          </w:tcPr>
          <w:p w:rsidR="00333A1A" w:rsidRDefault="003D29C9">
            <w:pPr>
              <w:keepNext/>
              <w:keepLines/>
              <w:jc w:val="center"/>
              <w:rPr>
                <w:noProof/>
                <w:sz w:val="16"/>
              </w:rPr>
            </w:pPr>
            <w:r>
              <w:rPr>
                <w:noProof/>
                <w:sz w:val="16"/>
              </w:rPr>
              <w:t>100 000 EUR</w:t>
            </w:r>
          </w:p>
        </w:tc>
        <w:tc>
          <w:tcPr>
            <w:tcW w:w="833" w:type="pct"/>
          </w:tcPr>
          <w:p w:rsidR="00333A1A" w:rsidRDefault="003D29C9">
            <w:pPr>
              <w:keepNext/>
              <w:keepLines/>
              <w:jc w:val="center"/>
              <w:rPr>
                <w:noProof/>
                <w:sz w:val="16"/>
              </w:rPr>
            </w:pPr>
            <w:r>
              <w:rPr>
                <w:noProof/>
                <w:sz w:val="16"/>
              </w:rPr>
              <w:t>100 000 EUR</w:t>
            </w:r>
          </w:p>
        </w:tc>
        <w:tc>
          <w:tcPr>
            <w:tcW w:w="833" w:type="pct"/>
          </w:tcPr>
          <w:p w:rsidR="00333A1A" w:rsidRDefault="003D29C9">
            <w:pPr>
              <w:keepNext/>
              <w:keepLines/>
              <w:jc w:val="center"/>
              <w:rPr>
                <w:noProof/>
                <w:sz w:val="16"/>
              </w:rPr>
            </w:pPr>
            <w:r>
              <w:rPr>
                <w:noProof/>
                <w:sz w:val="16"/>
              </w:rPr>
              <w:t>100 000 EUR</w:t>
            </w:r>
          </w:p>
        </w:tc>
        <w:tc>
          <w:tcPr>
            <w:tcW w:w="833" w:type="pct"/>
          </w:tcPr>
          <w:p w:rsidR="00333A1A" w:rsidRDefault="003D29C9">
            <w:pPr>
              <w:keepNext/>
              <w:keepLines/>
              <w:jc w:val="center"/>
              <w:rPr>
                <w:noProof/>
                <w:sz w:val="16"/>
              </w:rPr>
            </w:pPr>
            <w:r>
              <w:rPr>
                <w:noProof/>
                <w:sz w:val="16"/>
              </w:rPr>
              <w:t>60 000 EUR</w:t>
            </w:r>
          </w:p>
        </w:tc>
      </w:tr>
      <w:tr w:rsidR="00333A1A">
        <w:tc>
          <w:tcPr>
            <w:tcW w:w="833" w:type="pct"/>
          </w:tcPr>
          <w:p w:rsidR="00333A1A" w:rsidRDefault="003D29C9">
            <w:pPr>
              <w:keepNext/>
              <w:keepLines/>
              <w:jc w:val="both"/>
              <w:rPr>
                <w:noProof/>
                <w:sz w:val="16"/>
              </w:rPr>
            </w:pPr>
            <w:r>
              <w:rPr>
                <w:noProof/>
                <w:sz w:val="16"/>
              </w:rPr>
              <w:t>Capping per ha</w:t>
            </w:r>
          </w:p>
        </w:tc>
        <w:tc>
          <w:tcPr>
            <w:tcW w:w="833" w:type="pct"/>
          </w:tcPr>
          <w:p w:rsidR="00333A1A" w:rsidRDefault="00333A1A">
            <w:pPr>
              <w:keepNext/>
              <w:keepLines/>
              <w:jc w:val="center"/>
              <w:rPr>
                <w:noProof/>
                <w:sz w:val="14"/>
              </w:rPr>
            </w:pPr>
          </w:p>
        </w:tc>
        <w:tc>
          <w:tcPr>
            <w:tcW w:w="833" w:type="pct"/>
          </w:tcPr>
          <w:p w:rsidR="00333A1A" w:rsidRDefault="00333A1A">
            <w:pPr>
              <w:keepNext/>
              <w:keepLines/>
              <w:jc w:val="center"/>
              <w:rPr>
                <w:noProof/>
                <w:sz w:val="16"/>
              </w:rPr>
            </w:pPr>
          </w:p>
        </w:tc>
        <w:tc>
          <w:tcPr>
            <w:tcW w:w="833" w:type="pct"/>
          </w:tcPr>
          <w:p w:rsidR="00333A1A" w:rsidRDefault="003D29C9">
            <w:pPr>
              <w:keepNext/>
              <w:keepLines/>
              <w:jc w:val="center"/>
              <w:rPr>
                <w:noProof/>
                <w:sz w:val="16"/>
              </w:rPr>
            </w:pPr>
            <w:r>
              <w:rPr>
                <w:noProof/>
                <w:sz w:val="16"/>
              </w:rPr>
              <w:t>1 000 EUR</w:t>
            </w:r>
          </w:p>
        </w:tc>
        <w:tc>
          <w:tcPr>
            <w:tcW w:w="833" w:type="pct"/>
          </w:tcPr>
          <w:p w:rsidR="00333A1A" w:rsidRDefault="00333A1A">
            <w:pPr>
              <w:keepNext/>
              <w:keepLines/>
              <w:jc w:val="center"/>
              <w:rPr>
                <w:noProof/>
                <w:sz w:val="16"/>
              </w:rPr>
            </w:pPr>
          </w:p>
        </w:tc>
        <w:tc>
          <w:tcPr>
            <w:tcW w:w="833" w:type="pct"/>
          </w:tcPr>
          <w:p w:rsidR="00333A1A" w:rsidRDefault="00333A1A">
            <w:pPr>
              <w:keepNext/>
              <w:keepLines/>
              <w:jc w:val="center"/>
              <w:rPr>
                <w:noProof/>
                <w:sz w:val="16"/>
              </w:rPr>
            </w:pPr>
          </w:p>
        </w:tc>
      </w:tr>
      <w:tr w:rsidR="00333A1A">
        <w:tc>
          <w:tcPr>
            <w:tcW w:w="833" w:type="pct"/>
          </w:tcPr>
          <w:p w:rsidR="00333A1A" w:rsidRDefault="003D29C9">
            <w:pPr>
              <w:keepNext/>
              <w:keepLines/>
              <w:jc w:val="both"/>
              <w:rPr>
                <w:noProof/>
                <w:sz w:val="16"/>
              </w:rPr>
            </w:pPr>
            <w:r>
              <w:rPr>
                <w:noProof/>
                <w:sz w:val="16"/>
              </w:rPr>
              <w:t>Minimum requirements</w:t>
            </w:r>
          </w:p>
        </w:tc>
        <w:tc>
          <w:tcPr>
            <w:tcW w:w="833" w:type="pct"/>
          </w:tcPr>
          <w:p w:rsidR="00333A1A" w:rsidRDefault="003D29C9">
            <w:pPr>
              <w:keepNext/>
              <w:keepLines/>
              <w:jc w:val="center"/>
              <w:rPr>
                <w:noProof/>
                <w:sz w:val="14"/>
              </w:rPr>
            </w:pPr>
            <w:r>
              <w:rPr>
                <w:noProof/>
                <w:sz w:val="14"/>
              </w:rPr>
              <w:t xml:space="preserve">Threshold in EUR or ha varies from 0.5 to 4 ha and from 100 to 500 EUR </w:t>
            </w:r>
          </w:p>
        </w:tc>
        <w:tc>
          <w:tcPr>
            <w:tcW w:w="833" w:type="pct"/>
          </w:tcPr>
          <w:p w:rsidR="00333A1A" w:rsidRDefault="003D29C9">
            <w:pPr>
              <w:keepNext/>
              <w:keepLines/>
              <w:jc w:val="center"/>
              <w:rPr>
                <w:noProof/>
                <w:sz w:val="16"/>
              </w:rPr>
            </w:pPr>
            <w:r>
              <w:rPr>
                <w:noProof/>
                <w:sz w:val="16"/>
              </w:rPr>
              <w:t xml:space="preserve">2 </w:t>
            </w:r>
            <w:r>
              <w:rPr>
                <w:noProof/>
                <w:sz w:val="16"/>
              </w:rPr>
              <w:t>ha</w:t>
            </w:r>
          </w:p>
        </w:tc>
        <w:tc>
          <w:tcPr>
            <w:tcW w:w="833" w:type="pct"/>
          </w:tcPr>
          <w:p w:rsidR="00333A1A" w:rsidRDefault="003D29C9">
            <w:pPr>
              <w:keepNext/>
              <w:keepLines/>
              <w:jc w:val="center"/>
              <w:rPr>
                <w:noProof/>
                <w:sz w:val="16"/>
              </w:rPr>
            </w:pPr>
            <w:r>
              <w:rPr>
                <w:noProof/>
                <w:sz w:val="16"/>
              </w:rPr>
              <w:t>2 ha</w:t>
            </w:r>
          </w:p>
        </w:tc>
        <w:tc>
          <w:tcPr>
            <w:tcW w:w="833" w:type="pct"/>
          </w:tcPr>
          <w:p w:rsidR="00333A1A" w:rsidRDefault="003D29C9">
            <w:pPr>
              <w:keepNext/>
              <w:keepLines/>
              <w:jc w:val="center"/>
              <w:rPr>
                <w:noProof/>
                <w:sz w:val="16"/>
              </w:rPr>
            </w:pPr>
            <w:r>
              <w:rPr>
                <w:noProof/>
                <w:sz w:val="16"/>
              </w:rPr>
              <w:t>2% of ag. income (varies by MS, from 100 to 1 000 EUR)</w:t>
            </w:r>
          </w:p>
        </w:tc>
        <w:tc>
          <w:tcPr>
            <w:tcW w:w="833" w:type="pct"/>
          </w:tcPr>
          <w:p w:rsidR="00333A1A" w:rsidRDefault="003D29C9">
            <w:pPr>
              <w:keepNext/>
              <w:keepLines/>
              <w:jc w:val="center"/>
              <w:rPr>
                <w:noProof/>
                <w:sz w:val="16"/>
              </w:rPr>
            </w:pPr>
            <w:r>
              <w:rPr>
                <w:noProof/>
                <w:sz w:val="16"/>
              </w:rPr>
              <w:t>Status quo</w:t>
            </w:r>
          </w:p>
        </w:tc>
      </w:tr>
    </w:tbl>
    <w:p w:rsidR="00333A1A" w:rsidRDefault="003D29C9">
      <w:pPr>
        <w:spacing w:after="0" w:line="240" w:lineRule="auto"/>
        <w:jc w:val="both"/>
        <w:rPr>
          <w:rFonts w:ascii="Times New Roman" w:hAnsi="Times New Roman" w:cs="Times New Roman"/>
          <w:noProof/>
          <w:sz w:val="16"/>
          <w:szCs w:val="20"/>
        </w:rPr>
      </w:pPr>
      <w:r>
        <w:rPr>
          <w:rFonts w:ascii="Times New Roman" w:hAnsi="Times New Roman" w:cs="Times New Roman"/>
          <w:noProof/>
          <w:sz w:val="16"/>
          <w:szCs w:val="20"/>
        </w:rPr>
        <w:t>* includes the basic payment scheme, the single area payment scheme and greening</w:t>
      </w:r>
    </w:p>
    <w:p w:rsidR="00333A1A" w:rsidRDefault="003D29C9">
      <w:pPr>
        <w:spacing w:after="0"/>
        <w:jc w:val="both"/>
        <w:rPr>
          <w:rFonts w:ascii="Times New Roman" w:hAnsi="Times New Roman" w:cs="Times New Roman"/>
          <w:noProof/>
          <w:sz w:val="16"/>
          <w:szCs w:val="20"/>
        </w:rPr>
      </w:pPr>
      <w:r>
        <w:rPr>
          <w:rFonts w:ascii="Times New Roman" w:hAnsi="Times New Roman" w:cs="Times New Roman"/>
          <w:noProof/>
          <w:sz w:val="16"/>
          <w:szCs w:val="20"/>
        </w:rPr>
        <w:t xml:space="preserve">** e.g. amounts above 150 000 EUR per farm (with salaries correction) are cut by 5%  in BG and by </w:t>
      </w:r>
      <w:r>
        <w:rPr>
          <w:rFonts w:ascii="Times New Roman" w:hAnsi="Times New Roman" w:cs="Times New Roman"/>
          <w:noProof/>
          <w:sz w:val="16"/>
          <w:szCs w:val="20"/>
        </w:rPr>
        <w:t>50% in IT.</w:t>
      </w:r>
    </w:p>
    <w:p w:rsidR="00333A1A" w:rsidRDefault="003D29C9">
      <w:pPr>
        <w:spacing w:after="0"/>
        <w:jc w:val="both"/>
        <w:rPr>
          <w:rFonts w:ascii="Times New Roman" w:hAnsi="Times New Roman" w:cs="Times New Roman"/>
          <w:noProof/>
          <w:sz w:val="16"/>
          <w:szCs w:val="20"/>
        </w:rPr>
      </w:pPr>
      <w:r>
        <w:rPr>
          <w:rFonts w:ascii="Times New Roman" w:hAnsi="Times New Roman" w:cs="Times New Roman"/>
          <w:noProof/>
          <w:sz w:val="16"/>
          <w:szCs w:val="20"/>
        </w:rPr>
        <w:t>*** options 4a and 4b are similar in terms of direct payments implementation.</w:t>
      </w:r>
    </w:p>
    <w:p w:rsidR="00333A1A" w:rsidRDefault="003D29C9">
      <w:pPr>
        <w:keepNext/>
        <w:spacing w:before="240" w:after="120"/>
        <w:rPr>
          <w:rFonts w:ascii="Times New Roman" w:hAnsi="Times New Roman" w:cs="Times New Roman"/>
          <w:b/>
          <w:noProof/>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1</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SEQ Table \* ARABIC \s 1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 xml:space="preserve"> The green architecture in the options </w:t>
      </w:r>
    </w:p>
    <w:tbl>
      <w:tblPr>
        <w:tblStyle w:val="TableGrid"/>
        <w:tblW w:w="7621" w:type="dxa"/>
        <w:tblLook w:val="04A0" w:firstRow="1" w:lastRow="0" w:firstColumn="1" w:lastColumn="0" w:noHBand="0" w:noVBand="1"/>
      </w:tblPr>
      <w:tblGrid>
        <w:gridCol w:w="1325"/>
        <w:gridCol w:w="942"/>
        <w:gridCol w:w="1021"/>
        <w:gridCol w:w="987"/>
        <w:gridCol w:w="1021"/>
        <w:gridCol w:w="1079"/>
        <w:gridCol w:w="1246"/>
      </w:tblGrid>
      <w:tr w:rsidR="00333A1A">
        <w:tc>
          <w:tcPr>
            <w:tcW w:w="1325" w:type="dxa"/>
          </w:tcPr>
          <w:p w:rsidR="00333A1A" w:rsidRDefault="00333A1A">
            <w:pPr>
              <w:keepNext/>
              <w:keepLines/>
              <w:jc w:val="both"/>
              <w:rPr>
                <w:noProof/>
                <w:sz w:val="18"/>
              </w:rPr>
            </w:pPr>
          </w:p>
        </w:tc>
        <w:tc>
          <w:tcPr>
            <w:tcW w:w="942" w:type="dxa"/>
          </w:tcPr>
          <w:p w:rsidR="00333A1A" w:rsidRDefault="003D29C9">
            <w:pPr>
              <w:keepNext/>
              <w:keepLines/>
              <w:jc w:val="center"/>
              <w:rPr>
                <w:noProof/>
                <w:sz w:val="18"/>
              </w:rPr>
            </w:pPr>
            <w:r>
              <w:rPr>
                <w:noProof/>
                <w:sz w:val="18"/>
              </w:rPr>
              <w:t>Option 1</w:t>
            </w:r>
          </w:p>
        </w:tc>
        <w:tc>
          <w:tcPr>
            <w:tcW w:w="1021" w:type="dxa"/>
          </w:tcPr>
          <w:p w:rsidR="00333A1A" w:rsidRDefault="003D29C9">
            <w:pPr>
              <w:keepNext/>
              <w:keepLines/>
              <w:jc w:val="center"/>
              <w:rPr>
                <w:noProof/>
                <w:sz w:val="18"/>
              </w:rPr>
            </w:pPr>
            <w:r>
              <w:rPr>
                <w:noProof/>
                <w:sz w:val="18"/>
              </w:rPr>
              <w:t>Option 3a</w:t>
            </w:r>
          </w:p>
        </w:tc>
        <w:tc>
          <w:tcPr>
            <w:tcW w:w="987" w:type="dxa"/>
          </w:tcPr>
          <w:p w:rsidR="00333A1A" w:rsidRDefault="003D29C9">
            <w:pPr>
              <w:keepNext/>
              <w:keepLines/>
              <w:jc w:val="center"/>
              <w:rPr>
                <w:noProof/>
                <w:sz w:val="18"/>
              </w:rPr>
            </w:pPr>
            <w:r>
              <w:rPr>
                <w:noProof/>
                <w:sz w:val="18"/>
              </w:rPr>
              <w:t>Option3b</w:t>
            </w:r>
          </w:p>
        </w:tc>
        <w:tc>
          <w:tcPr>
            <w:tcW w:w="1021" w:type="dxa"/>
          </w:tcPr>
          <w:p w:rsidR="00333A1A" w:rsidRDefault="003D29C9">
            <w:pPr>
              <w:keepNext/>
              <w:keepLines/>
              <w:jc w:val="center"/>
              <w:rPr>
                <w:noProof/>
                <w:sz w:val="18"/>
              </w:rPr>
            </w:pPr>
            <w:r>
              <w:rPr>
                <w:noProof/>
                <w:sz w:val="18"/>
              </w:rPr>
              <w:t>Option 4a</w:t>
            </w:r>
          </w:p>
        </w:tc>
        <w:tc>
          <w:tcPr>
            <w:tcW w:w="1079" w:type="dxa"/>
          </w:tcPr>
          <w:p w:rsidR="00333A1A" w:rsidRDefault="003D29C9">
            <w:pPr>
              <w:keepNext/>
              <w:keepLines/>
              <w:jc w:val="center"/>
              <w:rPr>
                <w:noProof/>
                <w:sz w:val="18"/>
              </w:rPr>
            </w:pPr>
            <w:r>
              <w:rPr>
                <w:noProof/>
                <w:sz w:val="18"/>
              </w:rPr>
              <w:t>Option 4b</w:t>
            </w:r>
          </w:p>
        </w:tc>
        <w:tc>
          <w:tcPr>
            <w:tcW w:w="1246" w:type="dxa"/>
          </w:tcPr>
          <w:p w:rsidR="00333A1A" w:rsidRDefault="003D29C9">
            <w:pPr>
              <w:keepNext/>
              <w:keepLines/>
              <w:jc w:val="center"/>
              <w:rPr>
                <w:noProof/>
                <w:sz w:val="18"/>
              </w:rPr>
            </w:pPr>
            <w:r>
              <w:rPr>
                <w:noProof/>
                <w:sz w:val="18"/>
              </w:rPr>
              <w:t>Option 5</w:t>
            </w:r>
          </w:p>
        </w:tc>
      </w:tr>
      <w:tr w:rsidR="00333A1A">
        <w:tc>
          <w:tcPr>
            <w:tcW w:w="1325" w:type="dxa"/>
          </w:tcPr>
          <w:p w:rsidR="00333A1A" w:rsidRDefault="003D29C9">
            <w:pPr>
              <w:keepNext/>
              <w:keepLines/>
              <w:jc w:val="both"/>
              <w:rPr>
                <w:noProof/>
                <w:sz w:val="18"/>
              </w:rPr>
            </w:pPr>
            <w:r>
              <w:rPr>
                <w:noProof/>
                <w:sz w:val="18"/>
              </w:rPr>
              <w:t>Conditionality</w:t>
            </w:r>
          </w:p>
        </w:tc>
        <w:tc>
          <w:tcPr>
            <w:tcW w:w="942" w:type="dxa"/>
          </w:tcPr>
          <w:p w:rsidR="00333A1A" w:rsidRDefault="003D29C9">
            <w:pPr>
              <w:keepNext/>
              <w:keepLines/>
              <w:jc w:val="center"/>
              <w:rPr>
                <w:noProof/>
                <w:sz w:val="18"/>
              </w:rPr>
            </w:pPr>
            <w:r>
              <w:rPr>
                <w:noProof/>
                <w:sz w:val="18"/>
              </w:rPr>
              <w:t>+</w:t>
            </w:r>
          </w:p>
        </w:tc>
        <w:tc>
          <w:tcPr>
            <w:tcW w:w="1021" w:type="dxa"/>
          </w:tcPr>
          <w:p w:rsidR="00333A1A" w:rsidRDefault="003D29C9">
            <w:pPr>
              <w:keepNext/>
              <w:keepLines/>
              <w:jc w:val="center"/>
              <w:rPr>
                <w:noProof/>
                <w:sz w:val="18"/>
              </w:rPr>
            </w:pPr>
            <w:r>
              <w:rPr>
                <w:noProof/>
                <w:sz w:val="18"/>
              </w:rPr>
              <w:t>++</w:t>
            </w:r>
          </w:p>
        </w:tc>
        <w:tc>
          <w:tcPr>
            <w:tcW w:w="987" w:type="dxa"/>
          </w:tcPr>
          <w:p w:rsidR="00333A1A" w:rsidRDefault="003D29C9">
            <w:pPr>
              <w:keepNext/>
              <w:keepLines/>
              <w:jc w:val="center"/>
              <w:rPr>
                <w:noProof/>
                <w:sz w:val="18"/>
              </w:rPr>
            </w:pPr>
            <w:r>
              <w:rPr>
                <w:noProof/>
                <w:sz w:val="18"/>
              </w:rPr>
              <w:t>++</w:t>
            </w:r>
          </w:p>
        </w:tc>
        <w:tc>
          <w:tcPr>
            <w:tcW w:w="1021" w:type="dxa"/>
          </w:tcPr>
          <w:p w:rsidR="00333A1A" w:rsidRDefault="003D29C9">
            <w:pPr>
              <w:keepNext/>
              <w:keepLines/>
              <w:jc w:val="center"/>
              <w:rPr>
                <w:noProof/>
                <w:sz w:val="18"/>
              </w:rPr>
            </w:pPr>
            <w:r>
              <w:rPr>
                <w:noProof/>
                <w:sz w:val="18"/>
              </w:rPr>
              <w:t>++++</w:t>
            </w:r>
          </w:p>
        </w:tc>
        <w:tc>
          <w:tcPr>
            <w:tcW w:w="1079" w:type="dxa"/>
          </w:tcPr>
          <w:p w:rsidR="00333A1A" w:rsidRDefault="003D29C9">
            <w:pPr>
              <w:keepNext/>
              <w:keepLines/>
              <w:jc w:val="center"/>
              <w:rPr>
                <w:noProof/>
                <w:sz w:val="18"/>
              </w:rPr>
            </w:pPr>
            <w:r>
              <w:rPr>
                <w:noProof/>
                <w:sz w:val="18"/>
              </w:rPr>
              <w:t>++</w:t>
            </w:r>
          </w:p>
        </w:tc>
        <w:tc>
          <w:tcPr>
            <w:tcW w:w="1246" w:type="dxa"/>
          </w:tcPr>
          <w:p w:rsidR="00333A1A" w:rsidRDefault="003D29C9">
            <w:pPr>
              <w:keepNext/>
              <w:keepLines/>
              <w:jc w:val="center"/>
              <w:rPr>
                <w:noProof/>
                <w:sz w:val="18"/>
              </w:rPr>
            </w:pPr>
            <w:r>
              <w:rPr>
                <w:noProof/>
                <w:sz w:val="18"/>
              </w:rPr>
              <w:t>++</w:t>
            </w:r>
          </w:p>
        </w:tc>
      </w:tr>
      <w:tr w:rsidR="00333A1A">
        <w:tc>
          <w:tcPr>
            <w:tcW w:w="1325" w:type="dxa"/>
          </w:tcPr>
          <w:p w:rsidR="00333A1A" w:rsidRDefault="003D29C9">
            <w:pPr>
              <w:keepNext/>
              <w:keepLines/>
              <w:jc w:val="both"/>
              <w:rPr>
                <w:noProof/>
                <w:sz w:val="18"/>
              </w:rPr>
            </w:pPr>
            <w:r>
              <w:rPr>
                <w:noProof/>
                <w:sz w:val="18"/>
              </w:rPr>
              <w:t>Other interventions</w:t>
            </w:r>
          </w:p>
        </w:tc>
        <w:tc>
          <w:tcPr>
            <w:tcW w:w="942" w:type="dxa"/>
          </w:tcPr>
          <w:p w:rsidR="00333A1A" w:rsidRDefault="00333A1A">
            <w:pPr>
              <w:keepNext/>
              <w:keepLines/>
              <w:jc w:val="center"/>
              <w:rPr>
                <w:noProof/>
                <w:sz w:val="18"/>
              </w:rPr>
            </w:pPr>
          </w:p>
        </w:tc>
        <w:tc>
          <w:tcPr>
            <w:tcW w:w="1021" w:type="dxa"/>
          </w:tcPr>
          <w:p w:rsidR="00333A1A" w:rsidRDefault="00333A1A">
            <w:pPr>
              <w:keepNext/>
              <w:keepLines/>
              <w:jc w:val="center"/>
              <w:rPr>
                <w:noProof/>
                <w:sz w:val="18"/>
              </w:rPr>
            </w:pPr>
          </w:p>
        </w:tc>
        <w:tc>
          <w:tcPr>
            <w:tcW w:w="987" w:type="dxa"/>
          </w:tcPr>
          <w:p w:rsidR="00333A1A" w:rsidRDefault="00333A1A">
            <w:pPr>
              <w:keepNext/>
              <w:keepLines/>
              <w:jc w:val="center"/>
              <w:rPr>
                <w:noProof/>
                <w:sz w:val="18"/>
              </w:rPr>
            </w:pPr>
          </w:p>
        </w:tc>
        <w:tc>
          <w:tcPr>
            <w:tcW w:w="2100" w:type="dxa"/>
            <w:gridSpan w:val="2"/>
          </w:tcPr>
          <w:p w:rsidR="00333A1A" w:rsidRDefault="003D29C9">
            <w:pPr>
              <w:keepNext/>
              <w:keepLines/>
              <w:jc w:val="center"/>
              <w:rPr>
                <w:noProof/>
                <w:sz w:val="16"/>
              </w:rPr>
            </w:pPr>
            <w:r>
              <w:rPr>
                <w:noProof/>
                <w:sz w:val="16"/>
              </w:rPr>
              <w:t>Support redistribution  to permanent grassland and targeted coupled support to extensive livestock</w:t>
            </w:r>
          </w:p>
        </w:tc>
        <w:tc>
          <w:tcPr>
            <w:tcW w:w="1246" w:type="dxa"/>
          </w:tcPr>
          <w:p w:rsidR="00333A1A" w:rsidRDefault="003D29C9">
            <w:pPr>
              <w:keepNext/>
              <w:keepLines/>
              <w:jc w:val="center"/>
              <w:rPr>
                <w:noProof/>
                <w:sz w:val="18"/>
              </w:rPr>
            </w:pPr>
            <w:r>
              <w:rPr>
                <w:noProof/>
                <w:sz w:val="16"/>
              </w:rPr>
              <w:t>Targeted coupled support to extensive livestock</w:t>
            </w:r>
          </w:p>
        </w:tc>
      </w:tr>
      <w:tr w:rsidR="00333A1A">
        <w:tc>
          <w:tcPr>
            <w:tcW w:w="1325" w:type="dxa"/>
            <w:shd w:val="clear" w:color="auto" w:fill="92D050"/>
          </w:tcPr>
          <w:p w:rsidR="00333A1A" w:rsidRDefault="003D29C9">
            <w:pPr>
              <w:keepNext/>
              <w:keepLines/>
              <w:jc w:val="both"/>
              <w:rPr>
                <w:b/>
                <w:noProof/>
                <w:sz w:val="18"/>
              </w:rPr>
            </w:pPr>
            <w:r>
              <w:rPr>
                <w:noProof/>
                <w:sz w:val="18"/>
              </w:rPr>
              <w:t>Eco-scheme (voluntary)</w:t>
            </w:r>
          </w:p>
        </w:tc>
        <w:tc>
          <w:tcPr>
            <w:tcW w:w="942" w:type="dxa"/>
            <w:shd w:val="clear" w:color="auto" w:fill="92D050"/>
          </w:tcPr>
          <w:p w:rsidR="00333A1A" w:rsidRDefault="00333A1A">
            <w:pPr>
              <w:keepNext/>
              <w:keepLines/>
              <w:jc w:val="center"/>
              <w:rPr>
                <w:b/>
                <w:noProof/>
                <w:sz w:val="18"/>
              </w:rPr>
            </w:pPr>
          </w:p>
        </w:tc>
        <w:tc>
          <w:tcPr>
            <w:tcW w:w="1021" w:type="dxa"/>
            <w:shd w:val="clear" w:color="auto" w:fill="92D050"/>
          </w:tcPr>
          <w:p w:rsidR="00333A1A" w:rsidRDefault="003D29C9">
            <w:pPr>
              <w:keepNext/>
              <w:keepLines/>
              <w:jc w:val="center"/>
              <w:rPr>
                <w:b/>
                <w:noProof/>
                <w:sz w:val="18"/>
              </w:rPr>
            </w:pPr>
            <w:r>
              <w:rPr>
                <w:b/>
                <w:noProof/>
                <w:sz w:val="18"/>
              </w:rPr>
              <w:t>++</w:t>
            </w:r>
          </w:p>
        </w:tc>
        <w:tc>
          <w:tcPr>
            <w:tcW w:w="987" w:type="dxa"/>
            <w:shd w:val="clear" w:color="auto" w:fill="92D050"/>
          </w:tcPr>
          <w:p w:rsidR="00333A1A" w:rsidRDefault="003D29C9">
            <w:pPr>
              <w:keepNext/>
              <w:keepLines/>
              <w:jc w:val="center"/>
              <w:rPr>
                <w:b/>
                <w:noProof/>
                <w:sz w:val="18"/>
              </w:rPr>
            </w:pPr>
            <w:r>
              <w:rPr>
                <w:b/>
                <w:noProof/>
                <w:sz w:val="18"/>
              </w:rPr>
              <w:t>+</w:t>
            </w:r>
          </w:p>
        </w:tc>
        <w:tc>
          <w:tcPr>
            <w:tcW w:w="1021" w:type="dxa"/>
            <w:shd w:val="clear" w:color="auto" w:fill="92D050"/>
          </w:tcPr>
          <w:p w:rsidR="00333A1A" w:rsidRDefault="00333A1A">
            <w:pPr>
              <w:keepNext/>
              <w:keepLines/>
              <w:jc w:val="center"/>
              <w:rPr>
                <w:b/>
                <w:noProof/>
                <w:sz w:val="18"/>
              </w:rPr>
            </w:pPr>
          </w:p>
        </w:tc>
        <w:tc>
          <w:tcPr>
            <w:tcW w:w="1079" w:type="dxa"/>
            <w:shd w:val="clear" w:color="auto" w:fill="92D050"/>
          </w:tcPr>
          <w:p w:rsidR="00333A1A" w:rsidRDefault="00333A1A">
            <w:pPr>
              <w:keepNext/>
              <w:keepLines/>
              <w:jc w:val="center"/>
              <w:rPr>
                <w:b/>
                <w:noProof/>
                <w:sz w:val="18"/>
              </w:rPr>
            </w:pPr>
          </w:p>
        </w:tc>
        <w:tc>
          <w:tcPr>
            <w:tcW w:w="1246" w:type="dxa"/>
            <w:shd w:val="clear" w:color="auto" w:fill="92D050"/>
          </w:tcPr>
          <w:p w:rsidR="00333A1A" w:rsidRDefault="00333A1A">
            <w:pPr>
              <w:keepNext/>
              <w:keepLines/>
              <w:jc w:val="center"/>
              <w:rPr>
                <w:b/>
                <w:noProof/>
                <w:sz w:val="18"/>
              </w:rPr>
            </w:pPr>
          </w:p>
        </w:tc>
      </w:tr>
      <w:tr w:rsidR="00333A1A">
        <w:tc>
          <w:tcPr>
            <w:tcW w:w="1325" w:type="dxa"/>
            <w:shd w:val="clear" w:color="auto" w:fill="92D050"/>
          </w:tcPr>
          <w:p w:rsidR="00333A1A" w:rsidRDefault="003D29C9">
            <w:pPr>
              <w:keepNext/>
              <w:keepLines/>
              <w:jc w:val="both"/>
              <w:rPr>
                <w:b/>
                <w:noProof/>
                <w:sz w:val="18"/>
              </w:rPr>
            </w:pPr>
            <w:r>
              <w:rPr>
                <w:noProof/>
                <w:sz w:val="18"/>
              </w:rPr>
              <w:t>Top ups</w:t>
            </w:r>
          </w:p>
        </w:tc>
        <w:tc>
          <w:tcPr>
            <w:tcW w:w="942" w:type="dxa"/>
            <w:shd w:val="clear" w:color="auto" w:fill="92D050"/>
          </w:tcPr>
          <w:p w:rsidR="00333A1A" w:rsidRDefault="00333A1A">
            <w:pPr>
              <w:keepNext/>
              <w:keepLines/>
              <w:jc w:val="center"/>
              <w:rPr>
                <w:b/>
                <w:noProof/>
                <w:sz w:val="18"/>
              </w:rPr>
            </w:pPr>
          </w:p>
        </w:tc>
        <w:tc>
          <w:tcPr>
            <w:tcW w:w="1021" w:type="dxa"/>
            <w:shd w:val="clear" w:color="auto" w:fill="92D050"/>
          </w:tcPr>
          <w:p w:rsidR="00333A1A" w:rsidRDefault="00333A1A">
            <w:pPr>
              <w:keepNext/>
              <w:keepLines/>
              <w:jc w:val="center"/>
              <w:rPr>
                <w:b/>
                <w:noProof/>
                <w:sz w:val="18"/>
              </w:rPr>
            </w:pPr>
          </w:p>
        </w:tc>
        <w:tc>
          <w:tcPr>
            <w:tcW w:w="987" w:type="dxa"/>
            <w:shd w:val="clear" w:color="auto" w:fill="92D050"/>
          </w:tcPr>
          <w:p w:rsidR="00333A1A" w:rsidRDefault="00333A1A">
            <w:pPr>
              <w:keepNext/>
              <w:keepLines/>
              <w:jc w:val="center"/>
              <w:rPr>
                <w:b/>
                <w:noProof/>
                <w:sz w:val="18"/>
              </w:rPr>
            </w:pPr>
          </w:p>
        </w:tc>
        <w:tc>
          <w:tcPr>
            <w:tcW w:w="1021" w:type="dxa"/>
            <w:shd w:val="clear" w:color="auto" w:fill="92D050"/>
          </w:tcPr>
          <w:p w:rsidR="00333A1A" w:rsidRDefault="00333A1A">
            <w:pPr>
              <w:keepNext/>
              <w:keepLines/>
              <w:jc w:val="center"/>
              <w:rPr>
                <w:b/>
                <w:noProof/>
                <w:sz w:val="18"/>
              </w:rPr>
            </w:pPr>
          </w:p>
        </w:tc>
        <w:tc>
          <w:tcPr>
            <w:tcW w:w="1079" w:type="dxa"/>
            <w:shd w:val="clear" w:color="auto" w:fill="92D050"/>
          </w:tcPr>
          <w:p w:rsidR="00333A1A" w:rsidRDefault="00333A1A">
            <w:pPr>
              <w:keepNext/>
              <w:keepLines/>
              <w:jc w:val="center"/>
              <w:rPr>
                <w:b/>
                <w:noProof/>
                <w:sz w:val="18"/>
              </w:rPr>
            </w:pPr>
          </w:p>
        </w:tc>
        <w:tc>
          <w:tcPr>
            <w:tcW w:w="1246" w:type="dxa"/>
            <w:shd w:val="clear" w:color="auto" w:fill="92D050"/>
          </w:tcPr>
          <w:p w:rsidR="00333A1A" w:rsidRDefault="003D29C9">
            <w:pPr>
              <w:keepNext/>
              <w:keepLines/>
              <w:jc w:val="center"/>
              <w:rPr>
                <w:b/>
                <w:noProof/>
                <w:sz w:val="18"/>
              </w:rPr>
            </w:pPr>
            <w:r>
              <w:rPr>
                <w:b/>
                <w:noProof/>
                <w:sz w:val="18"/>
              </w:rPr>
              <w:t>++</w:t>
            </w:r>
          </w:p>
        </w:tc>
      </w:tr>
      <w:tr w:rsidR="00333A1A">
        <w:tc>
          <w:tcPr>
            <w:tcW w:w="1325" w:type="dxa"/>
            <w:shd w:val="clear" w:color="auto" w:fill="92D050"/>
          </w:tcPr>
          <w:p w:rsidR="00333A1A" w:rsidRDefault="003D29C9">
            <w:pPr>
              <w:keepNext/>
              <w:keepLines/>
              <w:jc w:val="both"/>
              <w:rPr>
                <w:noProof/>
                <w:sz w:val="18"/>
              </w:rPr>
            </w:pPr>
            <w:r>
              <w:rPr>
                <w:noProof/>
                <w:sz w:val="18"/>
              </w:rPr>
              <w:t>AECH</w:t>
            </w:r>
          </w:p>
        </w:tc>
        <w:tc>
          <w:tcPr>
            <w:tcW w:w="942" w:type="dxa"/>
            <w:shd w:val="clear" w:color="auto" w:fill="92D050"/>
          </w:tcPr>
          <w:p w:rsidR="00333A1A" w:rsidRDefault="003D29C9">
            <w:pPr>
              <w:keepNext/>
              <w:keepLines/>
              <w:jc w:val="center"/>
              <w:rPr>
                <w:b/>
                <w:noProof/>
                <w:sz w:val="18"/>
              </w:rPr>
            </w:pPr>
            <w:r>
              <w:rPr>
                <w:b/>
                <w:noProof/>
                <w:sz w:val="18"/>
              </w:rPr>
              <w:t>+</w:t>
            </w:r>
          </w:p>
        </w:tc>
        <w:tc>
          <w:tcPr>
            <w:tcW w:w="1021" w:type="dxa"/>
            <w:shd w:val="clear" w:color="auto" w:fill="92D050"/>
          </w:tcPr>
          <w:p w:rsidR="00333A1A" w:rsidRDefault="003D29C9">
            <w:pPr>
              <w:keepNext/>
              <w:keepLines/>
              <w:jc w:val="center"/>
              <w:rPr>
                <w:b/>
                <w:noProof/>
                <w:sz w:val="18"/>
              </w:rPr>
            </w:pPr>
            <w:r>
              <w:rPr>
                <w:b/>
                <w:noProof/>
                <w:sz w:val="18"/>
              </w:rPr>
              <w:t>+</w:t>
            </w:r>
          </w:p>
        </w:tc>
        <w:tc>
          <w:tcPr>
            <w:tcW w:w="987" w:type="dxa"/>
            <w:shd w:val="clear" w:color="auto" w:fill="92D050"/>
          </w:tcPr>
          <w:p w:rsidR="00333A1A" w:rsidRDefault="003D29C9">
            <w:pPr>
              <w:keepNext/>
              <w:keepLines/>
              <w:jc w:val="center"/>
              <w:rPr>
                <w:b/>
                <w:noProof/>
                <w:sz w:val="18"/>
              </w:rPr>
            </w:pPr>
            <w:r>
              <w:rPr>
                <w:b/>
                <w:noProof/>
                <w:sz w:val="18"/>
              </w:rPr>
              <w:t>+</w:t>
            </w:r>
          </w:p>
        </w:tc>
        <w:tc>
          <w:tcPr>
            <w:tcW w:w="1021" w:type="dxa"/>
            <w:shd w:val="clear" w:color="auto" w:fill="92D050"/>
          </w:tcPr>
          <w:p w:rsidR="00333A1A" w:rsidRDefault="003D29C9">
            <w:pPr>
              <w:keepNext/>
              <w:keepLines/>
              <w:jc w:val="center"/>
              <w:rPr>
                <w:b/>
                <w:noProof/>
                <w:sz w:val="18"/>
              </w:rPr>
            </w:pPr>
            <w:r>
              <w:rPr>
                <w:b/>
                <w:noProof/>
                <w:sz w:val="18"/>
              </w:rPr>
              <w:t>+</w:t>
            </w:r>
          </w:p>
        </w:tc>
        <w:tc>
          <w:tcPr>
            <w:tcW w:w="1079" w:type="dxa"/>
            <w:shd w:val="clear" w:color="auto" w:fill="92D050"/>
          </w:tcPr>
          <w:p w:rsidR="00333A1A" w:rsidRDefault="003D29C9">
            <w:pPr>
              <w:keepNext/>
              <w:keepLines/>
              <w:jc w:val="center"/>
              <w:rPr>
                <w:b/>
                <w:noProof/>
                <w:sz w:val="18"/>
              </w:rPr>
            </w:pPr>
            <w:r>
              <w:rPr>
                <w:b/>
                <w:noProof/>
                <w:sz w:val="18"/>
              </w:rPr>
              <w:t>+</w:t>
            </w:r>
          </w:p>
        </w:tc>
        <w:tc>
          <w:tcPr>
            <w:tcW w:w="1246" w:type="dxa"/>
            <w:shd w:val="clear" w:color="auto" w:fill="92D050"/>
          </w:tcPr>
          <w:p w:rsidR="00333A1A" w:rsidRDefault="003D29C9">
            <w:pPr>
              <w:keepNext/>
              <w:keepLines/>
              <w:jc w:val="center"/>
              <w:rPr>
                <w:b/>
                <w:noProof/>
                <w:sz w:val="18"/>
              </w:rPr>
            </w:pPr>
            <w:r>
              <w:rPr>
                <w:b/>
                <w:noProof/>
                <w:sz w:val="18"/>
              </w:rPr>
              <w:t>++</w:t>
            </w:r>
          </w:p>
        </w:tc>
      </w:tr>
    </w:tbl>
    <w:p w:rsidR="00333A1A" w:rsidRDefault="003D29C9">
      <w:pPr>
        <w:pStyle w:val="Heading1"/>
        <w:rPr>
          <w:noProof/>
        </w:rPr>
      </w:pPr>
      <w:bookmarkStart w:id="10" w:name="_Toc507689263"/>
      <w:bookmarkStart w:id="11" w:name="_Toc508286103"/>
      <w:bookmarkStart w:id="12" w:name="_Toc508286213"/>
      <w:bookmarkStart w:id="13" w:name="_Toc513053258"/>
      <w:bookmarkStart w:id="14" w:name="_Toc513053474"/>
      <w:bookmarkStart w:id="15" w:name="_Toc514514605"/>
      <w:r>
        <w:rPr>
          <w:noProof/>
        </w:rPr>
        <w:t>Results of quantitative analysis</w:t>
      </w:r>
      <w:bookmarkEnd w:id="10"/>
      <w:bookmarkEnd w:id="11"/>
      <w:bookmarkEnd w:id="12"/>
      <w:bookmarkEnd w:id="13"/>
      <w:bookmarkEnd w:id="14"/>
      <w:bookmarkEnd w:id="15"/>
    </w:p>
    <w:p w:rsidR="00333A1A" w:rsidRDefault="003D29C9">
      <w:pPr>
        <w:pStyle w:val="Text1"/>
        <w:ind w:left="0"/>
        <w:rPr>
          <w:noProof/>
        </w:rPr>
      </w:pPr>
      <w:r>
        <w:rPr>
          <w:noProof/>
        </w:rPr>
        <w:t>The findings are presented according to the corresponding objectives</w:t>
      </w:r>
    </w:p>
    <w:p w:rsidR="00333A1A" w:rsidRDefault="003D29C9">
      <w:pPr>
        <w:pStyle w:val="Heading2"/>
        <w:rPr>
          <w:noProof/>
        </w:rPr>
      </w:pPr>
      <w:bookmarkStart w:id="16" w:name="_Toc508208586"/>
      <w:bookmarkStart w:id="17" w:name="_Toc513053259"/>
      <w:bookmarkStart w:id="18" w:name="_Toc513053475"/>
      <w:bookmarkStart w:id="19" w:name="_Toc514514606"/>
      <w:r>
        <w:rPr>
          <w:noProof/>
        </w:rPr>
        <w:t>Support viable farm income and resilience across the EU territory</w:t>
      </w:r>
      <w:bookmarkEnd w:id="16"/>
      <w:bookmarkEnd w:id="17"/>
      <w:bookmarkEnd w:id="18"/>
      <w:bookmarkEnd w:id="19"/>
    </w:p>
    <w:p w:rsidR="00333A1A" w:rsidRDefault="003D29C9">
      <w:pPr>
        <w:pStyle w:val="Heading3"/>
        <w:rPr>
          <w:noProof/>
        </w:rPr>
      </w:pPr>
      <w:bookmarkStart w:id="20" w:name="_Toc508208587"/>
      <w:r>
        <w:rPr>
          <w:noProof/>
        </w:rPr>
        <w:t>Provide income support in a targeted way</w:t>
      </w:r>
      <w:bookmarkEnd w:id="20"/>
    </w:p>
    <w:p w:rsidR="00333A1A" w:rsidRDefault="003D29C9">
      <w:pPr>
        <w:pStyle w:val="Text1"/>
        <w:ind w:left="0"/>
        <w:rPr>
          <w:b/>
          <w:i/>
          <w:noProof/>
        </w:rPr>
      </w:pPr>
      <w:r>
        <w:rPr>
          <w:b/>
          <w:i/>
          <w:noProof/>
        </w:rPr>
        <w:t xml:space="preserve">Negative impact of policy </w:t>
      </w:r>
      <w:r>
        <w:rPr>
          <w:b/>
          <w:i/>
          <w:noProof/>
        </w:rPr>
        <w:t>changes on average EU income level</w:t>
      </w:r>
    </w:p>
    <w:p w:rsidR="00333A1A" w:rsidRDefault="003D29C9">
      <w:pPr>
        <w:pStyle w:val="Text1"/>
        <w:spacing w:after="0"/>
        <w:ind w:left="0"/>
        <w:rPr>
          <w:noProof/>
        </w:rPr>
      </w:pPr>
      <w:r>
        <w:rPr>
          <w:noProof/>
        </w:rPr>
        <w:t xml:space="preserve">Farm income is negatively affected in all options compared to baseline and option 1 for three main reasons: </w:t>
      </w:r>
    </w:p>
    <w:p w:rsidR="00333A1A" w:rsidRDefault="00333A1A">
      <w:pPr>
        <w:pStyle w:val="Text1"/>
        <w:spacing w:after="0"/>
        <w:ind w:left="0"/>
        <w:rPr>
          <w:noProof/>
        </w:rPr>
      </w:pPr>
    </w:p>
    <w:p w:rsidR="00333A1A" w:rsidRDefault="003D29C9">
      <w:pPr>
        <w:pStyle w:val="Text1"/>
        <w:numPr>
          <w:ilvl w:val="0"/>
          <w:numId w:val="30"/>
        </w:numPr>
        <w:spacing w:after="0"/>
        <w:ind w:left="482" w:hanging="482"/>
        <w:rPr>
          <w:noProof/>
        </w:rPr>
      </w:pPr>
      <w:r>
        <w:rPr>
          <w:noProof/>
        </w:rPr>
        <w:t xml:space="preserve">The budget cut and redistribution of support (notably to small and medium size farms). </w:t>
      </w:r>
    </w:p>
    <w:p w:rsidR="00333A1A" w:rsidRDefault="003D29C9">
      <w:pPr>
        <w:pStyle w:val="Text1"/>
        <w:numPr>
          <w:ilvl w:val="0"/>
          <w:numId w:val="30"/>
        </w:numPr>
        <w:spacing w:after="0"/>
        <w:ind w:left="482" w:hanging="482"/>
        <w:rPr>
          <w:noProof/>
        </w:rPr>
      </w:pPr>
      <w:r>
        <w:rPr>
          <w:noProof/>
        </w:rPr>
        <w:t>The reduction in direct</w:t>
      </w:r>
      <w:r>
        <w:rPr>
          <w:noProof/>
        </w:rPr>
        <w:t xml:space="preserve"> payments because of re-allocation of funds to risk management (options 3 and 4): this leads to a decrease of the EU average income level in 'normal</w:t>
      </w:r>
      <w:r>
        <w:rPr>
          <w:noProof/>
          <w:vertAlign w:val="superscript"/>
        </w:rPr>
        <w:footnoteReference w:id="3"/>
      </w:r>
      <w:r>
        <w:rPr>
          <w:noProof/>
          <w:vertAlign w:val="superscript"/>
        </w:rPr>
        <w:t>'</w:t>
      </w:r>
      <w:r>
        <w:rPr>
          <w:noProof/>
        </w:rPr>
        <w:t xml:space="preserve"> years assessed here</w:t>
      </w:r>
      <w:r>
        <w:rPr>
          <w:rStyle w:val="FootnoteReference"/>
          <w:noProof/>
        </w:rPr>
        <w:footnoteReference w:id="4"/>
      </w:r>
      <w:r>
        <w:rPr>
          <w:noProof/>
        </w:rPr>
        <w:t xml:space="preserve">. In years of strong yield or price drops, risk management tools can help farmers to </w:t>
      </w:r>
      <w:r>
        <w:rPr>
          <w:noProof/>
        </w:rPr>
        <w:t xml:space="preserve">mitigate negative impacts on income. </w:t>
      </w:r>
    </w:p>
    <w:p w:rsidR="00333A1A" w:rsidRDefault="003D29C9">
      <w:pPr>
        <w:pStyle w:val="Text1"/>
        <w:numPr>
          <w:ilvl w:val="0"/>
          <w:numId w:val="30"/>
        </w:numPr>
        <w:ind w:left="482" w:hanging="482"/>
        <w:rPr>
          <w:noProof/>
        </w:rPr>
      </w:pPr>
      <w:r>
        <w:rPr>
          <w:noProof/>
        </w:rPr>
        <w:t>The changes in farm practises to increase the environmental and climatic performance of the CAP: the land re-allocation to fulfil crop rotation restriction, the costs to comply with the other green requirements and the</w:t>
      </w:r>
      <w:r>
        <w:rPr>
          <w:noProof/>
        </w:rPr>
        <w:t xml:space="preserve"> obligation to dedicate more land to non-productive elements lead to a significant decline in cereal area in favour of set aside and fallow land, and thus a decline in market revenue. </w:t>
      </w:r>
    </w:p>
    <w:p w:rsidR="00333A1A" w:rsidRDefault="003D29C9">
      <w:pPr>
        <w:spacing w:after="240"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Note of caution: farm income decline is overestimated, as the model use</w:t>
      </w:r>
      <w:r>
        <w:rPr>
          <w:rFonts w:ascii="Times New Roman" w:eastAsia="Times New Roman" w:hAnsi="Times New Roman" w:cs="Times New Roman"/>
          <w:i/>
          <w:noProof/>
          <w:sz w:val="24"/>
          <w:szCs w:val="20"/>
        </w:rPr>
        <w:t>d does not account for structural change, price feedback</w:t>
      </w:r>
      <w:r>
        <w:rPr>
          <w:noProof/>
          <w:vertAlign w:val="superscript"/>
        </w:rPr>
        <w:footnoteReference w:id="5"/>
      </w:r>
      <w:r>
        <w:rPr>
          <w:rFonts w:ascii="Times New Roman" w:eastAsia="Times New Roman" w:hAnsi="Times New Roman" w:cs="Times New Roman"/>
          <w:i/>
          <w:noProof/>
          <w:sz w:val="24"/>
          <w:szCs w:val="20"/>
        </w:rPr>
        <w:t xml:space="preserve"> and longer term benefits due to changes in production systems. Nonetheless, the analysis gives an accurate indication of the relative performance of the various options in the short-term, as well as of the expected impact on different farm types and secto</w:t>
      </w:r>
      <w:r>
        <w:rPr>
          <w:rFonts w:ascii="Times New Roman" w:eastAsia="Times New Roman" w:hAnsi="Times New Roman" w:cs="Times New Roman"/>
          <w:i/>
          <w:noProof/>
          <w:sz w:val="24"/>
          <w:szCs w:val="20"/>
        </w:rPr>
        <w:t xml:space="preserve">rs. </w:t>
      </w:r>
    </w:p>
    <w:p w:rsidR="00333A1A" w:rsidRDefault="003D29C9">
      <w:pPr>
        <w:pStyle w:val="Text1"/>
        <w:ind w:left="0"/>
        <w:rPr>
          <w:noProof/>
        </w:rPr>
      </w:pPr>
      <w:r>
        <w:rPr>
          <w:noProof/>
        </w:rPr>
        <w:t xml:space="preserve">This modelling exercise does not account for structural change, i.e. it assumes the same number and size of farms in all simulations. However, large income decreases such as those expected for certain sectors/options might push less efficient farmers </w:t>
      </w:r>
      <w:r>
        <w:rPr>
          <w:noProof/>
        </w:rPr>
        <w:t>out of business.</w:t>
      </w:r>
    </w:p>
    <w:p w:rsidR="00333A1A" w:rsidRDefault="003D29C9">
      <w:pPr>
        <w:pStyle w:val="Text1"/>
        <w:ind w:left="0"/>
        <w:rPr>
          <w:noProof/>
        </w:rPr>
      </w:pPr>
      <w:r>
        <w:rPr>
          <w:noProof/>
        </w:rPr>
        <w:t>The largest income</w:t>
      </w:r>
      <w:r>
        <w:rPr>
          <w:noProof/>
          <w:vertAlign w:val="superscript"/>
          <w:lang w:eastAsia="en-GB"/>
        </w:rPr>
        <w:footnoteReference w:id="6"/>
      </w:r>
      <w:r>
        <w:rPr>
          <w:noProof/>
        </w:rPr>
        <w:t xml:space="preserve"> drop is in option 3a (-10% relative to option 1), where the switch of priority to risk management is the strongest and then in option 4a (-8%), the two options with the highest environmental ambition. The income decline</w:t>
      </w:r>
      <w:r>
        <w:rPr>
          <w:noProof/>
        </w:rPr>
        <w:t xml:space="preserve"> is smaller and of a similar range in option 3b, 4b and 5 (around -5% compared to option 1). A linear cut (option 1) would drive a smaller drop on average (-2%) but without addressing the challenges ahead and certain sectors and MS would be more strongly h</w:t>
      </w:r>
      <w:r>
        <w:rPr>
          <w:noProof/>
        </w:rPr>
        <w:t>it.</w:t>
      </w:r>
    </w:p>
    <w:p w:rsidR="00333A1A" w:rsidRDefault="003D29C9">
      <w:pPr>
        <w:pStyle w:val="Text1"/>
        <w:ind w:left="0"/>
        <w:rPr>
          <w:noProof/>
        </w:rPr>
      </w:pPr>
      <w:r>
        <w:rPr>
          <w:noProof/>
        </w:rPr>
        <w:t>In option 3, the uptake of the voluntary eco-scheme is simulated at EU level at 98%, varying from less than 90% in Portugal to 100% in MS with large areas of permanent grassland. It means that in view of the eco-scheme adoption costs and the unit payme</w:t>
      </w:r>
      <w:r>
        <w:rPr>
          <w:noProof/>
        </w:rPr>
        <w:t>nt level simulated here, only a small number of farmers chose to opt out from the eco-scheme. It shows that the unit payment level, which was set assuming a 100% uptake, is a significant incentive for farmers to adopt the changes in practises, all the more</w:t>
      </w:r>
      <w:r>
        <w:rPr>
          <w:noProof/>
        </w:rPr>
        <w:t xml:space="preserve"> because of the importance of support in farmers’ income. It highlights also the difficulty that MS will face in maximising environmental-climatic-health benefits and budget allocation at the same time on an annual basis. Said differently, it highlights th</w:t>
      </w:r>
      <w:r>
        <w:rPr>
          <w:noProof/>
        </w:rPr>
        <w:t xml:space="preserve">e difficulty to predict in advance the level of uptake and the most appropriate aid level in view of the requirements. </w:t>
      </w:r>
    </w:p>
    <w:p w:rsidR="00333A1A" w:rsidRDefault="003D29C9">
      <w:pPr>
        <w:spacing w:after="120"/>
        <w:rPr>
          <w:rFonts w:ascii="Times New Roman" w:eastAsia="Times New Roman" w:hAnsi="Times New Roman" w:cs="Times New Roman"/>
          <w:b/>
          <w:noProof/>
          <w:szCs w:val="20"/>
          <w:lang w:eastAsia="en-GB"/>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SEQ Table \* ARABIC \s 1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1</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 xml:space="preserve"> Impact of policy options on EU average farm income </w:t>
      </w:r>
    </w:p>
    <w:tbl>
      <w:tblPr>
        <w:tblW w:w="5000" w:type="pct"/>
        <w:tblCellMar>
          <w:left w:w="70" w:type="dxa"/>
          <w:right w:w="70" w:type="dxa"/>
        </w:tblCellMar>
        <w:tblLook w:val="04A0" w:firstRow="1" w:lastRow="0" w:firstColumn="1" w:lastColumn="0" w:noHBand="0" w:noVBand="1"/>
      </w:tblPr>
      <w:tblGrid>
        <w:gridCol w:w="1780"/>
        <w:gridCol w:w="1370"/>
        <w:gridCol w:w="1095"/>
        <w:gridCol w:w="1231"/>
        <w:gridCol w:w="1095"/>
        <w:gridCol w:w="1231"/>
        <w:gridCol w:w="956"/>
      </w:tblGrid>
      <w:tr w:rsidR="00333A1A">
        <w:trPr>
          <w:trHeight w:val="610"/>
        </w:trPr>
        <w:tc>
          <w:tcPr>
            <w:tcW w:w="1016" w:type="pct"/>
            <w:tcBorders>
              <w:top w:val="nil"/>
              <w:left w:val="nil"/>
              <w:bottom w:val="nil"/>
              <w:right w:val="nil"/>
            </w:tcBorders>
            <w:shd w:val="clear" w:color="auto" w:fill="auto"/>
            <w:noWrap/>
            <w:vAlign w:val="bottom"/>
            <w:hideMark/>
          </w:tcPr>
          <w:p w:rsidR="00333A1A" w:rsidRDefault="00333A1A">
            <w:pPr>
              <w:spacing w:after="0" w:line="240" w:lineRule="auto"/>
              <w:rPr>
                <w:rFonts w:ascii="Times New Roman" w:eastAsia="Times New Roman" w:hAnsi="Times New Roman" w:cs="Times New Roman"/>
                <w:b/>
                <w:bCs/>
                <w:noProof/>
                <w:color w:val="000000"/>
              </w:rPr>
            </w:pP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Relative to baseline</w:t>
            </w:r>
          </w:p>
        </w:tc>
        <w:tc>
          <w:tcPr>
            <w:tcW w:w="3203"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Relat</w:t>
            </w:r>
            <w:r>
              <w:rPr>
                <w:rFonts w:ascii="Times New Roman" w:eastAsia="Times New Roman" w:hAnsi="Times New Roman" w:cs="Times New Roman"/>
                <w:noProof/>
                <w:color w:val="000000"/>
                <w:sz w:val="20"/>
                <w:szCs w:val="20"/>
              </w:rPr>
              <w:t>ive to option 1 (baseline with cuts)</w:t>
            </w:r>
          </w:p>
        </w:tc>
      </w:tr>
      <w:tr w:rsidR="00333A1A">
        <w:trPr>
          <w:trHeight w:val="280"/>
        </w:trPr>
        <w:tc>
          <w:tcPr>
            <w:tcW w:w="1016" w:type="pct"/>
            <w:tcBorders>
              <w:top w:val="nil"/>
              <w:left w:val="nil"/>
              <w:bottom w:val="nil"/>
              <w:right w:val="nil"/>
            </w:tcBorders>
            <w:shd w:val="clear" w:color="auto" w:fill="auto"/>
            <w:noWrap/>
            <w:vAlign w:val="bottom"/>
            <w:hideMark/>
          </w:tcPr>
          <w:p w:rsidR="00333A1A" w:rsidRDefault="00333A1A">
            <w:pPr>
              <w:spacing w:after="0" w:line="240" w:lineRule="auto"/>
              <w:rPr>
                <w:rFonts w:ascii="Times New Roman" w:eastAsia="Times New Roman" w:hAnsi="Times New Roman" w:cs="Times New Roman"/>
                <w:noProof/>
                <w:color w:val="000000"/>
              </w:rPr>
            </w:pPr>
          </w:p>
        </w:tc>
        <w:tc>
          <w:tcPr>
            <w:tcW w:w="782" w:type="pct"/>
            <w:tcBorders>
              <w:top w:val="nil"/>
              <w:left w:val="single" w:sz="4" w:space="0" w:color="auto"/>
              <w:bottom w:val="nil"/>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3a</w:t>
            </w:r>
          </w:p>
        </w:tc>
        <w:tc>
          <w:tcPr>
            <w:tcW w:w="703"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3b</w:t>
            </w:r>
          </w:p>
        </w:tc>
        <w:tc>
          <w:tcPr>
            <w:tcW w:w="625"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4a</w:t>
            </w:r>
          </w:p>
        </w:tc>
        <w:tc>
          <w:tcPr>
            <w:tcW w:w="703"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4b</w:t>
            </w:r>
          </w:p>
        </w:tc>
        <w:tc>
          <w:tcPr>
            <w:tcW w:w="547"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5</w:t>
            </w:r>
          </w:p>
        </w:tc>
      </w:tr>
      <w:tr w:rsidR="00333A1A">
        <w:trPr>
          <w:trHeight w:val="280"/>
        </w:trPr>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Direct payments</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-10%</w:t>
            </w:r>
          </w:p>
        </w:tc>
        <w:tc>
          <w:tcPr>
            <w:tcW w:w="625"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-75%</w:t>
            </w:r>
          </w:p>
        </w:tc>
        <w:tc>
          <w:tcPr>
            <w:tcW w:w="703"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-40%</w:t>
            </w:r>
          </w:p>
        </w:tc>
        <w:tc>
          <w:tcPr>
            <w:tcW w:w="625"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-6%</w:t>
            </w:r>
          </w:p>
        </w:tc>
        <w:tc>
          <w:tcPr>
            <w:tcW w:w="703"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-6%</w:t>
            </w:r>
          </w:p>
        </w:tc>
        <w:tc>
          <w:tcPr>
            <w:tcW w:w="547"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-26%</w:t>
            </w:r>
          </w:p>
        </w:tc>
      </w:tr>
      <w:tr w:rsidR="00333A1A">
        <w:trPr>
          <w:trHeight w:val="280"/>
        </w:trPr>
        <w:tc>
          <w:tcPr>
            <w:tcW w:w="1016" w:type="pct"/>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support</w:t>
            </w:r>
          </w:p>
        </w:tc>
        <w:tc>
          <w:tcPr>
            <w:tcW w:w="782"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-10%</w:t>
            </w:r>
          </w:p>
        </w:tc>
        <w:tc>
          <w:tcPr>
            <w:tcW w:w="625"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-11%</w:t>
            </w:r>
          </w:p>
        </w:tc>
        <w:tc>
          <w:tcPr>
            <w:tcW w:w="703"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-7%</w:t>
            </w:r>
          </w:p>
        </w:tc>
        <w:tc>
          <w:tcPr>
            <w:tcW w:w="625"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w:t>
            </w:r>
          </w:p>
        </w:tc>
        <w:tc>
          <w:tcPr>
            <w:tcW w:w="703"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w:t>
            </w:r>
          </w:p>
        </w:tc>
        <w:tc>
          <w:tcPr>
            <w:tcW w:w="547" w:type="pct"/>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-6%</w:t>
            </w:r>
          </w:p>
        </w:tc>
      </w:tr>
      <w:tr w:rsidR="00333A1A">
        <w:trPr>
          <w:trHeight w:val="280"/>
        </w:trPr>
        <w:tc>
          <w:tcPr>
            <w:tcW w:w="1016" w:type="pct"/>
            <w:tcBorders>
              <w:top w:val="nil"/>
              <w:left w:val="single" w:sz="4" w:space="0" w:color="auto"/>
              <w:bottom w:val="single" w:sz="4" w:space="0" w:color="auto"/>
              <w:right w:val="single" w:sz="4" w:space="0" w:color="auto"/>
            </w:tcBorders>
            <w:shd w:val="clear" w:color="000000" w:fill="00B0F0"/>
            <w:noWrap/>
            <w:vAlign w:val="bottom"/>
            <w:hideMark/>
          </w:tcPr>
          <w:p w:rsidR="00333A1A" w:rsidRDefault="003D29C9">
            <w:pPr>
              <w:spacing w:after="0" w:line="240" w:lineRule="auto"/>
              <w:rPr>
                <w:rFonts w:ascii="Times New Roman" w:eastAsia="Times New Roman" w:hAnsi="Times New Roman" w:cs="Times New Roman"/>
                <w:b/>
                <w:bCs/>
                <w:noProof/>
                <w:color w:val="FFFFFF"/>
              </w:rPr>
            </w:pPr>
            <w:r>
              <w:rPr>
                <w:rFonts w:ascii="Times New Roman" w:eastAsia="Times New Roman" w:hAnsi="Times New Roman" w:cs="Times New Roman"/>
                <w:b/>
                <w:bCs/>
                <w:noProof/>
                <w:color w:val="FFFFFF"/>
              </w:rPr>
              <w:t>Income</w:t>
            </w:r>
          </w:p>
        </w:tc>
        <w:tc>
          <w:tcPr>
            <w:tcW w:w="782" w:type="pct"/>
            <w:tcBorders>
              <w:top w:val="nil"/>
              <w:left w:val="nil"/>
              <w:bottom w:val="single" w:sz="4" w:space="0" w:color="auto"/>
              <w:right w:val="single" w:sz="4" w:space="0" w:color="auto"/>
            </w:tcBorders>
            <w:shd w:val="clear" w:color="000000" w:fill="00B0F0"/>
            <w:noWrap/>
            <w:vAlign w:val="bottom"/>
            <w:hideMark/>
          </w:tcPr>
          <w:p w:rsidR="00333A1A" w:rsidRDefault="003D29C9">
            <w:pPr>
              <w:spacing w:after="0" w:line="240" w:lineRule="auto"/>
              <w:jc w:val="center"/>
              <w:rPr>
                <w:rFonts w:ascii="Times New Roman" w:eastAsia="Times New Roman" w:hAnsi="Times New Roman" w:cs="Times New Roman"/>
                <w:b/>
                <w:bCs/>
                <w:noProof/>
                <w:color w:val="FFFFFF"/>
                <w:sz w:val="20"/>
                <w:szCs w:val="20"/>
              </w:rPr>
            </w:pPr>
            <w:r>
              <w:rPr>
                <w:rFonts w:ascii="Times New Roman" w:eastAsia="Times New Roman" w:hAnsi="Times New Roman" w:cs="Times New Roman"/>
                <w:b/>
                <w:bCs/>
                <w:noProof/>
                <w:color w:val="FFFFFF"/>
                <w:sz w:val="20"/>
                <w:szCs w:val="20"/>
              </w:rPr>
              <w:t>-2%</w:t>
            </w:r>
          </w:p>
        </w:tc>
        <w:tc>
          <w:tcPr>
            <w:tcW w:w="625" w:type="pct"/>
            <w:tcBorders>
              <w:top w:val="nil"/>
              <w:left w:val="nil"/>
              <w:bottom w:val="single" w:sz="4" w:space="0" w:color="auto"/>
              <w:right w:val="single" w:sz="4" w:space="0" w:color="auto"/>
            </w:tcBorders>
            <w:shd w:val="clear" w:color="000000" w:fill="00B0F0"/>
            <w:noWrap/>
            <w:vAlign w:val="bottom"/>
            <w:hideMark/>
          </w:tcPr>
          <w:p w:rsidR="00333A1A" w:rsidRDefault="003D29C9">
            <w:pPr>
              <w:spacing w:after="0" w:line="240" w:lineRule="auto"/>
              <w:jc w:val="center"/>
              <w:rPr>
                <w:rFonts w:ascii="Times New Roman" w:eastAsia="Times New Roman" w:hAnsi="Times New Roman" w:cs="Times New Roman"/>
                <w:b/>
                <w:bCs/>
                <w:noProof/>
                <w:color w:val="FFFFFF"/>
                <w:sz w:val="20"/>
                <w:szCs w:val="20"/>
              </w:rPr>
            </w:pPr>
            <w:r>
              <w:rPr>
                <w:rFonts w:ascii="Times New Roman" w:eastAsia="Times New Roman" w:hAnsi="Times New Roman" w:cs="Times New Roman"/>
                <w:b/>
                <w:bCs/>
                <w:noProof/>
                <w:color w:val="FFFFFF"/>
                <w:sz w:val="20"/>
                <w:szCs w:val="20"/>
              </w:rPr>
              <w:t>-10%</w:t>
            </w:r>
          </w:p>
        </w:tc>
        <w:tc>
          <w:tcPr>
            <w:tcW w:w="703" w:type="pct"/>
            <w:tcBorders>
              <w:top w:val="nil"/>
              <w:left w:val="nil"/>
              <w:bottom w:val="single" w:sz="4" w:space="0" w:color="auto"/>
              <w:right w:val="single" w:sz="4" w:space="0" w:color="auto"/>
            </w:tcBorders>
            <w:shd w:val="clear" w:color="000000" w:fill="00B0F0"/>
            <w:noWrap/>
            <w:vAlign w:val="bottom"/>
            <w:hideMark/>
          </w:tcPr>
          <w:p w:rsidR="00333A1A" w:rsidRDefault="003D29C9">
            <w:pPr>
              <w:spacing w:after="0" w:line="240" w:lineRule="auto"/>
              <w:jc w:val="center"/>
              <w:rPr>
                <w:rFonts w:ascii="Times New Roman" w:eastAsia="Times New Roman" w:hAnsi="Times New Roman" w:cs="Times New Roman"/>
                <w:b/>
                <w:bCs/>
                <w:noProof/>
                <w:color w:val="FFFFFF"/>
                <w:sz w:val="20"/>
                <w:szCs w:val="20"/>
              </w:rPr>
            </w:pPr>
            <w:r>
              <w:rPr>
                <w:rFonts w:ascii="Times New Roman" w:eastAsia="Times New Roman" w:hAnsi="Times New Roman" w:cs="Times New Roman"/>
                <w:b/>
                <w:bCs/>
                <w:noProof/>
                <w:color w:val="FFFFFF"/>
                <w:sz w:val="20"/>
                <w:szCs w:val="20"/>
              </w:rPr>
              <w:t>-5%</w:t>
            </w:r>
          </w:p>
        </w:tc>
        <w:tc>
          <w:tcPr>
            <w:tcW w:w="625" w:type="pct"/>
            <w:tcBorders>
              <w:top w:val="nil"/>
              <w:left w:val="nil"/>
              <w:bottom w:val="single" w:sz="4" w:space="0" w:color="auto"/>
              <w:right w:val="single" w:sz="4" w:space="0" w:color="auto"/>
            </w:tcBorders>
            <w:shd w:val="clear" w:color="000000" w:fill="00B0F0"/>
            <w:noWrap/>
            <w:vAlign w:val="bottom"/>
            <w:hideMark/>
          </w:tcPr>
          <w:p w:rsidR="00333A1A" w:rsidRDefault="003D29C9">
            <w:pPr>
              <w:spacing w:after="0" w:line="240" w:lineRule="auto"/>
              <w:jc w:val="center"/>
              <w:rPr>
                <w:rFonts w:ascii="Times New Roman" w:eastAsia="Times New Roman" w:hAnsi="Times New Roman" w:cs="Times New Roman"/>
                <w:b/>
                <w:bCs/>
                <w:noProof/>
                <w:color w:val="FFFFFF"/>
                <w:sz w:val="20"/>
                <w:szCs w:val="20"/>
              </w:rPr>
            </w:pPr>
            <w:r>
              <w:rPr>
                <w:rFonts w:ascii="Times New Roman" w:eastAsia="Times New Roman" w:hAnsi="Times New Roman" w:cs="Times New Roman"/>
                <w:b/>
                <w:bCs/>
                <w:noProof/>
                <w:color w:val="FFFFFF"/>
                <w:sz w:val="20"/>
                <w:szCs w:val="20"/>
              </w:rPr>
              <w:t>-8%</w:t>
            </w:r>
          </w:p>
        </w:tc>
        <w:tc>
          <w:tcPr>
            <w:tcW w:w="703" w:type="pct"/>
            <w:tcBorders>
              <w:top w:val="nil"/>
              <w:left w:val="nil"/>
              <w:bottom w:val="single" w:sz="4" w:space="0" w:color="auto"/>
              <w:right w:val="single" w:sz="4" w:space="0" w:color="auto"/>
            </w:tcBorders>
            <w:shd w:val="clear" w:color="000000" w:fill="00B0F0"/>
            <w:noWrap/>
            <w:vAlign w:val="bottom"/>
            <w:hideMark/>
          </w:tcPr>
          <w:p w:rsidR="00333A1A" w:rsidRDefault="003D29C9">
            <w:pPr>
              <w:spacing w:after="0" w:line="240" w:lineRule="auto"/>
              <w:jc w:val="center"/>
              <w:rPr>
                <w:rFonts w:ascii="Times New Roman" w:eastAsia="Times New Roman" w:hAnsi="Times New Roman" w:cs="Times New Roman"/>
                <w:b/>
                <w:bCs/>
                <w:noProof/>
                <w:color w:val="FFFFFF"/>
                <w:sz w:val="20"/>
                <w:szCs w:val="20"/>
              </w:rPr>
            </w:pPr>
            <w:r>
              <w:rPr>
                <w:rFonts w:ascii="Times New Roman" w:eastAsia="Times New Roman" w:hAnsi="Times New Roman" w:cs="Times New Roman"/>
                <w:b/>
                <w:bCs/>
                <w:noProof/>
                <w:color w:val="FFFFFF"/>
                <w:sz w:val="20"/>
                <w:szCs w:val="20"/>
              </w:rPr>
              <w:t>-5%</w:t>
            </w:r>
          </w:p>
        </w:tc>
        <w:tc>
          <w:tcPr>
            <w:tcW w:w="547" w:type="pct"/>
            <w:tcBorders>
              <w:top w:val="nil"/>
              <w:left w:val="nil"/>
              <w:bottom w:val="single" w:sz="4" w:space="0" w:color="auto"/>
              <w:right w:val="single" w:sz="4" w:space="0" w:color="auto"/>
            </w:tcBorders>
            <w:shd w:val="clear" w:color="000000" w:fill="00B0F0"/>
            <w:noWrap/>
            <w:vAlign w:val="bottom"/>
            <w:hideMark/>
          </w:tcPr>
          <w:p w:rsidR="00333A1A" w:rsidRDefault="003D29C9">
            <w:pPr>
              <w:spacing w:after="0" w:line="240" w:lineRule="auto"/>
              <w:jc w:val="center"/>
              <w:rPr>
                <w:rFonts w:ascii="Times New Roman" w:eastAsia="Times New Roman" w:hAnsi="Times New Roman" w:cs="Times New Roman"/>
                <w:b/>
                <w:bCs/>
                <w:noProof/>
                <w:color w:val="FFFFFF"/>
                <w:sz w:val="20"/>
                <w:szCs w:val="20"/>
              </w:rPr>
            </w:pPr>
            <w:r>
              <w:rPr>
                <w:rFonts w:ascii="Times New Roman" w:eastAsia="Times New Roman" w:hAnsi="Times New Roman" w:cs="Times New Roman"/>
                <w:b/>
                <w:bCs/>
                <w:noProof/>
                <w:color w:val="FFFFFF"/>
                <w:sz w:val="20"/>
                <w:szCs w:val="20"/>
              </w:rPr>
              <w:t>-5%</w:t>
            </w:r>
          </w:p>
        </w:tc>
      </w:tr>
    </w:tbl>
    <w:p w:rsidR="00333A1A" w:rsidRDefault="003D29C9">
      <w:pPr>
        <w:jc w:val="both"/>
        <w:rPr>
          <w:rFonts w:ascii="Times New Roman" w:hAnsi="Times New Roman" w:cs="Times New Roman"/>
          <w:noProof/>
          <w:sz w:val="16"/>
        </w:rPr>
      </w:pPr>
      <w:r>
        <w:rPr>
          <w:rFonts w:ascii="Times New Roman" w:hAnsi="Times New Roman" w:cs="Times New Roman"/>
          <w:noProof/>
          <w:sz w:val="16"/>
        </w:rPr>
        <w:t xml:space="preserve">Source: JRC, IFM-CAP </w:t>
      </w:r>
    </w:p>
    <w:p w:rsidR="00333A1A" w:rsidRDefault="003D29C9">
      <w:pPr>
        <w:pStyle w:val="Text1"/>
        <w:keepNext/>
        <w:ind w:left="0"/>
        <w:rPr>
          <w:b/>
          <w:i/>
          <w:noProof/>
        </w:rPr>
      </w:pPr>
      <w:r>
        <w:rPr>
          <w:b/>
          <w:i/>
          <w:noProof/>
        </w:rPr>
        <w:t xml:space="preserve">The impact of policy options varies strongly by type of </w:t>
      </w:r>
      <w:r>
        <w:rPr>
          <w:b/>
          <w:i/>
          <w:noProof/>
        </w:rPr>
        <w:t>farming</w:t>
      </w:r>
    </w:p>
    <w:p w:rsidR="00333A1A" w:rsidRDefault="003D29C9">
      <w:pPr>
        <w:pStyle w:val="Text1"/>
        <w:ind w:left="0"/>
        <w:rPr>
          <w:noProof/>
        </w:rPr>
      </w:pPr>
      <w:r>
        <w:rPr>
          <w:b/>
          <w:noProof/>
        </w:rPr>
        <w:t>Cattle and sheep producers</w:t>
      </w:r>
      <w:r>
        <w:rPr>
          <w:noProof/>
        </w:rPr>
        <w:t xml:space="preserve"> are strongly affected in options where support is significantly cut (option 1 and 3) and where coupled support is removed (option 3a). In option 1, the income of cattle producers is reduced by around 10%, an additional 25% cut compared to option 1 occurs </w:t>
      </w:r>
      <w:r>
        <w:rPr>
          <w:noProof/>
        </w:rPr>
        <w:t xml:space="preserve">in option 3a (Graph 2.2), where the number of cattle heads declines by 3% relative to option 1. The drop in income of sheep producers reaches 4% on average in option 1 and an additional 6% drop is implied in option 3a. </w:t>
      </w:r>
    </w:p>
    <w:p w:rsidR="00333A1A" w:rsidRDefault="003D29C9">
      <w:pPr>
        <w:pStyle w:val="Text1"/>
        <w:ind w:left="0"/>
        <w:rPr>
          <w:noProof/>
        </w:rPr>
      </w:pPr>
      <w:r>
        <w:rPr>
          <w:noProof/>
        </w:rPr>
        <w:t>The drop in income is attenuated whe</w:t>
      </w:r>
      <w:r>
        <w:rPr>
          <w:noProof/>
        </w:rPr>
        <w:t>n these sectors benefit from re-allocation of support for their contribution to environmental sustainability via coupled support (options 3b, 4 and 5). The redistribution of support to permanent grassland (options 4 and 5) also contributes positively to th</w:t>
      </w:r>
      <w:r>
        <w:rPr>
          <w:noProof/>
        </w:rPr>
        <w:t>e income of these farmers. In option 5, the redistribution of direct payments to smaller farms benefits to sheep farmers but affects negatively the income of cattle producers (on average 50% larger than the EU average professional farm). However, thanks to</w:t>
      </w:r>
      <w:r>
        <w:rPr>
          <w:noProof/>
        </w:rPr>
        <w:t xml:space="preserve"> the redistribution of support to permanent grassland and to the coupled support to extensive livestock the fall in income is less drastic.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8"/>
        <w:gridCol w:w="5366"/>
      </w:tblGrid>
      <w:tr w:rsidR="00333A1A">
        <w:tc>
          <w:tcPr>
            <w:tcW w:w="3468" w:type="dxa"/>
          </w:tcPr>
          <w:p w:rsidR="00333A1A" w:rsidRDefault="003D29C9">
            <w:pPr>
              <w:pStyle w:val="Caption"/>
              <w:keepNext/>
              <w:rPr>
                <w:noProof/>
                <w:sz w:val="22"/>
                <w:szCs w:val="22"/>
              </w:rPr>
            </w:pPr>
            <w:r>
              <w:rPr>
                <w:bCs w:val="0"/>
                <w:noProof/>
                <w:color w:val="auto"/>
                <w:sz w:val="22"/>
                <w:szCs w:val="20"/>
              </w:rPr>
              <w:t xml:space="preserve">Graph </w:t>
            </w:r>
            <w:r>
              <w:rPr>
                <w:bCs w:val="0"/>
                <w:noProof/>
                <w:color w:val="auto"/>
                <w:sz w:val="22"/>
                <w:szCs w:val="20"/>
              </w:rPr>
              <w:fldChar w:fldCharType="begin"/>
            </w:r>
            <w:r>
              <w:rPr>
                <w:bCs w:val="0"/>
                <w:noProof/>
                <w:color w:val="auto"/>
                <w:sz w:val="22"/>
                <w:szCs w:val="20"/>
              </w:rPr>
              <w:instrText xml:space="preserve"> STYLEREF 1 \s </w:instrText>
            </w:r>
            <w:r>
              <w:rPr>
                <w:bCs w:val="0"/>
                <w:noProof/>
                <w:color w:val="auto"/>
                <w:sz w:val="22"/>
                <w:szCs w:val="20"/>
              </w:rPr>
              <w:fldChar w:fldCharType="separate"/>
            </w:r>
            <w:r>
              <w:rPr>
                <w:bCs w:val="0"/>
                <w:noProof/>
                <w:color w:val="auto"/>
                <w:sz w:val="22"/>
                <w:szCs w:val="20"/>
              </w:rPr>
              <w:t>2</w:t>
            </w:r>
            <w:r>
              <w:rPr>
                <w:bCs w:val="0"/>
                <w:noProof/>
                <w:color w:val="auto"/>
                <w:sz w:val="22"/>
                <w:szCs w:val="20"/>
              </w:rPr>
              <w:fldChar w:fldCharType="end"/>
            </w:r>
            <w:r>
              <w:rPr>
                <w:bCs w:val="0"/>
                <w:noProof/>
                <w:color w:val="auto"/>
                <w:sz w:val="22"/>
                <w:szCs w:val="20"/>
              </w:rPr>
              <w:t>.</w:t>
            </w:r>
            <w:r>
              <w:rPr>
                <w:bCs w:val="0"/>
                <w:noProof/>
                <w:color w:val="auto"/>
                <w:sz w:val="22"/>
                <w:szCs w:val="20"/>
              </w:rPr>
              <w:fldChar w:fldCharType="begin"/>
            </w:r>
            <w:r>
              <w:rPr>
                <w:bCs w:val="0"/>
                <w:noProof/>
                <w:color w:val="auto"/>
                <w:sz w:val="22"/>
                <w:szCs w:val="20"/>
              </w:rPr>
              <w:instrText xml:space="preserve"> SEQ Graph \* ARABIC \s 1 </w:instrText>
            </w:r>
            <w:r>
              <w:rPr>
                <w:bCs w:val="0"/>
                <w:noProof/>
                <w:color w:val="auto"/>
                <w:sz w:val="22"/>
                <w:szCs w:val="20"/>
              </w:rPr>
              <w:fldChar w:fldCharType="separate"/>
            </w:r>
            <w:r>
              <w:rPr>
                <w:bCs w:val="0"/>
                <w:noProof/>
                <w:color w:val="auto"/>
                <w:sz w:val="22"/>
                <w:szCs w:val="20"/>
              </w:rPr>
              <w:t>1</w:t>
            </w:r>
            <w:r>
              <w:rPr>
                <w:bCs w:val="0"/>
                <w:noProof/>
                <w:color w:val="auto"/>
                <w:sz w:val="22"/>
                <w:szCs w:val="20"/>
              </w:rPr>
              <w:fldChar w:fldCharType="end"/>
            </w:r>
            <w:r>
              <w:rPr>
                <w:bCs w:val="0"/>
                <w:noProof/>
                <w:color w:val="auto"/>
                <w:sz w:val="22"/>
                <w:szCs w:val="20"/>
              </w:rPr>
              <w:t xml:space="preserve"> Impact of a 10% linear cut in support relative to baseline </w:t>
            </w:r>
            <w:r>
              <w:rPr>
                <w:bCs w:val="0"/>
                <w:noProof/>
                <w:color w:val="auto"/>
                <w:sz w:val="22"/>
                <w:szCs w:val="20"/>
              </w:rPr>
              <w:t>on EU income by type of farming</w:t>
            </w:r>
          </w:p>
        </w:tc>
        <w:tc>
          <w:tcPr>
            <w:tcW w:w="5366" w:type="dxa"/>
          </w:tcPr>
          <w:p w:rsidR="00333A1A" w:rsidRDefault="003D29C9">
            <w:pPr>
              <w:keepNext/>
              <w:rPr>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2</w:t>
            </w:r>
            <w:r>
              <w:rPr>
                <w:b/>
                <w:noProof/>
              </w:rPr>
              <w:fldChar w:fldCharType="end"/>
            </w:r>
            <w:r>
              <w:rPr>
                <w:b/>
                <w:noProof/>
              </w:rPr>
              <w:t>.</w:t>
            </w:r>
            <w:r>
              <w:rPr>
                <w:b/>
                <w:noProof/>
              </w:rPr>
              <w:fldChar w:fldCharType="begin"/>
            </w:r>
            <w:r>
              <w:rPr>
                <w:b/>
                <w:noProof/>
              </w:rPr>
              <w:instrText xml:space="preserve"> SEQ Graph \* ARABIC \s 1 </w:instrText>
            </w:r>
            <w:r>
              <w:rPr>
                <w:b/>
                <w:noProof/>
              </w:rPr>
              <w:fldChar w:fldCharType="separate"/>
            </w:r>
            <w:r>
              <w:rPr>
                <w:b/>
                <w:noProof/>
              </w:rPr>
              <w:t>2</w:t>
            </w:r>
            <w:r>
              <w:rPr>
                <w:b/>
                <w:noProof/>
              </w:rPr>
              <w:fldChar w:fldCharType="end"/>
            </w:r>
            <w:r>
              <w:rPr>
                <w:b/>
                <w:noProof/>
              </w:rPr>
              <w:t xml:space="preserve"> Impact of a shift in priorities applying on top of a support cut on EU income by type of farming</w:t>
            </w:r>
          </w:p>
        </w:tc>
      </w:tr>
      <w:tr w:rsidR="00333A1A">
        <w:tc>
          <w:tcPr>
            <w:tcW w:w="3468" w:type="dxa"/>
          </w:tcPr>
          <w:p w:rsidR="00333A1A" w:rsidRDefault="003D29C9">
            <w:pPr>
              <w:keepNext/>
              <w:rPr>
                <w:noProof/>
              </w:rPr>
            </w:pPr>
            <w:r>
              <w:rPr>
                <w:noProof/>
              </w:rPr>
              <w:drawing>
                <wp:inline distT="0" distB="0" distL="0" distR="0" wp14:anchorId="3D7E3AFC" wp14:editId="2EA9A1AD">
                  <wp:extent cx="2160000" cy="2520000"/>
                  <wp:effectExtent l="0" t="0" r="0" b="0"/>
                  <wp:docPr id="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3A1A" w:rsidRDefault="003D29C9">
            <w:pPr>
              <w:keepNext/>
              <w:spacing w:after="240"/>
              <w:rPr>
                <w:noProof/>
              </w:rPr>
            </w:pPr>
            <w:r>
              <w:rPr>
                <w:noProof/>
                <w:sz w:val="16"/>
              </w:rPr>
              <w:t>Source: JRC, IFM-CAP</w:t>
            </w:r>
          </w:p>
        </w:tc>
        <w:tc>
          <w:tcPr>
            <w:tcW w:w="5366" w:type="dxa"/>
          </w:tcPr>
          <w:p w:rsidR="00333A1A" w:rsidRDefault="003D29C9">
            <w:pPr>
              <w:keepNext/>
              <w:rPr>
                <w:noProof/>
              </w:rPr>
            </w:pPr>
            <w:r>
              <w:rPr>
                <w:noProof/>
              </w:rPr>
              <w:drawing>
                <wp:inline distT="0" distB="0" distL="0" distR="0" wp14:anchorId="3CAC324E" wp14:editId="3512A69D">
                  <wp:extent cx="3420000" cy="2520000"/>
                  <wp:effectExtent l="0" t="0" r="0" b="0"/>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33A1A" w:rsidRDefault="003D29C9">
            <w:pPr>
              <w:keepNext/>
              <w:rPr>
                <w:noProof/>
              </w:rPr>
            </w:pPr>
            <w:r>
              <w:rPr>
                <w:noProof/>
                <w:sz w:val="16"/>
              </w:rPr>
              <w:t xml:space="preserve">Source: JRC, IFM-CAP, changes relative to </w:t>
            </w:r>
            <w:r>
              <w:rPr>
                <w:noProof/>
                <w:sz w:val="16"/>
              </w:rPr>
              <w:t>option 1</w:t>
            </w:r>
          </w:p>
        </w:tc>
      </w:tr>
    </w:tbl>
    <w:p w:rsidR="00333A1A" w:rsidRDefault="003D29C9">
      <w:pPr>
        <w:pStyle w:val="Text1"/>
        <w:spacing w:before="240"/>
        <w:ind w:left="0"/>
        <w:rPr>
          <w:noProof/>
        </w:rPr>
      </w:pPr>
      <w:r>
        <w:rPr>
          <w:noProof/>
        </w:rPr>
        <w:t xml:space="preserve">For </w:t>
      </w:r>
      <w:r>
        <w:rPr>
          <w:b/>
          <w:noProof/>
        </w:rPr>
        <w:t>milk</w:t>
      </w:r>
      <w:r>
        <w:rPr>
          <w:noProof/>
        </w:rPr>
        <w:t xml:space="preserve"> producers, the average impact is relatively lower; though it hides significant differences between production systems. Very extensive systems grass-fed have high income drops in options 3a and 5 and the reduction in income of most intens</w:t>
      </w:r>
      <w:r>
        <w:rPr>
          <w:noProof/>
        </w:rPr>
        <w:t xml:space="preserve">ive farmers varies between 8% in option 3b and 14% in option 5. The income effects assessed in this analysis for </w:t>
      </w:r>
      <w:r>
        <w:rPr>
          <w:b/>
          <w:noProof/>
        </w:rPr>
        <w:t>pigmeat</w:t>
      </w:r>
      <w:r>
        <w:rPr>
          <w:noProof/>
        </w:rPr>
        <w:t xml:space="preserve"> and </w:t>
      </w:r>
      <w:r>
        <w:rPr>
          <w:b/>
          <w:noProof/>
        </w:rPr>
        <w:t>poultry</w:t>
      </w:r>
      <w:r>
        <w:rPr>
          <w:noProof/>
        </w:rPr>
        <w:t xml:space="preserve"> producers derive mainly from the changes in support and practises for arable land. 70% of pigs and 45% of poultry are produ</w:t>
      </w:r>
      <w:r>
        <w:rPr>
          <w:noProof/>
        </w:rPr>
        <w:t>ced on farms with more than 10 ha.</w:t>
      </w:r>
    </w:p>
    <w:p w:rsidR="00333A1A" w:rsidRDefault="003D29C9">
      <w:pPr>
        <w:pStyle w:val="Text1"/>
        <w:ind w:left="0"/>
        <w:rPr>
          <w:noProof/>
        </w:rPr>
      </w:pPr>
      <w:r>
        <w:rPr>
          <w:noProof/>
        </w:rPr>
        <w:t xml:space="preserve">The income of </w:t>
      </w:r>
      <w:r>
        <w:rPr>
          <w:b/>
          <w:noProof/>
        </w:rPr>
        <w:t>olive</w:t>
      </w:r>
      <w:r>
        <w:rPr>
          <w:noProof/>
        </w:rPr>
        <w:t xml:space="preserve"> producers, largely depending on direct payments and often granted higher per hectare payments</w:t>
      </w:r>
      <w:r>
        <w:rPr>
          <w:rStyle w:val="FootnoteReference"/>
          <w:noProof/>
        </w:rPr>
        <w:footnoteReference w:id="7"/>
      </w:r>
      <w:r>
        <w:rPr>
          <w:noProof/>
        </w:rPr>
        <w:t>, drops significantly in all options, except in option 5 because olive growers are on average 65% smaller t</w:t>
      </w:r>
      <w:r>
        <w:rPr>
          <w:noProof/>
        </w:rPr>
        <w:t xml:space="preserve">han the average EU farm. Changes in income of </w:t>
      </w:r>
      <w:r>
        <w:rPr>
          <w:b/>
          <w:noProof/>
        </w:rPr>
        <w:t>wine</w:t>
      </w:r>
      <w:r>
        <w:rPr>
          <w:noProof/>
        </w:rPr>
        <w:t xml:space="preserve"> and </w:t>
      </w:r>
      <w:r>
        <w:rPr>
          <w:b/>
          <w:noProof/>
        </w:rPr>
        <w:t>fruits</w:t>
      </w:r>
      <w:r>
        <w:rPr>
          <w:noProof/>
        </w:rPr>
        <w:t xml:space="preserve"> (orchards) producers are smaller, because, first, the share of direct payments in income is lower and, second, the simulated changes in farm practises related to permanent crops are less constra</w:t>
      </w:r>
      <w:r>
        <w:rPr>
          <w:noProof/>
        </w:rPr>
        <w:t xml:space="preserve">ining (i.e. the adoption costs of permanent cover crop is relatively low compared to income. </w:t>
      </w:r>
    </w:p>
    <w:p w:rsidR="00333A1A" w:rsidRDefault="003D29C9">
      <w:pPr>
        <w:pStyle w:val="Text1"/>
        <w:ind w:left="0"/>
        <w:rPr>
          <w:noProof/>
        </w:rPr>
      </w:pPr>
      <w:r>
        <w:rPr>
          <w:noProof/>
        </w:rPr>
        <w:t xml:space="preserve">The reduction and redistribution of direct payments, as well as the higher requirements to increase environmental benefits affect </w:t>
      </w:r>
      <w:r>
        <w:rPr>
          <w:b/>
          <w:noProof/>
        </w:rPr>
        <w:t>COP</w:t>
      </w:r>
      <w:r>
        <w:rPr>
          <w:noProof/>
        </w:rPr>
        <w:t xml:space="preserve"> (cereal, oilseed and protein</w:t>
      </w:r>
      <w:r>
        <w:rPr>
          <w:noProof/>
        </w:rPr>
        <w:t xml:space="preserve"> crop) producers in all options in 'normal' years</w:t>
      </w:r>
      <w:r>
        <w:rPr>
          <w:rStyle w:val="FootnoteReference"/>
          <w:noProof/>
        </w:rPr>
        <w:footnoteReference w:id="8"/>
      </w:r>
      <w:r>
        <w:rPr>
          <w:noProof/>
        </w:rPr>
        <w:t xml:space="preserve">. The negative impact on producers of other field crops is amplified by the crop rotation obligation and by the removal of coupled support to </w:t>
      </w:r>
      <w:r>
        <w:rPr>
          <w:b/>
          <w:noProof/>
        </w:rPr>
        <w:t>sugar beet</w:t>
      </w:r>
      <w:r>
        <w:rPr>
          <w:noProof/>
        </w:rPr>
        <w:t xml:space="preserve"> in almost all options. </w:t>
      </w:r>
    </w:p>
    <w:p w:rsidR="00333A1A" w:rsidRDefault="003D29C9">
      <w:pPr>
        <w:pStyle w:val="Text1"/>
        <w:ind w:left="0"/>
        <w:rPr>
          <w:noProof/>
        </w:rPr>
      </w:pPr>
      <w:r>
        <w:rPr>
          <w:noProof/>
        </w:rPr>
        <w:t xml:space="preserve">The </w:t>
      </w:r>
      <w:r>
        <w:rPr>
          <w:b/>
          <w:noProof/>
        </w:rPr>
        <w:t>cut in direct support</w:t>
      </w:r>
      <w:r>
        <w:rPr>
          <w:noProof/>
        </w:rPr>
        <w:t xml:space="preserve"> (op</w:t>
      </w:r>
      <w:r>
        <w:rPr>
          <w:noProof/>
        </w:rPr>
        <w:t>tions 1 and 3) has a strong effect on crop producers because direct payments represent a large share of their income</w:t>
      </w:r>
      <w:r>
        <w:rPr>
          <w:rStyle w:val="FootnoteReference"/>
          <w:noProof/>
        </w:rPr>
        <w:footnoteReference w:id="9"/>
      </w:r>
      <w:r>
        <w:rPr>
          <w:noProof/>
        </w:rPr>
        <w:t>, 10% lower direct payments imply an income drop by 6% for specialised COP producers. In addition, in all options (except option 3b), direc</w:t>
      </w:r>
      <w:r>
        <w:rPr>
          <w:noProof/>
        </w:rPr>
        <w:t xml:space="preserve">t payments are </w:t>
      </w:r>
      <w:r>
        <w:rPr>
          <w:b/>
          <w:noProof/>
        </w:rPr>
        <w:t>regionalised</w:t>
      </w:r>
      <w:r>
        <w:rPr>
          <w:noProof/>
        </w:rPr>
        <w:t>. It implies that in MS where the per hectare direct payment level still varies between farmers (mainly in relation to historic references</w:t>
      </w:r>
      <w:r>
        <w:rPr>
          <w:rStyle w:val="FootnoteReference"/>
          <w:noProof/>
        </w:rPr>
        <w:footnoteReference w:id="10"/>
      </w:r>
      <w:r>
        <w:rPr>
          <w:noProof/>
        </w:rPr>
        <w:t>), the income of COP farmers which traditionally received higher per ha payments is negati</w:t>
      </w:r>
      <w:r>
        <w:rPr>
          <w:noProof/>
        </w:rPr>
        <w:t>vely affected by the introduction of flat rates (whether at MS level or by land type). In option 4, the redistribution of support to permanent grassland (with the unitary level increased by 20%) implies little changes in per hectare payment for arable crop</w:t>
      </w:r>
      <w:r>
        <w:rPr>
          <w:noProof/>
        </w:rPr>
        <w:t xml:space="preserve">s in MS with arable area significantly larger than grassland in DK, while in DE and FR it leads to a drop by more than 5% and in the Netherlands by 20%. </w:t>
      </w:r>
    </w:p>
    <w:p w:rsidR="00333A1A" w:rsidRDefault="003D29C9">
      <w:pPr>
        <w:pStyle w:val="Text1"/>
        <w:keepNext/>
        <w:keepLines/>
        <w:ind w:left="0"/>
        <w:rPr>
          <w:b/>
          <w:i/>
          <w:noProof/>
        </w:rPr>
      </w:pPr>
      <w:r>
        <w:rPr>
          <w:b/>
          <w:i/>
          <w:noProof/>
        </w:rPr>
        <w:t>Significant changes in land allocation to be expected</w:t>
      </w:r>
    </w:p>
    <w:p w:rsidR="00333A1A" w:rsidRDefault="003D29C9">
      <w:pPr>
        <w:pStyle w:val="Text1"/>
        <w:ind w:left="0"/>
        <w:rPr>
          <w:noProof/>
        </w:rPr>
      </w:pPr>
      <w:r>
        <w:rPr>
          <w:b/>
          <w:noProof/>
        </w:rPr>
        <w:t>Conditionality</w:t>
      </w:r>
      <w:r>
        <w:rPr>
          <w:noProof/>
        </w:rPr>
        <w:t xml:space="preserve"> requirements have a significant impact on crop producers notably in MS with a lower share of </w:t>
      </w:r>
      <w:r>
        <w:rPr>
          <w:b/>
          <w:noProof/>
        </w:rPr>
        <w:t>fallow land</w:t>
      </w:r>
      <w:r>
        <w:rPr>
          <w:noProof/>
        </w:rPr>
        <w:t xml:space="preserve"> (12 MS have less than 2% of UAA with fallow land, see Annex 5.4). On average in the EU, in option 4b and 5 where only minimum requirements (3% of UAA </w:t>
      </w:r>
      <w:r>
        <w:rPr>
          <w:noProof/>
        </w:rPr>
        <w:t>with non-productive elements) apply, the share of fallow land and set aside in UAA increases by around 1 percentage point (pp) and by more than 2 pp in option 3a and 4a, where MS implement more ambitious green requirements. However, this effect is overesti</w:t>
      </w:r>
      <w:r>
        <w:rPr>
          <w:noProof/>
        </w:rPr>
        <w:t>mated because of the lack of knowledge on landscape elements</w:t>
      </w:r>
      <w:r>
        <w:rPr>
          <w:rStyle w:val="FootnoteReference"/>
          <w:noProof/>
        </w:rPr>
        <w:footnoteReference w:id="11"/>
      </w:r>
      <w:r>
        <w:rPr>
          <w:noProof/>
        </w:rPr>
        <w:t xml:space="preserve">. To limit this overestimation, the requirement was modelled as the obligation to keep non-productive elements on 3% of the arable and permanent crop area (assuming that more linear elements are </w:t>
      </w:r>
      <w:r>
        <w:rPr>
          <w:noProof/>
        </w:rPr>
        <w:t>present on permanent grassland). This is one of the explanatory factors of the significant increase in permanent grassland simulated by the model (up to +4.5% in option 3a and 4a). Though overestimated, it shows that increased requirements could be an ince</w:t>
      </w:r>
      <w:r>
        <w:rPr>
          <w:noProof/>
        </w:rPr>
        <w:t>ntive for farmers not to plough temporary grassland.</w:t>
      </w:r>
    </w:p>
    <w:p w:rsidR="00333A1A" w:rsidRDefault="003D29C9">
      <w:pPr>
        <w:pStyle w:val="Text1"/>
        <w:ind w:left="0"/>
        <w:rPr>
          <w:noProof/>
        </w:rPr>
      </w:pPr>
      <w:r>
        <w:rPr>
          <w:noProof/>
          <w:szCs w:val="22"/>
        </w:rPr>
        <w:t xml:space="preserve">The </w:t>
      </w:r>
      <w:r>
        <w:rPr>
          <w:b/>
          <w:noProof/>
          <w:szCs w:val="22"/>
        </w:rPr>
        <w:t>crop rotation</w:t>
      </w:r>
      <w:r>
        <w:rPr>
          <w:noProof/>
          <w:szCs w:val="22"/>
        </w:rPr>
        <w:t xml:space="preserve"> obligation implies a switch from more remunerative activities such as horticulture and others field crops to less remunerative activities such as soft wheat, oilseeds and set aside. The</w:t>
      </w:r>
      <w:r>
        <w:rPr>
          <w:noProof/>
          <w:szCs w:val="22"/>
        </w:rPr>
        <w:t xml:space="preserve"> difference in income drop between option 4a and option 4b can be directly interpreted as the effect of enhanced conditionality (modelled here as winter soil cover with catch crops, 3 year rotation and the obligation to have 2% more of UAA with non-product</w:t>
      </w:r>
      <w:r>
        <w:rPr>
          <w:noProof/>
          <w:szCs w:val="22"/>
        </w:rPr>
        <w:t>ive elements). The simulated income drop is above 15% for</w:t>
      </w:r>
      <w:r>
        <w:rPr>
          <w:noProof/>
        </w:rPr>
        <w:t xml:space="preserve"> potato and sugar beet producers and close to 10% for COP producers. The crop rotation</w:t>
      </w:r>
      <w:r>
        <w:rPr>
          <w:rStyle w:val="FootnoteReference"/>
          <w:noProof/>
        </w:rPr>
        <w:footnoteReference w:id="12"/>
      </w:r>
      <w:r>
        <w:rPr>
          <w:noProof/>
        </w:rPr>
        <w:t xml:space="preserve"> obligation leads more particularly to a decline in grain maize, durum wheat, sugar beet and potato areas. In th</w:t>
      </w:r>
      <w:r>
        <w:rPr>
          <w:noProof/>
        </w:rPr>
        <w:t>is simulation, the income drop is also high for horticulture because in the model farmers producing only vegetables in open field can rotate only between tomatoes and other vegetables, while in reality the diversity of vegetables at hand of farmers is wide</w:t>
      </w:r>
      <w:r>
        <w:rPr>
          <w:noProof/>
        </w:rPr>
        <w:t>r. The 2-year rotation does not lead to a decline in soft wheat area; on the contrary it increases in option 3b (+2% relative to option 1). For soft wheat, the 3-year rotation might play a role but a stronger factor is the drop in support; it can be seen i</w:t>
      </w:r>
      <w:r>
        <w:rPr>
          <w:noProof/>
        </w:rPr>
        <w:t>n option 5 where the redistribution of direct payments to smaller farms (while COP producers are on average more than twice larger than the average EU farm) and to other production systems (organic, permanent grassland, hedges and areas with natural constr</w:t>
      </w:r>
      <w:r>
        <w:rPr>
          <w:noProof/>
        </w:rPr>
        <w:t xml:space="preserve">aints - ANCs) leads to a 5% wheat area decline and contributes strongly to the 14% drop in income of COP producers relative to option 1. </w:t>
      </w:r>
    </w:p>
    <w:p w:rsidR="00333A1A" w:rsidRDefault="003D29C9">
      <w:pPr>
        <w:pStyle w:val="Text1"/>
        <w:ind w:left="0"/>
        <w:rPr>
          <w:noProof/>
        </w:rPr>
      </w:pPr>
      <w:r>
        <w:rPr>
          <w:noProof/>
        </w:rPr>
        <w:t>The fact that COP farms tend to be larger explains also why farms subject to capping of support are mainly specialised</w:t>
      </w:r>
      <w:r>
        <w:rPr>
          <w:noProof/>
        </w:rPr>
        <w:t xml:space="preserve"> in crop production.</w:t>
      </w:r>
    </w:p>
    <w:p w:rsidR="00333A1A" w:rsidRDefault="003D29C9">
      <w:pPr>
        <w:pStyle w:val="Text1"/>
        <w:ind w:left="0"/>
        <w:rPr>
          <w:noProof/>
        </w:rPr>
      </w:pPr>
      <w:r>
        <w:rPr>
          <w:noProof/>
        </w:rPr>
        <w:t>The increase in oilseeds area derives mainly from the 3-year rotation obligation (options 3a and 4a), while the decline in protein crops derives from the removal of coupled support (option 3a, 4a and 4b) as well as the fact that nitrog</w:t>
      </w:r>
      <w:r>
        <w:rPr>
          <w:noProof/>
        </w:rPr>
        <w:t>en-fixing crops do not qualify either to fulfil conditionality requirements nor for the ecological focus area requirements set by MS with high green ambition (option 3a and 4a). The top-up simulated in option 5 (80 EUR/ha) implies an increase of pulses are</w:t>
      </w:r>
      <w:r>
        <w:rPr>
          <w:noProof/>
        </w:rPr>
        <w:t>a by 44% relative to option 1, which is quite significant even though protein area is still small in the EU. It shows the positive effect on production of coupled payments for this crop with lower economic profitability.</w:t>
      </w:r>
    </w:p>
    <w:p w:rsidR="00333A1A" w:rsidRDefault="003D29C9">
      <w:pPr>
        <w:keepNext/>
        <w:spacing w:after="120" w:line="240" w:lineRule="auto"/>
        <w:rPr>
          <w:rFonts w:ascii="Times New Roman" w:eastAsia="Times New Roman" w:hAnsi="Times New Roman" w:cs="Times New Roman"/>
          <w:b/>
          <w:noProof/>
          <w:szCs w:val="20"/>
          <w:lang w:eastAsia="en-GB"/>
        </w:rPr>
      </w:pPr>
      <w:bookmarkStart w:id="21" w:name="_Ref507665380"/>
      <w:bookmarkStart w:id="22" w:name="_Ref507665374"/>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SEQ Table \* ARABIC \s 1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bookmarkEnd w:id="21"/>
      <w:r>
        <w:rPr>
          <w:rFonts w:ascii="Times New Roman" w:eastAsia="Times New Roman" w:hAnsi="Times New Roman" w:cs="Times New Roman"/>
          <w:b/>
          <w:noProof/>
          <w:szCs w:val="20"/>
          <w:lang w:eastAsia="en-GB"/>
        </w:rPr>
        <w:t xml:space="preserve"> Changes in land allocation due to changes in support and green requirements</w:t>
      </w:r>
      <w:bookmarkEnd w:id="22"/>
      <w:r>
        <w:rPr>
          <w:rFonts w:ascii="Times New Roman" w:eastAsia="Times New Roman" w:hAnsi="Times New Roman" w:cs="Times New Roman"/>
          <w:b/>
          <w:noProof/>
          <w:szCs w:val="20"/>
          <w:lang w:eastAsia="en-GB"/>
        </w:rPr>
        <w:t xml:space="preserve"> (%)</w:t>
      </w:r>
    </w:p>
    <w:tbl>
      <w:tblPr>
        <w:tblW w:w="5000" w:type="pct"/>
        <w:tblLook w:val="04A0" w:firstRow="1" w:lastRow="0" w:firstColumn="1" w:lastColumn="0" w:noHBand="0" w:noVBand="1"/>
      </w:tblPr>
      <w:tblGrid>
        <w:gridCol w:w="1673"/>
        <w:gridCol w:w="1216"/>
        <w:gridCol w:w="1062"/>
        <w:gridCol w:w="967"/>
        <w:gridCol w:w="967"/>
        <w:gridCol w:w="891"/>
        <w:gridCol w:w="986"/>
        <w:gridCol w:w="1072"/>
      </w:tblGrid>
      <w:tr w:rsidR="00333A1A">
        <w:trPr>
          <w:trHeight w:val="828"/>
        </w:trPr>
        <w:tc>
          <w:tcPr>
            <w:tcW w:w="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Cereals</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Oilseeds</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Protein crops</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Sugar beet</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Potato</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Set aside and fallow land</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Permanent grassland</w:t>
            </w:r>
          </w:p>
        </w:tc>
      </w:tr>
      <w:tr w:rsidR="00333A1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Relative to baseline</w:t>
            </w:r>
          </w:p>
        </w:tc>
      </w:tr>
      <w:tr w:rsidR="00333A1A">
        <w:trPr>
          <w:trHeight w:val="288"/>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69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0.1%</w:t>
            </w:r>
          </w:p>
        </w:tc>
        <w:tc>
          <w:tcPr>
            <w:tcW w:w="605"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-0.1%</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0.3%</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-0.6%</w:t>
            </w:r>
          </w:p>
        </w:tc>
        <w:tc>
          <w:tcPr>
            <w:tcW w:w="508"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0.0%</w:t>
            </w:r>
          </w:p>
        </w:tc>
        <w:tc>
          <w:tcPr>
            <w:tcW w:w="56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0.1%</w:t>
            </w:r>
          </w:p>
        </w:tc>
        <w:tc>
          <w:tcPr>
            <w:tcW w:w="579"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0.0%</w:t>
            </w:r>
          </w:p>
        </w:tc>
      </w:tr>
      <w:tr w:rsidR="00333A1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Relative to option 1</w:t>
            </w:r>
          </w:p>
        </w:tc>
      </w:tr>
      <w:tr w:rsidR="00333A1A">
        <w:trPr>
          <w:trHeight w:val="288"/>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3a</w:t>
            </w:r>
          </w:p>
        </w:tc>
        <w:tc>
          <w:tcPr>
            <w:tcW w:w="69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w:t>
            </w:r>
          </w:p>
        </w:tc>
        <w:tc>
          <w:tcPr>
            <w:tcW w:w="605"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-23%</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-23%</w:t>
            </w:r>
          </w:p>
        </w:tc>
        <w:tc>
          <w:tcPr>
            <w:tcW w:w="508"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w:t>
            </w:r>
          </w:p>
        </w:tc>
        <w:tc>
          <w:tcPr>
            <w:tcW w:w="56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37%</w:t>
            </w:r>
          </w:p>
        </w:tc>
        <w:tc>
          <w:tcPr>
            <w:tcW w:w="579"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4.5%</w:t>
            </w:r>
          </w:p>
        </w:tc>
      </w:tr>
      <w:tr w:rsidR="00333A1A">
        <w:trPr>
          <w:trHeight w:val="288"/>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3b</w:t>
            </w:r>
          </w:p>
        </w:tc>
        <w:tc>
          <w:tcPr>
            <w:tcW w:w="69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605"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w:t>
            </w:r>
          </w:p>
        </w:tc>
        <w:tc>
          <w:tcPr>
            <w:tcW w:w="508"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56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w:t>
            </w:r>
          </w:p>
        </w:tc>
        <w:tc>
          <w:tcPr>
            <w:tcW w:w="579"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3.7%</w:t>
            </w:r>
          </w:p>
        </w:tc>
      </w:tr>
      <w:tr w:rsidR="00333A1A">
        <w:trPr>
          <w:trHeight w:val="288"/>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4a</w:t>
            </w:r>
          </w:p>
        </w:tc>
        <w:tc>
          <w:tcPr>
            <w:tcW w:w="69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605"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-23%</w:t>
            </w:r>
          </w:p>
        </w:tc>
        <w:tc>
          <w:tcPr>
            <w:tcW w:w="508"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w:t>
            </w:r>
          </w:p>
        </w:tc>
        <w:tc>
          <w:tcPr>
            <w:tcW w:w="56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34%</w:t>
            </w:r>
          </w:p>
        </w:tc>
        <w:tc>
          <w:tcPr>
            <w:tcW w:w="579"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4.5%</w:t>
            </w:r>
          </w:p>
        </w:tc>
      </w:tr>
      <w:tr w:rsidR="00333A1A">
        <w:trPr>
          <w:trHeight w:val="288"/>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4b</w:t>
            </w:r>
          </w:p>
        </w:tc>
        <w:tc>
          <w:tcPr>
            <w:tcW w:w="69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605"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-17%</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w:t>
            </w:r>
          </w:p>
        </w:tc>
        <w:tc>
          <w:tcPr>
            <w:tcW w:w="508"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56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19%</w:t>
            </w:r>
          </w:p>
        </w:tc>
        <w:tc>
          <w:tcPr>
            <w:tcW w:w="579"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3.7%</w:t>
            </w:r>
          </w:p>
        </w:tc>
      </w:tr>
      <w:tr w:rsidR="00333A1A">
        <w:trPr>
          <w:trHeight w:val="288"/>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69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605"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44%</w:t>
            </w:r>
          </w:p>
        </w:tc>
        <w:tc>
          <w:tcPr>
            <w:tcW w:w="551"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-13%</w:t>
            </w:r>
          </w:p>
        </w:tc>
        <w:tc>
          <w:tcPr>
            <w:tcW w:w="508"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562"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15%</w:t>
            </w:r>
          </w:p>
        </w:tc>
        <w:tc>
          <w:tcPr>
            <w:tcW w:w="579"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3.7%</w:t>
            </w:r>
          </w:p>
        </w:tc>
      </w:tr>
    </w:tbl>
    <w:p w:rsidR="00333A1A" w:rsidRDefault="003D29C9">
      <w:pPr>
        <w:jc w:val="both"/>
        <w:rPr>
          <w:rFonts w:ascii="Times New Roman" w:hAnsi="Times New Roman" w:cs="Times New Roman"/>
          <w:noProof/>
          <w:sz w:val="16"/>
          <w:szCs w:val="20"/>
        </w:rPr>
      </w:pPr>
      <w:r>
        <w:rPr>
          <w:rFonts w:ascii="Times New Roman" w:hAnsi="Times New Roman" w:cs="Times New Roman"/>
          <w:noProof/>
          <w:sz w:val="16"/>
          <w:szCs w:val="20"/>
        </w:rPr>
        <w:t xml:space="preserve">Source: JRC, IFM-CAP, % changes based on FADN </w:t>
      </w:r>
      <w:r>
        <w:rPr>
          <w:rFonts w:ascii="Times New Roman" w:hAnsi="Times New Roman" w:cs="Times New Roman"/>
          <w:noProof/>
          <w:sz w:val="16"/>
          <w:szCs w:val="20"/>
        </w:rPr>
        <w:t>data covering 90% of EU land.</w:t>
      </w:r>
    </w:p>
    <w:p w:rsidR="00333A1A" w:rsidRDefault="003D29C9">
      <w:pPr>
        <w:keepNext/>
        <w:spacing w:after="120" w:line="240" w:lineRule="auto"/>
        <w:rPr>
          <w:rFonts w:ascii="Times New Roman" w:eastAsia="Times New Roman" w:hAnsi="Times New Roman" w:cs="Times New Roman"/>
          <w:b/>
          <w:noProof/>
          <w:szCs w:val="20"/>
          <w:lang w:eastAsia="en-GB"/>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SEQ Table \* ARABIC \s 1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3</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 xml:space="preserve"> Changes in land allocation applied to the 2030 EU agricultural outlook (1 000 ha)</w:t>
      </w:r>
    </w:p>
    <w:tbl>
      <w:tblPr>
        <w:tblW w:w="5000" w:type="pct"/>
        <w:tblLook w:val="04A0" w:firstRow="1" w:lastRow="0" w:firstColumn="1" w:lastColumn="0" w:noHBand="0" w:noVBand="1"/>
      </w:tblPr>
      <w:tblGrid>
        <w:gridCol w:w="653"/>
        <w:gridCol w:w="1347"/>
        <w:gridCol w:w="1179"/>
        <w:gridCol w:w="1283"/>
        <w:gridCol w:w="1072"/>
        <w:gridCol w:w="989"/>
        <w:gridCol w:w="1094"/>
        <w:gridCol w:w="1217"/>
      </w:tblGrid>
      <w:tr w:rsidR="00333A1A">
        <w:trPr>
          <w:trHeight w:val="828"/>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Cereals</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Oilseeds</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Pulses</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Sugar beet</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Potato</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Set aside and fallow land</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Permanent </w:t>
            </w:r>
            <w:r>
              <w:rPr>
                <w:rFonts w:ascii="Times New Roman" w:eastAsia="Times New Roman" w:hAnsi="Times New Roman" w:cs="Times New Roman"/>
                <w:noProof/>
                <w:color w:val="000000"/>
                <w:sz w:val="20"/>
                <w:szCs w:val="20"/>
                <w:lang w:eastAsia="en-GB"/>
              </w:rPr>
              <w:t>grassland</w:t>
            </w:r>
          </w:p>
        </w:tc>
      </w:tr>
      <w:tr w:rsidR="00333A1A">
        <w:trPr>
          <w:trHeight w:val="288"/>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762"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w:t>
            </w:r>
          </w:p>
        </w:tc>
        <w:tc>
          <w:tcPr>
            <w:tcW w:w="66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726"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0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0"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1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8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rsidR="00333A1A">
        <w:trPr>
          <w:trHeight w:val="288"/>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3a</w:t>
            </w:r>
          </w:p>
        </w:tc>
        <w:tc>
          <w:tcPr>
            <w:tcW w:w="762"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-3 400</w:t>
            </w:r>
          </w:p>
        </w:tc>
        <w:tc>
          <w:tcPr>
            <w:tcW w:w="66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600</w:t>
            </w:r>
          </w:p>
        </w:tc>
        <w:tc>
          <w:tcPr>
            <w:tcW w:w="726"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-300</w:t>
            </w:r>
          </w:p>
        </w:tc>
        <w:tc>
          <w:tcPr>
            <w:tcW w:w="60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-400</w:t>
            </w:r>
          </w:p>
        </w:tc>
        <w:tc>
          <w:tcPr>
            <w:tcW w:w="560"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w:t>
            </w:r>
          </w:p>
        </w:tc>
        <w:tc>
          <w:tcPr>
            <w:tcW w:w="61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2 000</w:t>
            </w:r>
          </w:p>
        </w:tc>
        <w:tc>
          <w:tcPr>
            <w:tcW w:w="68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3 400</w:t>
            </w:r>
          </w:p>
        </w:tc>
      </w:tr>
      <w:tr w:rsidR="00333A1A">
        <w:trPr>
          <w:trHeight w:val="288"/>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3b</w:t>
            </w:r>
          </w:p>
        </w:tc>
        <w:tc>
          <w:tcPr>
            <w:tcW w:w="762"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-1 100</w:t>
            </w:r>
          </w:p>
        </w:tc>
        <w:tc>
          <w:tcPr>
            <w:tcW w:w="66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w:t>
            </w:r>
          </w:p>
        </w:tc>
        <w:tc>
          <w:tcPr>
            <w:tcW w:w="726"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-200</w:t>
            </w:r>
          </w:p>
        </w:tc>
        <w:tc>
          <w:tcPr>
            <w:tcW w:w="60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w:t>
            </w:r>
          </w:p>
        </w:tc>
        <w:tc>
          <w:tcPr>
            <w:tcW w:w="560"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1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600</w:t>
            </w:r>
          </w:p>
        </w:tc>
        <w:tc>
          <w:tcPr>
            <w:tcW w:w="68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2 800</w:t>
            </w:r>
          </w:p>
        </w:tc>
      </w:tr>
      <w:tr w:rsidR="00333A1A">
        <w:trPr>
          <w:trHeight w:val="288"/>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4a</w:t>
            </w:r>
          </w:p>
        </w:tc>
        <w:tc>
          <w:tcPr>
            <w:tcW w:w="762"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-4 000</w:t>
            </w:r>
          </w:p>
        </w:tc>
        <w:tc>
          <w:tcPr>
            <w:tcW w:w="66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700</w:t>
            </w:r>
          </w:p>
        </w:tc>
        <w:tc>
          <w:tcPr>
            <w:tcW w:w="726"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w:t>
            </w:r>
          </w:p>
        </w:tc>
        <w:tc>
          <w:tcPr>
            <w:tcW w:w="60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-400</w:t>
            </w:r>
          </w:p>
        </w:tc>
        <w:tc>
          <w:tcPr>
            <w:tcW w:w="560"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w:t>
            </w:r>
          </w:p>
        </w:tc>
        <w:tc>
          <w:tcPr>
            <w:tcW w:w="61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1 900</w:t>
            </w:r>
          </w:p>
        </w:tc>
        <w:tc>
          <w:tcPr>
            <w:tcW w:w="68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3 400</w:t>
            </w:r>
          </w:p>
        </w:tc>
      </w:tr>
      <w:tr w:rsidR="00333A1A">
        <w:trPr>
          <w:trHeight w:val="288"/>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4b</w:t>
            </w:r>
          </w:p>
        </w:tc>
        <w:tc>
          <w:tcPr>
            <w:tcW w:w="762"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-1 700</w:t>
            </w:r>
          </w:p>
        </w:tc>
        <w:tc>
          <w:tcPr>
            <w:tcW w:w="66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-200</w:t>
            </w:r>
          </w:p>
        </w:tc>
        <w:tc>
          <w:tcPr>
            <w:tcW w:w="726"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-300</w:t>
            </w:r>
          </w:p>
        </w:tc>
        <w:tc>
          <w:tcPr>
            <w:tcW w:w="60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-200</w:t>
            </w:r>
          </w:p>
        </w:tc>
        <w:tc>
          <w:tcPr>
            <w:tcW w:w="560"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1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1 000</w:t>
            </w:r>
          </w:p>
        </w:tc>
        <w:tc>
          <w:tcPr>
            <w:tcW w:w="68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2 800</w:t>
            </w:r>
          </w:p>
        </w:tc>
      </w:tr>
      <w:tr w:rsidR="00333A1A">
        <w:trPr>
          <w:trHeight w:val="288"/>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762"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-4 000</w:t>
            </w:r>
          </w:p>
        </w:tc>
        <w:tc>
          <w:tcPr>
            <w:tcW w:w="66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700</w:t>
            </w:r>
          </w:p>
        </w:tc>
        <w:tc>
          <w:tcPr>
            <w:tcW w:w="726"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700</w:t>
            </w:r>
          </w:p>
        </w:tc>
        <w:tc>
          <w:tcPr>
            <w:tcW w:w="607"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-200</w:t>
            </w:r>
          </w:p>
        </w:tc>
        <w:tc>
          <w:tcPr>
            <w:tcW w:w="560"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1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800</w:t>
            </w:r>
          </w:p>
        </w:tc>
        <w:tc>
          <w:tcPr>
            <w:tcW w:w="689" w:type="pct"/>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2 800</w:t>
            </w:r>
          </w:p>
        </w:tc>
      </w:tr>
    </w:tbl>
    <w:p w:rsidR="00333A1A" w:rsidRDefault="003D29C9">
      <w:pPr>
        <w:jc w:val="both"/>
        <w:rPr>
          <w:rFonts w:ascii="Times New Roman" w:hAnsi="Times New Roman" w:cs="Times New Roman"/>
          <w:noProof/>
          <w:sz w:val="16"/>
          <w:szCs w:val="20"/>
        </w:rPr>
      </w:pPr>
      <w:r>
        <w:rPr>
          <w:rFonts w:ascii="Times New Roman" w:hAnsi="Times New Roman" w:cs="Times New Roman"/>
          <w:noProof/>
          <w:sz w:val="16"/>
          <w:szCs w:val="20"/>
        </w:rPr>
        <w:t>Source: DG AGRI</w:t>
      </w:r>
    </w:p>
    <w:p w:rsidR="00333A1A" w:rsidRDefault="003D29C9">
      <w:pPr>
        <w:pStyle w:val="Text1"/>
        <w:ind w:left="0"/>
        <w:rPr>
          <w:noProof/>
        </w:rPr>
      </w:pPr>
      <w:r>
        <w:rPr>
          <w:noProof/>
        </w:rPr>
        <w:t>The changes in</w:t>
      </w:r>
      <w:r>
        <w:rPr>
          <w:noProof/>
        </w:rPr>
        <w:t xml:space="preserve"> land allocation resulting from the other model used in this analysis (CAPRI</w:t>
      </w:r>
      <w:r>
        <w:rPr>
          <w:rStyle w:val="FootnoteReference"/>
          <w:noProof/>
        </w:rPr>
        <w:footnoteReference w:id="13"/>
      </w:r>
      <w:r>
        <w:rPr>
          <w:noProof/>
        </w:rPr>
        <w:t>) are smaller, especially for cereals, but indicate broadly the same trends. In addition, in CAPRI contrary to IFM-CAP, land abandonment is accounted for</w:t>
      </w:r>
      <w:r>
        <w:rPr>
          <w:rStyle w:val="FootnoteReference"/>
          <w:noProof/>
        </w:rPr>
        <w:footnoteReference w:id="14"/>
      </w:r>
      <w:r>
        <w:rPr>
          <w:noProof/>
        </w:rPr>
        <w:t>. All options result in a</w:t>
      </w:r>
      <w:r>
        <w:rPr>
          <w:noProof/>
        </w:rPr>
        <w:t xml:space="preserve"> small reduction in UAA: 300 000 ha because of the budget cut and on top around 500 000 ha less in option 4a (-0.3% compared to option 1) and 400 000 ha in option 3a where more requirements apply. The decline is smaller in options 3b and 4b (260 000 ha and</w:t>
      </w:r>
      <w:r>
        <w:rPr>
          <w:noProof/>
        </w:rPr>
        <w:t xml:space="preserve"> 200 000 ha respectively), while in option 5, the UAA remains almost stable compared to option 1. In IFM-CAP, the UAA is assumed to be fixed in all scenarios.</w:t>
      </w:r>
    </w:p>
    <w:p w:rsidR="00333A1A" w:rsidRDefault="003D29C9">
      <w:pPr>
        <w:pStyle w:val="Text1"/>
        <w:ind w:left="0"/>
        <w:rPr>
          <w:b/>
          <w:i/>
          <w:noProof/>
        </w:rPr>
      </w:pPr>
      <w:r>
        <w:rPr>
          <w:b/>
          <w:i/>
          <w:noProof/>
        </w:rPr>
        <w:t>The targeting of direct payments is significantly improved in options 4 and 5</w:t>
      </w:r>
    </w:p>
    <w:p w:rsidR="00333A1A" w:rsidRDefault="003D29C9">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options test va</w:t>
      </w:r>
      <w:r>
        <w:rPr>
          <w:rFonts w:ascii="Times New Roman" w:hAnsi="Times New Roman" w:cs="Times New Roman"/>
          <w:noProof/>
          <w:sz w:val="24"/>
          <w:szCs w:val="24"/>
        </w:rPr>
        <w:t xml:space="preserve">rious ways of targeting direct payments and CAP support: </w:t>
      </w:r>
    </w:p>
    <w:p w:rsidR="00333A1A" w:rsidRDefault="003D29C9">
      <w:pPr>
        <w:pStyle w:val="ListParagraph"/>
        <w:numPr>
          <w:ilvl w:val="0"/>
          <w:numId w:val="29"/>
        </w:numPr>
        <w:spacing w:after="24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to smaller and medium size farms via a payment level modulated by size (option 5), a redistributive payment (option 3b) and a capping system which all allow accounting for the economies of scale in </w:t>
      </w:r>
      <w:r>
        <w:rPr>
          <w:rFonts w:ascii="Times New Roman" w:hAnsi="Times New Roman" w:cs="Times New Roman"/>
          <w:noProof/>
          <w:sz w:val="24"/>
          <w:szCs w:val="24"/>
        </w:rPr>
        <w:t>larger farms.</w:t>
      </w:r>
    </w:p>
    <w:p w:rsidR="00333A1A" w:rsidRDefault="003D29C9">
      <w:pPr>
        <w:pStyle w:val="ListParagraph"/>
        <w:numPr>
          <w:ilvl w:val="0"/>
          <w:numId w:val="29"/>
        </w:numPr>
        <w:spacing w:after="24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to farmers most in need via the support to areas with natural constraints, coupled support to extensive livestock, the redistribution of support to permanent grassland (allowing indirectly to target farmers with lower income in option 5). </w:t>
      </w:r>
    </w:p>
    <w:p w:rsidR="00333A1A" w:rsidRDefault="003D29C9">
      <w:pPr>
        <w:pStyle w:val="ListParagraph"/>
        <w:numPr>
          <w:ilvl w:val="0"/>
          <w:numId w:val="29"/>
        </w:numPr>
        <w:spacing w:after="24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to</w:t>
      </w:r>
      <w:r>
        <w:rPr>
          <w:rFonts w:ascii="Times New Roman" w:hAnsi="Times New Roman" w:cs="Times New Roman"/>
          <w:noProof/>
          <w:sz w:val="24"/>
          <w:szCs w:val="24"/>
        </w:rPr>
        <w:t xml:space="preserve"> incentivise farm practices more beneficial to the environment, climate and health, via conditionality, the eco-scheme and environmental top ups.</w:t>
      </w:r>
    </w:p>
    <w:p w:rsidR="00333A1A" w:rsidRDefault="003D29C9">
      <w:pPr>
        <w:spacing w:after="240" w:line="240" w:lineRule="auto"/>
        <w:jc w:val="both"/>
        <w:rPr>
          <w:rFonts w:ascii="Times New Roman" w:hAnsi="Times New Roman" w:cs="Times New Roman"/>
          <w:b/>
          <w:noProof/>
          <w:szCs w:val="24"/>
        </w:rPr>
      </w:pPr>
      <w:r>
        <w:rPr>
          <w:rFonts w:ascii="Times New Roman" w:hAnsi="Times New Roman" w:cs="Times New Roman"/>
          <w:b/>
          <w:noProof/>
          <w:szCs w:val="24"/>
        </w:rPr>
        <w:t>Targeting support to small and medium size farms</w:t>
      </w:r>
    </w:p>
    <w:p w:rsidR="00333A1A" w:rsidRDefault="003D29C9">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Note: This assessment was carried out with the IFM-CAP model,</w:t>
      </w:r>
      <w:r>
        <w:rPr>
          <w:rFonts w:ascii="Times New Roman" w:hAnsi="Times New Roman" w:cs="Times New Roman"/>
          <w:noProof/>
          <w:sz w:val="24"/>
          <w:szCs w:val="24"/>
        </w:rPr>
        <w:t xml:space="preserve"> based on FADN representing commercial farms. These farms are on average larger than the whole farm population. In FADN, EU farms have on average 30 ha, accounting for all farms, the average farm size drops to 16 ha (farm structure survey 2013).</w:t>
      </w:r>
    </w:p>
    <w:p w:rsidR="00333A1A" w:rsidRDefault="003D29C9">
      <w:pPr>
        <w:pStyle w:val="Text1"/>
        <w:ind w:left="0"/>
        <w:rPr>
          <w:noProof/>
        </w:rPr>
      </w:pPr>
      <w:r>
        <w:rPr>
          <w:b/>
          <w:noProof/>
        </w:rPr>
        <w:t>The modula</w:t>
      </w:r>
      <w:r>
        <w:rPr>
          <w:b/>
          <w:noProof/>
        </w:rPr>
        <w:t xml:space="preserve">tion of the basic decoupled payment by size is an efficient way to redistribute support from larger to smaller and medium size farms in physical and economic terms </w:t>
      </w:r>
      <w:r>
        <w:rPr>
          <w:noProof/>
        </w:rPr>
        <w:t>currently receiving less support</w:t>
      </w:r>
      <w:r>
        <w:rPr>
          <w:b/>
          <w:noProof/>
        </w:rPr>
        <w:t xml:space="preserve"> </w:t>
      </w:r>
      <w:r>
        <w:rPr>
          <w:noProof/>
        </w:rPr>
        <w:t xml:space="preserve">(option 5) and can almost fully offset the effect of budget cuts on farms with between 5 and 30 ha. However, the modulation simulated here implies a close to 30% reduction in support to farms with more than 500 ha and an income drop above 10%, while these </w:t>
      </w:r>
      <w:r>
        <w:rPr>
          <w:noProof/>
        </w:rPr>
        <w:t>farms employ more people (20 AWU on average, 13 times more than the EU average). The redistributive payment simulated in option 3b (80 EUR/ha from 2 to 30 ha) allows also a shift of support to smaller farms, with lower income drops for larger farms though.</w:t>
      </w:r>
      <w:r>
        <w:rPr>
          <w:noProof/>
        </w:rPr>
        <w:t xml:space="preserve">  </w:t>
      </w:r>
    </w:p>
    <w:p w:rsidR="00333A1A" w:rsidRDefault="003D29C9">
      <w:pPr>
        <w:pStyle w:val="Text1"/>
        <w:ind w:left="0"/>
        <w:rPr>
          <w:noProof/>
        </w:rPr>
      </w:pPr>
      <w:r>
        <w:rPr>
          <w:noProof/>
        </w:rPr>
        <w:t>Importantly, the increase in minimum requirements to be eligible to decoupled payments leads to a lower support granted to farms with less than 5 ha in option 3 and 4 (see also chapter 2.1.3). This percentage is particularly high (between -25% and -33%)</w:t>
      </w:r>
      <w:r>
        <w:rPr>
          <w:noProof/>
        </w:rPr>
        <w:t xml:space="preserve"> because the support granted to these farms in absolute value is small (around 1 000 EUR/farm in option 1). In addition, farms below 5 ha can have a large economic size and higher income than average (wine, horticulture). Therefore, in terms of economic si</w:t>
      </w:r>
      <w:r>
        <w:rPr>
          <w:noProof/>
        </w:rPr>
        <w:t xml:space="preserve">ze, the change in support for smallest farms is lower (-15% in option 3a to -6% in option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88"/>
      </w:tblGrid>
      <w:tr w:rsidR="00333A1A">
        <w:tc>
          <w:tcPr>
            <w:tcW w:w="4708" w:type="dxa"/>
          </w:tcPr>
          <w:p w:rsidR="00333A1A" w:rsidRDefault="003D29C9">
            <w:pPr>
              <w:pStyle w:val="Caption"/>
              <w:keepNext/>
              <w:rPr>
                <w:noProof/>
              </w:rPr>
            </w:pPr>
            <w:r>
              <w:rPr>
                <w:bCs w:val="0"/>
                <w:noProof/>
                <w:color w:val="auto"/>
                <w:sz w:val="22"/>
                <w:szCs w:val="20"/>
              </w:rPr>
              <w:t xml:space="preserve">Graph </w:t>
            </w:r>
            <w:r>
              <w:rPr>
                <w:bCs w:val="0"/>
                <w:noProof/>
                <w:color w:val="auto"/>
                <w:sz w:val="22"/>
                <w:szCs w:val="20"/>
              </w:rPr>
              <w:fldChar w:fldCharType="begin"/>
            </w:r>
            <w:r>
              <w:rPr>
                <w:bCs w:val="0"/>
                <w:noProof/>
                <w:color w:val="auto"/>
                <w:sz w:val="22"/>
                <w:szCs w:val="20"/>
              </w:rPr>
              <w:instrText xml:space="preserve"> STYLEREF 1 \s </w:instrText>
            </w:r>
            <w:r>
              <w:rPr>
                <w:bCs w:val="0"/>
                <w:noProof/>
                <w:color w:val="auto"/>
                <w:sz w:val="22"/>
                <w:szCs w:val="20"/>
              </w:rPr>
              <w:fldChar w:fldCharType="separate"/>
            </w:r>
            <w:r>
              <w:rPr>
                <w:bCs w:val="0"/>
                <w:noProof/>
                <w:color w:val="auto"/>
                <w:sz w:val="22"/>
                <w:szCs w:val="20"/>
              </w:rPr>
              <w:t>2</w:t>
            </w:r>
            <w:r>
              <w:rPr>
                <w:bCs w:val="0"/>
                <w:noProof/>
                <w:color w:val="auto"/>
                <w:sz w:val="22"/>
                <w:szCs w:val="20"/>
              </w:rPr>
              <w:fldChar w:fldCharType="end"/>
            </w:r>
            <w:r>
              <w:rPr>
                <w:bCs w:val="0"/>
                <w:noProof/>
                <w:color w:val="auto"/>
                <w:sz w:val="22"/>
                <w:szCs w:val="20"/>
              </w:rPr>
              <w:t>.</w:t>
            </w:r>
            <w:r>
              <w:rPr>
                <w:bCs w:val="0"/>
                <w:noProof/>
                <w:color w:val="auto"/>
                <w:sz w:val="22"/>
                <w:szCs w:val="20"/>
              </w:rPr>
              <w:fldChar w:fldCharType="begin"/>
            </w:r>
            <w:r>
              <w:rPr>
                <w:bCs w:val="0"/>
                <w:noProof/>
                <w:color w:val="auto"/>
                <w:sz w:val="22"/>
                <w:szCs w:val="20"/>
              </w:rPr>
              <w:instrText xml:space="preserve"> SEQ Graph \* ARABIC \s 1 </w:instrText>
            </w:r>
            <w:r>
              <w:rPr>
                <w:bCs w:val="0"/>
                <w:noProof/>
                <w:color w:val="auto"/>
                <w:sz w:val="22"/>
                <w:szCs w:val="20"/>
              </w:rPr>
              <w:fldChar w:fldCharType="separate"/>
            </w:r>
            <w:r>
              <w:rPr>
                <w:bCs w:val="0"/>
                <w:noProof/>
                <w:color w:val="auto"/>
                <w:sz w:val="22"/>
                <w:szCs w:val="20"/>
              </w:rPr>
              <w:t>3</w:t>
            </w:r>
            <w:r>
              <w:rPr>
                <w:bCs w:val="0"/>
                <w:noProof/>
                <w:color w:val="auto"/>
                <w:sz w:val="22"/>
                <w:szCs w:val="20"/>
              </w:rPr>
              <w:fldChar w:fldCharType="end"/>
            </w:r>
            <w:r>
              <w:rPr>
                <w:bCs w:val="0"/>
                <w:noProof/>
                <w:color w:val="auto"/>
                <w:sz w:val="22"/>
                <w:szCs w:val="20"/>
              </w:rPr>
              <w:t xml:space="preserve"> Change in support relative to option 1 by area size class (ha)</w:t>
            </w:r>
          </w:p>
        </w:tc>
        <w:tc>
          <w:tcPr>
            <w:tcW w:w="4580" w:type="dxa"/>
          </w:tcPr>
          <w:p w:rsidR="00333A1A" w:rsidRDefault="003D29C9">
            <w:pPr>
              <w:pStyle w:val="Caption"/>
              <w:keepNext/>
              <w:rPr>
                <w:noProof/>
              </w:rPr>
            </w:pPr>
            <w:r>
              <w:rPr>
                <w:bCs w:val="0"/>
                <w:noProof/>
                <w:color w:val="auto"/>
                <w:sz w:val="22"/>
                <w:szCs w:val="20"/>
              </w:rPr>
              <w:t xml:space="preserve">Graph </w:t>
            </w:r>
            <w:r>
              <w:rPr>
                <w:bCs w:val="0"/>
                <w:noProof/>
                <w:color w:val="auto"/>
                <w:sz w:val="22"/>
                <w:szCs w:val="20"/>
              </w:rPr>
              <w:fldChar w:fldCharType="begin"/>
            </w:r>
            <w:r>
              <w:rPr>
                <w:bCs w:val="0"/>
                <w:noProof/>
                <w:color w:val="auto"/>
                <w:sz w:val="22"/>
                <w:szCs w:val="20"/>
              </w:rPr>
              <w:instrText xml:space="preserve"> STYLEREF 1 \s </w:instrText>
            </w:r>
            <w:r>
              <w:rPr>
                <w:bCs w:val="0"/>
                <w:noProof/>
                <w:color w:val="auto"/>
                <w:sz w:val="22"/>
                <w:szCs w:val="20"/>
              </w:rPr>
              <w:fldChar w:fldCharType="separate"/>
            </w:r>
            <w:r>
              <w:rPr>
                <w:bCs w:val="0"/>
                <w:noProof/>
                <w:color w:val="auto"/>
                <w:sz w:val="22"/>
                <w:szCs w:val="20"/>
              </w:rPr>
              <w:t>2</w:t>
            </w:r>
            <w:r>
              <w:rPr>
                <w:bCs w:val="0"/>
                <w:noProof/>
                <w:color w:val="auto"/>
                <w:sz w:val="22"/>
                <w:szCs w:val="20"/>
              </w:rPr>
              <w:fldChar w:fldCharType="end"/>
            </w:r>
            <w:r>
              <w:rPr>
                <w:bCs w:val="0"/>
                <w:noProof/>
                <w:color w:val="auto"/>
                <w:sz w:val="22"/>
                <w:szCs w:val="20"/>
              </w:rPr>
              <w:t>.</w:t>
            </w:r>
            <w:r>
              <w:rPr>
                <w:bCs w:val="0"/>
                <w:noProof/>
                <w:color w:val="auto"/>
                <w:sz w:val="22"/>
                <w:szCs w:val="20"/>
              </w:rPr>
              <w:fldChar w:fldCharType="begin"/>
            </w:r>
            <w:r>
              <w:rPr>
                <w:bCs w:val="0"/>
                <w:noProof/>
                <w:color w:val="auto"/>
                <w:sz w:val="22"/>
                <w:szCs w:val="20"/>
              </w:rPr>
              <w:instrText xml:space="preserve"> SEQ Graph \* A</w:instrText>
            </w:r>
            <w:r>
              <w:rPr>
                <w:bCs w:val="0"/>
                <w:noProof/>
                <w:color w:val="auto"/>
                <w:sz w:val="22"/>
                <w:szCs w:val="20"/>
              </w:rPr>
              <w:instrText xml:space="preserve">RABIC \s 1 </w:instrText>
            </w:r>
            <w:r>
              <w:rPr>
                <w:bCs w:val="0"/>
                <w:noProof/>
                <w:color w:val="auto"/>
                <w:sz w:val="22"/>
                <w:szCs w:val="20"/>
              </w:rPr>
              <w:fldChar w:fldCharType="separate"/>
            </w:r>
            <w:r>
              <w:rPr>
                <w:bCs w:val="0"/>
                <w:noProof/>
                <w:color w:val="auto"/>
                <w:sz w:val="22"/>
                <w:szCs w:val="20"/>
              </w:rPr>
              <w:t>4</w:t>
            </w:r>
            <w:r>
              <w:rPr>
                <w:bCs w:val="0"/>
                <w:noProof/>
                <w:color w:val="auto"/>
                <w:sz w:val="22"/>
                <w:szCs w:val="20"/>
              </w:rPr>
              <w:fldChar w:fldCharType="end"/>
            </w:r>
            <w:r>
              <w:rPr>
                <w:bCs w:val="0"/>
                <w:noProof/>
                <w:color w:val="auto"/>
                <w:sz w:val="22"/>
                <w:szCs w:val="20"/>
              </w:rPr>
              <w:t xml:space="preserve"> Change in support relative to option 1 by economic size class (1 000 EUR)</w:t>
            </w:r>
          </w:p>
        </w:tc>
      </w:tr>
      <w:tr w:rsidR="00333A1A">
        <w:tblPrEx>
          <w:tblCellMar>
            <w:left w:w="70" w:type="dxa"/>
            <w:right w:w="70" w:type="dxa"/>
          </w:tblCellMar>
        </w:tblPrEx>
        <w:trPr>
          <w:trHeight w:val="3224"/>
        </w:trPr>
        <w:tc>
          <w:tcPr>
            <w:tcW w:w="4708" w:type="dxa"/>
          </w:tcPr>
          <w:p w:rsidR="00333A1A" w:rsidRDefault="003D29C9">
            <w:pPr>
              <w:keepNext/>
              <w:rPr>
                <w:noProof/>
              </w:rPr>
            </w:pPr>
            <w:r>
              <w:rPr>
                <w:noProof/>
              </w:rPr>
              <w:drawing>
                <wp:inline distT="0" distB="0" distL="0" distR="0" wp14:anchorId="278EAB6E" wp14:editId="27535EFF">
                  <wp:extent cx="2818299" cy="2261870"/>
                  <wp:effectExtent l="0" t="0" r="1270" b="0"/>
                  <wp:docPr id="18"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3A1A" w:rsidRDefault="003D29C9">
            <w:pPr>
              <w:keepNext/>
              <w:rPr>
                <w:noProof/>
              </w:rPr>
            </w:pPr>
            <w:r>
              <w:rPr>
                <w:noProof/>
                <w:sz w:val="16"/>
              </w:rPr>
              <w:t>Source: JRC, IFM-CAP</w:t>
            </w:r>
          </w:p>
        </w:tc>
        <w:tc>
          <w:tcPr>
            <w:tcW w:w="4580" w:type="dxa"/>
          </w:tcPr>
          <w:p w:rsidR="00333A1A" w:rsidRDefault="003D29C9">
            <w:pPr>
              <w:keepNext/>
              <w:rPr>
                <w:noProof/>
              </w:rPr>
            </w:pPr>
            <w:r>
              <w:rPr>
                <w:noProof/>
              </w:rPr>
              <w:drawing>
                <wp:inline distT="0" distB="0" distL="0" distR="0" wp14:anchorId="447033C7" wp14:editId="1F7F3CA6">
                  <wp:extent cx="2781300" cy="2146300"/>
                  <wp:effectExtent l="0" t="0" r="0" b="0"/>
                  <wp:docPr id="30"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33A1A" w:rsidRDefault="003D29C9">
            <w:pPr>
              <w:keepNext/>
              <w:rPr>
                <w:noProof/>
              </w:rPr>
            </w:pPr>
            <w:r>
              <w:rPr>
                <w:noProof/>
                <w:sz w:val="16"/>
              </w:rPr>
              <w:t xml:space="preserve"> Source: JRC, IFM-CAP</w:t>
            </w:r>
          </w:p>
        </w:tc>
      </w:tr>
    </w:tbl>
    <w:p w:rsidR="00333A1A" w:rsidRDefault="003D29C9">
      <w:pPr>
        <w:spacing w:after="240" w:line="240" w:lineRule="auto"/>
        <w:jc w:val="both"/>
        <w:rPr>
          <w:rFonts w:ascii="Times New Roman" w:hAnsi="Times New Roman" w:cs="Times New Roman"/>
          <w:noProof/>
          <w:sz w:val="16"/>
        </w:rPr>
      </w:pPr>
      <w:r>
        <w:rPr>
          <w:rFonts w:ascii="Times New Roman" w:hAnsi="Times New Roman" w:cs="Times New Roman"/>
          <w:noProof/>
          <w:sz w:val="16"/>
        </w:rPr>
        <w:t xml:space="preserve">Note: direct payments include the basic decoupled payment, the redistributive payment and coupled support. Total </w:t>
      </w:r>
      <w:r>
        <w:rPr>
          <w:rFonts w:ascii="Times New Roman" w:hAnsi="Times New Roman" w:cs="Times New Roman"/>
          <w:noProof/>
          <w:sz w:val="16"/>
        </w:rPr>
        <w:t>support includes the eco-scheme, the environmental top ups, the ANC payment and the agri-environment-climate measures.</w:t>
      </w:r>
    </w:p>
    <w:p w:rsidR="00333A1A" w:rsidRDefault="003D29C9">
      <w:pPr>
        <w:pStyle w:val="Text1"/>
        <w:ind w:left="0"/>
        <w:rPr>
          <w:noProof/>
          <w:sz w:val="16"/>
        </w:rPr>
      </w:pPr>
      <w:r>
        <w:rPr>
          <w:noProof/>
        </w:rPr>
        <w:t>The redistribution simulated in option 4 implies higher support to farms above 150 ha, because of the increased support to permanent gras</w:t>
      </w:r>
      <w:r>
        <w:rPr>
          <w:noProof/>
        </w:rPr>
        <w:t>sland. However, this regionalisation by land type is efficient in shifting direct payments from more intensive farms to more extensive ones (</w:t>
      </w:r>
      <w:r>
        <w:rPr>
          <w:noProof/>
        </w:rPr>
        <w:fldChar w:fldCharType="begin"/>
      </w:r>
      <w:r>
        <w:rPr>
          <w:noProof/>
        </w:rPr>
        <w:instrText xml:space="preserve"> REF _Ref507657211 \h  \* MERGEFORMAT </w:instrText>
      </w:r>
      <w:r>
        <w:rPr>
          <w:noProof/>
        </w:rPr>
      </w:r>
      <w:r>
        <w:rPr>
          <w:noProof/>
        </w:rPr>
        <w:fldChar w:fldCharType="separate"/>
      </w:r>
      <w:r>
        <w:rPr>
          <w:noProof/>
        </w:rPr>
        <w:t>Graph 2.6</w:t>
      </w:r>
      <w:r>
        <w:rPr>
          <w:noProof/>
        </w:rPr>
        <w:fldChar w:fldCharType="end"/>
      </w:r>
      <w:r>
        <w:rPr>
          <w:noProof/>
        </w:rPr>
        <w:t>). In option 5, the higher direct payments granted to first hectares imply a relatively lower decline in basic payment to most intensive farms (smaller on average</w:t>
      </w:r>
      <w:r>
        <w:rPr>
          <w:rStyle w:val="FootnoteReference"/>
          <w:noProof/>
        </w:rPr>
        <w:footnoteReference w:id="15"/>
      </w:r>
      <w:r>
        <w:rPr>
          <w:noProof/>
        </w:rPr>
        <w:t>) and a decline to most extensive ones. The latter effect is compensated with coupled support</w:t>
      </w:r>
      <w:r>
        <w:rPr>
          <w:noProof/>
        </w:rPr>
        <w:t xml:space="preserve"> to extensive livestock and top ups to permanent grassland.</w:t>
      </w:r>
    </w:p>
    <w:p w:rsidR="00333A1A" w:rsidRDefault="003D29C9">
      <w:pPr>
        <w:spacing w:after="240" w:line="240" w:lineRule="auto"/>
        <w:jc w:val="both"/>
        <w:rPr>
          <w:rFonts w:ascii="Times New Roman" w:hAnsi="Times New Roman" w:cs="Times New Roman"/>
          <w:b/>
          <w:noProof/>
          <w:szCs w:val="24"/>
        </w:rPr>
      </w:pPr>
      <w:r>
        <w:rPr>
          <w:rFonts w:ascii="Times New Roman" w:hAnsi="Times New Roman" w:cs="Times New Roman"/>
          <w:b/>
          <w:noProof/>
          <w:szCs w:val="24"/>
        </w:rPr>
        <w:t>Targeting support to farmers most in need (with lower income)</w:t>
      </w:r>
    </w:p>
    <w:p w:rsidR="00333A1A" w:rsidRDefault="003D29C9">
      <w:pPr>
        <w:pStyle w:val="Text1"/>
        <w:ind w:left="0"/>
        <w:rPr>
          <w:noProof/>
        </w:rPr>
      </w:pPr>
      <w:r>
        <w:rPr>
          <w:noProof/>
        </w:rPr>
        <w:t>The current policy is granting higher support to farms with higher income but also to the 10% farms with the lowest income (</w:t>
      </w:r>
      <w:r>
        <w:rPr>
          <w:noProof/>
        </w:rPr>
        <w:fldChar w:fldCharType="begin"/>
      </w:r>
      <w:r>
        <w:rPr>
          <w:noProof/>
        </w:rPr>
        <w:instrText xml:space="preserve"> REF _Ref507657249 \h  \* MERGEFORMAT </w:instrText>
      </w:r>
      <w:r>
        <w:rPr>
          <w:noProof/>
        </w:rPr>
      </w:r>
      <w:r>
        <w:rPr>
          <w:noProof/>
        </w:rPr>
        <w:fldChar w:fldCharType="separate"/>
      </w:r>
      <w:r>
        <w:rPr>
          <w:noProof/>
        </w:rPr>
        <w:t>Graph 2.5</w:t>
      </w:r>
      <w:r>
        <w:rPr>
          <w:noProof/>
        </w:rPr>
        <w:fldChar w:fldCharType="end"/>
      </w:r>
      <w:r>
        <w:rPr>
          <w:noProof/>
        </w:rPr>
        <w:t xml:space="preserve">): the latter receive 8 000 EUR/AWU, the 50% farms with the highest income receives around 12 000 EUR/AWU relative to between 2 000 and 6 000 </w:t>
      </w:r>
      <w:r>
        <w:rPr>
          <w:noProof/>
        </w:rPr>
        <w:t xml:space="preserve">EUR/AWU for the other farmers. </w:t>
      </w:r>
    </w:p>
    <w:p w:rsidR="00333A1A" w:rsidRDefault="003D29C9">
      <w:pPr>
        <w:pStyle w:val="Text1"/>
        <w:ind w:left="0"/>
        <w:rPr>
          <w:noProof/>
        </w:rPr>
      </w:pPr>
      <w:r>
        <w:rPr>
          <w:noProof/>
        </w:rPr>
        <w:t>None of the options perform better than the baseline, because redistributive effects do not offset cuts and some support is re-allocated to risk management. Option 5 (decoupled payment modulation by size, coupled support for</w:t>
      </w:r>
      <w:r>
        <w:rPr>
          <w:noProof/>
        </w:rPr>
        <w:t xml:space="preserve"> extensive livestock and top-up to permanent grassland and ANC) performs as well as option 1 to redistribute support from farms with higher income per AWU to those with lower income level. Option 4 (regionalisation by land type and redistribution to perman</w:t>
      </w:r>
      <w:r>
        <w:rPr>
          <w:noProof/>
        </w:rPr>
        <w:t xml:space="preserve">ent grassland) performs slightly less. Provided farmers will largely adopt the voluntary eco-scheme to catch the premium, option 3b (redistributive payment) would </w:t>
      </w:r>
      <w:r>
        <w:rPr>
          <w:b/>
          <w:noProof/>
        </w:rPr>
        <w:t>perform</w:t>
      </w:r>
      <w:r>
        <w:rPr>
          <w:noProof/>
        </w:rPr>
        <w:t xml:space="preserve"> as well as option 4. In any case, mainly because of the reallocation of support to ri</w:t>
      </w:r>
      <w:r>
        <w:rPr>
          <w:noProof/>
        </w:rPr>
        <w:t>sk management option 3a performs the least.</w:t>
      </w:r>
    </w:p>
    <w:p w:rsidR="00333A1A" w:rsidRDefault="00333A1A">
      <w:pPr>
        <w:pStyle w:val="Text1"/>
        <w:ind w:left="0"/>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411"/>
      </w:tblGrid>
      <w:tr w:rsidR="00333A1A">
        <w:tc>
          <w:tcPr>
            <w:tcW w:w="4423" w:type="dxa"/>
          </w:tcPr>
          <w:p w:rsidR="00333A1A" w:rsidRDefault="003D29C9">
            <w:pPr>
              <w:pStyle w:val="Caption"/>
              <w:keepNext/>
              <w:rPr>
                <w:noProof/>
              </w:rPr>
            </w:pPr>
            <w:bookmarkStart w:id="23" w:name="_Ref507657249"/>
            <w:r>
              <w:rPr>
                <w:bCs w:val="0"/>
                <w:noProof/>
                <w:color w:val="auto"/>
                <w:sz w:val="22"/>
                <w:szCs w:val="20"/>
              </w:rPr>
              <w:t xml:space="preserve">Graph </w:t>
            </w:r>
            <w:r>
              <w:rPr>
                <w:bCs w:val="0"/>
                <w:noProof/>
                <w:color w:val="auto"/>
                <w:sz w:val="22"/>
                <w:szCs w:val="20"/>
              </w:rPr>
              <w:fldChar w:fldCharType="begin"/>
            </w:r>
            <w:r>
              <w:rPr>
                <w:bCs w:val="0"/>
                <w:noProof/>
                <w:color w:val="auto"/>
                <w:sz w:val="22"/>
                <w:szCs w:val="20"/>
              </w:rPr>
              <w:instrText xml:space="preserve"> STYLEREF 1 \s </w:instrText>
            </w:r>
            <w:r>
              <w:rPr>
                <w:bCs w:val="0"/>
                <w:noProof/>
                <w:color w:val="auto"/>
                <w:sz w:val="22"/>
                <w:szCs w:val="20"/>
              </w:rPr>
              <w:fldChar w:fldCharType="separate"/>
            </w:r>
            <w:r>
              <w:rPr>
                <w:bCs w:val="0"/>
                <w:noProof/>
                <w:color w:val="auto"/>
                <w:sz w:val="22"/>
                <w:szCs w:val="20"/>
              </w:rPr>
              <w:t>2</w:t>
            </w:r>
            <w:r>
              <w:rPr>
                <w:bCs w:val="0"/>
                <w:noProof/>
                <w:color w:val="auto"/>
                <w:sz w:val="22"/>
                <w:szCs w:val="20"/>
              </w:rPr>
              <w:fldChar w:fldCharType="end"/>
            </w:r>
            <w:r>
              <w:rPr>
                <w:bCs w:val="0"/>
                <w:noProof/>
                <w:color w:val="auto"/>
                <w:sz w:val="22"/>
                <w:szCs w:val="20"/>
              </w:rPr>
              <w:t>.</w:t>
            </w:r>
            <w:r>
              <w:rPr>
                <w:bCs w:val="0"/>
                <w:noProof/>
                <w:color w:val="auto"/>
                <w:sz w:val="22"/>
                <w:szCs w:val="20"/>
              </w:rPr>
              <w:fldChar w:fldCharType="begin"/>
            </w:r>
            <w:r>
              <w:rPr>
                <w:bCs w:val="0"/>
                <w:noProof/>
                <w:color w:val="auto"/>
                <w:sz w:val="22"/>
                <w:szCs w:val="20"/>
              </w:rPr>
              <w:instrText xml:space="preserve"> SEQ Graph \* ARABIC \s 1 </w:instrText>
            </w:r>
            <w:r>
              <w:rPr>
                <w:bCs w:val="0"/>
                <w:noProof/>
                <w:color w:val="auto"/>
                <w:sz w:val="22"/>
                <w:szCs w:val="20"/>
              </w:rPr>
              <w:fldChar w:fldCharType="separate"/>
            </w:r>
            <w:r>
              <w:rPr>
                <w:bCs w:val="0"/>
                <w:noProof/>
                <w:color w:val="auto"/>
                <w:sz w:val="22"/>
                <w:szCs w:val="20"/>
              </w:rPr>
              <w:t>5</w:t>
            </w:r>
            <w:r>
              <w:rPr>
                <w:bCs w:val="0"/>
                <w:noProof/>
                <w:color w:val="auto"/>
                <w:sz w:val="22"/>
                <w:szCs w:val="20"/>
              </w:rPr>
              <w:fldChar w:fldCharType="end"/>
            </w:r>
            <w:bookmarkEnd w:id="23"/>
            <w:r>
              <w:rPr>
                <w:bCs w:val="0"/>
                <w:noProof/>
                <w:color w:val="auto"/>
                <w:sz w:val="22"/>
                <w:szCs w:val="20"/>
              </w:rPr>
              <w:t xml:space="preserve"> Support per AWU by class of income (Q1 = lower to Q10 = higher income)</w:t>
            </w:r>
          </w:p>
        </w:tc>
        <w:tc>
          <w:tcPr>
            <w:tcW w:w="4411" w:type="dxa"/>
          </w:tcPr>
          <w:p w:rsidR="00333A1A" w:rsidRDefault="003D29C9">
            <w:pPr>
              <w:pStyle w:val="Caption"/>
              <w:keepNext/>
              <w:spacing w:after="120"/>
              <w:rPr>
                <w:noProof/>
              </w:rPr>
            </w:pPr>
            <w:bookmarkStart w:id="24" w:name="_Ref507657211"/>
            <w:r>
              <w:rPr>
                <w:bCs w:val="0"/>
                <w:noProof/>
                <w:color w:val="auto"/>
                <w:sz w:val="22"/>
                <w:szCs w:val="20"/>
              </w:rPr>
              <w:t xml:space="preserve">Graph </w:t>
            </w:r>
            <w:r>
              <w:rPr>
                <w:bCs w:val="0"/>
                <w:noProof/>
                <w:color w:val="auto"/>
                <w:sz w:val="22"/>
                <w:szCs w:val="20"/>
              </w:rPr>
              <w:fldChar w:fldCharType="begin"/>
            </w:r>
            <w:r>
              <w:rPr>
                <w:bCs w:val="0"/>
                <w:noProof/>
                <w:color w:val="auto"/>
                <w:sz w:val="22"/>
                <w:szCs w:val="20"/>
              </w:rPr>
              <w:instrText xml:space="preserve"> STYLEREF 1 \s </w:instrText>
            </w:r>
            <w:r>
              <w:rPr>
                <w:bCs w:val="0"/>
                <w:noProof/>
                <w:color w:val="auto"/>
                <w:sz w:val="22"/>
                <w:szCs w:val="20"/>
              </w:rPr>
              <w:fldChar w:fldCharType="separate"/>
            </w:r>
            <w:r>
              <w:rPr>
                <w:bCs w:val="0"/>
                <w:noProof/>
                <w:color w:val="auto"/>
                <w:sz w:val="22"/>
                <w:szCs w:val="20"/>
              </w:rPr>
              <w:t>2</w:t>
            </w:r>
            <w:r>
              <w:rPr>
                <w:bCs w:val="0"/>
                <w:noProof/>
                <w:color w:val="auto"/>
                <w:sz w:val="22"/>
                <w:szCs w:val="20"/>
              </w:rPr>
              <w:fldChar w:fldCharType="end"/>
            </w:r>
            <w:r>
              <w:rPr>
                <w:bCs w:val="0"/>
                <w:noProof/>
                <w:color w:val="auto"/>
                <w:sz w:val="22"/>
                <w:szCs w:val="20"/>
              </w:rPr>
              <w:t>.</w:t>
            </w:r>
            <w:r>
              <w:rPr>
                <w:bCs w:val="0"/>
                <w:noProof/>
                <w:color w:val="auto"/>
                <w:sz w:val="22"/>
                <w:szCs w:val="20"/>
              </w:rPr>
              <w:fldChar w:fldCharType="begin"/>
            </w:r>
            <w:r>
              <w:rPr>
                <w:bCs w:val="0"/>
                <w:noProof/>
                <w:color w:val="auto"/>
                <w:sz w:val="22"/>
                <w:szCs w:val="20"/>
              </w:rPr>
              <w:instrText xml:space="preserve"> SEQ Graph \* ARABIC \s 1 </w:instrText>
            </w:r>
            <w:r>
              <w:rPr>
                <w:bCs w:val="0"/>
                <w:noProof/>
                <w:color w:val="auto"/>
                <w:sz w:val="22"/>
                <w:szCs w:val="20"/>
              </w:rPr>
              <w:fldChar w:fldCharType="separate"/>
            </w:r>
            <w:r>
              <w:rPr>
                <w:bCs w:val="0"/>
                <w:noProof/>
                <w:color w:val="auto"/>
                <w:sz w:val="22"/>
                <w:szCs w:val="20"/>
              </w:rPr>
              <w:t>6</w:t>
            </w:r>
            <w:r>
              <w:rPr>
                <w:bCs w:val="0"/>
                <w:noProof/>
                <w:color w:val="auto"/>
                <w:sz w:val="22"/>
                <w:szCs w:val="20"/>
              </w:rPr>
              <w:fldChar w:fldCharType="end"/>
            </w:r>
            <w:bookmarkEnd w:id="24"/>
            <w:r>
              <w:rPr>
                <w:bCs w:val="0"/>
                <w:noProof/>
                <w:color w:val="auto"/>
                <w:sz w:val="22"/>
                <w:szCs w:val="20"/>
              </w:rPr>
              <w:t xml:space="preserve"> Change in support relative</w:t>
            </w:r>
            <w:r>
              <w:rPr>
                <w:bCs w:val="0"/>
                <w:noProof/>
                <w:color w:val="auto"/>
                <w:sz w:val="22"/>
                <w:szCs w:val="20"/>
              </w:rPr>
              <w:t xml:space="preserve"> to option 1 by class of production intensity</w:t>
            </w:r>
            <w:r>
              <w:rPr>
                <w:rStyle w:val="FootnoteReference"/>
                <w:bCs w:val="0"/>
                <w:noProof/>
                <w:color w:val="auto"/>
                <w:sz w:val="22"/>
                <w:szCs w:val="20"/>
              </w:rPr>
              <w:footnoteReference w:id="16"/>
            </w:r>
            <w:r>
              <w:rPr>
                <w:bCs w:val="0"/>
                <w:noProof/>
                <w:color w:val="auto"/>
                <w:sz w:val="22"/>
                <w:szCs w:val="20"/>
              </w:rPr>
              <w:t xml:space="preserve"> </w:t>
            </w:r>
            <w:r>
              <w:rPr>
                <w:bCs w:val="0"/>
                <w:noProof/>
                <w:color w:val="auto"/>
                <w:sz w:val="22"/>
                <w:szCs w:val="20"/>
              </w:rPr>
              <w:br/>
            </w:r>
            <w:r>
              <w:rPr>
                <w:bCs w:val="0"/>
                <w:noProof/>
                <w:color w:val="auto"/>
                <w:szCs w:val="20"/>
              </w:rPr>
              <w:t>(Q1 = more extensive to Q10 = more intensive income)</w:t>
            </w:r>
          </w:p>
        </w:tc>
      </w:tr>
      <w:tr w:rsidR="00333A1A">
        <w:trPr>
          <w:trHeight w:val="3224"/>
        </w:trPr>
        <w:tc>
          <w:tcPr>
            <w:tcW w:w="4423" w:type="dxa"/>
          </w:tcPr>
          <w:p w:rsidR="00333A1A" w:rsidRDefault="003D29C9">
            <w:pPr>
              <w:keepNext/>
              <w:rPr>
                <w:noProof/>
              </w:rPr>
            </w:pPr>
            <w:r>
              <w:rPr>
                <w:noProof/>
              </w:rPr>
              <w:drawing>
                <wp:inline distT="0" distB="0" distL="0" distR="0" wp14:anchorId="6F468099" wp14:editId="7EC054AE">
                  <wp:extent cx="2808000" cy="216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3A1A" w:rsidRDefault="003D29C9">
            <w:pPr>
              <w:keepNext/>
              <w:spacing w:after="240"/>
              <w:rPr>
                <w:noProof/>
              </w:rPr>
            </w:pPr>
            <w:r>
              <w:rPr>
                <w:noProof/>
                <w:sz w:val="16"/>
              </w:rPr>
              <w:t>Source: JRC, IFM-CAP</w:t>
            </w:r>
          </w:p>
        </w:tc>
        <w:tc>
          <w:tcPr>
            <w:tcW w:w="4411" w:type="dxa"/>
          </w:tcPr>
          <w:p w:rsidR="00333A1A" w:rsidRDefault="003D29C9">
            <w:pPr>
              <w:keepNext/>
              <w:rPr>
                <w:noProof/>
              </w:rPr>
            </w:pPr>
            <w:r>
              <w:rPr>
                <w:noProof/>
              </w:rPr>
              <w:drawing>
                <wp:inline distT="0" distB="0" distL="0" distR="0" wp14:anchorId="337D9504" wp14:editId="73CA9364">
                  <wp:extent cx="2794000" cy="2159000"/>
                  <wp:effectExtent l="0" t="0" r="6350" b="0"/>
                  <wp:docPr id="35"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sz w:val="16"/>
              </w:rPr>
              <w:t xml:space="preserve"> Source: JRC, IFM-CAP</w:t>
            </w:r>
          </w:p>
        </w:tc>
      </w:tr>
    </w:tbl>
    <w:p w:rsidR="00333A1A" w:rsidRDefault="003D29C9">
      <w:pPr>
        <w:pStyle w:val="Text1"/>
        <w:ind w:left="0"/>
        <w:rPr>
          <w:noProof/>
        </w:rPr>
      </w:pPr>
      <w:r>
        <w:rPr>
          <w:noProof/>
        </w:rPr>
        <w:t xml:space="preserve">In option 3a this shift in priorities affects negatively almost equally farmers of all economic classes. </w:t>
      </w:r>
      <w:r>
        <w:rPr>
          <w:noProof/>
        </w:rPr>
        <w:t>Option 3b with the redistributive payment allows maintaining the income of medium economic size farms (from 8 to 100 000 EUR) while support drops is higher for larger farms. In addition, would the uptake of eco-scheme be lower, support drops could be large</w:t>
      </w:r>
      <w:r>
        <w:rPr>
          <w:noProof/>
        </w:rPr>
        <w:t>r.</w:t>
      </w:r>
    </w:p>
    <w:p w:rsidR="00333A1A" w:rsidRDefault="003D29C9">
      <w:pPr>
        <w:pStyle w:val="Text1"/>
        <w:ind w:left="0"/>
        <w:rPr>
          <w:noProof/>
        </w:rPr>
      </w:pPr>
      <w:r>
        <w:rPr>
          <w:noProof/>
        </w:rPr>
        <w:t xml:space="preserve">It is a well-known phenomenon that some years the farm net value added of farms is negative (market revenue + subsidies – total costs – depreciation), it does not mean that the cash flow is negative but that accounting for the loss of capital value the </w:t>
      </w:r>
      <w:r>
        <w:rPr>
          <w:noProof/>
        </w:rPr>
        <w:t>farm income is negative. If this situation lasts for several years it is threatening strongly the viability of the farm.</w:t>
      </w:r>
    </w:p>
    <w:p w:rsidR="00333A1A" w:rsidRDefault="003D29C9">
      <w:pPr>
        <w:keepNext/>
        <w:spacing w:after="0" w:line="240" w:lineRule="auto"/>
        <w:jc w:val="both"/>
        <w:rPr>
          <w:rFonts w:ascii="Times New Roman" w:hAnsi="Times New Roman" w:cs="Times New Roman"/>
          <w:noProof/>
          <w:sz w:val="24"/>
          <w:szCs w:val="24"/>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.4 Share of farms with negative income</w:t>
      </w:r>
    </w:p>
    <w:tbl>
      <w:tblPr>
        <w:tblW w:w="7346" w:type="dxa"/>
        <w:tblInd w:w="534" w:type="dxa"/>
        <w:tblLook w:val="04A0" w:firstRow="1" w:lastRow="0" w:firstColumn="1" w:lastColumn="0" w:noHBand="0" w:noVBand="1"/>
      </w:tblPr>
      <w:tblGrid>
        <w:gridCol w:w="956"/>
        <w:gridCol w:w="1065"/>
        <w:gridCol w:w="1065"/>
        <w:gridCol w:w="1065"/>
        <w:gridCol w:w="1065"/>
        <w:gridCol w:w="1065"/>
        <w:gridCol w:w="1065"/>
      </w:tblGrid>
      <w:tr w:rsidR="00333A1A">
        <w:trPr>
          <w:trHeight w:val="288"/>
        </w:trPr>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Baseline</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3a</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3b</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4a</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4b</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5</w:t>
            </w:r>
          </w:p>
        </w:tc>
      </w:tr>
      <w:tr w:rsidR="00333A1A">
        <w:trPr>
          <w:trHeight w:val="288"/>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14%</w:t>
            </w:r>
          </w:p>
        </w:tc>
        <w:tc>
          <w:tcPr>
            <w:tcW w:w="1065"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15%</w:t>
            </w:r>
          </w:p>
        </w:tc>
        <w:tc>
          <w:tcPr>
            <w:tcW w:w="1065"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17%</w:t>
            </w:r>
          </w:p>
        </w:tc>
        <w:tc>
          <w:tcPr>
            <w:tcW w:w="1065"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15%</w:t>
            </w:r>
          </w:p>
        </w:tc>
        <w:tc>
          <w:tcPr>
            <w:tcW w:w="1065"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16%</w:t>
            </w:r>
          </w:p>
        </w:tc>
        <w:tc>
          <w:tcPr>
            <w:tcW w:w="1065"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15%</w:t>
            </w:r>
          </w:p>
        </w:tc>
        <w:tc>
          <w:tcPr>
            <w:tcW w:w="1065"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15%</w:t>
            </w:r>
          </w:p>
        </w:tc>
      </w:tr>
    </w:tbl>
    <w:p w:rsidR="00333A1A" w:rsidRDefault="003D29C9">
      <w:pPr>
        <w:spacing w:after="240" w:line="240" w:lineRule="auto"/>
        <w:jc w:val="both"/>
        <w:rPr>
          <w:rFonts w:ascii="Times New Roman" w:hAnsi="Times New Roman" w:cs="Times New Roman"/>
          <w:noProof/>
          <w:sz w:val="16"/>
          <w:szCs w:val="24"/>
        </w:rPr>
      </w:pPr>
      <w:r>
        <w:rPr>
          <w:rFonts w:ascii="Times New Roman" w:hAnsi="Times New Roman" w:cs="Times New Roman"/>
          <w:noProof/>
          <w:sz w:val="16"/>
          <w:szCs w:val="24"/>
        </w:rPr>
        <w:t xml:space="preserve">Source: JRC, </w:t>
      </w:r>
      <w:r>
        <w:rPr>
          <w:rFonts w:ascii="Times New Roman" w:hAnsi="Times New Roman" w:cs="Times New Roman"/>
          <w:noProof/>
          <w:sz w:val="16"/>
          <w:szCs w:val="24"/>
        </w:rPr>
        <w:t>IFM-CAP</w:t>
      </w:r>
    </w:p>
    <w:p w:rsidR="00333A1A" w:rsidRDefault="003D29C9">
      <w:pPr>
        <w:pStyle w:val="Text1"/>
        <w:ind w:left="0"/>
        <w:rPr>
          <w:noProof/>
        </w:rPr>
      </w:pPr>
      <w:r>
        <w:rPr>
          <w:noProof/>
        </w:rPr>
        <w:t>In the baseline, the share of farms with a negative farm net value added reaches 14%, this share increases to 15% in option 1 with the budget cut. In option 3a, with the shift of priority to risk management tools and the increased environmental-cli</w:t>
      </w:r>
      <w:r>
        <w:rPr>
          <w:noProof/>
        </w:rPr>
        <w:t>matic ambition this percentage increases to 17%. In option 4b, the loss in revenue due to the same environment-climate ambition leads to 16% of farms with negative income. In the other options (3b, 4b and 5), the share is the same as in option 1.</w:t>
      </w:r>
    </w:p>
    <w:p w:rsidR="00333A1A" w:rsidRDefault="003D29C9">
      <w:pPr>
        <w:pStyle w:val="Text1"/>
        <w:ind w:left="0"/>
        <w:rPr>
          <w:noProof/>
        </w:rPr>
      </w:pPr>
      <w:r>
        <w:rPr>
          <w:noProof/>
        </w:rPr>
        <w:t>It is imp</w:t>
      </w:r>
      <w:r>
        <w:rPr>
          <w:noProof/>
        </w:rPr>
        <w:t>ortant to note once more that structural change is not accounted here. But in a situation of income deterioration an increase of the number of farmers leaving the agricultural business might be expected. In addition, in this modelling exercise only interme</w:t>
      </w:r>
      <w:r>
        <w:rPr>
          <w:noProof/>
        </w:rPr>
        <w:t>diate costs vary with the changes in farming practices but fixed costs (labour, machinery, energy…) remain constant, while some adaptation might take place too.</w:t>
      </w:r>
    </w:p>
    <w:p w:rsidR="00333A1A" w:rsidRDefault="003D29C9">
      <w:pPr>
        <w:spacing w:after="240" w:line="240" w:lineRule="auto"/>
        <w:jc w:val="both"/>
        <w:rPr>
          <w:rFonts w:ascii="Times New Roman" w:hAnsi="Times New Roman" w:cs="Times New Roman"/>
          <w:b/>
          <w:noProof/>
          <w:szCs w:val="24"/>
        </w:rPr>
      </w:pPr>
      <w:r>
        <w:rPr>
          <w:rFonts w:ascii="Times New Roman" w:hAnsi="Times New Roman" w:cs="Times New Roman"/>
          <w:b/>
          <w:noProof/>
          <w:szCs w:val="24"/>
        </w:rPr>
        <w:t>A fairer distribution of support</w:t>
      </w:r>
    </w:p>
    <w:p w:rsidR="00333A1A" w:rsidRDefault="003D29C9">
      <w:pPr>
        <w:pStyle w:val="Text1"/>
        <w:ind w:left="0"/>
        <w:rPr>
          <w:noProof/>
        </w:rPr>
      </w:pPr>
      <w:r>
        <w:rPr>
          <w:b/>
          <w:noProof/>
        </w:rPr>
        <w:t>Capping</w:t>
      </w:r>
      <w:r>
        <w:rPr>
          <w:noProof/>
        </w:rPr>
        <w:t xml:space="preserve"> the level of DP farmers can be granted is seen as one way to reach a fairer distribution of support. In this simulation, two levels of capping per farm were tested: 100 000 EUR (options 3 and 4) and 60 000 EUR (option 5). In this impact assessment, only t</w:t>
      </w:r>
      <w:r>
        <w:rPr>
          <w:noProof/>
        </w:rPr>
        <w:t>he capping of the basic payment and the redistributive payment were simulated. Elements changing across options (the eco-scheme, the environmental top-ups and the coupled support implemented to address EU concerns and sectors in difficulty) were not part o</w:t>
      </w:r>
      <w:r>
        <w:rPr>
          <w:noProof/>
        </w:rPr>
        <w:t>f capping, to facilitate comparison across options.</w:t>
      </w:r>
    </w:p>
    <w:p w:rsidR="00333A1A" w:rsidRDefault="003D29C9">
      <w:pPr>
        <w:pStyle w:val="Text1"/>
        <w:ind w:left="0"/>
        <w:rPr>
          <w:noProof/>
        </w:rPr>
      </w:pPr>
      <w:r>
        <w:rPr>
          <w:noProof/>
        </w:rPr>
        <w:t>Currently, only 8 MS</w:t>
      </w:r>
      <w:r>
        <w:rPr>
          <w:rStyle w:val="FootnoteReference"/>
          <w:noProof/>
          <w:szCs w:val="24"/>
        </w:rPr>
        <w:footnoteReference w:id="17"/>
      </w:r>
      <w:r>
        <w:rPr>
          <w:noProof/>
        </w:rPr>
        <w:t xml:space="preserve"> apply a capping from a threshold of 150 000 EUR to 500 000 EUR. In addition, direct payments are cut (by 5% to 50%) from 150 000 EUR per farm in 14 MS. It raises a capping product of</w:t>
      </w:r>
      <w:r>
        <w:rPr>
          <w:noProof/>
        </w:rPr>
        <w:t xml:space="preserve"> 120 million EUR, coming mainly from HU, PL and BG. The capped farms have close to 50 employees on average (see Annex 5.5). It means that the current capping penalises farms providing numerous jobs. Despite the possibility to apply a correction for salarie</w:t>
      </w:r>
      <w:r>
        <w:rPr>
          <w:noProof/>
        </w:rPr>
        <w:t>s HU, PL, SK and CZ do not apply it, because it is deemed too complicated. Lowering the capping threshold to 100 000 EUR or even 60 000 EUR could convince these MS to apply this correction, even to possibly consider family labour. It could also be looked a</w:t>
      </w:r>
      <w:r>
        <w:rPr>
          <w:noProof/>
        </w:rPr>
        <w:t>t a simpler solution to deduct salaries, possibly based on MS average wage. In addition, with a capping level at 60 000 EUR the possibility to deduct opportunity costs for family labour could as well be considered.</w:t>
      </w:r>
    </w:p>
    <w:p w:rsidR="00333A1A" w:rsidRDefault="003D29C9">
      <w:pPr>
        <w:pStyle w:val="Text1"/>
        <w:ind w:left="0"/>
        <w:rPr>
          <w:noProof/>
        </w:rPr>
      </w:pPr>
      <w:r>
        <w:rPr>
          <w:noProof/>
        </w:rPr>
        <w:t>Applying a capping of 100 000 EUR (with s</w:t>
      </w:r>
      <w:r>
        <w:rPr>
          <w:noProof/>
        </w:rPr>
        <w:t>alaries correction) to the current basic decoupled payments (BPS/SAPS and greening) ceteris paribus would raise a capping product of 350 million EUR. Applied to all direct payments the capping amount could reach 920 million EUR. However, the budget cut and</w:t>
      </w:r>
      <w:r>
        <w:rPr>
          <w:noProof/>
        </w:rPr>
        <w:t xml:space="preserve"> the shift in priorities could lead to much lower capping products: 0 EUR in option 3a (where the basic payment represents only 25% of pillar I envelope), 10 million EUR in option 3b, 50 million EUR in option 5 (despite a capping at 60 000 EUR). </w:t>
      </w:r>
    </w:p>
    <w:p w:rsidR="00333A1A" w:rsidRDefault="003D29C9">
      <w:pPr>
        <w:pStyle w:val="Text1"/>
        <w:ind w:left="0"/>
        <w:rPr>
          <w:noProof/>
        </w:rPr>
      </w:pPr>
      <w:r>
        <w:rPr>
          <w:noProof/>
        </w:rPr>
        <w:t>In additi</w:t>
      </w:r>
      <w:r>
        <w:rPr>
          <w:noProof/>
        </w:rPr>
        <w:t>on, in all capping scenarios, BG and RO are the 2 MS where most of the direct payments are capped, despite the correction of salaries. In HU, CZ and SK the salaries correction implies a strong drop in capped amounts. Would capped amounts be cut from MS env</w:t>
      </w:r>
      <w:r>
        <w:rPr>
          <w:noProof/>
        </w:rPr>
        <w:t xml:space="preserve">elopes it would raise a serious issue of cohesion, knowing that these two MS grant among the lowest support per ha and belong to the poorest MS of the EU. </w:t>
      </w:r>
    </w:p>
    <w:p w:rsidR="00333A1A" w:rsidRDefault="003D29C9">
      <w:pPr>
        <w:pStyle w:val="Text1"/>
        <w:ind w:left="0"/>
        <w:rPr>
          <w:noProof/>
        </w:rPr>
      </w:pPr>
      <w:r>
        <w:rPr>
          <w:noProof/>
        </w:rPr>
        <w:t>This is why, in option 4, the capping is used as an actual tool of redistribution. Meaning that inst</w:t>
      </w:r>
      <w:r>
        <w:rPr>
          <w:noProof/>
        </w:rPr>
        <w:t>ead of cutting the envelope (by potentially more than 300 million EUR, out of which more than 60% in BG and RO), the budget is redistributed to smaller farmers by increasing the per hectare payment (by around 10% in BG and 6% in RO). It is not a simple bud</w:t>
      </w:r>
      <w:r>
        <w:rPr>
          <w:noProof/>
        </w:rPr>
        <w:t xml:space="preserve">getary mechanism but it addresses citizen concerns without damaging cohesion. </w:t>
      </w:r>
    </w:p>
    <w:p w:rsidR="00333A1A" w:rsidRDefault="003D29C9">
      <w:pPr>
        <w:pStyle w:val="Text1"/>
        <w:ind w:left="0"/>
        <w:rPr>
          <w:noProof/>
        </w:rPr>
      </w:pPr>
      <w:r>
        <w:rPr>
          <w:noProof/>
        </w:rPr>
        <w:t>In the option where the link to historic payment levels is kept (option 3b), on top of the capping per farm, a capping per ha was introduced (1 000 EUR/ha of basic payment and r</w:t>
      </w:r>
      <w:r>
        <w:rPr>
          <w:noProof/>
        </w:rPr>
        <w:t>edistributive payment in this simulation). The number of farmers affected is relatively low compared to how many farmers would have been affected if that capping would have applied in 2015. The main reasons are: the increasing convergence of direct payment</w:t>
      </w:r>
      <w:r>
        <w:rPr>
          <w:noProof/>
        </w:rPr>
        <w:t xml:space="preserve">s per ha to take place in the coming years and accounted for in the baseline, the reduction of direct payments simulated in option 3b and the potential lack of representativeness of these farms in FADN. An assessment carried out on the 2015 payments (CATS </w:t>
      </w:r>
      <w:r>
        <w:rPr>
          <w:noProof/>
        </w:rPr>
        <w:t>database) showed that a capping per ha of the basic payment scheme, the single area payment scheme and the greening at 1 000 EUR/ha would have led to cut direct payments to    more than 200 000 beneficiaries and to a capped amount of 1.5 billion EUR. The f</w:t>
      </w:r>
      <w:r>
        <w:rPr>
          <w:noProof/>
        </w:rPr>
        <w:t>arms capped are mainly located in EL, IT and ES. They have an average of 4 hectares and received around 7 400 EUR per farm in 2015. Most of these farmers are olive growers but there are also some intensive livestock producers (cattle and sheep). With a cap</w:t>
      </w:r>
      <w:r>
        <w:rPr>
          <w:noProof/>
        </w:rPr>
        <w:t>ping at 600 EUR/ha, the number of beneficiaries capped would have raised to 600 000 and PT would be hit too. A capping level relative to the average direct payment per MS was tested too and revealed more proportionate.</w:t>
      </w:r>
    </w:p>
    <w:p w:rsidR="00333A1A" w:rsidRDefault="003D29C9">
      <w:pPr>
        <w:keepNext/>
        <w:spacing w:after="0" w:line="240" w:lineRule="auto"/>
        <w:jc w:val="both"/>
        <w:rPr>
          <w:rFonts w:ascii="Times New Roman" w:hAnsi="Times New Roman" w:cs="Times New Roman"/>
          <w:noProof/>
          <w:sz w:val="24"/>
          <w:szCs w:val="24"/>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 xml:space="preserve">.5 Capped </w:t>
      </w:r>
      <w:r>
        <w:rPr>
          <w:rFonts w:ascii="Times New Roman" w:eastAsia="Times New Roman" w:hAnsi="Times New Roman" w:cs="Times New Roman"/>
          <w:b/>
          <w:noProof/>
          <w:szCs w:val="20"/>
          <w:lang w:eastAsia="en-GB"/>
        </w:rPr>
        <w:t>amounts by option</w:t>
      </w:r>
    </w:p>
    <w:tbl>
      <w:tblPr>
        <w:tblW w:w="5065" w:type="pct"/>
        <w:tblLayout w:type="fixed"/>
        <w:tblLook w:val="04A0" w:firstRow="1" w:lastRow="0" w:firstColumn="1" w:lastColumn="0" w:noHBand="0" w:noVBand="1"/>
      </w:tblPr>
      <w:tblGrid>
        <w:gridCol w:w="1670"/>
        <w:gridCol w:w="1135"/>
        <w:gridCol w:w="1063"/>
        <w:gridCol w:w="925"/>
        <w:gridCol w:w="993"/>
        <w:gridCol w:w="1392"/>
        <w:gridCol w:w="992"/>
        <w:gridCol w:w="779"/>
      </w:tblGrid>
      <w:tr w:rsidR="00333A1A">
        <w:trPr>
          <w:trHeight w:val="288"/>
        </w:trPr>
        <w:tc>
          <w:tcPr>
            <w:tcW w:w="933" w:type="pct"/>
            <w:tcBorders>
              <w:top w:val="nil"/>
              <w:left w:val="nil"/>
              <w:bottom w:val="nil"/>
              <w:right w:val="nil"/>
            </w:tcBorders>
            <w:shd w:val="clear" w:color="auto" w:fill="auto"/>
            <w:noWrap/>
            <w:vAlign w:val="bottom"/>
            <w:hideMark/>
          </w:tcPr>
          <w:p w:rsidR="00333A1A" w:rsidRDefault="00333A1A">
            <w:pPr>
              <w:keepNext/>
              <w:spacing w:after="0" w:line="240" w:lineRule="auto"/>
              <w:rPr>
                <w:rFonts w:ascii="Times New Roman" w:eastAsia="Times New Roman" w:hAnsi="Times New Roman" w:cs="Times New Roman"/>
                <w:noProof/>
                <w:color w:val="000000"/>
                <w:sz w:val="20"/>
                <w:lang w:eastAsia="en-GB"/>
              </w:rPr>
            </w:pP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Baseline</w:t>
            </w:r>
          </w:p>
        </w:tc>
        <w:tc>
          <w:tcPr>
            <w:tcW w:w="1111" w:type="pct"/>
            <w:gridSpan w:val="2"/>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Baseline+capping</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3a</w:t>
            </w:r>
          </w:p>
        </w:tc>
        <w:tc>
          <w:tcPr>
            <w:tcW w:w="778" w:type="pct"/>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3b</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5</w:t>
            </w:r>
          </w:p>
        </w:tc>
      </w:tr>
      <w:tr w:rsidR="00333A1A">
        <w:trPr>
          <w:trHeight w:val="288"/>
        </w:trPr>
        <w:tc>
          <w:tcPr>
            <w:tcW w:w="9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keepNext/>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Level of capping</w:t>
            </w:r>
          </w:p>
        </w:tc>
        <w:tc>
          <w:tcPr>
            <w:tcW w:w="634" w:type="pct"/>
            <w:tcBorders>
              <w:top w:val="nil"/>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various</w:t>
            </w:r>
          </w:p>
        </w:tc>
        <w:tc>
          <w:tcPr>
            <w:tcW w:w="594" w:type="pct"/>
            <w:tcBorders>
              <w:top w:val="nil"/>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100 000</w:t>
            </w:r>
          </w:p>
        </w:tc>
        <w:tc>
          <w:tcPr>
            <w:tcW w:w="517" w:type="pct"/>
            <w:tcBorders>
              <w:top w:val="nil"/>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100 000</w:t>
            </w:r>
          </w:p>
        </w:tc>
        <w:tc>
          <w:tcPr>
            <w:tcW w:w="555" w:type="pct"/>
            <w:tcBorders>
              <w:top w:val="nil"/>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100 000</w:t>
            </w:r>
          </w:p>
        </w:tc>
        <w:tc>
          <w:tcPr>
            <w:tcW w:w="778" w:type="pct"/>
            <w:tcBorders>
              <w:top w:val="nil"/>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100 000</w:t>
            </w:r>
          </w:p>
        </w:tc>
        <w:tc>
          <w:tcPr>
            <w:tcW w:w="554" w:type="pct"/>
            <w:tcBorders>
              <w:top w:val="nil"/>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100 000</w:t>
            </w:r>
          </w:p>
        </w:tc>
        <w:tc>
          <w:tcPr>
            <w:tcW w:w="436" w:type="pct"/>
            <w:tcBorders>
              <w:top w:val="nil"/>
              <w:left w:val="nil"/>
              <w:bottom w:val="single" w:sz="4" w:space="0" w:color="auto"/>
              <w:right w:val="single" w:sz="4" w:space="0" w:color="auto"/>
            </w:tcBorders>
            <w:shd w:val="clear" w:color="auto" w:fill="auto"/>
            <w:noWrap/>
            <w:vAlign w:val="bottom"/>
            <w:hideMark/>
          </w:tcPr>
          <w:p w:rsidR="00333A1A" w:rsidRDefault="003D29C9">
            <w:pPr>
              <w:keepNext/>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60 000</w:t>
            </w:r>
          </w:p>
        </w:tc>
      </w:tr>
      <w:tr w:rsidR="00333A1A">
        <w:trPr>
          <w:trHeight w:val="57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keepNext/>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Scope</w:t>
            </w:r>
          </w:p>
        </w:tc>
        <w:tc>
          <w:tcPr>
            <w:tcW w:w="634" w:type="pct"/>
            <w:tcBorders>
              <w:top w:val="nil"/>
              <w:left w:val="nil"/>
              <w:bottom w:val="single" w:sz="4" w:space="0" w:color="auto"/>
              <w:right w:val="single" w:sz="4" w:space="0" w:color="auto"/>
            </w:tcBorders>
            <w:shd w:val="clear" w:color="auto" w:fill="auto"/>
            <w:noWrap/>
            <w:vAlign w:val="center"/>
            <w:hideMark/>
          </w:tcPr>
          <w:p w:rsidR="00333A1A" w:rsidRDefault="003D29C9">
            <w:pPr>
              <w:keepNext/>
              <w:spacing w:after="0" w:line="240" w:lineRule="auto"/>
              <w:jc w:val="center"/>
              <w:rPr>
                <w:rFonts w:ascii="Times New Roman" w:eastAsia="Times New Roman" w:hAnsi="Times New Roman" w:cs="Times New Roman"/>
                <w:noProof/>
                <w:color w:val="000000"/>
                <w:sz w:val="18"/>
                <w:lang w:eastAsia="en-GB"/>
              </w:rPr>
            </w:pPr>
            <w:r>
              <w:rPr>
                <w:rFonts w:ascii="Times New Roman" w:eastAsia="Times New Roman" w:hAnsi="Times New Roman" w:cs="Times New Roman"/>
                <w:noProof/>
                <w:color w:val="000000"/>
                <w:sz w:val="18"/>
                <w:lang w:eastAsia="en-GB"/>
              </w:rPr>
              <w:t>BPS/SAPS</w:t>
            </w:r>
          </w:p>
        </w:tc>
        <w:tc>
          <w:tcPr>
            <w:tcW w:w="594" w:type="pct"/>
            <w:tcBorders>
              <w:top w:val="nil"/>
              <w:left w:val="nil"/>
              <w:bottom w:val="single" w:sz="4" w:space="0" w:color="auto"/>
              <w:right w:val="single" w:sz="4" w:space="0" w:color="auto"/>
            </w:tcBorders>
            <w:shd w:val="clear" w:color="auto" w:fill="auto"/>
            <w:vAlign w:val="center"/>
            <w:hideMark/>
          </w:tcPr>
          <w:p w:rsidR="00333A1A" w:rsidRDefault="003D29C9">
            <w:pPr>
              <w:keepNext/>
              <w:spacing w:after="0" w:line="240" w:lineRule="auto"/>
              <w:jc w:val="center"/>
              <w:rPr>
                <w:rFonts w:ascii="Times New Roman" w:eastAsia="Times New Roman" w:hAnsi="Times New Roman" w:cs="Times New Roman"/>
                <w:noProof/>
                <w:color w:val="000000"/>
                <w:sz w:val="18"/>
                <w:lang w:eastAsia="en-GB"/>
              </w:rPr>
            </w:pPr>
            <w:r>
              <w:rPr>
                <w:rFonts w:ascii="Times New Roman" w:eastAsia="Times New Roman" w:hAnsi="Times New Roman" w:cs="Times New Roman"/>
                <w:noProof/>
                <w:color w:val="000000"/>
                <w:sz w:val="18"/>
                <w:lang w:eastAsia="en-GB"/>
              </w:rPr>
              <w:t>BPS/SAPS + greening</w:t>
            </w:r>
          </w:p>
        </w:tc>
        <w:tc>
          <w:tcPr>
            <w:tcW w:w="517" w:type="pct"/>
            <w:tcBorders>
              <w:top w:val="nil"/>
              <w:left w:val="nil"/>
              <w:bottom w:val="single" w:sz="4" w:space="0" w:color="auto"/>
              <w:right w:val="single" w:sz="4" w:space="0" w:color="auto"/>
            </w:tcBorders>
            <w:shd w:val="clear" w:color="auto" w:fill="auto"/>
            <w:vAlign w:val="center"/>
            <w:hideMark/>
          </w:tcPr>
          <w:p w:rsidR="00333A1A" w:rsidRDefault="003D29C9">
            <w:pPr>
              <w:keepNext/>
              <w:spacing w:after="0" w:line="240" w:lineRule="auto"/>
              <w:jc w:val="center"/>
              <w:rPr>
                <w:rFonts w:ascii="Times New Roman" w:eastAsia="Times New Roman" w:hAnsi="Times New Roman" w:cs="Times New Roman"/>
                <w:noProof/>
                <w:color w:val="000000"/>
                <w:sz w:val="18"/>
                <w:lang w:eastAsia="en-GB"/>
              </w:rPr>
            </w:pPr>
            <w:r>
              <w:rPr>
                <w:rFonts w:ascii="Times New Roman" w:eastAsia="Times New Roman" w:hAnsi="Times New Roman" w:cs="Times New Roman"/>
                <w:noProof/>
                <w:color w:val="000000"/>
                <w:sz w:val="18"/>
                <w:lang w:eastAsia="en-GB"/>
              </w:rPr>
              <w:t>all DP</w:t>
            </w:r>
          </w:p>
        </w:tc>
        <w:tc>
          <w:tcPr>
            <w:tcW w:w="555" w:type="pct"/>
            <w:tcBorders>
              <w:top w:val="nil"/>
              <w:left w:val="nil"/>
              <w:bottom w:val="single" w:sz="4" w:space="0" w:color="auto"/>
              <w:right w:val="single" w:sz="4" w:space="0" w:color="auto"/>
            </w:tcBorders>
            <w:shd w:val="clear" w:color="auto" w:fill="auto"/>
            <w:noWrap/>
            <w:vAlign w:val="center"/>
            <w:hideMark/>
          </w:tcPr>
          <w:p w:rsidR="00333A1A" w:rsidRDefault="003D29C9">
            <w:pPr>
              <w:keepNext/>
              <w:spacing w:after="0" w:line="240" w:lineRule="auto"/>
              <w:jc w:val="center"/>
              <w:rPr>
                <w:rFonts w:ascii="Times New Roman" w:eastAsia="Times New Roman" w:hAnsi="Times New Roman" w:cs="Times New Roman"/>
                <w:noProof/>
                <w:color w:val="000000"/>
                <w:sz w:val="18"/>
                <w:lang w:eastAsia="en-GB"/>
              </w:rPr>
            </w:pPr>
            <w:r>
              <w:rPr>
                <w:rFonts w:ascii="Times New Roman" w:eastAsia="Times New Roman" w:hAnsi="Times New Roman" w:cs="Times New Roman"/>
                <w:noProof/>
                <w:color w:val="000000"/>
                <w:sz w:val="18"/>
                <w:lang w:eastAsia="en-GB"/>
              </w:rPr>
              <w:t>BP</w:t>
            </w:r>
          </w:p>
        </w:tc>
        <w:tc>
          <w:tcPr>
            <w:tcW w:w="778" w:type="pct"/>
            <w:tcBorders>
              <w:top w:val="nil"/>
              <w:left w:val="nil"/>
              <w:bottom w:val="single" w:sz="4" w:space="0" w:color="auto"/>
              <w:right w:val="single" w:sz="4" w:space="0" w:color="auto"/>
            </w:tcBorders>
            <w:shd w:val="clear" w:color="auto" w:fill="auto"/>
            <w:noWrap/>
            <w:vAlign w:val="center"/>
            <w:hideMark/>
          </w:tcPr>
          <w:p w:rsidR="00333A1A" w:rsidRDefault="003D29C9">
            <w:pPr>
              <w:keepNext/>
              <w:spacing w:after="0" w:line="240" w:lineRule="auto"/>
              <w:jc w:val="center"/>
              <w:rPr>
                <w:rFonts w:ascii="Times New Roman" w:eastAsia="Times New Roman" w:hAnsi="Times New Roman" w:cs="Times New Roman"/>
                <w:noProof/>
                <w:color w:val="000000"/>
                <w:sz w:val="18"/>
                <w:lang w:eastAsia="en-GB"/>
              </w:rPr>
            </w:pPr>
            <w:r>
              <w:rPr>
                <w:rFonts w:ascii="Times New Roman" w:eastAsia="Times New Roman" w:hAnsi="Times New Roman" w:cs="Times New Roman"/>
                <w:noProof/>
                <w:color w:val="000000"/>
                <w:sz w:val="18"/>
                <w:lang w:eastAsia="en-GB"/>
              </w:rPr>
              <w:t>BP and redistributive payment</w:t>
            </w:r>
          </w:p>
        </w:tc>
        <w:tc>
          <w:tcPr>
            <w:tcW w:w="554" w:type="pct"/>
            <w:tcBorders>
              <w:top w:val="nil"/>
              <w:left w:val="nil"/>
              <w:bottom w:val="single" w:sz="4" w:space="0" w:color="auto"/>
              <w:right w:val="single" w:sz="4" w:space="0" w:color="auto"/>
            </w:tcBorders>
            <w:shd w:val="clear" w:color="auto" w:fill="auto"/>
            <w:noWrap/>
            <w:vAlign w:val="center"/>
            <w:hideMark/>
          </w:tcPr>
          <w:p w:rsidR="00333A1A" w:rsidRDefault="003D29C9">
            <w:pPr>
              <w:keepNext/>
              <w:spacing w:after="0" w:line="240" w:lineRule="auto"/>
              <w:jc w:val="center"/>
              <w:rPr>
                <w:rFonts w:ascii="Times New Roman" w:eastAsia="Times New Roman" w:hAnsi="Times New Roman" w:cs="Times New Roman"/>
                <w:noProof/>
                <w:color w:val="000000"/>
                <w:sz w:val="18"/>
                <w:lang w:eastAsia="en-GB"/>
              </w:rPr>
            </w:pPr>
            <w:r>
              <w:rPr>
                <w:rFonts w:ascii="Times New Roman" w:eastAsia="Times New Roman" w:hAnsi="Times New Roman" w:cs="Times New Roman"/>
                <w:noProof/>
                <w:color w:val="000000"/>
                <w:sz w:val="18"/>
                <w:lang w:eastAsia="en-GB"/>
              </w:rPr>
              <w:t>BP</w:t>
            </w:r>
          </w:p>
        </w:tc>
        <w:tc>
          <w:tcPr>
            <w:tcW w:w="436" w:type="pct"/>
            <w:tcBorders>
              <w:top w:val="nil"/>
              <w:left w:val="nil"/>
              <w:bottom w:val="single" w:sz="4" w:space="0" w:color="auto"/>
              <w:right w:val="single" w:sz="4" w:space="0" w:color="auto"/>
            </w:tcBorders>
            <w:shd w:val="clear" w:color="auto" w:fill="auto"/>
            <w:noWrap/>
            <w:vAlign w:val="center"/>
            <w:hideMark/>
          </w:tcPr>
          <w:p w:rsidR="00333A1A" w:rsidRDefault="003D29C9">
            <w:pPr>
              <w:keepNext/>
              <w:spacing w:after="0" w:line="240" w:lineRule="auto"/>
              <w:jc w:val="center"/>
              <w:rPr>
                <w:rFonts w:ascii="Times New Roman" w:eastAsia="Times New Roman" w:hAnsi="Times New Roman" w:cs="Times New Roman"/>
                <w:noProof/>
                <w:color w:val="000000"/>
                <w:sz w:val="18"/>
                <w:lang w:eastAsia="en-GB"/>
              </w:rPr>
            </w:pPr>
            <w:r>
              <w:rPr>
                <w:rFonts w:ascii="Times New Roman" w:eastAsia="Times New Roman" w:hAnsi="Times New Roman" w:cs="Times New Roman"/>
                <w:noProof/>
                <w:color w:val="000000"/>
                <w:sz w:val="18"/>
                <w:lang w:eastAsia="en-GB"/>
              </w:rPr>
              <w:t>BP</w:t>
            </w:r>
          </w:p>
        </w:tc>
      </w:tr>
      <w:tr w:rsidR="00333A1A">
        <w:trPr>
          <w:trHeight w:val="288"/>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Product of capping (MEUR)</w:t>
            </w:r>
          </w:p>
        </w:tc>
        <w:tc>
          <w:tcPr>
            <w:tcW w:w="634" w:type="pct"/>
            <w:tcBorders>
              <w:top w:val="nil"/>
              <w:left w:val="nil"/>
              <w:bottom w:val="single" w:sz="4" w:space="0" w:color="auto"/>
              <w:right w:val="single" w:sz="4" w:space="0" w:color="auto"/>
            </w:tcBorders>
            <w:shd w:val="clear" w:color="000000" w:fill="00B0F0"/>
            <w:noWrap/>
            <w:vAlign w:val="bottom"/>
            <w:hideMark/>
          </w:tcPr>
          <w:p w:rsidR="00333A1A" w:rsidRDefault="003D29C9">
            <w:pPr>
              <w:keepNext/>
              <w:spacing w:after="0" w:line="240" w:lineRule="auto"/>
              <w:jc w:val="right"/>
              <w:rPr>
                <w:rFonts w:ascii="Times New Roman" w:eastAsia="Times New Roman" w:hAnsi="Times New Roman" w:cs="Times New Roman"/>
                <w:noProof/>
                <w:color w:val="FFFFFF"/>
                <w:sz w:val="20"/>
                <w:lang w:eastAsia="en-GB"/>
              </w:rPr>
            </w:pPr>
            <w:r>
              <w:rPr>
                <w:rFonts w:ascii="Times New Roman" w:eastAsia="Times New Roman" w:hAnsi="Times New Roman" w:cs="Times New Roman"/>
                <w:noProof/>
                <w:color w:val="FFFFFF"/>
                <w:sz w:val="20"/>
                <w:lang w:eastAsia="en-GB"/>
              </w:rPr>
              <w:t>120</w:t>
            </w:r>
          </w:p>
        </w:tc>
        <w:tc>
          <w:tcPr>
            <w:tcW w:w="594" w:type="pct"/>
            <w:tcBorders>
              <w:top w:val="nil"/>
              <w:left w:val="nil"/>
              <w:bottom w:val="single" w:sz="4" w:space="0" w:color="auto"/>
              <w:right w:val="single" w:sz="4" w:space="0" w:color="auto"/>
            </w:tcBorders>
            <w:shd w:val="clear" w:color="000000" w:fill="00B0F0"/>
            <w:noWrap/>
            <w:vAlign w:val="bottom"/>
            <w:hideMark/>
          </w:tcPr>
          <w:p w:rsidR="00333A1A" w:rsidRDefault="003D29C9">
            <w:pPr>
              <w:keepNext/>
              <w:spacing w:after="0" w:line="240" w:lineRule="auto"/>
              <w:jc w:val="right"/>
              <w:rPr>
                <w:rFonts w:ascii="Times New Roman" w:eastAsia="Times New Roman" w:hAnsi="Times New Roman" w:cs="Times New Roman"/>
                <w:noProof/>
                <w:color w:val="FFFFFF"/>
                <w:sz w:val="20"/>
                <w:lang w:eastAsia="en-GB"/>
              </w:rPr>
            </w:pPr>
            <w:r>
              <w:rPr>
                <w:rFonts w:ascii="Times New Roman" w:eastAsia="Times New Roman" w:hAnsi="Times New Roman" w:cs="Times New Roman"/>
                <w:noProof/>
                <w:color w:val="FFFFFF"/>
                <w:sz w:val="20"/>
                <w:lang w:eastAsia="en-GB"/>
              </w:rPr>
              <w:t>350</w:t>
            </w:r>
          </w:p>
        </w:tc>
        <w:tc>
          <w:tcPr>
            <w:tcW w:w="517" w:type="pct"/>
            <w:tcBorders>
              <w:top w:val="nil"/>
              <w:left w:val="nil"/>
              <w:bottom w:val="single" w:sz="4" w:space="0" w:color="auto"/>
              <w:right w:val="single" w:sz="4" w:space="0" w:color="auto"/>
            </w:tcBorders>
            <w:shd w:val="clear" w:color="000000" w:fill="00B0F0"/>
            <w:noWrap/>
            <w:vAlign w:val="bottom"/>
            <w:hideMark/>
          </w:tcPr>
          <w:p w:rsidR="00333A1A" w:rsidRDefault="003D29C9">
            <w:pPr>
              <w:keepNext/>
              <w:spacing w:after="0" w:line="240" w:lineRule="auto"/>
              <w:jc w:val="right"/>
              <w:rPr>
                <w:rFonts w:ascii="Times New Roman" w:eastAsia="Times New Roman" w:hAnsi="Times New Roman" w:cs="Times New Roman"/>
                <w:noProof/>
                <w:color w:val="FFFFFF"/>
                <w:sz w:val="20"/>
                <w:lang w:eastAsia="en-GB"/>
              </w:rPr>
            </w:pPr>
            <w:r>
              <w:rPr>
                <w:rFonts w:ascii="Times New Roman" w:eastAsia="Times New Roman" w:hAnsi="Times New Roman" w:cs="Times New Roman"/>
                <w:noProof/>
                <w:color w:val="FFFFFF"/>
                <w:sz w:val="20"/>
                <w:lang w:eastAsia="en-GB"/>
              </w:rPr>
              <w:t>920</w:t>
            </w:r>
          </w:p>
        </w:tc>
        <w:tc>
          <w:tcPr>
            <w:tcW w:w="555" w:type="pct"/>
            <w:tcBorders>
              <w:top w:val="nil"/>
              <w:left w:val="nil"/>
              <w:bottom w:val="single" w:sz="4" w:space="0" w:color="auto"/>
              <w:right w:val="single" w:sz="4" w:space="0" w:color="auto"/>
            </w:tcBorders>
            <w:shd w:val="clear" w:color="000000" w:fill="00B0F0"/>
            <w:noWrap/>
            <w:vAlign w:val="bottom"/>
            <w:hideMark/>
          </w:tcPr>
          <w:p w:rsidR="00333A1A" w:rsidRDefault="003D29C9">
            <w:pPr>
              <w:keepNext/>
              <w:spacing w:after="0" w:line="240" w:lineRule="auto"/>
              <w:jc w:val="right"/>
              <w:rPr>
                <w:rFonts w:ascii="Times New Roman" w:eastAsia="Times New Roman" w:hAnsi="Times New Roman" w:cs="Times New Roman"/>
                <w:noProof/>
                <w:color w:val="FFFFFF"/>
                <w:sz w:val="20"/>
                <w:lang w:eastAsia="en-GB"/>
              </w:rPr>
            </w:pPr>
            <w:r>
              <w:rPr>
                <w:rFonts w:ascii="Times New Roman" w:eastAsia="Times New Roman" w:hAnsi="Times New Roman" w:cs="Times New Roman"/>
                <w:noProof/>
                <w:color w:val="FFFFFF"/>
                <w:sz w:val="20"/>
                <w:lang w:eastAsia="en-GB"/>
              </w:rPr>
              <w:t>0</w:t>
            </w:r>
          </w:p>
        </w:tc>
        <w:tc>
          <w:tcPr>
            <w:tcW w:w="778" w:type="pct"/>
            <w:tcBorders>
              <w:top w:val="nil"/>
              <w:left w:val="nil"/>
              <w:bottom w:val="single" w:sz="4" w:space="0" w:color="auto"/>
              <w:right w:val="single" w:sz="4" w:space="0" w:color="auto"/>
            </w:tcBorders>
            <w:shd w:val="clear" w:color="000000" w:fill="00B0F0"/>
            <w:noWrap/>
            <w:vAlign w:val="bottom"/>
            <w:hideMark/>
          </w:tcPr>
          <w:p w:rsidR="00333A1A" w:rsidRDefault="003D29C9">
            <w:pPr>
              <w:keepNext/>
              <w:spacing w:after="0" w:line="240" w:lineRule="auto"/>
              <w:jc w:val="right"/>
              <w:rPr>
                <w:rFonts w:ascii="Times New Roman" w:eastAsia="Times New Roman" w:hAnsi="Times New Roman" w:cs="Times New Roman"/>
                <w:noProof/>
                <w:color w:val="FFFFFF"/>
                <w:sz w:val="20"/>
                <w:lang w:eastAsia="en-GB"/>
              </w:rPr>
            </w:pPr>
            <w:r>
              <w:rPr>
                <w:rFonts w:ascii="Times New Roman" w:eastAsia="Times New Roman" w:hAnsi="Times New Roman" w:cs="Times New Roman"/>
                <w:noProof/>
                <w:color w:val="FFFFFF"/>
                <w:sz w:val="20"/>
                <w:lang w:eastAsia="en-GB"/>
              </w:rPr>
              <w:t>10</w:t>
            </w:r>
          </w:p>
        </w:tc>
        <w:tc>
          <w:tcPr>
            <w:tcW w:w="554" w:type="pct"/>
            <w:tcBorders>
              <w:top w:val="nil"/>
              <w:left w:val="nil"/>
              <w:bottom w:val="single" w:sz="4" w:space="0" w:color="auto"/>
              <w:right w:val="single" w:sz="4" w:space="0" w:color="auto"/>
            </w:tcBorders>
            <w:shd w:val="clear" w:color="000000" w:fill="00B0F0"/>
            <w:noWrap/>
            <w:vAlign w:val="bottom"/>
            <w:hideMark/>
          </w:tcPr>
          <w:p w:rsidR="00333A1A" w:rsidRDefault="003D29C9">
            <w:pPr>
              <w:keepNext/>
              <w:spacing w:after="0" w:line="240" w:lineRule="auto"/>
              <w:jc w:val="right"/>
              <w:rPr>
                <w:rFonts w:ascii="Times New Roman" w:eastAsia="Times New Roman" w:hAnsi="Times New Roman" w:cs="Times New Roman"/>
                <w:noProof/>
                <w:color w:val="FFFFFF"/>
                <w:sz w:val="20"/>
                <w:lang w:eastAsia="en-GB"/>
              </w:rPr>
            </w:pPr>
            <w:r>
              <w:rPr>
                <w:rFonts w:ascii="Times New Roman" w:eastAsia="Times New Roman" w:hAnsi="Times New Roman" w:cs="Times New Roman"/>
                <w:noProof/>
                <w:color w:val="FFFFFF"/>
                <w:sz w:val="20"/>
                <w:lang w:eastAsia="en-GB"/>
              </w:rPr>
              <w:t>0</w:t>
            </w:r>
          </w:p>
        </w:tc>
        <w:tc>
          <w:tcPr>
            <w:tcW w:w="436" w:type="pct"/>
            <w:tcBorders>
              <w:top w:val="nil"/>
              <w:left w:val="nil"/>
              <w:bottom w:val="single" w:sz="4" w:space="0" w:color="auto"/>
              <w:right w:val="single" w:sz="4" w:space="0" w:color="auto"/>
            </w:tcBorders>
            <w:shd w:val="clear" w:color="000000" w:fill="00B0F0"/>
            <w:noWrap/>
            <w:vAlign w:val="bottom"/>
            <w:hideMark/>
          </w:tcPr>
          <w:p w:rsidR="00333A1A" w:rsidRDefault="003D29C9">
            <w:pPr>
              <w:keepNext/>
              <w:spacing w:after="0" w:line="240" w:lineRule="auto"/>
              <w:jc w:val="right"/>
              <w:rPr>
                <w:rFonts w:ascii="Times New Roman" w:eastAsia="Times New Roman" w:hAnsi="Times New Roman" w:cs="Times New Roman"/>
                <w:noProof/>
                <w:color w:val="FFFFFF"/>
                <w:sz w:val="20"/>
                <w:lang w:eastAsia="en-GB"/>
              </w:rPr>
            </w:pPr>
            <w:r>
              <w:rPr>
                <w:rFonts w:ascii="Times New Roman" w:eastAsia="Times New Roman" w:hAnsi="Times New Roman" w:cs="Times New Roman"/>
                <w:noProof/>
                <w:color w:val="FFFFFF"/>
                <w:sz w:val="20"/>
                <w:lang w:eastAsia="en-GB"/>
              </w:rPr>
              <w:t>50</w:t>
            </w:r>
          </w:p>
        </w:tc>
      </w:tr>
    </w:tbl>
    <w:p w:rsidR="00333A1A" w:rsidRDefault="003D29C9">
      <w:pPr>
        <w:keepNext/>
        <w:spacing w:after="240" w:line="240" w:lineRule="auto"/>
        <w:rPr>
          <w:rFonts w:ascii="Times New Roman" w:hAnsi="Times New Roman" w:cs="Times New Roman"/>
          <w:noProof/>
          <w:sz w:val="16"/>
        </w:rPr>
      </w:pPr>
      <w:r>
        <w:rPr>
          <w:rFonts w:ascii="Times New Roman" w:hAnsi="Times New Roman" w:cs="Times New Roman"/>
          <w:noProof/>
          <w:sz w:val="16"/>
        </w:rPr>
        <w:t>Source: JRC, IFM-CAP</w:t>
      </w:r>
    </w:p>
    <w:p w:rsidR="00333A1A" w:rsidRDefault="003D29C9">
      <w:pPr>
        <w:pStyle w:val="Text1"/>
        <w:ind w:left="0"/>
        <w:rPr>
          <w:noProof/>
        </w:rPr>
      </w:pPr>
      <w:r>
        <w:rPr>
          <w:noProof/>
        </w:rPr>
        <w:t xml:space="preserve">Capping is not the most efficient way to reduce the </w:t>
      </w:r>
      <w:r>
        <w:rPr>
          <w:b/>
          <w:noProof/>
        </w:rPr>
        <w:t xml:space="preserve">concentration of direct payments, </w:t>
      </w:r>
      <w:r>
        <w:rPr>
          <w:noProof/>
        </w:rPr>
        <w:t xml:space="preserve">when the funding no longer paid to large farms is removed from the direct payments budget altogether instead of being redistributed to smaller </w:t>
      </w:r>
      <w:r>
        <w:rPr>
          <w:noProof/>
        </w:rPr>
        <w:t>farms. Modulation of direct payments by size is more effective to reduce the share of direct payments received by the 20% biggest CAP beneficiaries as illustrated in the graphic below. In option 5, these beneficiaries capture 67% of direct payments, relati</w:t>
      </w:r>
      <w:r>
        <w:rPr>
          <w:noProof/>
        </w:rPr>
        <w:t>ve to 73% in the baseline</w:t>
      </w:r>
      <w:r>
        <w:rPr>
          <w:noProof/>
          <w:vertAlign w:val="superscript"/>
        </w:rPr>
        <w:footnoteReference w:id="18"/>
      </w:r>
      <w:r>
        <w:rPr>
          <w:noProof/>
        </w:rPr>
        <w:t xml:space="preserve">. This reduction might seem small in view of the huge redistribution to small and medium farms operated in option 5, however it highlights that support concentration derives from land distribution in the EU. Option 3b, allows for </w:t>
      </w:r>
      <w:r>
        <w:rPr>
          <w:noProof/>
        </w:rPr>
        <w:t xml:space="preserve">a drop in concentration of 2 pp only thanks to the redistributive payment. By contrast, options 3a and 4 imply a small increase in concentration of DP. </w:t>
      </w:r>
    </w:p>
    <w:p w:rsidR="00333A1A" w:rsidRDefault="003D29C9">
      <w:pPr>
        <w:pStyle w:val="Text1"/>
        <w:ind w:left="0"/>
        <w:rPr>
          <w:noProof/>
        </w:rPr>
      </w:pPr>
      <w:r>
        <w:rPr>
          <w:noProof/>
        </w:rPr>
        <w:t>However, some of the large beneficiaries employ a lot of people, looking at the concentration of direct</w:t>
      </w:r>
      <w:r>
        <w:rPr>
          <w:noProof/>
        </w:rPr>
        <w:t xml:space="preserve"> payments not by beneficiary but by worker, the level of concentration reduces to 66% for the 20% of farm labour employed on farms with largest direct payments per AWU in the baseline. In option 5, this concentration is 3 pp below.</w:t>
      </w:r>
    </w:p>
    <w:p w:rsidR="00333A1A" w:rsidRDefault="003D29C9">
      <w:pPr>
        <w:keepNext/>
        <w:spacing w:after="120" w:line="240" w:lineRule="auto"/>
        <w:jc w:val="both"/>
        <w:rPr>
          <w:rFonts w:ascii="Times New Roman" w:hAnsi="Times New Roman" w:cs="Times New Roman"/>
          <w:b/>
          <w:noProof/>
        </w:rPr>
      </w:pPr>
      <w:r>
        <w:rPr>
          <w:rFonts w:ascii="Times New Roman" w:hAnsi="Times New Roman" w:cs="Times New Roman"/>
          <w:b/>
          <w:noProof/>
        </w:rPr>
        <w:t xml:space="preserve">Graph </w:t>
      </w:r>
      <w:r>
        <w:rPr>
          <w:rFonts w:ascii="Times New Roman" w:hAnsi="Times New Roman" w:cs="Times New Roman"/>
          <w:b/>
          <w:noProof/>
        </w:rPr>
        <w:fldChar w:fldCharType="begin"/>
      </w:r>
      <w:r>
        <w:rPr>
          <w:rFonts w:ascii="Times New Roman" w:hAnsi="Times New Roman" w:cs="Times New Roman"/>
          <w:b/>
          <w:noProof/>
        </w:rPr>
        <w:instrText xml:space="preserve"> STYLEREF 1 \s </w:instrText>
      </w:r>
      <w:r>
        <w:rPr>
          <w:rFonts w:ascii="Times New Roman" w:hAnsi="Times New Roman" w:cs="Times New Roman"/>
          <w:b/>
          <w:noProof/>
        </w:rPr>
        <w:fldChar w:fldCharType="separate"/>
      </w:r>
      <w:r>
        <w:rPr>
          <w:rFonts w:ascii="Times New Roman" w:hAnsi="Times New Roman" w:cs="Times New Roman"/>
          <w:b/>
          <w:noProof/>
        </w:rPr>
        <w:t>2</w:t>
      </w:r>
      <w:r>
        <w:rPr>
          <w:rFonts w:ascii="Times New Roman" w:hAnsi="Times New Roman" w:cs="Times New Roman"/>
          <w:b/>
          <w:noProof/>
        </w:rPr>
        <w:fldChar w:fldCharType="end"/>
      </w:r>
      <w:r>
        <w:rPr>
          <w:rFonts w:ascii="Times New Roman" w:hAnsi="Times New Roman" w:cs="Times New Roman"/>
          <w:b/>
          <w:noProof/>
        </w:rPr>
        <w:t>.</w:t>
      </w:r>
      <w:r>
        <w:rPr>
          <w:rFonts w:ascii="Times New Roman" w:hAnsi="Times New Roman" w:cs="Times New Roman"/>
          <w:b/>
          <w:noProof/>
        </w:rPr>
        <w:fldChar w:fldCharType="begin"/>
      </w:r>
      <w:r>
        <w:rPr>
          <w:rFonts w:ascii="Times New Roman" w:hAnsi="Times New Roman" w:cs="Times New Roman"/>
          <w:b/>
          <w:noProof/>
        </w:rPr>
        <w:instrText xml:space="preserve"> SEQ Graph \* ARABIC \s 1 </w:instrText>
      </w:r>
      <w:r>
        <w:rPr>
          <w:rFonts w:ascii="Times New Roman" w:hAnsi="Times New Roman" w:cs="Times New Roman"/>
          <w:b/>
          <w:noProof/>
        </w:rPr>
        <w:fldChar w:fldCharType="separate"/>
      </w:r>
      <w:r>
        <w:rPr>
          <w:rFonts w:ascii="Times New Roman" w:hAnsi="Times New Roman" w:cs="Times New Roman"/>
          <w:b/>
          <w:noProof/>
        </w:rPr>
        <w:t>7</w:t>
      </w:r>
      <w:r>
        <w:rPr>
          <w:rFonts w:ascii="Times New Roman" w:hAnsi="Times New Roman" w:cs="Times New Roman"/>
          <w:b/>
          <w:noProof/>
        </w:rPr>
        <w:fldChar w:fldCharType="end"/>
      </w:r>
      <w:r>
        <w:rPr>
          <w:rFonts w:ascii="Times New Roman" w:hAnsi="Times New Roman" w:cs="Times New Roman"/>
          <w:b/>
          <w:noProof/>
        </w:rPr>
        <w:t xml:space="preserve"> Share of direct payments received by 20% farms</w:t>
      </w:r>
      <w:r>
        <w:rPr>
          <w:rStyle w:val="FootnoteReference"/>
          <w:rFonts w:ascii="Times New Roman" w:hAnsi="Times New Roman" w:cs="Times New Roman"/>
          <w:b/>
          <w:noProof/>
        </w:rPr>
        <w:footnoteReference w:id="19"/>
      </w:r>
    </w:p>
    <w:p w:rsidR="00333A1A" w:rsidRDefault="003D29C9">
      <w:pPr>
        <w:keepNext/>
        <w:spacing w:after="0" w:line="240" w:lineRule="auto"/>
        <w:jc w:val="both"/>
        <w:rPr>
          <w:noProof/>
          <w:lang w:eastAsia="en-GB"/>
        </w:rPr>
      </w:pPr>
      <w:r>
        <w:rPr>
          <w:noProof/>
          <w:lang w:eastAsia="en-GB"/>
        </w:rPr>
        <w:drawing>
          <wp:inline distT="0" distB="0" distL="0" distR="0" wp14:anchorId="3D855478" wp14:editId="3F066413">
            <wp:extent cx="5400000" cy="25200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en-GB"/>
        </w:rPr>
        <w:t xml:space="preserve"> </w:t>
      </w:r>
    </w:p>
    <w:p w:rsidR="00333A1A" w:rsidRDefault="003D29C9">
      <w:pPr>
        <w:keepNext/>
        <w:spacing w:after="240" w:line="240" w:lineRule="auto"/>
        <w:rPr>
          <w:rFonts w:ascii="Times New Roman" w:hAnsi="Times New Roman" w:cs="Times New Roman"/>
          <w:noProof/>
          <w:sz w:val="16"/>
        </w:rPr>
      </w:pPr>
      <w:r>
        <w:rPr>
          <w:rFonts w:ascii="Times New Roman" w:hAnsi="Times New Roman" w:cs="Times New Roman"/>
          <w:noProof/>
          <w:sz w:val="16"/>
        </w:rPr>
        <w:t>Source: JRC, IFM-CAP</w:t>
      </w:r>
    </w:p>
    <w:p w:rsidR="00333A1A" w:rsidRDefault="003D29C9">
      <w:pPr>
        <w:pStyle w:val="Text1"/>
        <w:ind w:left="0"/>
        <w:rPr>
          <w:noProof/>
        </w:rPr>
      </w:pPr>
      <w:r>
        <w:rPr>
          <w:noProof/>
        </w:rPr>
        <w:t xml:space="preserve">Another measurement of support concentration is the Gini coefficient, varying between 0 and 1: the closer to 0 the lower the concentration. In the EU, </w:t>
      </w:r>
      <w:r>
        <w:rPr>
          <w:noProof/>
        </w:rPr>
        <w:t>the Gini coefficient of land concentration (again measured using the FADN sample) is 0.58, not surprisingly very close but slightly below the concentration of support in the baseline at 0.57. As concluded based on the measurement of the share of direct pay</w:t>
      </w:r>
      <w:r>
        <w:rPr>
          <w:noProof/>
        </w:rPr>
        <w:t>ments granted to 20% of biggest beneficiaries, option 5 allows for a reduction in support concentration (Gini coefficient of 0.55), while the concentration increases slightly in option 3b and 4 and more significantly in option 3a (0.61) due to the flat rat</w:t>
      </w:r>
      <w:r>
        <w:rPr>
          <w:noProof/>
        </w:rPr>
        <w:t>e payments. In terms of income, the budget cut leads to a higher concentration of income (option 1, 0.735) relative to baseline (0.729). None of the tested options allows correcting this; on the contrary, as for support, options 4a and 3a imply a higher co</w:t>
      </w:r>
      <w:r>
        <w:rPr>
          <w:noProof/>
        </w:rPr>
        <w:t>ncentration of income in the hand of more efficient farmers in terms of income generation. The difference in Gini coefficient between option 4a and 4b shows the effect of the higher environmental-climatic ambition simulated here: the losses in market reven</w:t>
      </w:r>
      <w:r>
        <w:rPr>
          <w:noProof/>
        </w:rPr>
        <w:t>ue implied by changes in farm practices slightly increases income concentration.</w:t>
      </w:r>
    </w:p>
    <w:p w:rsidR="00333A1A" w:rsidRDefault="003D29C9">
      <w:pPr>
        <w:keepNext/>
        <w:keepLines/>
        <w:spacing w:after="0" w:line="240" w:lineRule="auto"/>
        <w:jc w:val="both"/>
        <w:rPr>
          <w:b/>
          <w:noProof/>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.6 Concentration of land, direct payments and income measured with a Gini coefficient</w:t>
      </w:r>
    </w:p>
    <w:tbl>
      <w:tblPr>
        <w:tblW w:w="3988" w:type="dxa"/>
        <w:jc w:val="center"/>
        <w:tblInd w:w="93" w:type="dxa"/>
        <w:tblLook w:val="04A0" w:firstRow="1" w:lastRow="0" w:firstColumn="1" w:lastColumn="0" w:noHBand="0" w:noVBand="1"/>
      </w:tblPr>
      <w:tblGrid>
        <w:gridCol w:w="984"/>
        <w:gridCol w:w="960"/>
        <w:gridCol w:w="1084"/>
        <w:gridCol w:w="960"/>
      </w:tblGrid>
      <w:tr w:rsidR="00333A1A">
        <w:trPr>
          <w:trHeight w:val="27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UAA</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Direct payments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Income</w:t>
            </w:r>
          </w:p>
        </w:tc>
      </w:tr>
      <w:tr w:rsidR="00333A1A">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Baseline</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0.579</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0.570</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0.729</w:t>
            </w:r>
          </w:p>
        </w:tc>
      </w:tr>
      <w:tr w:rsidR="00333A1A">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960" w:type="dxa"/>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0.570</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0.735</w:t>
            </w:r>
          </w:p>
        </w:tc>
      </w:tr>
      <w:tr w:rsidR="00333A1A">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3a</w:t>
            </w:r>
          </w:p>
        </w:tc>
        <w:tc>
          <w:tcPr>
            <w:tcW w:w="960" w:type="dxa"/>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0.609</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0.750</w:t>
            </w:r>
          </w:p>
        </w:tc>
      </w:tr>
      <w:tr w:rsidR="00333A1A">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3b</w:t>
            </w:r>
          </w:p>
        </w:tc>
        <w:tc>
          <w:tcPr>
            <w:tcW w:w="960" w:type="dxa"/>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0.575</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0.739</w:t>
            </w:r>
          </w:p>
        </w:tc>
      </w:tr>
      <w:tr w:rsidR="00333A1A">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4a</w:t>
            </w:r>
          </w:p>
        </w:tc>
        <w:tc>
          <w:tcPr>
            <w:tcW w:w="960" w:type="dxa"/>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0.581</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0.745</w:t>
            </w:r>
          </w:p>
        </w:tc>
      </w:tr>
      <w:tr w:rsidR="00333A1A">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4b</w:t>
            </w:r>
          </w:p>
        </w:tc>
        <w:tc>
          <w:tcPr>
            <w:tcW w:w="960" w:type="dxa"/>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0.581</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0.738</w:t>
            </w:r>
          </w:p>
        </w:tc>
      </w:tr>
      <w:tr w:rsidR="00333A1A">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960" w:type="dxa"/>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0.552</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0.739</w:t>
            </w:r>
          </w:p>
        </w:tc>
      </w:tr>
    </w:tbl>
    <w:p w:rsidR="00333A1A" w:rsidRDefault="003D29C9">
      <w:pPr>
        <w:jc w:val="center"/>
        <w:rPr>
          <w:rFonts w:ascii="Times New Roman" w:hAnsi="Times New Roman" w:cs="Times New Roman"/>
          <w:b/>
          <w:noProof/>
        </w:rPr>
      </w:pPr>
      <w:r>
        <w:rPr>
          <w:rFonts w:ascii="Times New Roman" w:hAnsi="Times New Roman" w:cs="Times New Roman"/>
          <w:noProof/>
          <w:sz w:val="16"/>
        </w:rPr>
        <w:t>Source: JRC, IFM-CAP, based on professional farms (FADN data)</w:t>
      </w:r>
    </w:p>
    <w:p w:rsidR="00333A1A" w:rsidRDefault="003D29C9">
      <w:pPr>
        <w:pStyle w:val="Heading3"/>
        <w:rPr>
          <w:b/>
          <w:noProof/>
          <w:szCs w:val="24"/>
        </w:rPr>
      </w:pPr>
      <w:bookmarkStart w:id="25" w:name="_Toc508208588"/>
      <w:r>
        <w:rPr>
          <w:noProof/>
        </w:rPr>
        <w:t>Reduce inequalities between territories by supporting farms across the</w:t>
      </w:r>
      <w:r>
        <w:rPr>
          <w:b/>
          <w:noProof/>
          <w:szCs w:val="24"/>
        </w:rPr>
        <w:t xml:space="preserve"> </w:t>
      </w:r>
      <w:r>
        <w:rPr>
          <w:noProof/>
          <w:szCs w:val="24"/>
        </w:rPr>
        <w:t>whole territory</w:t>
      </w:r>
      <w:bookmarkEnd w:id="25"/>
    </w:p>
    <w:p w:rsidR="00333A1A" w:rsidRDefault="003D29C9">
      <w:pPr>
        <w:pStyle w:val="Text1"/>
        <w:ind w:left="0"/>
        <w:rPr>
          <w:noProof/>
        </w:rPr>
      </w:pPr>
      <w:r>
        <w:rPr>
          <w:noProof/>
        </w:rPr>
        <w:t>Historically, direct payments granted to areas with natural constraints were lower and this gap was compensated by a specific aid to ANCs, programmed in rural development. The area in ANCs represents around 50% of EU area and 30% of the eligible area. In t</w:t>
      </w:r>
      <w:r>
        <w:rPr>
          <w:noProof/>
        </w:rPr>
        <w:t>he baseline, farms in mountain areas are granted around 6 500 EUR of direct payments per farm while outside ANCs</w:t>
      </w:r>
      <w:r>
        <w:rPr>
          <w:rStyle w:val="FootnoteReference"/>
          <w:noProof/>
          <w:szCs w:val="24"/>
        </w:rPr>
        <w:footnoteReference w:id="20"/>
      </w:r>
      <w:r>
        <w:rPr>
          <w:noProof/>
        </w:rPr>
        <w:t xml:space="preserve"> farms are granted around 8 400 EUR. Accounting for ANC support but also agri-environmental payments the average support increases to more than</w:t>
      </w:r>
      <w:r>
        <w:rPr>
          <w:noProof/>
        </w:rPr>
        <w:t xml:space="preserve"> 10 000 EUR granted in mountain areas and around 9 000 EUR outside ANCs.</w:t>
      </w:r>
    </w:p>
    <w:p w:rsidR="00333A1A" w:rsidRDefault="003D29C9">
      <w:pPr>
        <w:pStyle w:val="Text1"/>
        <w:ind w:left="0"/>
        <w:rPr>
          <w:noProof/>
        </w:rPr>
      </w:pPr>
      <w:r>
        <w:rPr>
          <w:noProof/>
        </w:rPr>
        <w:t>The share of pillar II envelope dedicated to ANCs is 17% in the current programming period. In all options, support to ANCs is maintained given the importance to keep farms on the who</w:t>
      </w:r>
      <w:r>
        <w:rPr>
          <w:noProof/>
        </w:rPr>
        <w:t>le EU territory to support employment in rural areas and also for the environmental benefits associated with farming activity. However, some MS dedicate a very large share of their rural development envelope, (especially France 37%, Ireland and Finland 32%</w:t>
      </w:r>
      <w:r>
        <w:rPr>
          <w:noProof/>
        </w:rPr>
        <w:t xml:space="preserve"> and 29% in Luxembourg ), meaning that in a context of reduced EU budget and of gaining importance of other priorities, to continue supporting farms in ANCs at the same level, MS might need to use additional national funds (as simulated here in option 3b f</w:t>
      </w:r>
      <w:r>
        <w:rPr>
          <w:noProof/>
        </w:rPr>
        <w:t>or all MS and in option 4 where a maximum of 25% of pillar II envelope for ANC is tested implying a reduction in EU funds for ANCs in FR, IE, LU, CZ, SK, SI and SE).</w:t>
      </w:r>
    </w:p>
    <w:p w:rsidR="00333A1A" w:rsidRDefault="003D29C9">
      <w:pPr>
        <w:pStyle w:val="Text1"/>
        <w:ind w:left="0"/>
        <w:rPr>
          <w:noProof/>
        </w:rPr>
      </w:pPr>
      <w:r>
        <w:rPr>
          <w:noProof/>
        </w:rPr>
        <w:t>In option 1, the budget cut implies a 10% reduction in support in ANCs. In option 3, provi</w:t>
      </w:r>
      <w:r>
        <w:rPr>
          <w:noProof/>
        </w:rPr>
        <w:t xml:space="preserve">ded ANC payments are maintained, total support in ANCs could remain equivalent to option 1, but support in less favoured areas not mountain would decrease further. </w:t>
      </w:r>
    </w:p>
    <w:p w:rsidR="00333A1A" w:rsidRDefault="003D29C9">
      <w:pPr>
        <w:pStyle w:val="Text1"/>
        <w:ind w:left="0"/>
        <w:rPr>
          <w:noProof/>
        </w:rPr>
      </w:pPr>
      <w:r>
        <w:rPr>
          <w:noProof/>
        </w:rPr>
        <w:t>By contrast, option 4 by redistributing support to permanent grassland re-directs support t</w:t>
      </w:r>
      <w:r>
        <w:rPr>
          <w:noProof/>
        </w:rPr>
        <w:t>o mountain areas but the most efficient way to support mountain areas is a specific top up granted in pillar I to ANC as in option 5 (provided farmers could keep the same level of aid in MS granting large national support to ANCs). However, in both options</w:t>
      </w:r>
      <w:r>
        <w:rPr>
          <w:noProof/>
        </w:rPr>
        <w:t xml:space="preserve"> ANCs not located in mountain areas do not benefit from reallocation of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611"/>
      </w:tblGrid>
      <w:tr w:rsidR="00333A1A">
        <w:tc>
          <w:tcPr>
            <w:tcW w:w="4223" w:type="dxa"/>
          </w:tcPr>
          <w:p w:rsidR="00333A1A" w:rsidRDefault="003D29C9">
            <w:pPr>
              <w:pStyle w:val="Caption"/>
              <w:keepNext/>
              <w:rPr>
                <w:noProof/>
              </w:rPr>
            </w:pPr>
            <w:r>
              <w:rPr>
                <w:bCs w:val="0"/>
                <w:noProof/>
                <w:color w:val="auto"/>
                <w:sz w:val="22"/>
                <w:szCs w:val="20"/>
              </w:rPr>
              <w:t xml:space="preserve">Graph </w:t>
            </w:r>
            <w:r>
              <w:rPr>
                <w:bCs w:val="0"/>
                <w:noProof/>
                <w:color w:val="auto"/>
                <w:sz w:val="22"/>
                <w:szCs w:val="20"/>
              </w:rPr>
              <w:fldChar w:fldCharType="begin"/>
            </w:r>
            <w:r>
              <w:rPr>
                <w:bCs w:val="0"/>
                <w:noProof/>
                <w:color w:val="auto"/>
                <w:sz w:val="22"/>
                <w:szCs w:val="20"/>
              </w:rPr>
              <w:instrText xml:space="preserve"> STYLEREF 1 \s </w:instrText>
            </w:r>
            <w:r>
              <w:rPr>
                <w:bCs w:val="0"/>
                <w:noProof/>
                <w:color w:val="auto"/>
                <w:sz w:val="22"/>
                <w:szCs w:val="20"/>
              </w:rPr>
              <w:fldChar w:fldCharType="separate"/>
            </w:r>
            <w:r>
              <w:rPr>
                <w:bCs w:val="0"/>
                <w:noProof/>
                <w:color w:val="auto"/>
                <w:sz w:val="22"/>
                <w:szCs w:val="20"/>
              </w:rPr>
              <w:t>2</w:t>
            </w:r>
            <w:r>
              <w:rPr>
                <w:bCs w:val="0"/>
                <w:noProof/>
                <w:color w:val="auto"/>
                <w:sz w:val="22"/>
                <w:szCs w:val="20"/>
              </w:rPr>
              <w:fldChar w:fldCharType="end"/>
            </w:r>
            <w:r>
              <w:rPr>
                <w:bCs w:val="0"/>
                <w:noProof/>
                <w:color w:val="auto"/>
                <w:sz w:val="22"/>
                <w:szCs w:val="20"/>
              </w:rPr>
              <w:t>.8 Change in support relative to option 1 by ANC zone</w:t>
            </w:r>
            <w:r>
              <w:rPr>
                <w:noProof/>
              </w:rPr>
              <w:t xml:space="preserve"> </w:t>
            </w:r>
          </w:p>
        </w:tc>
        <w:tc>
          <w:tcPr>
            <w:tcW w:w="4611" w:type="dxa"/>
            <w:shd w:val="clear" w:color="auto" w:fill="auto"/>
          </w:tcPr>
          <w:p w:rsidR="00333A1A" w:rsidRDefault="003D29C9">
            <w:pPr>
              <w:pStyle w:val="Caption"/>
              <w:keepNext/>
              <w:rPr>
                <w:bCs w:val="0"/>
                <w:noProof/>
                <w:color w:val="auto"/>
                <w:sz w:val="22"/>
                <w:szCs w:val="20"/>
              </w:rPr>
            </w:pPr>
            <w:r>
              <w:rPr>
                <w:bCs w:val="0"/>
                <w:noProof/>
                <w:color w:val="auto"/>
                <w:sz w:val="22"/>
                <w:szCs w:val="20"/>
              </w:rPr>
              <w:t xml:space="preserve">Graph </w:t>
            </w:r>
            <w:r>
              <w:rPr>
                <w:bCs w:val="0"/>
                <w:noProof/>
                <w:color w:val="auto"/>
                <w:sz w:val="22"/>
                <w:szCs w:val="20"/>
              </w:rPr>
              <w:fldChar w:fldCharType="begin"/>
            </w:r>
            <w:r>
              <w:rPr>
                <w:bCs w:val="0"/>
                <w:noProof/>
                <w:color w:val="auto"/>
                <w:sz w:val="22"/>
                <w:szCs w:val="20"/>
              </w:rPr>
              <w:instrText xml:space="preserve"> STYLEREF 1 \s </w:instrText>
            </w:r>
            <w:r>
              <w:rPr>
                <w:bCs w:val="0"/>
                <w:noProof/>
                <w:color w:val="auto"/>
                <w:sz w:val="22"/>
                <w:szCs w:val="20"/>
              </w:rPr>
              <w:fldChar w:fldCharType="separate"/>
            </w:r>
            <w:r>
              <w:rPr>
                <w:bCs w:val="0"/>
                <w:noProof/>
                <w:color w:val="auto"/>
                <w:sz w:val="22"/>
                <w:szCs w:val="20"/>
              </w:rPr>
              <w:t>2</w:t>
            </w:r>
            <w:r>
              <w:rPr>
                <w:bCs w:val="0"/>
                <w:noProof/>
                <w:color w:val="auto"/>
                <w:sz w:val="22"/>
                <w:szCs w:val="20"/>
              </w:rPr>
              <w:fldChar w:fldCharType="end"/>
            </w:r>
            <w:r>
              <w:rPr>
                <w:bCs w:val="0"/>
                <w:noProof/>
                <w:color w:val="auto"/>
                <w:sz w:val="22"/>
                <w:szCs w:val="20"/>
              </w:rPr>
              <w:t>.9 Income per AWU by ANC zone</w:t>
            </w:r>
          </w:p>
          <w:p w:rsidR="00333A1A" w:rsidRDefault="00333A1A">
            <w:pPr>
              <w:rPr>
                <w:bCs/>
                <w:noProof/>
              </w:rPr>
            </w:pPr>
          </w:p>
        </w:tc>
      </w:tr>
      <w:tr w:rsidR="00333A1A">
        <w:tblPrEx>
          <w:tblCellMar>
            <w:left w:w="70" w:type="dxa"/>
            <w:right w:w="70" w:type="dxa"/>
          </w:tblCellMar>
        </w:tblPrEx>
        <w:trPr>
          <w:trHeight w:val="3224"/>
        </w:trPr>
        <w:tc>
          <w:tcPr>
            <w:tcW w:w="4223" w:type="dxa"/>
          </w:tcPr>
          <w:p w:rsidR="00333A1A" w:rsidRDefault="003D29C9">
            <w:pPr>
              <w:keepNext/>
              <w:spacing w:after="240"/>
              <w:rPr>
                <w:noProof/>
              </w:rPr>
            </w:pPr>
            <w:r>
              <w:rPr>
                <w:noProof/>
                <w:lang w:eastAsia="fr-FR"/>
              </w:rPr>
              <w:t xml:space="preserve"> </w:t>
            </w:r>
            <w:r>
              <w:rPr>
                <w:noProof/>
              </w:rPr>
              <w:drawing>
                <wp:inline distT="0" distB="0" distL="0" distR="0" wp14:anchorId="7339F6A1" wp14:editId="11B77481">
                  <wp:extent cx="2806700" cy="2073910"/>
                  <wp:effectExtent l="0" t="0" r="0" b="8890"/>
                  <wp:docPr id="38"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3A1A" w:rsidRDefault="003D29C9">
            <w:pPr>
              <w:keepNext/>
              <w:spacing w:after="240"/>
              <w:rPr>
                <w:noProof/>
              </w:rPr>
            </w:pPr>
            <w:r>
              <w:rPr>
                <w:noProof/>
                <w:sz w:val="16"/>
              </w:rPr>
              <w:t>Source: JRC, IFM-CAP</w:t>
            </w:r>
          </w:p>
        </w:tc>
        <w:tc>
          <w:tcPr>
            <w:tcW w:w="4611" w:type="dxa"/>
          </w:tcPr>
          <w:p w:rsidR="00333A1A" w:rsidRDefault="003D29C9">
            <w:pPr>
              <w:keepNext/>
              <w:spacing w:after="240"/>
              <w:rPr>
                <w:noProof/>
                <w:sz w:val="16"/>
              </w:rPr>
            </w:pPr>
            <w:r>
              <w:rPr>
                <w:noProof/>
              </w:rPr>
              <w:drawing>
                <wp:inline distT="0" distB="0" distL="0" distR="0" wp14:anchorId="45FD2FA3" wp14:editId="1D195197">
                  <wp:extent cx="3062000" cy="2104120"/>
                  <wp:effectExtent l="0" t="0" r="11430" b="4445"/>
                  <wp:docPr id="40"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33A1A" w:rsidRDefault="003D29C9">
            <w:pPr>
              <w:keepNext/>
              <w:spacing w:after="240"/>
              <w:rPr>
                <w:noProof/>
              </w:rPr>
            </w:pPr>
            <w:r>
              <w:rPr>
                <w:noProof/>
                <w:sz w:val="16"/>
              </w:rPr>
              <w:t>Source: JRC,</w:t>
            </w:r>
            <w:r>
              <w:rPr>
                <w:noProof/>
                <w:sz w:val="16"/>
              </w:rPr>
              <w:t xml:space="preserve"> IFM-CAP</w:t>
            </w:r>
          </w:p>
        </w:tc>
      </w:tr>
    </w:tbl>
    <w:p w:rsidR="00333A1A" w:rsidRDefault="003D29C9">
      <w:pPr>
        <w:pStyle w:val="Heading3"/>
        <w:rPr>
          <w:noProof/>
        </w:rPr>
      </w:pPr>
      <w:bookmarkStart w:id="26" w:name="_Ref381693799"/>
      <w:bookmarkStart w:id="27" w:name="_Toc508208589"/>
      <w:r>
        <w:rPr>
          <w:noProof/>
        </w:rPr>
        <w:t>Simplify increasing thresholds to receive decoupled payments</w:t>
      </w:r>
      <w:bookmarkEnd w:id="26"/>
      <w:bookmarkEnd w:id="27"/>
    </w:p>
    <w:p w:rsidR="00333A1A" w:rsidRDefault="003D29C9">
      <w:pPr>
        <w:pStyle w:val="Text1"/>
        <w:ind w:left="0"/>
        <w:rPr>
          <w:noProof/>
        </w:rPr>
      </w:pPr>
      <w:r>
        <w:rPr>
          <w:noProof/>
        </w:rPr>
        <w:t xml:space="preserve">In order to reduce the number of beneficiaries of very small amounts of aid, deemed not contributing significantly to farmers’ income, thresholds apply currently. MS fix them in euros (varying from 100 to 500 EUR) and/or in hectares (varying from 0.5 to 5 </w:t>
      </w:r>
      <w:r>
        <w:rPr>
          <w:noProof/>
        </w:rPr>
        <w:t xml:space="preserve">ha). In this analysis, the introduction of a 2 hectares threshold is tested (option 3). This option would exclude from the direct payment system more farmers than the current system (options 1 and 5) and then a system based on thresholds in EUR accounting </w:t>
      </w:r>
      <w:r>
        <w:rPr>
          <w:noProof/>
        </w:rPr>
        <w:t xml:space="preserve">for the differences in standard of living (option 4). </w:t>
      </w:r>
    </w:p>
    <w:p w:rsidR="00333A1A" w:rsidRDefault="003D29C9">
      <w:pPr>
        <w:pStyle w:val="Text1"/>
        <w:ind w:left="0"/>
        <w:rPr>
          <w:noProof/>
        </w:rPr>
      </w:pPr>
      <w:r>
        <w:rPr>
          <w:noProof/>
        </w:rPr>
        <w:t>An analysis based on the 2016 CAP beneficiaries shows that a 2 hectares threshold would have reduced the number of beneficiaries by than 1.5 million (24%) for a reduction in hectares paid by 1.3% only,</w:t>
      </w:r>
      <w:r>
        <w:rPr>
          <w:noProof/>
        </w:rPr>
        <w:t xml:space="preserve"> 3% of the amount of basic payment, single area payment and small farmer scheme granted and 2% of total direct payments paid. These beneficiaries were granted on average 420 EUR in 2016. This amount varies between 85 EUR in LT to close to 3 300 EUR in NL (</w:t>
      </w:r>
      <w:r>
        <w:rPr>
          <w:noProof/>
        </w:rPr>
        <w:t xml:space="preserve">where the flat rate will apply from 2019 only). </w:t>
      </w:r>
    </w:p>
    <w:p w:rsidR="00333A1A" w:rsidRDefault="003D29C9">
      <w:pPr>
        <w:pStyle w:val="Text1"/>
        <w:ind w:left="0"/>
        <w:rPr>
          <w:noProof/>
        </w:rPr>
      </w:pPr>
      <w:r>
        <w:rPr>
          <w:noProof/>
        </w:rPr>
        <w:t xml:space="preserve">A threshold at 2 ha might be too high in MT and CY where around 70% of beneficiaries fall under the threshold and are granted more than 40% of basic decoupled payments in MT and around 15% in CY. Similarly, </w:t>
      </w:r>
      <w:r>
        <w:rPr>
          <w:noProof/>
        </w:rPr>
        <w:t xml:space="preserve">large share of payments were granted to beneficiaries with less than 2 ha in 2016 in EL (15%), RO (10%), IT and PT (7%). However, this threshold could represent a real simplification in MS such as BG, SK, HU and LT where more than 15% of beneficiaries are </w:t>
      </w:r>
      <w:r>
        <w:rPr>
          <w:noProof/>
        </w:rPr>
        <w:t xml:space="preserve">granted less than 1% of the payments. A question remains about the importance of the aid contribution (around 80 EUR in LT, 200 in BG and in SK, 400 in HU) to these farmers’ income. </w:t>
      </w:r>
    </w:p>
    <w:p w:rsidR="00333A1A" w:rsidRDefault="003D29C9">
      <w:pPr>
        <w:pStyle w:val="Text1"/>
        <w:ind w:left="0"/>
        <w:rPr>
          <w:noProof/>
        </w:rPr>
      </w:pPr>
      <w:r>
        <w:rPr>
          <w:noProof/>
        </w:rPr>
        <w:t>Option 4 is testing a threshold in EUR, above the current thresholds appl</w:t>
      </w:r>
      <w:r>
        <w:rPr>
          <w:noProof/>
        </w:rPr>
        <w:t>ied, and corresponding to the equivalent of 2% of agricultural income. It means that to receive basic decoupled payments, farmers need to be eligible to a minimum of basic decoupled payment varying between 100 EUR (in RO, BG, PL, HR, SI) and 1 000 EUR in D</w:t>
      </w:r>
      <w:r>
        <w:rPr>
          <w:noProof/>
        </w:rPr>
        <w:t>K. Applied in 2016, such a system would have reduced the number of beneficiaries by 10% (0.6 million) and the amount of aid paid by 0.7% only and an average amount of 240 EUR granted per beneficiary. With a threshold at 200 EUR more than 60% of Maltese far</w:t>
      </w:r>
      <w:r>
        <w:rPr>
          <w:noProof/>
        </w:rPr>
        <w:t>mers would fall out of the direct payment system for a 33% share of basic decoupled payments. In the other MS, the share of payments granted to beneficiaries below the thresholds is smaller: 5% in CY, 4% in LT and 3% in IT.</w:t>
      </w:r>
    </w:p>
    <w:p w:rsidR="00333A1A" w:rsidRDefault="003D29C9">
      <w:pPr>
        <w:pStyle w:val="Text1"/>
        <w:ind w:left="0"/>
        <w:rPr>
          <w:noProof/>
        </w:rPr>
      </w:pPr>
      <w:r>
        <w:rPr>
          <w:noProof/>
        </w:rPr>
        <w:t xml:space="preserve">A threshold in euros, can avoid </w:t>
      </w:r>
      <w:r>
        <w:rPr>
          <w:noProof/>
        </w:rPr>
        <w:t>excluding from the system potential beneficiaries of amounts of aid important for the living of farmers. However, a threshold in hectares is much simpler to manage than a threshold in euros, for which the calculation of payments needs to be done before ben</w:t>
      </w:r>
      <w:r>
        <w:rPr>
          <w:noProof/>
        </w:rPr>
        <w:t>eficiaries can be excluded. MS could explore further the most adequate threshold level. In addition, in context of reduced direct payments the amounts of aid granted to beneficiaries below 2 ha would be smaller.</w:t>
      </w:r>
    </w:p>
    <w:p w:rsidR="00333A1A" w:rsidRDefault="003D29C9">
      <w:pPr>
        <w:keepNext/>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.7 Beneficiaries be</w:t>
      </w:r>
      <w:r>
        <w:rPr>
          <w:rFonts w:ascii="Times New Roman" w:eastAsia="Times New Roman" w:hAnsi="Times New Roman" w:cs="Times New Roman"/>
          <w:b/>
          <w:noProof/>
          <w:szCs w:val="20"/>
          <w:lang w:eastAsia="en-GB"/>
        </w:rPr>
        <w:t>low tested thresholds in 2016</w:t>
      </w:r>
    </w:p>
    <w:tbl>
      <w:tblPr>
        <w:tblW w:w="6892" w:type="dxa"/>
        <w:tblInd w:w="108" w:type="dxa"/>
        <w:tblLook w:val="04A0" w:firstRow="1" w:lastRow="0" w:firstColumn="1" w:lastColumn="0" w:noHBand="0" w:noVBand="1"/>
      </w:tblPr>
      <w:tblGrid>
        <w:gridCol w:w="3248"/>
        <w:gridCol w:w="1288"/>
        <w:gridCol w:w="1128"/>
        <w:gridCol w:w="1228"/>
      </w:tblGrid>
      <w:tr w:rsidR="00333A1A">
        <w:trPr>
          <w:trHeight w:val="288"/>
        </w:trPr>
        <w:tc>
          <w:tcPr>
            <w:tcW w:w="3248" w:type="dxa"/>
            <w:tcBorders>
              <w:top w:val="nil"/>
              <w:left w:val="nil"/>
              <w:bottom w:val="nil"/>
              <w:right w:val="nil"/>
            </w:tcBorders>
            <w:shd w:val="clear" w:color="auto" w:fill="auto"/>
            <w:noWrap/>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million</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Beneficiaries</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Area paid</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Amount paid</w:t>
            </w:r>
          </w:p>
        </w:tc>
      </w:tr>
      <w:tr w:rsidR="00333A1A">
        <w:trPr>
          <w:trHeight w:val="288"/>
        </w:trPr>
        <w:tc>
          <w:tcPr>
            <w:tcW w:w="3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Total in 2016</w:t>
            </w:r>
          </w:p>
        </w:tc>
        <w:tc>
          <w:tcPr>
            <w:tcW w:w="1288"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6.5</w:t>
            </w:r>
          </w:p>
        </w:tc>
        <w:tc>
          <w:tcPr>
            <w:tcW w:w="1128"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154</w:t>
            </w:r>
          </w:p>
        </w:tc>
        <w:tc>
          <w:tcPr>
            <w:tcW w:w="1228"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23 069</w:t>
            </w:r>
          </w:p>
        </w:tc>
      </w:tr>
      <w:tr w:rsidR="00333A1A">
        <w:trPr>
          <w:trHeight w:val="288"/>
        </w:trPr>
        <w:tc>
          <w:tcPr>
            <w:tcW w:w="3248" w:type="dxa"/>
            <w:tcBorders>
              <w:top w:val="nil"/>
              <w:left w:val="single" w:sz="4" w:space="0" w:color="auto"/>
              <w:bottom w:val="nil"/>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of which below 2 ha</w:t>
            </w:r>
          </w:p>
        </w:tc>
        <w:tc>
          <w:tcPr>
            <w:tcW w:w="1288" w:type="dxa"/>
            <w:tcBorders>
              <w:top w:val="nil"/>
              <w:left w:val="nil"/>
              <w:bottom w:val="nil"/>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1.5</w:t>
            </w:r>
          </w:p>
        </w:tc>
        <w:tc>
          <w:tcPr>
            <w:tcW w:w="1128" w:type="dxa"/>
            <w:tcBorders>
              <w:top w:val="nil"/>
              <w:left w:val="nil"/>
              <w:bottom w:val="nil"/>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1.9</w:t>
            </w:r>
          </w:p>
        </w:tc>
        <w:tc>
          <w:tcPr>
            <w:tcW w:w="1228" w:type="dxa"/>
            <w:tcBorders>
              <w:top w:val="nil"/>
              <w:left w:val="nil"/>
              <w:bottom w:val="nil"/>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640</w:t>
            </w:r>
          </w:p>
        </w:tc>
      </w:tr>
      <w:tr w:rsidR="00333A1A">
        <w:trPr>
          <w:trHeight w:val="288"/>
        </w:trPr>
        <w:tc>
          <w:tcPr>
            <w:tcW w:w="3248"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 </w:t>
            </w:r>
          </w:p>
        </w:tc>
        <w:tc>
          <w:tcPr>
            <w:tcW w:w="1288"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i/>
                <w:iCs/>
                <w:noProof/>
                <w:color w:val="000000"/>
                <w:sz w:val="20"/>
                <w:lang w:eastAsia="en-GB"/>
              </w:rPr>
            </w:pPr>
            <w:r>
              <w:rPr>
                <w:rFonts w:ascii="Times New Roman" w:eastAsia="Times New Roman" w:hAnsi="Times New Roman" w:cs="Times New Roman"/>
                <w:i/>
                <w:iCs/>
                <w:noProof/>
                <w:color w:val="000000"/>
                <w:sz w:val="20"/>
                <w:lang w:eastAsia="en-GB"/>
              </w:rPr>
              <w:t>24%</w:t>
            </w:r>
          </w:p>
        </w:tc>
        <w:tc>
          <w:tcPr>
            <w:tcW w:w="1128"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i/>
                <w:iCs/>
                <w:noProof/>
                <w:color w:val="000000"/>
                <w:sz w:val="20"/>
                <w:lang w:eastAsia="en-GB"/>
              </w:rPr>
            </w:pPr>
            <w:r>
              <w:rPr>
                <w:rFonts w:ascii="Times New Roman" w:eastAsia="Times New Roman" w:hAnsi="Times New Roman" w:cs="Times New Roman"/>
                <w:i/>
                <w:iCs/>
                <w:noProof/>
                <w:color w:val="000000"/>
                <w:sz w:val="20"/>
                <w:lang w:eastAsia="en-GB"/>
              </w:rPr>
              <w:t>1.3%</w:t>
            </w:r>
          </w:p>
        </w:tc>
        <w:tc>
          <w:tcPr>
            <w:tcW w:w="1228"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i/>
                <w:iCs/>
                <w:noProof/>
                <w:color w:val="000000"/>
                <w:sz w:val="20"/>
                <w:lang w:eastAsia="en-GB"/>
              </w:rPr>
            </w:pPr>
            <w:r>
              <w:rPr>
                <w:rFonts w:ascii="Times New Roman" w:eastAsia="Times New Roman" w:hAnsi="Times New Roman" w:cs="Times New Roman"/>
                <w:i/>
                <w:iCs/>
                <w:noProof/>
                <w:color w:val="000000"/>
                <w:sz w:val="20"/>
                <w:lang w:eastAsia="en-GB"/>
              </w:rPr>
              <w:t>2.8%</w:t>
            </w:r>
          </w:p>
        </w:tc>
      </w:tr>
      <w:tr w:rsidR="00333A1A">
        <w:trPr>
          <w:trHeight w:val="288"/>
        </w:trPr>
        <w:tc>
          <w:tcPr>
            <w:tcW w:w="3248" w:type="dxa"/>
            <w:tcBorders>
              <w:top w:val="nil"/>
              <w:left w:val="single" w:sz="4" w:space="0" w:color="auto"/>
              <w:bottom w:val="nil"/>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of which below 2% of ag. Income</w:t>
            </w:r>
          </w:p>
        </w:tc>
        <w:tc>
          <w:tcPr>
            <w:tcW w:w="1288" w:type="dxa"/>
            <w:tcBorders>
              <w:top w:val="nil"/>
              <w:left w:val="nil"/>
              <w:bottom w:val="nil"/>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0.6</w:t>
            </w:r>
          </w:p>
        </w:tc>
        <w:tc>
          <w:tcPr>
            <w:tcW w:w="1128" w:type="dxa"/>
            <w:tcBorders>
              <w:top w:val="nil"/>
              <w:left w:val="nil"/>
              <w:bottom w:val="nil"/>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1.2</w:t>
            </w:r>
          </w:p>
        </w:tc>
        <w:tc>
          <w:tcPr>
            <w:tcW w:w="1228" w:type="dxa"/>
            <w:tcBorders>
              <w:top w:val="nil"/>
              <w:left w:val="nil"/>
              <w:bottom w:val="nil"/>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152</w:t>
            </w:r>
          </w:p>
        </w:tc>
      </w:tr>
      <w:tr w:rsidR="00333A1A">
        <w:trPr>
          <w:trHeight w:val="288"/>
        </w:trPr>
        <w:tc>
          <w:tcPr>
            <w:tcW w:w="3248"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 </w:t>
            </w:r>
          </w:p>
        </w:tc>
        <w:tc>
          <w:tcPr>
            <w:tcW w:w="1288"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i/>
                <w:iCs/>
                <w:noProof/>
                <w:color w:val="000000"/>
                <w:sz w:val="20"/>
                <w:lang w:eastAsia="en-GB"/>
              </w:rPr>
            </w:pPr>
            <w:r>
              <w:rPr>
                <w:rFonts w:ascii="Times New Roman" w:eastAsia="Times New Roman" w:hAnsi="Times New Roman" w:cs="Times New Roman"/>
                <w:i/>
                <w:iCs/>
                <w:noProof/>
                <w:color w:val="000000"/>
                <w:sz w:val="20"/>
                <w:lang w:eastAsia="en-GB"/>
              </w:rPr>
              <w:t>10%</w:t>
            </w:r>
          </w:p>
        </w:tc>
        <w:tc>
          <w:tcPr>
            <w:tcW w:w="1128"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i/>
                <w:iCs/>
                <w:noProof/>
                <w:color w:val="000000"/>
                <w:sz w:val="20"/>
                <w:lang w:eastAsia="en-GB"/>
              </w:rPr>
            </w:pPr>
            <w:r>
              <w:rPr>
                <w:rFonts w:ascii="Times New Roman" w:eastAsia="Times New Roman" w:hAnsi="Times New Roman" w:cs="Times New Roman"/>
                <w:i/>
                <w:iCs/>
                <w:noProof/>
                <w:color w:val="000000"/>
                <w:sz w:val="20"/>
                <w:lang w:eastAsia="en-GB"/>
              </w:rPr>
              <w:t>0.8%</w:t>
            </w:r>
          </w:p>
        </w:tc>
        <w:tc>
          <w:tcPr>
            <w:tcW w:w="1228" w:type="dxa"/>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i/>
                <w:iCs/>
                <w:noProof/>
                <w:color w:val="000000"/>
                <w:sz w:val="20"/>
                <w:lang w:eastAsia="en-GB"/>
              </w:rPr>
            </w:pPr>
            <w:r>
              <w:rPr>
                <w:rFonts w:ascii="Times New Roman" w:eastAsia="Times New Roman" w:hAnsi="Times New Roman" w:cs="Times New Roman"/>
                <w:i/>
                <w:iCs/>
                <w:noProof/>
                <w:color w:val="000000"/>
                <w:sz w:val="20"/>
                <w:lang w:eastAsia="en-GB"/>
              </w:rPr>
              <w:t>0.7%</w:t>
            </w:r>
          </w:p>
        </w:tc>
      </w:tr>
    </w:tbl>
    <w:p w:rsidR="00333A1A" w:rsidRDefault="003D29C9">
      <w:pPr>
        <w:spacing w:after="240" w:line="240" w:lineRule="auto"/>
        <w:jc w:val="both"/>
        <w:rPr>
          <w:rFonts w:ascii="Times New Roman" w:hAnsi="Times New Roman" w:cs="Times New Roman"/>
          <w:noProof/>
          <w:sz w:val="18"/>
          <w:szCs w:val="24"/>
        </w:rPr>
      </w:pPr>
      <w:r>
        <w:rPr>
          <w:rFonts w:ascii="Times New Roman" w:hAnsi="Times New Roman" w:cs="Times New Roman"/>
          <w:noProof/>
          <w:sz w:val="18"/>
          <w:szCs w:val="24"/>
        </w:rPr>
        <w:t xml:space="preserve">Source: DG AGRI, CATS, based on BPS, </w:t>
      </w:r>
      <w:r>
        <w:rPr>
          <w:rFonts w:ascii="Times New Roman" w:hAnsi="Times New Roman" w:cs="Times New Roman"/>
          <w:noProof/>
          <w:sz w:val="18"/>
          <w:szCs w:val="24"/>
        </w:rPr>
        <w:t>SAPS and SFS</w:t>
      </w:r>
    </w:p>
    <w:p w:rsidR="00333A1A" w:rsidRDefault="003D29C9">
      <w:pPr>
        <w:pStyle w:val="Text1"/>
        <w:ind w:left="0"/>
        <w:rPr>
          <w:noProof/>
        </w:rPr>
      </w:pPr>
      <w:r>
        <w:rPr>
          <w:noProof/>
        </w:rPr>
        <w:t>To assess better who are the beneficiaries potentially excluded from direct payments with various thresholds, the analysis was run with the IFM-CAP model. Given it is based on FADN surveying only professional farms, the number of beneficiaries</w:t>
      </w:r>
      <w:r>
        <w:rPr>
          <w:noProof/>
        </w:rPr>
        <w:t xml:space="preserve"> below thresholds is smaller.</w:t>
      </w:r>
    </w:p>
    <w:p w:rsidR="00333A1A" w:rsidRDefault="003D29C9">
      <w:pPr>
        <w:pStyle w:val="Text1"/>
        <w:ind w:left="0"/>
        <w:rPr>
          <w:noProof/>
        </w:rPr>
      </w:pPr>
      <w:r>
        <w:rPr>
          <w:noProof/>
        </w:rPr>
        <w:t>In the baseline, farmers below threshold are many involved in wine production and horticulture, they are located at more than 30% in ES and also in RO, IT and FR. Some of them have a very large economic size (12% with more tha</w:t>
      </w:r>
      <w:r>
        <w:rPr>
          <w:noProof/>
        </w:rPr>
        <w:t xml:space="preserve">n 100 000 EUR of size). Would these farms have been granted direct payments their income would have increased by less than 1% for most types of farming. </w:t>
      </w:r>
    </w:p>
    <w:p w:rsidR="00333A1A" w:rsidRDefault="003D29C9">
      <w:pPr>
        <w:pStyle w:val="Text1"/>
        <w:ind w:left="0"/>
        <w:rPr>
          <w:noProof/>
        </w:rPr>
      </w:pPr>
      <w:r>
        <w:rPr>
          <w:noProof/>
        </w:rPr>
        <w:t>As shown based on the 2016 payments, option 3 leads to a higher number of farmers excluded from the di</w:t>
      </w:r>
      <w:r>
        <w:rPr>
          <w:noProof/>
        </w:rPr>
        <w:t xml:space="preserve">rect payments system. The reduction by half of the number of farmers below thresholds in option 5 compared to baseline, highlights the impact of the reduction in direct payments and at the same time the increased payments to smaller farms. This is why the </w:t>
      </w:r>
      <w:r>
        <w:rPr>
          <w:noProof/>
        </w:rPr>
        <w:t xml:space="preserve">number (and share) of farms below threshold from the lower economic class increases in this option. </w:t>
      </w:r>
    </w:p>
    <w:p w:rsidR="00333A1A" w:rsidRDefault="003D29C9">
      <w:pPr>
        <w:pStyle w:val="Text1"/>
        <w:ind w:left="0"/>
        <w:rPr>
          <w:noProof/>
        </w:rPr>
      </w:pPr>
      <w:r>
        <w:rPr>
          <w:noProof/>
        </w:rPr>
        <w:t xml:space="preserve">In option 3, farms below thresholds are mainly mixed farms, located in RO and IT and of the smallest economic size. In option 4, the distribution of farms </w:t>
      </w:r>
      <w:r>
        <w:rPr>
          <w:noProof/>
        </w:rPr>
        <w:t>below thresholds by type is close to the baseline situation, with a higher share of sheep and dairy farms and RO though. In option 4, the number of farms below thresholds is lower than in option 3 but the impact on farms income is slightly higher, though r</w:t>
      </w:r>
      <w:r>
        <w:rPr>
          <w:noProof/>
        </w:rPr>
        <w:t>ather low (estimated at 1% against 0.7% in option 3b). These thresholds would weigh more cattle producers with low income in option 4 and on olive producers in options 3 and 4.</w:t>
      </w:r>
    </w:p>
    <w:p w:rsidR="00333A1A" w:rsidRDefault="003D29C9">
      <w:pPr>
        <w:keepNext/>
        <w:keepLines/>
        <w:spacing w:after="240" w:line="240" w:lineRule="auto"/>
        <w:jc w:val="both"/>
        <w:rPr>
          <w:rFonts w:ascii="Times New Roman" w:hAnsi="Times New Roman" w:cs="Times New Roman"/>
          <w:noProof/>
          <w:sz w:val="24"/>
          <w:szCs w:val="24"/>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 xml:space="preserve">.8 Identification of professional farms below </w:t>
      </w:r>
      <w:r>
        <w:rPr>
          <w:rFonts w:ascii="Times New Roman" w:eastAsia="Times New Roman" w:hAnsi="Times New Roman" w:cs="Times New Roman"/>
          <w:b/>
          <w:noProof/>
          <w:szCs w:val="20"/>
          <w:lang w:eastAsia="en-GB"/>
        </w:rPr>
        <w:t>thresholds</w:t>
      </w:r>
    </w:p>
    <w:tbl>
      <w:tblPr>
        <w:tblW w:w="8660" w:type="dxa"/>
        <w:tblInd w:w="55" w:type="dxa"/>
        <w:tblCellMar>
          <w:left w:w="70" w:type="dxa"/>
          <w:right w:w="70" w:type="dxa"/>
        </w:tblCellMar>
        <w:tblLook w:val="04A0" w:firstRow="1" w:lastRow="0" w:firstColumn="1" w:lastColumn="0" w:noHBand="0" w:noVBand="1"/>
      </w:tblPr>
      <w:tblGrid>
        <w:gridCol w:w="2820"/>
        <w:gridCol w:w="1460"/>
        <w:gridCol w:w="1460"/>
        <w:gridCol w:w="1460"/>
        <w:gridCol w:w="1460"/>
      </w:tblGrid>
      <w:tr w:rsidR="00333A1A">
        <w:trPr>
          <w:trHeight w:val="280"/>
        </w:trPr>
        <w:tc>
          <w:tcPr>
            <w:tcW w:w="2820" w:type="dxa"/>
            <w:tcBorders>
              <w:top w:val="nil"/>
              <w:left w:val="nil"/>
              <w:bottom w:val="single" w:sz="4" w:space="0" w:color="auto"/>
              <w:right w:val="nil"/>
            </w:tcBorders>
            <w:shd w:val="clear" w:color="auto" w:fill="auto"/>
            <w:noWrap/>
            <w:vAlign w:val="bottom"/>
            <w:hideMark/>
          </w:tcPr>
          <w:p w:rsidR="00333A1A" w:rsidRDefault="00333A1A">
            <w:pPr>
              <w:keepNext/>
              <w:keepLines/>
              <w:spacing w:after="0" w:line="240" w:lineRule="auto"/>
              <w:rPr>
                <w:rFonts w:ascii="Times New Roman" w:eastAsia="Times New Roman" w:hAnsi="Times New Roman" w:cs="Times New Roman"/>
                <w:noProof/>
                <w:color w:val="000000"/>
                <w:lang w:eastAsia="fr-FR"/>
              </w:rPr>
            </w:pP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lang w:val="fr-BE" w:eastAsia="fr-FR"/>
              </w:rPr>
            </w:pPr>
            <w:r>
              <w:rPr>
                <w:rFonts w:ascii="Times New Roman" w:eastAsia="Times New Roman" w:hAnsi="Times New Roman" w:cs="Times New Roman"/>
                <w:noProof/>
                <w:color w:val="000000"/>
                <w:sz w:val="20"/>
                <w:lang w:val="fr-BE" w:eastAsia="fr-FR"/>
              </w:rPr>
              <w:t>Baseline</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lang w:val="fr-BE" w:eastAsia="fr-FR"/>
              </w:rPr>
            </w:pPr>
            <w:r>
              <w:rPr>
                <w:rFonts w:ascii="Times New Roman" w:eastAsia="Times New Roman" w:hAnsi="Times New Roman" w:cs="Times New Roman"/>
                <w:noProof/>
                <w:color w:val="000000"/>
                <w:sz w:val="20"/>
                <w:lang w:val="fr-BE" w:eastAsia="fr-FR"/>
              </w:rPr>
              <w:t>Option 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lang w:val="fr-BE" w:eastAsia="fr-FR"/>
              </w:rPr>
            </w:pPr>
            <w:r>
              <w:rPr>
                <w:rFonts w:ascii="Times New Roman" w:eastAsia="Times New Roman" w:hAnsi="Times New Roman" w:cs="Times New Roman"/>
                <w:noProof/>
                <w:color w:val="000000"/>
                <w:sz w:val="20"/>
                <w:lang w:val="fr-BE" w:eastAsia="fr-FR"/>
              </w:rPr>
              <w:t>Option 4</w:t>
            </w:r>
          </w:p>
        </w:tc>
        <w:tc>
          <w:tcPr>
            <w:tcW w:w="1460" w:type="dxa"/>
            <w:tcBorders>
              <w:top w:val="single" w:sz="4" w:space="0" w:color="auto"/>
              <w:left w:val="nil"/>
              <w:bottom w:val="single" w:sz="4" w:space="0" w:color="auto"/>
              <w:right w:val="single" w:sz="4" w:space="0" w:color="auto"/>
            </w:tcBorders>
            <w:vAlign w:val="bottom"/>
          </w:tcPr>
          <w:p w:rsidR="00333A1A" w:rsidRDefault="003D29C9">
            <w:pPr>
              <w:keepNext/>
              <w:keepLines/>
              <w:spacing w:after="0" w:line="240" w:lineRule="auto"/>
              <w:jc w:val="center"/>
              <w:rPr>
                <w:rFonts w:ascii="Times New Roman" w:eastAsia="Times New Roman" w:hAnsi="Times New Roman" w:cs="Times New Roman"/>
                <w:noProof/>
                <w:color w:val="000000"/>
                <w:sz w:val="20"/>
                <w:lang w:val="fr-BE" w:eastAsia="fr-FR"/>
              </w:rPr>
            </w:pPr>
            <w:r>
              <w:rPr>
                <w:rFonts w:ascii="Times New Roman" w:eastAsia="Times New Roman" w:hAnsi="Times New Roman" w:cs="Times New Roman"/>
                <w:noProof/>
                <w:color w:val="000000"/>
                <w:sz w:val="20"/>
                <w:lang w:val="fr-BE" w:eastAsia="fr-FR"/>
              </w:rPr>
              <w:t>Option 5</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b/>
                <w:bCs/>
                <w:noProof/>
                <w:color w:val="000000"/>
                <w:sz w:val="20"/>
                <w:szCs w:val="20"/>
                <w:lang w:val="fr-BE" w:eastAsia="fr-FR"/>
              </w:rPr>
            </w:pPr>
            <w:r>
              <w:rPr>
                <w:rFonts w:ascii="Times New Roman" w:eastAsia="Times New Roman" w:hAnsi="Times New Roman" w:cs="Times New Roman"/>
                <w:b/>
                <w:bCs/>
                <w:noProof/>
                <w:color w:val="000000"/>
                <w:sz w:val="20"/>
                <w:szCs w:val="20"/>
                <w:lang w:val="fr-BE" w:eastAsia="fr-FR"/>
              </w:rPr>
              <w:t>Total number of farms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b/>
                <w:bCs/>
                <w:noProof/>
                <w:color w:val="000000"/>
                <w:sz w:val="20"/>
                <w:szCs w:val="20"/>
                <w:lang w:val="fr-BE" w:eastAsia="fr-FR"/>
              </w:rPr>
            </w:pPr>
            <w:r>
              <w:rPr>
                <w:rFonts w:ascii="Times New Roman" w:eastAsia="Times New Roman" w:hAnsi="Times New Roman" w:cs="Times New Roman"/>
                <w:b/>
                <w:bCs/>
                <w:noProof/>
                <w:color w:val="000000"/>
                <w:sz w:val="20"/>
                <w:szCs w:val="20"/>
                <w:lang w:val="fr-BE" w:eastAsia="fr-FR"/>
              </w:rPr>
              <w:t>285 800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b/>
                <w:bCs/>
                <w:noProof/>
                <w:color w:val="000000"/>
                <w:sz w:val="20"/>
                <w:szCs w:val="20"/>
                <w:lang w:val="fr-BE" w:eastAsia="fr-FR"/>
              </w:rPr>
            </w:pPr>
            <w:r>
              <w:rPr>
                <w:rFonts w:ascii="Times New Roman" w:eastAsia="Times New Roman" w:hAnsi="Times New Roman" w:cs="Times New Roman"/>
                <w:b/>
                <w:bCs/>
                <w:noProof/>
                <w:color w:val="000000"/>
                <w:sz w:val="20"/>
                <w:szCs w:val="20"/>
                <w:lang w:val="fr-BE" w:eastAsia="fr-FR"/>
              </w:rPr>
              <w:t>506 000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b/>
                <w:bCs/>
                <w:noProof/>
                <w:color w:val="000000"/>
                <w:sz w:val="20"/>
                <w:szCs w:val="20"/>
                <w:lang w:val="fr-BE" w:eastAsia="fr-FR"/>
              </w:rPr>
            </w:pPr>
            <w:r>
              <w:rPr>
                <w:rFonts w:ascii="Times New Roman" w:eastAsia="Times New Roman" w:hAnsi="Times New Roman" w:cs="Times New Roman"/>
                <w:b/>
                <w:bCs/>
                <w:noProof/>
                <w:color w:val="000000"/>
                <w:sz w:val="20"/>
                <w:szCs w:val="20"/>
                <w:lang w:val="fr-BE" w:eastAsia="fr-FR"/>
              </w:rPr>
              <w:t>322 100</w:t>
            </w:r>
          </w:p>
        </w:tc>
        <w:tc>
          <w:tcPr>
            <w:tcW w:w="1460" w:type="dxa"/>
            <w:tcBorders>
              <w:top w:val="single" w:sz="4" w:space="0" w:color="auto"/>
              <w:left w:val="nil"/>
              <w:bottom w:val="single" w:sz="4" w:space="0" w:color="auto"/>
              <w:right w:val="single" w:sz="4" w:space="0" w:color="auto"/>
            </w:tcBorders>
            <w:vAlign w:val="bottom"/>
          </w:tcPr>
          <w:p w:rsidR="00333A1A" w:rsidRDefault="003D29C9">
            <w:pPr>
              <w:keepNext/>
              <w:keepLines/>
              <w:spacing w:after="0" w:line="240" w:lineRule="auto"/>
              <w:jc w:val="center"/>
              <w:rPr>
                <w:rFonts w:ascii="Times New Roman" w:eastAsia="Times New Roman" w:hAnsi="Times New Roman" w:cs="Times New Roman"/>
                <w:b/>
                <w:bCs/>
                <w:noProof/>
                <w:color w:val="000000"/>
                <w:sz w:val="20"/>
                <w:szCs w:val="20"/>
                <w:lang w:val="fr-BE" w:eastAsia="fr-FR"/>
              </w:rPr>
            </w:pPr>
            <w:r>
              <w:rPr>
                <w:rFonts w:ascii="Times New Roman" w:eastAsia="Times New Roman" w:hAnsi="Times New Roman" w:cs="Times New Roman"/>
                <w:b/>
                <w:bCs/>
                <w:noProof/>
                <w:color w:val="000000"/>
                <w:sz w:val="20"/>
                <w:szCs w:val="20"/>
                <w:lang w:val="fr-BE" w:eastAsia="fr-FR"/>
              </w:rPr>
              <w:t>134 000</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Change/baseline</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77%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13%</w:t>
            </w:r>
          </w:p>
        </w:tc>
        <w:tc>
          <w:tcPr>
            <w:tcW w:w="1460" w:type="dxa"/>
            <w:tcBorders>
              <w:top w:val="single" w:sz="4" w:space="0" w:color="auto"/>
              <w:left w:val="nil"/>
              <w:bottom w:val="single" w:sz="4" w:space="0" w:color="auto"/>
              <w:right w:val="single" w:sz="4" w:space="0" w:color="auto"/>
            </w:tcBorders>
            <w:vAlign w:val="center"/>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-53%</w:t>
            </w:r>
          </w:p>
        </w:tc>
      </w:tr>
      <w:tr w:rsidR="00333A1A">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333A1A" w:rsidRDefault="003D29C9">
            <w:pPr>
              <w:keepNext/>
              <w:keepLines/>
              <w:spacing w:after="0" w:line="240" w:lineRule="auto"/>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Share by specialisation</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100%</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100%</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100%</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100%</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Horticulture</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25%</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19%</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22%</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29%</w:t>
            </w:r>
          </w:p>
        </w:tc>
      </w:tr>
      <w:tr w:rsidR="00333A1A">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Wine</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21%</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12%</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15%</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16%</w:t>
            </w:r>
          </w:p>
        </w:tc>
      </w:tr>
      <w:tr w:rsidR="00333A1A">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Mixed</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19%</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27%</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24%</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26%</w:t>
            </w:r>
          </w:p>
        </w:tc>
      </w:tr>
      <w:tr w:rsidR="00333A1A">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Orchards</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15%</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10%</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10%</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7%</w:t>
            </w:r>
          </w:p>
        </w:tc>
      </w:tr>
      <w:tr w:rsidR="00333A1A">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Sheep&amp;Goat</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4%</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9%</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8%</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6%</w:t>
            </w:r>
          </w:p>
        </w:tc>
      </w:tr>
      <w:tr w:rsidR="00333A1A">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Milk</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2%</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8%</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7%</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4%</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Other</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14%</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16%</w:t>
            </w:r>
          </w:p>
        </w:tc>
        <w:tc>
          <w:tcPr>
            <w:tcW w:w="146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14%</w:t>
            </w:r>
          </w:p>
        </w:tc>
        <w:tc>
          <w:tcPr>
            <w:tcW w:w="1460" w:type="dxa"/>
            <w:tcBorders>
              <w:top w:val="single" w:sz="4" w:space="0" w:color="auto"/>
              <w:left w:val="single" w:sz="4" w:space="0" w:color="auto"/>
              <w:bottom w:val="single" w:sz="4" w:space="0" w:color="auto"/>
              <w:right w:val="single" w:sz="4" w:space="0" w:color="auto"/>
            </w:tcBorders>
            <w:shd w:val="clear" w:color="000000" w:fill="FFEB9C"/>
            <w:vAlign w:val="bottom"/>
          </w:tcPr>
          <w:p w:rsidR="00333A1A" w:rsidRDefault="003D29C9">
            <w:pPr>
              <w:keepNext/>
              <w:keepLines/>
              <w:spacing w:after="0" w:line="240" w:lineRule="auto"/>
              <w:jc w:val="right"/>
              <w:rPr>
                <w:rFonts w:ascii="Times New Roman" w:eastAsia="Times New Roman" w:hAnsi="Times New Roman" w:cs="Times New Roman"/>
                <w:noProof/>
                <w:color w:val="9C6500"/>
                <w:sz w:val="20"/>
                <w:szCs w:val="20"/>
                <w:lang w:val="fr-BE" w:eastAsia="fr-FR"/>
              </w:rPr>
            </w:pPr>
            <w:r>
              <w:rPr>
                <w:rFonts w:ascii="Times New Roman" w:eastAsia="Times New Roman" w:hAnsi="Times New Roman" w:cs="Times New Roman"/>
                <w:noProof/>
                <w:color w:val="9C6500"/>
                <w:sz w:val="20"/>
                <w:szCs w:val="20"/>
                <w:lang w:val="fr-BE" w:eastAsia="fr-FR"/>
              </w:rPr>
              <w:t>13%</w:t>
            </w:r>
          </w:p>
        </w:tc>
      </w:tr>
      <w:tr w:rsidR="00333A1A">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Share by MS</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100%</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100%</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100%</w:t>
            </w:r>
          </w:p>
        </w:tc>
        <w:tc>
          <w:tcPr>
            <w:tcW w:w="1460" w:type="dxa"/>
            <w:tcBorders>
              <w:top w:val="single" w:sz="4" w:space="0" w:color="auto"/>
              <w:left w:val="single" w:sz="4" w:space="0" w:color="auto"/>
              <w:bottom w:val="single" w:sz="4" w:space="0" w:color="auto"/>
              <w:right w:val="single" w:sz="4" w:space="0" w:color="auto"/>
            </w:tcBorders>
            <w:shd w:val="clear" w:color="000000" w:fill="4BACC6"/>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100%</w:t>
            </w:r>
          </w:p>
        </w:tc>
      </w:tr>
      <w:tr w:rsidR="00333A1A">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ES</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34%</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6%</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12%</w:t>
            </w:r>
          </w:p>
        </w:tc>
        <w:tc>
          <w:tcPr>
            <w:tcW w:w="1460" w:type="dxa"/>
            <w:tcBorders>
              <w:top w:val="single" w:sz="4" w:space="0" w:color="auto"/>
              <w:left w:val="single" w:sz="4" w:space="0" w:color="auto"/>
              <w:bottom w:val="single" w:sz="4" w:space="0" w:color="auto"/>
              <w:right w:val="single" w:sz="4" w:space="0" w:color="auto"/>
            </w:tcBorders>
            <w:shd w:val="clear" w:color="000000" w:fill="4BACC6"/>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14%</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RO</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20%</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40%</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36%</w:t>
            </w:r>
          </w:p>
        </w:tc>
        <w:tc>
          <w:tcPr>
            <w:tcW w:w="1460" w:type="dxa"/>
            <w:tcBorders>
              <w:top w:val="single" w:sz="4" w:space="0" w:color="auto"/>
              <w:left w:val="single" w:sz="4" w:space="0" w:color="auto"/>
              <w:bottom w:val="single" w:sz="4" w:space="0" w:color="auto"/>
              <w:right w:val="single" w:sz="4" w:space="0" w:color="auto"/>
            </w:tcBorders>
            <w:shd w:val="clear" w:color="000000" w:fill="4BACC6"/>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29%</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IT</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18%</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22%</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24%</w:t>
            </w:r>
          </w:p>
        </w:tc>
        <w:tc>
          <w:tcPr>
            <w:tcW w:w="1460" w:type="dxa"/>
            <w:tcBorders>
              <w:top w:val="single" w:sz="4" w:space="0" w:color="auto"/>
              <w:left w:val="single" w:sz="4" w:space="0" w:color="auto"/>
              <w:bottom w:val="single" w:sz="4" w:space="0" w:color="auto"/>
              <w:right w:val="single" w:sz="4" w:space="0" w:color="auto"/>
            </w:tcBorders>
            <w:shd w:val="clear" w:color="000000" w:fill="4BACC6"/>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16%</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FR</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12%</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6%</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11%</w:t>
            </w:r>
          </w:p>
        </w:tc>
        <w:tc>
          <w:tcPr>
            <w:tcW w:w="1460" w:type="dxa"/>
            <w:tcBorders>
              <w:top w:val="single" w:sz="4" w:space="0" w:color="auto"/>
              <w:left w:val="single" w:sz="4" w:space="0" w:color="auto"/>
              <w:bottom w:val="single" w:sz="4" w:space="0" w:color="auto"/>
              <w:right w:val="single" w:sz="4" w:space="0" w:color="auto"/>
            </w:tcBorders>
            <w:shd w:val="clear" w:color="000000" w:fill="4BACC6"/>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16%</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BG</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6%</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6%</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3%</w:t>
            </w:r>
          </w:p>
        </w:tc>
        <w:tc>
          <w:tcPr>
            <w:tcW w:w="1460" w:type="dxa"/>
            <w:tcBorders>
              <w:top w:val="single" w:sz="4" w:space="0" w:color="auto"/>
              <w:left w:val="single" w:sz="4" w:space="0" w:color="auto"/>
              <w:bottom w:val="single" w:sz="4" w:space="0" w:color="auto"/>
              <w:right w:val="single" w:sz="4" w:space="0" w:color="auto"/>
            </w:tcBorders>
            <w:shd w:val="clear" w:color="000000" w:fill="4BACC6"/>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4%</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EL</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8%</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w:t>
            </w:r>
          </w:p>
        </w:tc>
        <w:tc>
          <w:tcPr>
            <w:tcW w:w="1460" w:type="dxa"/>
            <w:tcBorders>
              <w:top w:val="single" w:sz="4" w:space="0" w:color="auto"/>
              <w:left w:val="single" w:sz="4" w:space="0" w:color="auto"/>
              <w:bottom w:val="single" w:sz="4" w:space="0" w:color="auto"/>
              <w:right w:val="single" w:sz="4" w:space="0" w:color="auto"/>
            </w:tcBorders>
            <w:shd w:val="clear" w:color="000000" w:fill="4BACC6"/>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3%</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Other</w:t>
            </w:r>
          </w:p>
        </w:tc>
        <w:tc>
          <w:tcPr>
            <w:tcW w:w="1460" w:type="dxa"/>
            <w:tcBorders>
              <w:top w:val="single" w:sz="4" w:space="0" w:color="auto"/>
              <w:left w:val="nil"/>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9%</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12%</w:t>
            </w:r>
          </w:p>
        </w:tc>
        <w:tc>
          <w:tcPr>
            <w:tcW w:w="14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13%</w:t>
            </w:r>
          </w:p>
        </w:tc>
        <w:tc>
          <w:tcPr>
            <w:tcW w:w="1460" w:type="dxa"/>
            <w:tcBorders>
              <w:top w:val="single" w:sz="4" w:space="0" w:color="auto"/>
              <w:left w:val="single" w:sz="4" w:space="0" w:color="auto"/>
              <w:bottom w:val="single" w:sz="4" w:space="0" w:color="auto"/>
              <w:right w:val="single" w:sz="4" w:space="0" w:color="auto"/>
            </w:tcBorders>
            <w:shd w:val="clear" w:color="000000" w:fill="4BACC6"/>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19%</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A1A" w:rsidRDefault="003D29C9">
            <w:pPr>
              <w:keepNext/>
              <w:keepLines/>
              <w:spacing w:after="0" w:line="240" w:lineRule="auto"/>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LFA</w:t>
            </w:r>
          </w:p>
        </w:tc>
        <w:tc>
          <w:tcPr>
            <w:tcW w:w="14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A1A" w:rsidRDefault="003D29C9">
            <w:pPr>
              <w:keepNext/>
              <w:keepLines/>
              <w:spacing w:after="0" w:line="240" w:lineRule="auto"/>
              <w:jc w:val="right"/>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42%</w:t>
            </w:r>
          </w:p>
        </w:tc>
        <w:tc>
          <w:tcPr>
            <w:tcW w:w="14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A1A" w:rsidRDefault="003D29C9">
            <w:pPr>
              <w:keepNext/>
              <w:keepLines/>
              <w:spacing w:after="0" w:line="240" w:lineRule="auto"/>
              <w:jc w:val="right"/>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40%</w:t>
            </w:r>
          </w:p>
        </w:tc>
        <w:tc>
          <w:tcPr>
            <w:tcW w:w="14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A1A" w:rsidRDefault="003D29C9">
            <w:pPr>
              <w:keepNext/>
              <w:keepLines/>
              <w:spacing w:after="0" w:line="240" w:lineRule="auto"/>
              <w:jc w:val="right"/>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42%</w:t>
            </w:r>
          </w:p>
        </w:tc>
        <w:tc>
          <w:tcPr>
            <w:tcW w:w="1460" w:type="dxa"/>
            <w:tcBorders>
              <w:top w:val="single" w:sz="4" w:space="0" w:color="auto"/>
              <w:left w:val="single" w:sz="4" w:space="0" w:color="auto"/>
              <w:bottom w:val="single" w:sz="4" w:space="0" w:color="auto"/>
              <w:right w:val="single" w:sz="4" w:space="0" w:color="auto"/>
            </w:tcBorders>
            <w:shd w:val="clear" w:color="000000" w:fill="F2F2F2"/>
            <w:vAlign w:val="bottom"/>
          </w:tcPr>
          <w:p w:rsidR="00333A1A" w:rsidRDefault="003D29C9">
            <w:pPr>
              <w:keepNext/>
              <w:keepLines/>
              <w:spacing w:after="0" w:line="240" w:lineRule="auto"/>
              <w:jc w:val="right"/>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42%</w:t>
            </w:r>
          </w:p>
        </w:tc>
      </w:tr>
      <w:tr w:rsidR="00333A1A">
        <w:trPr>
          <w:trHeight w:val="280"/>
        </w:trPr>
        <w:tc>
          <w:tcPr>
            <w:tcW w:w="28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A1A" w:rsidRDefault="003D29C9">
            <w:pPr>
              <w:keepNext/>
              <w:keepLines/>
              <w:spacing w:after="0" w:line="240" w:lineRule="auto"/>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Not LFA</w:t>
            </w:r>
          </w:p>
        </w:tc>
        <w:tc>
          <w:tcPr>
            <w:tcW w:w="14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A1A" w:rsidRDefault="003D29C9">
            <w:pPr>
              <w:keepNext/>
              <w:keepLines/>
              <w:spacing w:after="0" w:line="240" w:lineRule="auto"/>
              <w:jc w:val="right"/>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58%</w:t>
            </w:r>
          </w:p>
        </w:tc>
        <w:tc>
          <w:tcPr>
            <w:tcW w:w="14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A1A" w:rsidRDefault="003D29C9">
            <w:pPr>
              <w:keepNext/>
              <w:keepLines/>
              <w:spacing w:after="0" w:line="240" w:lineRule="auto"/>
              <w:jc w:val="right"/>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60%</w:t>
            </w:r>
          </w:p>
        </w:tc>
        <w:tc>
          <w:tcPr>
            <w:tcW w:w="14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A1A" w:rsidRDefault="003D29C9">
            <w:pPr>
              <w:keepNext/>
              <w:keepLines/>
              <w:spacing w:after="0" w:line="240" w:lineRule="auto"/>
              <w:jc w:val="right"/>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58%</w:t>
            </w:r>
          </w:p>
        </w:tc>
        <w:tc>
          <w:tcPr>
            <w:tcW w:w="1460" w:type="dxa"/>
            <w:tcBorders>
              <w:top w:val="single" w:sz="4" w:space="0" w:color="auto"/>
              <w:left w:val="single" w:sz="4" w:space="0" w:color="auto"/>
              <w:bottom w:val="single" w:sz="4" w:space="0" w:color="auto"/>
              <w:right w:val="single" w:sz="4" w:space="0" w:color="auto"/>
            </w:tcBorders>
            <w:shd w:val="clear" w:color="000000" w:fill="F2F2F2"/>
            <w:vAlign w:val="bottom"/>
          </w:tcPr>
          <w:p w:rsidR="00333A1A" w:rsidRDefault="003D29C9">
            <w:pPr>
              <w:keepNext/>
              <w:keepLines/>
              <w:spacing w:after="0" w:line="240" w:lineRule="auto"/>
              <w:jc w:val="right"/>
              <w:rPr>
                <w:rFonts w:ascii="Times New Roman" w:eastAsia="Times New Roman" w:hAnsi="Times New Roman" w:cs="Times New Roman"/>
                <w:b/>
                <w:bCs/>
                <w:noProof/>
                <w:color w:val="3F3F3F"/>
                <w:sz w:val="20"/>
                <w:szCs w:val="20"/>
                <w:lang w:val="fr-BE" w:eastAsia="fr-FR"/>
              </w:rPr>
            </w:pPr>
            <w:r>
              <w:rPr>
                <w:rFonts w:ascii="Times New Roman" w:eastAsia="Times New Roman" w:hAnsi="Times New Roman" w:cs="Times New Roman"/>
                <w:b/>
                <w:bCs/>
                <w:noProof/>
                <w:color w:val="3F3F3F"/>
                <w:sz w:val="20"/>
                <w:szCs w:val="20"/>
                <w:lang w:val="fr-BE" w:eastAsia="fr-FR"/>
              </w:rPr>
              <w:t>58%</w:t>
            </w:r>
          </w:p>
        </w:tc>
      </w:tr>
      <w:tr w:rsidR="00333A1A">
        <w:trPr>
          <w:trHeight w:val="300"/>
        </w:trPr>
        <w:tc>
          <w:tcPr>
            <w:tcW w:w="2820" w:type="dxa"/>
            <w:tcBorders>
              <w:top w:val="single" w:sz="4" w:space="0" w:color="auto"/>
              <w:left w:val="single" w:sz="4" w:space="0" w:color="auto"/>
              <w:bottom w:val="single" w:sz="4" w:space="0" w:color="auto"/>
              <w:right w:val="nil"/>
            </w:tcBorders>
            <w:shd w:val="clear" w:color="000000" w:fill="9BBB59"/>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Share by size</w:t>
            </w:r>
          </w:p>
        </w:tc>
        <w:tc>
          <w:tcPr>
            <w:tcW w:w="146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100%</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100%</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100%</w:t>
            </w:r>
          </w:p>
        </w:tc>
        <w:tc>
          <w:tcPr>
            <w:tcW w:w="1460" w:type="dxa"/>
            <w:tcBorders>
              <w:top w:val="single" w:sz="4" w:space="0" w:color="auto"/>
              <w:left w:val="nil"/>
              <w:bottom w:val="single" w:sz="4" w:space="0" w:color="auto"/>
              <w:right w:val="single" w:sz="4" w:space="0" w:color="auto"/>
            </w:tcBorders>
            <w:shd w:val="clear" w:color="000000" w:fill="9BBB59"/>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100%</w:t>
            </w:r>
          </w:p>
        </w:tc>
      </w:tr>
      <w:tr w:rsidR="00333A1A">
        <w:trPr>
          <w:trHeight w:val="300"/>
        </w:trPr>
        <w:tc>
          <w:tcPr>
            <w:tcW w:w="2820" w:type="dxa"/>
            <w:tcBorders>
              <w:top w:val="single" w:sz="4" w:space="0" w:color="auto"/>
              <w:left w:val="single" w:sz="4" w:space="0" w:color="auto"/>
              <w:bottom w:val="single" w:sz="4" w:space="0" w:color="auto"/>
              <w:right w:val="nil"/>
            </w:tcBorders>
            <w:shd w:val="clear" w:color="000000" w:fill="9BBB59"/>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2 - 8 000 EUR</w:t>
            </w:r>
          </w:p>
        </w:tc>
        <w:tc>
          <w:tcPr>
            <w:tcW w:w="146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37%</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62%</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53%</w:t>
            </w:r>
          </w:p>
        </w:tc>
        <w:tc>
          <w:tcPr>
            <w:tcW w:w="1460" w:type="dxa"/>
            <w:tcBorders>
              <w:top w:val="single" w:sz="4" w:space="0" w:color="auto"/>
              <w:left w:val="nil"/>
              <w:bottom w:val="single" w:sz="4" w:space="0" w:color="auto"/>
              <w:right w:val="single" w:sz="4" w:space="0" w:color="auto"/>
            </w:tcBorders>
            <w:shd w:val="clear" w:color="000000" w:fill="9BBB59"/>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47%</w:t>
            </w:r>
          </w:p>
        </w:tc>
      </w:tr>
      <w:tr w:rsidR="00333A1A">
        <w:trPr>
          <w:trHeight w:val="280"/>
        </w:trPr>
        <w:tc>
          <w:tcPr>
            <w:tcW w:w="2820" w:type="dxa"/>
            <w:tcBorders>
              <w:top w:val="single" w:sz="4" w:space="0" w:color="auto"/>
              <w:left w:val="single" w:sz="4" w:space="0" w:color="auto"/>
              <w:bottom w:val="single" w:sz="4" w:space="0" w:color="auto"/>
              <w:right w:val="nil"/>
            </w:tcBorders>
            <w:shd w:val="clear" w:color="000000" w:fill="9BBB59"/>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8 - 25 000 EUR</w:t>
            </w:r>
          </w:p>
        </w:tc>
        <w:tc>
          <w:tcPr>
            <w:tcW w:w="146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31%</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22%</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23%</w:t>
            </w:r>
          </w:p>
        </w:tc>
        <w:tc>
          <w:tcPr>
            <w:tcW w:w="1460" w:type="dxa"/>
            <w:tcBorders>
              <w:top w:val="single" w:sz="4" w:space="0" w:color="auto"/>
              <w:left w:val="nil"/>
              <w:bottom w:val="single" w:sz="4" w:space="0" w:color="auto"/>
              <w:right w:val="single" w:sz="4" w:space="0" w:color="auto"/>
            </w:tcBorders>
            <w:shd w:val="clear" w:color="000000" w:fill="9BBB59"/>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23%</w:t>
            </w:r>
          </w:p>
        </w:tc>
      </w:tr>
      <w:tr w:rsidR="00333A1A">
        <w:trPr>
          <w:trHeight w:val="300"/>
        </w:trPr>
        <w:tc>
          <w:tcPr>
            <w:tcW w:w="2820" w:type="dxa"/>
            <w:tcBorders>
              <w:top w:val="single" w:sz="4" w:space="0" w:color="auto"/>
              <w:left w:val="single" w:sz="4" w:space="0" w:color="auto"/>
              <w:bottom w:val="single" w:sz="4" w:space="0" w:color="auto"/>
              <w:right w:val="nil"/>
            </w:tcBorders>
            <w:shd w:val="clear" w:color="000000" w:fill="9BBB59"/>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25 - 100 000 EUR</w:t>
            </w:r>
          </w:p>
        </w:tc>
        <w:tc>
          <w:tcPr>
            <w:tcW w:w="146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20%</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12%</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16%</w:t>
            </w:r>
          </w:p>
        </w:tc>
        <w:tc>
          <w:tcPr>
            <w:tcW w:w="1460" w:type="dxa"/>
            <w:tcBorders>
              <w:top w:val="single" w:sz="4" w:space="0" w:color="auto"/>
              <w:left w:val="nil"/>
              <w:bottom w:val="single" w:sz="4" w:space="0" w:color="auto"/>
              <w:right w:val="single" w:sz="4" w:space="0" w:color="auto"/>
            </w:tcBorders>
            <w:shd w:val="clear" w:color="000000" w:fill="9BBB59"/>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21%</w:t>
            </w:r>
          </w:p>
        </w:tc>
      </w:tr>
      <w:tr w:rsidR="00333A1A">
        <w:trPr>
          <w:trHeight w:val="300"/>
        </w:trPr>
        <w:tc>
          <w:tcPr>
            <w:tcW w:w="2820" w:type="dxa"/>
            <w:tcBorders>
              <w:top w:val="single" w:sz="4" w:space="0" w:color="auto"/>
              <w:left w:val="single" w:sz="4" w:space="0" w:color="auto"/>
              <w:bottom w:val="single" w:sz="4" w:space="0" w:color="auto"/>
              <w:right w:val="nil"/>
            </w:tcBorders>
            <w:shd w:val="clear" w:color="000000" w:fill="9BBB59"/>
            <w:noWrap/>
            <w:vAlign w:val="bottom"/>
            <w:hideMark/>
          </w:tcPr>
          <w:p w:rsidR="00333A1A" w:rsidRDefault="003D29C9">
            <w:pPr>
              <w:keepNext/>
              <w:keepLines/>
              <w:spacing w:after="0" w:line="240" w:lineRule="auto"/>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&gt; 100 000 EUR</w:t>
            </w:r>
          </w:p>
        </w:tc>
        <w:tc>
          <w:tcPr>
            <w:tcW w:w="146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12%</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5%</w:t>
            </w:r>
          </w:p>
        </w:tc>
        <w:tc>
          <w:tcPr>
            <w:tcW w:w="1460" w:type="dxa"/>
            <w:tcBorders>
              <w:top w:val="single" w:sz="4" w:space="0" w:color="auto"/>
              <w:left w:val="nil"/>
              <w:bottom w:val="single" w:sz="4" w:space="0" w:color="auto"/>
              <w:right w:val="single" w:sz="4" w:space="0" w:color="auto"/>
            </w:tcBorders>
            <w:shd w:val="clear" w:color="000000" w:fill="9BBB59"/>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8%</w:t>
            </w:r>
          </w:p>
        </w:tc>
        <w:tc>
          <w:tcPr>
            <w:tcW w:w="1460" w:type="dxa"/>
            <w:tcBorders>
              <w:top w:val="single" w:sz="4" w:space="0" w:color="auto"/>
              <w:left w:val="nil"/>
              <w:bottom w:val="single" w:sz="4" w:space="0" w:color="auto"/>
              <w:right w:val="single" w:sz="4" w:space="0" w:color="auto"/>
            </w:tcBorders>
            <w:shd w:val="clear" w:color="000000" w:fill="9BBB59"/>
            <w:vAlign w:val="bottom"/>
          </w:tcPr>
          <w:p w:rsidR="00333A1A" w:rsidRDefault="003D29C9">
            <w:pPr>
              <w:keepNext/>
              <w:keepLines/>
              <w:spacing w:after="0" w:line="240" w:lineRule="auto"/>
              <w:jc w:val="right"/>
              <w:rPr>
                <w:rFonts w:ascii="Times New Roman" w:eastAsia="Times New Roman" w:hAnsi="Times New Roman" w:cs="Times New Roman"/>
                <w:noProof/>
                <w:color w:val="FFFFFF"/>
                <w:sz w:val="20"/>
                <w:szCs w:val="20"/>
                <w:lang w:val="fr-BE" w:eastAsia="fr-FR"/>
              </w:rPr>
            </w:pPr>
            <w:r>
              <w:rPr>
                <w:rFonts w:ascii="Times New Roman" w:eastAsia="Times New Roman" w:hAnsi="Times New Roman" w:cs="Times New Roman"/>
                <w:noProof/>
                <w:color w:val="FFFFFF"/>
                <w:sz w:val="20"/>
                <w:szCs w:val="20"/>
                <w:lang w:val="fr-BE" w:eastAsia="fr-FR"/>
              </w:rPr>
              <w:t>9%</w:t>
            </w:r>
          </w:p>
        </w:tc>
      </w:tr>
    </w:tbl>
    <w:p w:rsidR="00333A1A" w:rsidRDefault="003D29C9">
      <w:pPr>
        <w:spacing w:after="240" w:line="240" w:lineRule="auto"/>
        <w:jc w:val="both"/>
        <w:rPr>
          <w:rFonts w:ascii="Times New Roman" w:hAnsi="Times New Roman" w:cs="Times New Roman"/>
          <w:noProof/>
          <w:sz w:val="16"/>
          <w:szCs w:val="16"/>
        </w:rPr>
      </w:pPr>
      <w:r>
        <w:rPr>
          <w:rFonts w:ascii="Times New Roman" w:hAnsi="Times New Roman" w:cs="Times New Roman"/>
          <w:noProof/>
          <w:sz w:val="16"/>
          <w:szCs w:val="16"/>
        </w:rPr>
        <w:t xml:space="preserve">Source: JRC, IFM-CAP </w:t>
      </w:r>
    </w:p>
    <w:p w:rsidR="00333A1A" w:rsidRDefault="003D29C9">
      <w:pPr>
        <w:pStyle w:val="Text1"/>
        <w:ind w:left="0"/>
        <w:rPr>
          <w:noProof/>
        </w:rPr>
      </w:pPr>
      <w:r>
        <w:rPr>
          <w:noProof/>
        </w:rPr>
        <w:t>The small farmer scheme, which was introduced in the last reform as a simplified way to grant direct payments to smaller beneficiaries is not retained in the options because it is simpler for beneficiaries (thanks to the greening exemption notably) but not</w:t>
      </w:r>
      <w:r>
        <w:rPr>
          <w:noProof/>
        </w:rPr>
        <w:t xml:space="preserve"> for the administrations. </w:t>
      </w:r>
    </w:p>
    <w:p w:rsidR="00333A1A" w:rsidRDefault="003D29C9">
      <w:pPr>
        <w:pStyle w:val="Heading3"/>
        <w:rPr>
          <w:noProof/>
        </w:rPr>
      </w:pPr>
      <w:r>
        <w:rPr>
          <w:noProof/>
        </w:rPr>
        <w:t>Cope with price volatility and improve risk management</w:t>
      </w:r>
    </w:p>
    <w:p w:rsidR="00333A1A" w:rsidRDefault="003D29C9">
      <w:pPr>
        <w:pStyle w:val="Text1"/>
        <w:ind w:left="0"/>
        <w:rPr>
          <w:noProof/>
        </w:rPr>
      </w:pPr>
      <w:r>
        <w:rPr>
          <w:noProof/>
        </w:rPr>
        <w:t xml:space="preserve">The 2014 US Farm Bill introduced a system with </w:t>
      </w:r>
      <w:r>
        <w:rPr>
          <w:b/>
          <w:noProof/>
        </w:rPr>
        <w:t>risk-based</w:t>
      </w:r>
      <w:r>
        <w:rPr>
          <w:noProof/>
        </w:rPr>
        <w:t xml:space="preserve"> (countercyclical)</w:t>
      </w:r>
      <w:r>
        <w:rPr>
          <w:b/>
          <w:noProof/>
        </w:rPr>
        <w:t xml:space="preserve"> payments</w:t>
      </w:r>
      <w:r>
        <w:rPr>
          <w:noProof/>
        </w:rPr>
        <w:t>. In the public debate this system was sometimes referred to as being more adequate compar</w:t>
      </w:r>
      <w:r>
        <w:rPr>
          <w:noProof/>
        </w:rPr>
        <w:t>ed to the EU system with direct payments complemented by risk management schemes. In order to evaluate its impact, an analysis with the Aglink-Cosimo model</w:t>
      </w:r>
      <w:r>
        <w:rPr>
          <w:rStyle w:val="FootnoteReference"/>
          <w:noProof/>
          <w:szCs w:val="24"/>
        </w:rPr>
        <w:footnoteReference w:id="21"/>
      </w:r>
      <w:r>
        <w:rPr>
          <w:noProof/>
        </w:rPr>
        <w:t xml:space="preserve"> was performed assuming the CAP to adopt some of the programs of the US Farm Bill 2014. For a compre</w:t>
      </w:r>
      <w:r>
        <w:rPr>
          <w:noProof/>
        </w:rPr>
        <w:t>hensive description of the US Farm Bill 2014 we refer to the USDA Farm Service Agency</w:t>
      </w:r>
      <w:r>
        <w:rPr>
          <w:rStyle w:val="FootnoteReference"/>
          <w:noProof/>
          <w:szCs w:val="24"/>
        </w:rPr>
        <w:footnoteReference w:id="22"/>
      </w:r>
      <w:r>
        <w:rPr>
          <w:noProof/>
        </w:rPr>
        <w:t>. Specifically, two of the US Farm Bill 2014 programs were considered: the acreage risk coverage (ARC), which is substantially a revenue-risk insurance, and the price los</w:t>
      </w:r>
      <w:r>
        <w:rPr>
          <w:noProof/>
        </w:rPr>
        <w:t>s coverage (PLC), which is an insurance against prices dropping below certain levels. The analysis solely focused on maize, barley and soft wheat. For the PLC program, payments are triggered when the market price is lower than an arbitrarily chosen referen</w:t>
      </w:r>
      <w:r>
        <w:rPr>
          <w:noProof/>
        </w:rPr>
        <w:t>ce price level. For the ARC program, payments are triggered when the farm revenue goes below a specific revenue of reference, which in the US can be farm- or county-specific.</w:t>
      </w:r>
    </w:p>
    <w:p w:rsidR="00333A1A" w:rsidRDefault="003D29C9">
      <w:pPr>
        <w:pStyle w:val="Caption"/>
        <w:keepNext/>
        <w:rPr>
          <w:rFonts w:ascii="Times New Roman" w:hAnsi="Times New Roman" w:cs="Times New Roman"/>
          <w:bCs w:val="0"/>
          <w:noProof/>
          <w:color w:val="auto"/>
          <w:sz w:val="22"/>
          <w:szCs w:val="20"/>
        </w:rPr>
      </w:pPr>
      <w:r>
        <w:rPr>
          <w:rFonts w:ascii="Times New Roman" w:hAnsi="Times New Roman" w:cs="Times New Roman"/>
          <w:bCs w:val="0"/>
          <w:noProof/>
          <w:color w:val="auto"/>
          <w:sz w:val="22"/>
          <w:szCs w:val="20"/>
        </w:rPr>
        <w:t xml:space="preserve">Graph </w:t>
      </w:r>
      <w:r>
        <w:rPr>
          <w:rFonts w:ascii="Times New Roman" w:hAnsi="Times New Roman" w:cs="Times New Roman"/>
          <w:bCs w:val="0"/>
          <w:noProof/>
          <w:color w:val="auto"/>
          <w:sz w:val="22"/>
          <w:szCs w:val="20"/>
        </w:rPr>
        <w:fldChar w:fldCharType="begin"/>
      </w:r>
      <w:r>
        <w:rPr>
          <w:rFonts w:ascii="Times New Roman" w:hAnsi="Times New Roman" w:cs="Times New Roman"/>
          <w:bCs w:val="0"/>
          <w:noProof/>
          <w:color w:val="auto"/>
          <w:sz w:val="22"/>
          <w:szCs w:val="20"/>
        </w:rPr>
        <w:instrText xml:space="preserve"> STYLEREF 1 \s </w:instrText>
      </w:r>
      <w:r>
        <w:rPr>
          <w:rFonts w:ascii="Times New Roman" w:hAnsi="Times New Roman" w:cs="Times New Roman"/>
          <w:bCs w:val="0"/>
          <w:noProof/>
          <w:color w:val="auto"/>
          <w:sz w:val="22"/>
          <w:szCs w:val="20"/>
        </w:rPr>
        <w:fldChar w:fldCharType="separate"/>
      </w:r>
      <w:r>
        <w:rPr>
          <w:rFonts w:ascii="Times New Roman" w:hAnsi="Times New Roman" w:cs="Times New Roman"/>
          <w:bCs w:val="0"/>
          <w:noProof/>
          <w:color w:val="auto"/>
          <w:sz w:val="22"/>
          <w:szCs w:val="20"/>
        </w:rPr>
        <w:t>2</w:t>
      </w:r>
      <w:r>
        <w:rPr>
          <w:rFonts w:ascii="Times New Roman" w:hAnsi="Times New Roman" w:cs="Times New Roman"/>
          <w:bCs w:val="0"/>
          <w:noProof/>
          <w:color w:val="auto"/>
          <w:sz w:val="22"/>
          <w:szCs w:val="20"/>
        </w:rPr>
        <w:fldChar w:fldCharType="end"/>
      </w:r>
      <w:r>
        <w:rPr>
          <w:rFonts w:ascii="Times New Roman" w:hAnsi="Times New Roman" w:cs="Times New Roman"/>
          <w:bCs w:val="0"/>
          <w:noProof/>
          <w:color w:val="auto"/>
          <w:sz w:val="22"/>
          <w:szCs w:val="20"/>
        </w:rPr>
        <w:t xml:space="preserve">.10 Deterministic results for baseline and three </w:t>
      </w:r>
      <w:r>
        <w:rPr>
          <w:rFonts w:ascii="Times New Roman" w:hAnsi="Times New Roman" w:cs="Times New Roman"/>
          <w:bCs w:val="0"/>
          <w:noProof/>
          <w:color w:val="auto"/>
          <w:sz w:val="22"/>
          <w:szCs w:val="20"/>
        </w:rPr>
        <w:t>scenarios for EU total ARC and PLC payments (in 1 000 EUR)</w:t>
      </w:r>
    </w:p>
    <w:p w:rsidR="00333A1A" w:rsidRDefault="003D29C9">
      <w:pPr>
        <w:pStyle w:val="Text1"/>
        <w:ind w:left="0"/>
        <w:rPr>
          <w:noProof/>
          <w:sz w:val="18"/>
        </w:rPr>
      </w:pPr>
      <w:r>
        <w:rPr>
          <w:noProof/>
          <w:lang w:eastAsia="en-GB"/>
        </w:rPr>
        <w:drawing>
          <wp:inline distT="0" distB="0" distL="0" distR="0" wp14:anchorId="6F5BCB5E" wp14:editId="2F95DA39">
            <wp:extent cx="5418161" cy="2677822"/>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19846" cy="2678655"/>
                    </a:xfrm>
                    <a:prstGeom prst="rect">
                      <a:avLst/>
                    </a:prstGeom>
                  </pic:spPr>
                </pic:pic>
              </a:graphicData>
            </a:graphic>
          </wp:inline>
        </w:drawing>
      </w:r>
      <w:r>
        <w:rPr>
          <w:noProof/>
          <w:sz w:val="18"/>
        </w:rPr>
        <w:t xml:space="preserve">Source: JRC, AGLINK-COSIMO </w:t>
      </w:r>
    </w:p>
    <w:p w:rsidR="00333A1A" w:rsidRDefault="003D29C9">
      <w:pPr>
        <w:pStyle w:val="Text1"/>
        <w:ind w:left="0"/>
        <w:rPr>
          <w:noProof/>
        </w:rPr>
      </w:pPr>
      <w:r>
        <w:rPr>
          <w:noProof/>
        </w:rPr>
        <w:t>The analysis shows ARC payments in the order of approximately half a billion € in the worst years for the average set of reference prices. For the highest set of refere</w:t>
      </w:r>
      <w:r>
        <w:rPr>
          <w:noProof/>
        </w:rPr>
        <w:t>nce price levels the payments are in all 10 years above 1 billion €. A similar picture but with much higher absolute levels in monetary terms is shown for the PLC program payments at the EU-wide level. In this case there is a one-to-one correspondence betw</w:t>
      </w:r>
      <w:r>
        <w:rPr>
          <w:noProof/>
        </w:rPr>
        <w:t xml:space="preserve">een market prices being below the reference levels and the payments. Every time the market price is below the reference level, the PLC payments are triggered. This is not the same as in the ARC payments, where there is a simulated distribution of farmers' </w:t>
      </w:r>
      <w:r>
        <w:rPr>
          <w:noProof/>
        </w:rPr>
        <w:t>revenues and the benchmark revenue to trigger payments is the multiplication of Olympic averages of market price and yield. No PLC payments are expected if the low reference prices are chosen and medium reference prices trigger payments up to 5 billion € i</w:t>
      </w:r>
      <w:r>
        <w:rPr>
          <w:noProof/>
        </w:rPr>
        <w:t>n the year 2019 when lowest prices are projected in the Outlook for the three crops considered under the ARC and PLC programs. High reference prices trigger PLC payments of 14 billion € for the 3 crops considered. For the ARC and PLC combined, with high re</w:t>
      </w:r>
      <w:r>
        <w:rPr>
          <w:noProof/>
        </w:rPr>
        <w:t>ference prices, payments in the worst case scenario exceed 15 billion €.</w:t>
      </w:r>
    </w:p>
    <w:p w:rsidR="00333A1A" w:rsidRDefault="003D29C9">
      <w:pPr>
        <w:pStyle w:val="Text1"/>
        <w:ind w:left="0"/>
        <w:rPr>
          <w:noProof/>
        </w:rPr>
      </w:pPr>
      <w:r>
        <w:rPr>
          <w:noProof/>
        </w:rPr>
        <w:t xml:space="preserve">The main conclusions are hence that a system based on risk-based payments creates significant </w:t>
      </w:r>
      <w:r>
        <w:rPr>
          <w:b/>
          <w:noProof/>
        </w:rPr>
        <w:t>budget uncertainty</w:t>
      </w:r>
      <w:r>
        <w:rPr>
          <w:noProof/>
        </w:rPr>
        <w:t xml:space="preserve"> and presents a real danger for </w:t>
      </w:r>
      <w:r>
        <w:rPr>
          <w:b/>
          <w:noProof/>
        </w:rPr>
        <w:t>budget overshoot</w:t>
      </w:r>
      <w:r>
        <w:rPr>
          <w:noProof/>
        </w:rPr>
        <w:t>, depending on the chos</w:t>
      </w:r>
      <w:r>
        <w:rPr>
          <w:noProof/>
        </w:rPr>
        <w:t>en reference prices in relation to market developments. Note that the presented analysis only covers three crops. Furthermore, a system based on risk-based payments also does not sufficiently transmit market signals to farmers, as downward price pressure i</w:t>
      </w:r>
      <w:r>
        <w:rPr>
          <w:noProof/>
        </w:rPr>
        <w:t xml:space="preserve">s cushioned, removing the incentive to adapt production to changing demand and can lead to overproduction.  </w:t>
      </w:r>
    </w:p>
    <w:p w:rsidR="00333A1A" w:rsidRDefault="003D29C9">
      <w:pPr>
        <w:pStyle w:val="Text1"/>
        <w:ind w:left="0"/>
        <w:rPr>
          <w:noProof/>
        </w:rPr>
      </w:pPr>
      <w:r>
        <w:rPr>
          <w:noProof/>
        </w:rPr>
        <w:t>The market orientation of the CAP has significantly increased over time and at the same time the exposure to world markets. In a context of climate</w:t>
      </w:r>
      <w:r>
        <w:rPr>
          <w:noProof/>
        </w:rPr>
        <w:t xml:space="preserve"> change and higher occurrence of extreme events, farmers’ exposure to yield, price and income variability will increase. Thus, the proposed increase in financial means dedicated to </w:t>
      </w:r>
      <w:r>
        <w:rPr>
          <w:b/>
          <w:noProof/>
        </w:rPr>
        <w:t>risk management tools</w:t>
      </w:r>
      <w:r>
        <w:rPr>
          <w:noProof/>
        </w:rPr>
        <w:t xml:space="preserve"> in option 3a (10% of pillar I</w:t>
      </w:r>
      <w:r>
        <w:rPr>
          <w:rStyle w:val="FootnoteReference"/>
          <w:noProof/>
          <w:szCs w:val="24"/>
        </w:rPr>
        <w:footnoteReference w:id="23"/>
      </w:r>
      <w:r>
        <w:rPr>
          <w:noProof/>
        </w:rPr>
        <w:t xml:space="preserve">) and options 3b and 4 </w:t>
      </w:r>
      <w:r>
        <w:rPr>
          <w:noProof/>
        </w:rPr>
        <w:t>(5% of pillar I), while option 5 remains status quo. Currently the uptake of risk management tools is rather low</w:t>
      </w:r>
      <w:r>
        <w:rPr>
          <w:rStyle w:val="FootnoteReference"/>
          <w:noProof/>
          <w:szCs w:val="24"/>
        </w:rPr>
        <w:footnoteReference w:id="24"/>
      </w:r>
      <w:r>
        <w:rPr>
          <w:noProof/>
        </w:rPr>
        <w:t xml:space="preserve"> also because farmers count on direct payments to buffer income changes, but simulated budget cuts and the shift in priorities towards less inc</w:t>
      </w:r>
      <w:r>
        <w:rPr>
          <w:noProof/>
        </w:rPr>
        <w:t>ome support (option 3) might increase farmers’ willingness to adopt these tools.</w:t>
      </w:r>
    </w:p>
    <w:p w:rsidR="00333A1A" w:rsidRDefault="003D29C9">
      <w:pPr>
        <w:pStyle w:val="Text1"/>
        <w:ind w:left="0"/>
        <w:rPr>
          <w:noProof/>
        </w:rPr>
      </w:pPr>
      <w:r>
        <w:rPr>
          <w:noProof/>
        </w:rPr>
        <w:t>Based on FADN data, between 2007 and 2015, on average annually 30% farmers had a 20% or larger drop in sector income compared to the three previous years and 25% of EU farmers</w:t>
      </w:r>
      <w:r>
        <w:rPr>
          <w:noProof/>
        </w:rPr>
        <w:t xml:space="preserve"> had a 30% drop in gross farm income (see Annex 5.7). Would an income stabilisation tool be available for all farmers, an EU budget between 13 and 15 billion EUR would have been necessary annually to compensate farmers. It is far more than the budget fores</w:t>
      </w:r>
      <w:r>
        <w:rPr>
          <w:noProof/>
        </w:rPr>
        <w:t xml:space="preserve">een in options 3 and 4. Anyhow, the level of organisation required to set up a mutual fund to manage an </w:t>
      </w:r>
      <w:r>
        <w:rPr>
          <w:b/>
          <w:noProof/>
        </w:rPr>
        <w:t>IST</w:t>
      </w:r>
      <w:r>
        <w:rPr>
          <w:noProof/>
        </w:rPr>
        <w:t xml:space="preserve"> imply that most probably only larger farmers would opt for that solution (also because for smaller farmers the main preoccupation might be their inc</w:t>
      </w:r>
      <w:r>
        <w:rPr>
          <w:noProof/>
        </w:rPr>
        <w:t>ome level – better addressed with direct payments – rather than its variability). If only farmers with an economic size above 50 000 EUR would opt for an IST, the budget need could be almost divided by two. This would require nevertheless a larger budget t</w:t>
      </w:r>
      <w:r>
        <w:rPr>
          <w:noProof/>
        </w:rPr>
        <w:t>han available.</w:t>
      </w:r>
    </w:p>
    <w:p w:rsidR="00333A1A" w:rsidRDefault="003D29C9">
      <w:pPr>
        <w:pStyle w:val="Text1"/>
        <w:ind w:left="0"/>
        <w:rPr>
          <w:noProof/>
        </w:rPr>
      </w:pPr>
      <w:r>
        <w:rPr>
          <w:noProof/>
        </w:rPr>
        <w:t xml:space="preserve">MS are given the possibility to set up the IST for </w:t>
      </w:r>
      <w:r>
        <w:rPr>
          <w:b/>
          <w:noProof/>
        </w:rPr>
        <w:t>specific</w:t>
      </w:r>
      <w:r>
        <w:rPr>
          <w:noProof/>
        </w:rPr>
        <w:t xml:space="preserve"> sectors, in the framework of the strategic plan. This provides an opportunity for MS to target sectors facing some years huge drops in income and for which other risk management too</w:t>
      </w:r>
      <w:r>
        <w:rPr>
          <w:noProof/>
        </w:rPr>
        <w:t xml:space="preserve">ls are less available. For example, risk management tools are less developed in the livestock sector than for crops. Crop futures are well functioning and available to farmers but also to insurers to cover/hedge their risks, thus the wider availability of </w:t>
      </w:r>
      <w:r>
        <w:rPr>
          <w:noProof/>
        </w:rPr>
        <w:t>insurance products (which can be supported with EU funds too). By contrast, in the dairy sector, the volume traded on futures is still small (though increasing</w:t>
      </w:r>
      <w:r>
        <w:rPr>
          <w:rStyle w:val="FootnoteReference"/>
          <w:noProof/>
          <w:szCs w:val="24"/>
        </w:rPr>
        <w:footnoteReference w:id="25"/>
      </w:r>
      <w:r>
        <w:rPr>
          <w:noProof/>
        </w:rPr>
        <w:t>) and an IST could be of interest to farmers to protect themselves against market uncertainty. I</w:t>
      </w:r>
      <w:r>
        <w:rPr>
          <w:noProof/>
        </w:rPr>
        <w:t>n other sectors, where the first issue in income level (beef and sheep for example), direct payments (included coupled support) can be best suited to support farmers.</w:t>
      </w:r>
    </w:p>
    <w:p w:rsidR="00333A1A" w:rsidRDefault="003D29C9">
      <w:pPr>
        <w:keepNext/>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 xml:space="preserve">.9 </w:t>
      </w:r>
      <w:r>
        <w:rPr>
          <w:rFonts w:ascii="Times New Roman" w:hAnsi="Times New Roman" w:cs="Times New Roman"/>
          <w:b/>
          <w:noProof/>
          <w:szCs w:val="24"/>
        </w:rPr>
        <w:t>Estimation of annual compensation needs for an IST in the EU</w:t>
      </w:r>
    </w:p>
    <w:tbl>
      <w:tblPr>
        <w:tblW w:w="5000" w:type="pct"/>
        <w:tblLook w:val="04A0" w:firstRow="1" w:lastRow="0" w:firstColumn="1" w:lastColumn="0" w:noHBand="0" w:noVBand="1"/>
      </w:tblPr>
      <w:tblGrid>
        <w:gridCol w:w="3937"/>
        <w:gridCol w:w="2408"/>
        <w:gridCol w:w="2489"/>
      </w:tblGrid>
      <w:tr w:rsidR="00333A1A">
        <w:trPr>
          <w:trHeight w:val="288"/>
        </w:trPr>
        <w:tc>
          <w:tcPr>
            <w:tcW w:w="2228" w:type="pct"/>
            <w:tcBorders>
              <w:top w:val="nil"/>
              <w:left w:val="nil"/>
              <w:bottom w:val="nil"/>
              <w:right w:val="nil"/>
            </w:tcBorders>
            <w:shd w:val="clear" w:color="auto" w:fill="auto"/>
            <w:noWrap/>
            <w:vAlign w:val="bottom"/>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363" w:type="pct"/>
            <w:tcBorders>
              <w:top w:val="nil"/>
              <w:left w:val="nil"/>
              <w:bottom w:val="nil"/>
              <w:right w:val="nil"/>
            </w:tcBorders>
            <w:shd w:val="clear" w:color="auto" w:fill="auto"/>
            <w:noWrap/>
            <w:vAlign w:val="bottom"/>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MEUR</w:t>
            </w:r>
          </w:p>
        </w:tc>
      </w:tr>
      <w:tr w:rsidR="00333A1A">
        <w:trPr>
          <w:trHeight w:val="288"/>
        </w:trPr>
        <w:tc>
          <w:tcPr>
            <w:tcW w:w="2228" w:type="pct"/>
            <w:vMerge w:val="restart"/>
            <w:tcBorders>
              <w:top w:val="single" w:sz="4" w:space="0" w:color="auto"/>
              <w:left w:val="single" w:sz="4" w:space="0" w:color="auto"/>
              <w:bottom w:val="single" w:sz="4" w:space="0" w:color="000000"/>
              <w:right w:val="nil"/>
            </w:tcBorders>
            <w:shd w:val="clear" w:color="auto" w:fill="auto"/>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Envelope made available for risk management tools</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Option 3a</w:t>
            </w:r>
          </w:p>
        </w:tc>
        <w:tc>
          <w:tcPr>
            <w:tcW w:w="1409"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3 400</w:t>
            </w:r>
          </w:p>
        </w:tc>
      </w:tr>
      <w:tr w:rsidR="00333A1A">
        <w:trPr>
          <w:trHeight w:val="288"/>
        </w:trPr>
        <w:tc>
          <w:tcPr>
            <w:tcW w:w="2228" w:type="pct"/>
            <w:vMerge/>
            <w:tcBorders>
              <w:top w:val="single" w:sz="4" w:space="0" w:color="auto"/>
              <w:left w:val="single" w:sz="4" w:space="0" w:color="auto"/>
              <w:bottom w:val="single" w:sz="4" w:space="0" w:color="000000"/>
              <w:right w:val="nil"/>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363" w:type="pct"/>
            <w:tcBorders>
              <w:top w:val="nil"/>
              <w:left w:val="single" w:sz="4" w:space="0" w:color="auto"/>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Option 3b&amp;4</w:t>
            </w:r>
          </w:p>
        </w:tc>
        <w:tc>
          <w:tcPr>
            <w:tcW w:w="1409"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1 700</w:t>
            </w:r>
          </w:p>
        </w:tc>
      </w:tr>
      <w:tr w:rsidR="00333A1A">
        <w:trPr>
          <w:trHeight w:val="288"/>
        </w:trPr>
        <w:tc>
          <w:tcPr>
            <w:tcW w:w="2228" w:type="pct"/>
            <w:vMerge w:val="restart"/>
            <w:tcBorders>
              <w:top w:val="nil"/>
              <w:left w:val="single" w:sz="4" w:space="0" w:color="auto"/>
              <w:bottom w:val="single" w:sz="4" w:space="0" w:color="auto"/>
              <w:right w:val="nil"/>
            </w:tcBorders>
            <w:shd w:val="clear" w:color="auto" w:fill="auto"/>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EU compensation required if IST for all farmers</w:t>
            </w:r>
          </w:p>
        </w:tc>
        <w:tc>
          <w:tcPr>
            <w:tcW w:w="1363" w:type="pct"/>
            <w:tcBorders>
              <w:top w:val="nil"/>
              <w:left w:val="single" w:sz="4" w:space="0" w:color="auto"/>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Farm income, 30% drop</w:t>
            </w:r>
          </w:p>
        </w:tc>
        <w:tc>
          <w:tcPr>
            <w:tcW w:w="1409"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13 300</w:t>
            </w:r>
          </w:p>
        </w:tc>
      </w:tr>
      <w:tr w:rsidR="00333A1A">
        <w:trPr>
          <w:trHeight w:val="288"/>
        </w:trPr>
        <w:tc>
          <w:tcPr>
            <w:tcW w:w="2228" w:type="pct"/>
            <w:vMerge/>
            <w:tcBorders>
              <w:top w:val="nil"/>
              <w:left w:val="single" w:sz="4" w:space="0" w:color="auto"/>
              <w:bottom w:val="single" w:sz="4" w:space="0" w:color="auto"/>
              <w:right w:val="nil"/>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363" w:type="pct"/>
            <w:tcBorders>
              <w:top w:val="nil"/>
              <w:left w:val="single" w:sz="4" w:space="0" w:color="auto"/>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Sector income, 20% drop</w:t>
            </w:r>
          </w:p>
        </w:tc>
        <w:tc>
          <w:tcPr>
            <w:tcW w:w="1409"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14 900</w:t>
            </w:r>
          </w:p>
        </w:tc>
      </w:tr>
      <w:tr w:rsidR="00333A1A">
        <w:trPr>
          <w:trHeight w:val="525"/>
        </w:trPr>
        <w:tc>
          <w:tcPr>
            <w:tcW w:w="2228" w:type="pct"/>
            <w:tcBorders>
              <w:top w:val="nil"/>
              <w:left w:val="single" w:sz="4" w:space="0" w:color="auto"/>
              <w:bottom w:val="single" w:sz="4" w:space="0" w:color="auto"/>
              <w:right w:val="nil"/>
            </w:tcBorders>
            <w:shd w:val="clear" w:color="auto" w:fill="auto"/>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Compensation required if IST for larger farmers (&gt;</w:t>
            </w:r>
            <w:r>
              <w:rPr>
                <w:rFonts w:ascii="Times New Roman" w:eastAsia="Times New Roman" w:hAnsi="Times New Roman" w:cs="Times New Roman"/>
                <w:noProof/>
                <w:color w:val="000000"/>
                <w:sz w:val="20"/>
                <w:szCs w:val="20"/>
                <w:lang w:eastAsia="en-GB"/>
              </w:rPr>
              <w:t xml:space="preserve"> 50 000 EUR of size)</w:t>
            </w:r>
          </w:p>
        </w:tc>
        <w:tc>
          <w:tcPr>
            <w:tcW w:w="1363" w:type="pct"/>
            <w:tcBorders>
              <w:top w:val="nil"/>
              <w:left w:val="single" w:sz="4" w:space="0" w:color="auto"/>
              <w:bottom w:val="single" w:sz="4" w:space="0" w:color="auto"/>
              <w:right w:val="single" w:sz="4" w:space="0" w:color="auto"/>
            </w:tcBorders>
            <w:shd w:val="clear" w:color="auto" w:fill="auto"/>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Farm income, 30% drop</w:t>
            </w:r>
          </w:p>
        </w:tc>
        <w:tc>
          <w:tcPr>
            <w:tcW w:w="1409" w:type="pct"/>
            <w:tcBorders>
              <w:top w:val="nil"/>
              <w:left w:val="nil"/>
              <w:bottom w:val="single" w:sz="4" w:space="0" w:color="auto"/>
              <w:right w:val="single" w:sz="4" w:space="0" w:color="auto"/>
            </w:tcBorders>
            <w:shd w:val="clear" w:color="auto" w:fill="auto"/>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7 200</w:t>
            </w:r>
          </w:p>
        </w:tc>
      </w:tr>
      <w:tr w:rsidR="00333A1A">
        <w:trPr>
          <w:trHeight w:val="288"/>
        </w:trPr>
        <w:tc>
          <w:tcPr>
            <w:tcW w:w="2228" w:type="pct"/>
            <w:vMerge w:val="restart"/>
            <w:tcBorders>
              <w:top w:val="nil"/>
              <w:left w:val="single" w:sz="4" w:space="0" w:color="auto"/>
              <w:bottom w:val="single" w:sz="4" w:space="0" w:color="auto"/>
              <w:right w:val="single" w:sz="4" w:space="0" w:color="auto"/>
            </w:tcBorders>
            <w:shd w:val="clear" w:color="auto" w:fill="auto"/>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Compensation required if IST for selected sectors (Sector income, 20% drop)</w:t>
            </w:r>
          </w:p>
        </w:tc>
        <w:tc>
          <w:tcPr>
            <w:tcW w:w="1363" w:type="pct"/>
            <w:tcBorders>
              <w:top w:val="nil"/>
              <w:left w:val="nil"/>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Milk</w:t>
            </w:r>
          </w:p>
        </w:tc>
        <w:tc>
          <w:tcPr>
            <w:tcW w:w="1409"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1 300</w:t>
            </w:r>
          </w:p>
        </w:tc>
      </w:tr>
      <w:tr w:rsidR="00333A1A">
        <w:trPr>
          <w:trHeight w:val="288"/>
        </w:trPr>
        <w:tc>
          <w:tcPr>
            <w:tcW w:w="2228" w:type="pct"/>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363"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COP</w:t>
            </w:r>
          </w:p>
        </w:tc>
        <w:tc>
          <w:tcPr>
            <w:tcW w:w="1409"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2 600</w:t>
            </w:r>
          </w:p>
        </w:tc>
      </w:tr>
      <w:tr w:rsidR="00333A1A">
        <w:trPr>
          <w:trHeight w:val="288"/>
        </w:trPr>
        <w:tc>
          <w:tcPr>
            <w:tcW w:w="2228" w:type="pct"/>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363" w:type="pct"/>
            <w:tcBorders>
              <w:top w:val="nil"/>
              <w:left w:val="nil"/>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Sugar beet</w:t>
            </w:r>
          </w:p>
        </w:tc>
        <w:tc>
          <w:tcPr>
            <w:tcW w:w="1409"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200</w:t>
            </w:r>
          </w:p>
        </w:tc>
      </w:tr>
      <w:tr w:rsidR="00333A1A">
        <w:trPr>
          <w:trHeight w:val="288"/>
        </w:trPr>
        <w:tc>
          <w:tcPr>
            <w:tcW w:w="2228" w:type="pct"/>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363" w:type="pct"/>
            <w:tcBorders>
              <w:top w:val="nil"/>
              <w:left w:val="nil"/>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Olive</w:t>
            </w:r>
          </w:p>
        </w:tc>
        <w:tc>
          <w:tcPr>
            <w:tcW w:w="1409"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600</w:t>
            </w:r>
          </w:p>
        </w:tc>
      </w:tr>
      <w:tr w:rsidR="00333A1A">
        <w:trPr>
          <w:trHeight w:val="288"/>
        </w:trPr>
        <w:tc>
          <w:tcPr>
            <w:tcW w:w="2228" w:type="pct"/>
            <w:vMerge/>
            <w:tcBorders>
              <w:top w:val="nil"/>
              <w:left w:val="single" w:sz="4" w:space="0" w:color="auto"/>
              <w:bottom w:val="single" w:sz="4" w:space="0" w:color="auto"/>
              <w:right w:val="single" w:sz="4" w:space="0" w:color="auto"/>
            </w:tcBorders>
            <w:vAlign w:val="center"/>
            <w:hideMark/>
          </w:tcPr>
          <w:p w:rsidR="00333A1A" w:rsidRDefault="00333A1A">
            <w:pPr>
              <w:keepNext/>
              <w:keepLines/>
              <w:spacing w:after="0" w:line="240" w:lineRule="auto"/>
              <w:rPr>
                <w:rFonts w:ascii="Times New Roman" w:eastAsia="Times New Roman" w:hAnsi="Times New Roman" w:cs="Times New Roman"/>
                <w:noProof/>
                <w:color w:val="000000"/>
                <w:sz w:val="20"/>
                <w:szCs w:val="20"/>
                <w:lang w:eastAsia="en-GB"/>
              </w:rPr>
            </w:pPr>
          </w:p>
        </w:tc>
        <w:tc>
          <w:tcPr>
            <w:tcW w:w="1363" w:type="pct"/>
            <w:tcBorders>
              <w:top w:val="nil"/>
              <w:left w:val="nil"/>
              <w:bottom w:val="single" w:sz="4" w:space="0" w:color="auto"/>
              <w:right w:val="single" w:sz="4"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Pig&amp;poultry</w:t>
            </w:r>
          </w:p>
        </w:tc>
        <w:tc>
          <w:tcPr>
            <w:tcW w:w="1409" w:type="pct"/>
            <w:tcBorders>
              <w:top w:val="nil"/>
              <w:left w:val="nil"/>
              <w:bottom w:val="single" w:sz="4" w:space="0" w:color="auto"/>
              <w:right w:val="single" w:sz="4" w:space="0" w:color="auto"/>
            </w:tcBorders>
            <w:shd w:val="clear" w:color="auto" w:fill="auto"/>
            <w:noWrap/>
            <w:vAlign w:val="bottom"/>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1 400</w:t>
            </w:r>
          </w:p>
        </w:tc>
      </w:tr>
    </w:tbl>
    <w:p w:rsidR="00333A1A" w:rsidRDefault="003D29C9">
      <w:pPr>
        <w:spacing w:after="240" w:line="240" w:lineRule="auto"/>
        <w:rPr>
          <w:rFonts w:ascii="Times New Roman" w:hAnsi="Times New Roman" w:cs="Times New Roman"/>
          <w:noProof/>
          <w:sz w:val="16"/>
          <w:szCs w:val="24"/>
        </w:rPr>
      </w:pPr>
      <w:r>
        <w:rPr>
          <w:rFonts w:ascii="Times New Roman" w:hAnsi="Times New Roman" w:cs="Times New Roman"/>
          <w:noProof/>
          <w:sz w:val="16"/>
          <w:szCs w:val="24"/>
        </w:rPr>
        <w:t>Source: DG AGRI, AidsK, FADN data</w:t>
      </w:r>
    </w:p>
    <w:p w:rsidR="00333A1A" w:rsidRDefault="003D29C9">
      <w:pPr>
        <w:pStyle w:val="Heading3"/>
        <w:rPr>
          <w:noProof/>
        </w:rPr>
      </w:pPr>
      <w:r>
        <w:rPr>
          <w:noProof/>
        </w:rPr>
        <w:t>Competitiveness</w:t>
      </w:r>
    </w:p>
    <w:p w:rsidR="00333A1A" w:rsidRDefault="003D29C9">
      <w:pPr>
        <w:pStyle w:val="Text1"/>
        <w:spacing w:after="120"/>
        <w:ind w:left="0"/>
        <w:rPr>
          <w:noProof/>
        </w:rPr>
      </w:pPr>
      <w:r>
        <w:rPr>
          <w:noProof/>
        </w:rPr>
        <w:t>The options assessed here imply little change in the competitive position of the EU in terms of price competitiveness. Farmers opt for reducing production in view of lower expected returns and higher costs and the increase in production prices is very smal</w:t>
      </w:r>
      <w:r>
        <w:rPr>
          <w:noProof/>
        </w:rPr>
        <w:t xml:space="preserve">l. Therefore in all options, the relationship between costs and revenue remains more or less constant and farmers reduce their livestock (especially cattle, see above) and cereal area (grain maize and wheat). </w:t>
      </w:r>
    </w:p>
    <w:p w:rsidR="00333A1A" w:rsidRDefault="003D29C9">
      <w:pPr>
        <w:pStyle w:val="Text1"/>
        <w:ind w:left="0"/>
        <w:rPr>
          <w:noProof/>
        </w:rPr>
      </w:pPr>
      <w:r>
        <w:rPr>
          <w:noProof/>
        </w:rPr>
        <w:t>Therefore a deterioration of the EU trade bala</w:t>
      </w:r>
      <w:r>
        <w:rPr>
          <w:noProof/>
        </w:rPr>
        <w:t xml:space="preserve">nce is to be expected, with increased imports of beef, sheep and poultry meat as well maize in almost all options and reduced exports of beef and wheat mainly. The trade of dairy products is not affected. The EU trade balance reduces most in option 4a and </w:t>
      </w:r>
      <w:r>
        <w:rPr>
          <w:noProof/>
        </w:rPr>
        <w:t xml:space="preserve">3a, and then 3b and the lowest decline is simulated in options 4b and 5. </w:t>
      </w:r>
    </w:p>
    <w:p w:rsidR="00333A1A" w:rsidRDefault="003D29C9">
      <w:pPr>
        <w:keepNext/>
        <w:spacing w:after="240" w:line="240" w:lineRule="auto"/>
        <w:rPr>
          <w:rFonts w:ascii="Times New Roman" w:hAnsi="Times New Roman" w:cs="Times New Roman"/>
          <w:noProof/>
          <w:sz w:val="24"/>
          <w:szCs w:val="24"/>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 xml:space="preserve">.10 </w:t>
      </w:r>
      <w:r>
        <w:rPr>
          <w:rFonts w:ascii="Times New Roman" w:hAnsi="Times New Roman" w:cs="Times New Roman"/>
          <w:b/>
          <w:noProof/>
          <w:szCs w:val="24"/>
        </w:rPr>
        <w:t>Changes in trade by main commodity</w:t>
      </w:r>
    </w:p>
    <w:tbl>
      <w:tblPr>
        <w:tblStyle w:val="TableGrid"/>
        <w:tblW w:w="0" w:type="auto"/>
        <w:tblLook w:val="04A0" w:firstRow="1" w:lastRow="0" w:firstColumn="1" w:lastColumn="0" w:noHBand="0" w:noVBand="1"/>
      </w:tblPr>
      <w:tblGrid>
        <w:gridCol w:w="396"/>
        <w:gridCol w:w="823"/>
        <w:gridCol w:w="857"/>
        <w:gridCol w:w="840"/>
        <w:gridCol w:w="823"/>
        <w:gridCol w:w="857"/>
        <w:gridCol w:w="840"/>
        <w:gridCol w:w="823"/>
        <w:gridCol w:w="857"/>
        <w:gridCol w:w="840"/>
        <w:gridCol w:w="846"/>
      </w:tblGrid>
      <w:tr w:rsidR="00333A1A">
        <w:trPr>
          <w:trHeight w:val="576"/>
        </w:trPr>
        <w:tc>
          <w:tcPr>
            <w:tcW w:w="320" w:type="dxa"/>
            <w:noWrap/>
            <w:hideMark/>
          </w:tcPr>
          <w:p w:rsidR="00333A1A" w:rsidRDefault="00333A1A">
            <w:pPr>
              <w:keepNext/>
              <w:keepLines/>
              <w:rPr>
                <w:noProof/>
                <w:sz w:val="18"/>
                <w:szCs w:val="18"/>
              </w:rPr>
            </w:pPr>
          </w:p>
        </w:tc>
        <w:tc>
          <w:tcPr>
            <w:tcW w:w="1680" w:type="dxa"/>
            <w:gridSpan w:val="2"/>
            <w:hideMark/>
          </w:tcPr>
          <w:p w:rsidR="00333A1A" w:rsidRDefault="003D29C9">
            <w:pPr>
              <w:keepNext/>
              <w:keepLines/>
              <w:jc w:val="center"/>
              <w:rPr>
                <w:noProof/>
                <w:sz w:val="18"/>
                <w:szCs w:val="18"/>
              </w:rPr>
            </w:pPr>
            <w:r>
              <w:rPr>
                <w:noProof/>
                <w:sz w:val="18"/>
                <w:szCs w:val="18"/>
              </w:rPr>
              <w:t>Beef</w:t>
            </w:r>
          </w:p>
        </w:tc>
        <w:tc>
          <w:tcPr>
            <w:tcW w:w="840" w:type="dxa"/>
            <w:hideMark/>
          </w:tcPr>
          <w:p w:rsidR="00333A1A" w:rsidRDefault="003D29C9">
            <w:pPr>
              <w:keepNext/>
              <w:keepLines/>
              <w:jc w:val="center"/>
              <w:rPr>
                <w:noProof/>
                <w:sz w:val="18"/>
                <w:szCs w:val="18"/>
              </w:rPr>
            </w:pPr>
            <w:r>
              <w:rPr>
                <w:noProof/>
                <w:sz w:val="18"/>
                <w:szCs w:val="18"/>
              </w:rPr>
              <w:t>Sheep meat</w:t>
            </w:r>
          </w:p>
        </w:tc>
        <w:tc>
          <w:tcPr>
            <w:tcW w:w="1680" w:type="dxa"/>
            <w:gridSpan w:val="2"/>
            <w:hideMark/>
          </w:tcPr>
          <w:p w:rsidR="00333A1A" w:rsidRDefault="003D29C9">
            <w:pPr>
              <w:keepNext/>
              <w:keepLines/>
              <w:jc w:val="center"/>
              <w:rPr>
                <w:noProof/>
                <w:sz w:val="18"/>
                <w:szCs w:val="18"/>
              </w:rPr>
            </w:pPr>
            <w:r>
              <w:rPr>
                <w:noProof/>
                <w:sz w:val="18"/>
                <w:szCs w:val="18"/>
              </w:rPr>
              <w:t>Poultry meat</w:t>
            </w:r>
          </w:p>
        </w:tc>
        <w:tc>
          <w:tcPr>
            <w:tcW w:w="840" w:type="dxa"/>
            <w:hideMark/>
          </w:tcPr>
          <w:p w:rsidR="00333A1A" w:rsidRDefault="003D29C9">
            <w:pPr>
              <w:keepNext/>
              <w:keepLines/>
              <w:jc w:val="center"/>
              <w:rPr>
                <w:noProof/>
                <w:sz w:val="18"/>
                <w:szCs w:val="18"/>
              </w:rPr>
            </w:pPr>
            <w:r>
              <w:rPr>
                <w:noProof/>
                <w:sz w:val="18"/>
                <w:szCs w:val="18"/>
              </w:rPr>
              <w:t>Pigmeat</w:t>
            </w:r>
          </w:p>
        </w:tc>
        <w:tc>
          <w:tcPr>
            <w:tcW w:w="1680" w:type="dxa"/>
            <w:gridSpan w:val="2"/>
            <w:hideMark/>
          </w:tcPr>
          <w:p w:rsidR="00333A1A" w:rsidRDefault="003D29C9">
            <w:pPr>
              <w:keepNext/>
              <w:keepLines/>
              <w:jc w:val="center"/>
              <w:rPr>
                <w:noProof/>
                <w:sz w:val="18"/>
                <w:szCs w:val="18"/>
              </w:rPr>
            </w:pPr>
            <w:r>
              <w:rPr>
                <w:noProof/>
                <w:sz w:val="18"/>
                <w:szCs w:val="18"/>
              </w:rPr>
              <w:t>Cereals</w:t>
            </w:r>
          </w:p>
        </w:tc>
        <w:tc>
          <w:tcPr>
            <w:tcW w:w="840" w:type="dxa"/>
            <w:hideMark/>
          </w:tcPr>
          <w:p w:rsidR="00333A1A" w:rsidRDefault="003D29C9">
            <w:pPr>
              <w:keepNext/>
              <w:keepLines/>
              <w:jc w:val="center"/>
              <w:rPr>
                <w:noProof/>
                <w:sz w:val="18"/>
                <w:szCs w:val="18"/>
              </w:rPr>
            </w:pPr>
            <w:r>
              <w:rPr>
                <w:noProof/>
                <w:sz w:val="18"/>
                <w:szCs w:val="18"/>
              </w:rPr>
              <w:t>Oilseeds</w:t>
            </w:r>
          </w:p>
        </w:tc>
        <w:tc>
          <w:tcPr>
            <w:tcW w:w="840" w:type="dxa"/>
            <w:hideMark/>
          </w:tcPr>
          <w:p w:rsidR="00333A1A" w:rsidRDefault="003D29C9">
            <w:pPr>
              <w:keepNext/>
              <w:keepLines/>
              <w:jc w:val="center"/>
              <w:rPr>
                <w:noProof/>
                <w:sz w:val="18"/>
                <w:szCs w:val="18"/>
              </w:rPr>
            </w:pPr>
            <w:r>
              <w:rPr>
                <w:noProof/>
                <w:sz w:val="18"/>
                <w:szCs w:val="18"/>
              </w:rPr>
              <w:t>Oilcakes</w:t>
            </w:r>
          </w:p>
        </w:tc>
      </w:tr>
      <w:tr w:rsidR="00333A1A">
        <w:trPr>
          <w:trHeight w:val="288"/>
        </w:trPr>
        <w:tc>
          <w:tcPr>
            <w:tcW w:w="320" w:type="dxa"/>
            <w:noWrap/>
            <w:hideMark/>
          </w:tcPr>
          <w:p w:rsidR="00333A1A" w:rsidRDefault="00333A1A">
            <w:pPr>
              <w:keepNext/>
              <w:keepLines/>
              <w:rPr>
                <w:noProof/>
                <w:sz w:val="18"/>
                <w:szCs w:val="18"/>
              </w:rPr>
            </w:pPr>
          </w:p>
        </w:tc>
        <w:tc>
          <w:tcPr>
            <w:tcW w:w="823" w:type="dxa"/>
            <w:noWrap/>
            <w:hideMark/>
          </w:tcPr>
          <w:p w:rsidR="00333A1A" w:rsidRDefault="003D29C9">
            <w:pPr>
              <w:keepNext/>
              <w:keepLines/>
              <w:rPr>
                <w:noProof/>
                <w:sz w:val="18"/>
                <w:szCs w:val="18"/>
              </w:rPr>
            </w:pPr>
            <w:r>
              <w:rPr>
                <w:noProof/>
                <w:sz w:val="18"/>
                <w:szCs w:val="18"/>
              </w:rPr>
              <w:t>Exports</w:t>
            </w:r>
          </w:p>
        </w:tc>
        <w:tc>
          <w:tcPr>
            <w:tcW w:w="857" w:type="dxa"/>
            <w:noWrap/>
            <w:hideMark/>
          </w:tcPr>
          <w:p w:rsidR="00333A1A" w:rsidRDefault="003D29C9">
            <w:pPr>
              <w:keepNext/>
              <w:keepLines/>
              <w:rPr>
                <w:noProof/>
                <w:sz w:val="18"/>
                <w:szCs w:val="18"/>
              </w:rPr>
            </w:pPr>
            <w:r>
              <w:rPr>
                <w:noProof/>
                <w:sz w:val="18"/>
                <w:szCs w:val="18"/>
              </w:rPr>
              <w:t>Imports</w:t>
            </w:r>
          </w:p>
        </w:tc>
        <w:tc>
          <w:tcPr>
            <w:tcW w:w="840" w:type="dxa"/>
            <w:noWrap/>
            <w:hideMark/>
          </w:tcPr>
          <w:p w:rsidR="00333A1A" w:rsidRDefault="003D29C9">
            <w:pPr>
              <w:keepNext/>
              <w:keepLines/>
              <w:rPr>
                <w:noProof/>
                <w:sz w:val="18"/>
                <w:szCs w:val="18"/>
              </w:rPr>
            </w:pPr>
            <w:r>
              <w:rPr>
                <w:noProof/>
                <w:sz w:val="18"/>
                <w:szCs w:val="18"/>
              </w:rPr>
              <w:t>Imports</w:t>
            </w:r>
          </w:p>
        </w:tc>
        <w:tc>
          <w:tcPr>
            <w:tcW w:w="823" w:type="dxa"/>
            <w:noWrap/>
            <w:hideMark/>
          </w:tcPr>
          <w:p w:rsidR="00333A1A" w:rsidRDefault="003D29C9">
            <w:pPr>
              <w:keepNext/>
              <w:keepLines/>
              <w:rPr>
                <w:noProof/>
                <w:sz w:val="18"/>
                <w:szCs w:val="18"/>
              </w:rPr>
            </w:pPr>
            <w:r>
              <w:rPr>
                <w:noProof/>
                <w:sz w:val="18"/>
                <w:szCs w:val="18"/>
              </w:rPr>
              <w:t>Exports</w:t>
            </w:r>
          </w:p>
        </w:tc>
        <w:tc>
          <w:tcPr>
            <w:tcW w:w="857" w:type="dxa"/>
            <w:noWrap/>
            <w:hideMark/>
          </w:tcPr>
          <w:p w:rsidR="00333A1A" w:rsidRDefault="003D29C9">
            <w:pPr>
              <w:keepNext/>
              <w:keepLines/>
              <w:rPr>
                <w:noProof/>
                <w:sz w:val="18"/>
                <w:szCs w:val="18"/>
              </w:rPr>
            </w:pPr>
            <w:r>
              <w:rPr>
                <w:noProof/>
                <w:sz w:val="18"/>
                <w:szCs w:val="18"/>
              </w:rPr>
              <w:t>Imports</w:t>
            </w:r>
          </w:p>
        </w:tc>
        <w:tc>
          <w:tcPr>
            <w:tcW w:w="840" w:type="dxa"/>
            <w:noWrap/>
            <w:hideMark/>
          </w:tcPr>
          <w:p w:rsidR="00333A1A" w:rsidRDefault="003D29C9">
            <w:pPr>
              <w:keepNext/>
              <w:keepLines/>
              <w:rPr>
                <w:noProof/>
                <w:sz w:val="18"/>
                <w:szCs w:val="18"/>
              </w:rPr>
            </w:pPr>
            <w:r>
              <w:rPr>
                <w:noProof/>
                <w:sz w:val="18"/>
                <w:szCs w:val="18"/>
              </w:rPr>
              <w:t>Exports</w:t>
            </w:r>
          </w:p>
        </w:tc>
        <w:tc>
          <w:tcPr>
            <w:tcW w:w="823" w:type="dxa"/>
            <w:noWrap/>
            <w:hideMark/>
          </w:tcPr>
          <w:p w:rsidR="00333A1A" w:rsidRDefault="003D29C9">
            <w:pPr>
              <w:keepNext/>
              <w:keepLines/>
              <w:rPr>
                <w:noProof/>
                <w:sz w:val="18"/>
                <w:szCs w:val="18"/>
              </w:rPr>
            </w:pPr>
            <w:r>
              <w:rPr>
                <w:noProof/>
                <w:sz w:val="18"/>
                <w:szCs w:val="18"/>
              </w:rPr>
              <w:t>Exports</w:t>
            </w:r>
          </w:p>
        </w:tc>
        <w:tc>
          <w:tcPr>
            <w:tcW w:w="857" w:type="dxa"/>
            <w:noWrap/>
            <w:hideMark/>
          </w:tcPr>
          <w:p w:rsidR="00333A1A" w:rsidRDefault="003D29C9">
            <w:pPr>
              <w:keepNext/>
              <w:keepLines/>
              <w:rPr>
                <w:noProof/>
                <w:sz w:val="18"/>
                <w:szCs w:val="18"/>
              </w:rPr>
            </w:pPr>
            <w:r>
              <w:rPr>
                <w:noProof/>
                <w:sz w:val="18"/>
                <w:szCs w:val="18"/>
              </w:rPr>
              <w:t>Imports</w:t>
            </w:r>
          </w:p>
        </w:tc>
        <w:tc>
          <w:tcPr>
            <w:tcW w:w="840" w:type="dxa"/>
            <w:noWrap/>
            <w:hideMark/>
          </w:tcPr>
          <w:p w:rsidR="00333A1A" w:rsidRDefault="003D29C9">
            <w:pPr>
              <w:keepNext/>
              <w:keepLines/>
              <w:rPr>
                <w:noProof/>
                <w:sz w:val="18"/>
                <w:szCs w:val="18"/>
              </w:rPr>
            </w:pPr>
            <w:r>
              <w:rPr>
                <w:noProof/>
                <w:sz w:val="18"/>
                <w:szCs w:val="18"/>
              </w:rPr>
              <w:t>Imports</w:t>
            </w:r>
          </w:p>
        </w:tc>
        <w:tc>
          <w:tcPr>
            <w:tcW w:w="840" w:type="dxa"/>
            <w:noWrap/>
            <w:hideMark/>
          </w:tcPr>
          <w:p w:rsidR="00333A1A" w:rsidRDefault="003D29C9">
            <w:pPr>
              <w:keepNext/>
              <w:keepLines/>
              <w:rPr>
                <w:noProof/>
                <w:sz w:val="18"/>
                <w:szCs w:val="18"/>
              </w:rPr>
            </w:pPr>
            <w:r>
              <w:rPr>
                <w:noProof/>
                <w:sz w:val="18"/>
                <w:szCs w:val="18"/>
              </w:rPr>
              <w:t>Imports</w:t>
            </w:r>
          </w:p>
        </w:tc>
      </w:tr>
      <w:tr w:rsidR="00333A1A">
        <w:trPr>
          <w:trHeight w:val="288"/>
        </w:trPr>
        <w:tc>
          <w:tcPr>
            <w:tcW w:w="320" w:type="dxa"/>
            <w:noWrap/>
            <w:hideMark/>
          </w:tcPr>
          <w:p w:rsidR="00333A1A" w:rsidRDefault="003D29C9">
            <w:pPr>
              <w:keepNext/>
              <w:keepLines/>
              <w:rPr>
                <w:noProof/>
                <w:sz w:val="18"/>
                <w:szCs w:val="18"/>
              </w:rPr>
            </w:pPr>
            <w:r>
              <w:rPr>
                <w:noProof/>
                <w:sz w:val="18"/>
                <w:szCs w:val="18"/>
              </w:rPr>
              <w:t>3a</w:t>
            </w:r>
          </w:p>
        </w:tc>
        <w:tc>
          <w:tcPr>
            <w:tcW w:w="823" w:type="dxa"/>
            <w:noWrap/>
            <w:hideMark/>
          </w:tcPr>
          <w:p w:rsidR="00333A1A" w:rsidRDefault="003D29C9">
            <w:pPr>
              <w:keepNext/>
              <w:keepLines/>
              <w:jc w:val="right"/>
              <w:rPr>
                <w:noProof/>
                <w:sz w:val="18"/>
                <w:szCs w:val="18"/>
              </w:rPr>
            </w:pPr>
            <w:r>
              <w:rPr>
                <w:noProof/>
                <w:sz w:val="18"/>
                <w:szCs w:val="18"/>
              </w:rPr>
              <w:t>-13%</w:t>
            </w:r>
          </w:p>
        </w:tc>
        <w:tc>
          <w:tcPr>
            <w:tcW w:w="857" w:type="dxa"/>
            <w:noWrap/>
            <w:hideMark/>
          </w:tcPr>
          <w:p w:rsidR="00333A1A" w:rsidRDefault="003D29C9">
            <w:pPr>
              <w:keepNext/>
              <w:keepLines/>
              <w:jc w:val="right"/>
              <w:rPr>
                <w:noProof/>
                <w:sz w:val="18"/>
                <w:szCs w:val="18"/>
              </w:rPr>
            </w:pPr>
            <w:r>
              <w:rPr>
                <w:noProof/>
                <w:sz w:val="18"/>
                <w:szCs w:val="18"/>
              </w:rPr>
              <w:t>20%</w:t>
            </w:r>
          </w:p>
        </w:tc>
        <w:tc>
          <w:tcPr>
            <w:tcW w:w="840" w:type="dxa"/>
            <w:noWrap/>
            <w:hideMark/>
          </w:tcPr>
          <w:p w:rsidR="00333A1A" w:rsidRDefault="003D29C9">
            <w:pPr>
              <w:keepNext/>
              <w:keepLines/>
              <w:jc w:val="right"/>
              <w:rPr>
                <w:noProof/>
                <w:sz w:val="18"/>
                <w:szCs w:val="18"/>
              </w:rPr>
            </w:pPr>
            <w:r>
              <w:rPr>
                <w:noProof/>
                <w:sz w:val="18"/>
                <w:szCs w:val="18"/>
              </w:rPr>
              <w:t>8%</w:t>
            </w:r>
          </w:p>
        </w:tc>
        <w:tc>
          <w:tcPr>
            <w:tcW w:w="823" w:type="dxa"/>
            <w:noWrap/>
            <w:hideMark/>
          </w:tcPr>
          <w:p w:rsidR="00333A1A" w:rsidRDefault="003D29C9">
            <w:pPr>
              <w:keepNext/>
              <w:keepLines/>
              <w:jc w:val="right"/>
              <w:rPr>
                <w:noProof/>
                <w:sz w:val="18"/>
                <w:szCs w:val="18"/>
              </w:rPr>
            </w:pPr>
            <w:r>
              <w:rPr>
                <w:noProof/>
                <w:sz w:val="18"/>
                <w:szCs w:val="18"/>
              </w:rPr>
              <w:t>-2%</w:t>
            </w:r>
          </w:p>
        </w:tc>
        <w:tc>
          <w:tcPr>
            <w:tcW w:w="857" w:type="dxa"/>
            <w:noWrap/>
            <w:hideMark/>
          </w:tcPr>
          <w:p w:rsidR="00333A1A" w:rsidRDefault="003D29C9">
            <w:pPr>
              <w:keepNext/>
              <w:keepLines/>
              <w:jc w:val="right"/>
              <w:rPr>
                <w:noProof/>
                <w:sz w:val="18"/>
                <w:szCs w:val="18"/>
              </w:rPr>
            </w:pPr>
            <w:r>
              <w:rPr>
                <w:noProof/>
                <w:sz w:val="18"/>
                <w:szCs w:val="18"/>
              </w:rPr>
              <w:t>2%</w:t>
            </w:r>
          </w:p>
        </w:tc>
        <w:tc>
          <w:tcPr>
            <w:tcW w:w="840" w:type="dxa"/>
            <w:noWrap/>
            <w:hideMark/>
          </w:tcPr>
          <w:p w:rsidR="00333A1A" w:rsidRDefault="003D29C9">
            <w:pPr>
              <w:keepNext/>
              <w:keepLines/>
              <w:jc w:val="right"/>
              <w:rPr>
                <w:noProof/>
                <w:sz w:val="18"/>
                <w:szCs w:val="18"/>
              </w:rPr>
            </w:pPr>
            <w:r>
              <w:rPr>
                <w:noProof/>
                <w:sz w:val="18"/>
                <w:szCs w:val="18"/>
              </w:rPr>
              <w:t>-3%</w:t>
            </w:r>
          </w:p>
        </w:tc>
        <w:tc>
          <w:tcPr>
            <w:tcW w:w="823" w:type="dxa"/>
            <w:noWrap/>
            <w:hideMark/>
          </w:tcPr>
          <w:p w:rsidR="00333A1A" w:rsidRDefault="003D29C9">
            <w:pPr>
              <w:keepNext/>
              <w:keepLines/>
              <w:jc w:val="right"/>
              <w:rPr>
                <w:noProof/>
                <w:sz w:val="18"/>
                <w:szCs w:val="18"/>
              </w:rPr>
            </w:pPr>
            <w:r>
              <w:rPr>
                <w:noProof/>
                <w:sz w:val="18"/>
                <w:szCs w:val="18"/>
              </w:rPr>
              <w:t>0%</w:t>
            </w:r>
          </w:p>
        </w:tc>
        <w:tc>
          <w:tcPr>
            <w:tcW w:w="857" w:type="dxa"/>
            <w:noWrap/>
            <w:hideMark/>
          </w:tcPr>
          <w:p w:rsidR="00333A1A" w:rsidRDefault="003D29C9">
            <w:pPr>
              <w:keepNext/>
              <w:keepLines/>
              <w:jc w:val="right"/>
              <w:rPr>
                <w:noProof/>
                <w:sz w:val="18"/>
                <w:szCs w:val="18"/>
              </w:rPr>
            </w:pPr>
            <w:r>
              <w:rPr>
                <w:noProof/>
                <w:sz w:val="18"/>
                <w:szCs w:val="18"/>
              </w:rPr>
              <w:t>1%</w:t>
            </w:r>
          </w:p>
        </w:tc>
        <w:tc>
          <w:tcPr>
            <w:tcW w:w="840" w:type="dxa"/>
            <w:noWrap/>
            <w:hideMark/>
          </w:tcPr>
          <w:p w:rsidR="00333A1A" w:rsidRDefault="003D29C9">
            <w:pPr>
              <w:keepNext/>
              <w:keepLines/>
              <w:jc w:val="right"/>
              <w:rPr>
                <w:noProof/>
                <w:sz w:val="18"/>
                <w:szCs w:val="18"/>
              </w:rPr>
            </w:pPr>
            <w:r>
              <w:rPr>
                <w:noProof/>
                <w:sz w:val="18"/>
                <w:szCs w:val="18"/>
              </w:rPr>
              <w:t>1%</w:t>
            </w:r>
          </w:p>
        </w:tc>
        <w:tc>
          <w:tcPr>
            <w:tcW w:w="840" w:type="dxa"/>
            <w:noWrap/>
            <w:hideMark/>
          </w:tcPr>
          <w:p w:rsidR="00333A1A" w:rsidRDefault="003D29C9">
            <w:pPr>
              <w:keepNext/>
              <w:keepLines/>
              <w:jc w:val="right"/>
              <w:rPr>
                <w:noProof/>
                <w:sz w:val="18"/>
                <w:szCs w:val="18"/>
              </w:rPr>
            </w:pPr>
            <w:r>
              <w:rPr>
                <w:noProof/>
                <w:sz w:val="18"/>
                <w:szCs w:val="18"/>
              </w:rPr>
              <w:t>-2%</w:t>
            </w:r>
          </w:p>
        </w:tc>
      </w:tr>
      <w:tr w:rsidR="00333A1A">
        <w:trPr>
          <w:trHeight w:val="288"/>
        </w:trPr>
        <w:tc>
          <w:tcPr>
            <w:tcW w:w="320" w:type="dxa"/>
            <w:noWrap/>
            <w:hideMark/>
          </w:tcPr>
          <w:p w:rsidR="00333A1A" w:rsidRDefault="003D29C9">
            <w:pPr>
              <w:keepNext/>
              <w:keepLines/>
              <w:rPr>
                <w:noProof/>
                <w:sz w:val="18"/>
                <w:szCs w:val="18"/>
              </w:rPr>
            </w:pPr>
            <w:r>
              <w:rPr>
                <w:noProof/>
                <w:sz w:val="18"/>
                <w:szCs w:val="18"/>
              </w:rPr>
              <w:t>3b</w:t>
            </w:r>
          </w:p>
        </w:tc>
        <w:tc>
          <w:tcPr>
            <w:tcW w:w="823" w:type="dxa"/>
            <w:noWrap/>
            <w:hideMark/>
          </w:tcPr>
          <w:p w:rsidR="00333A1A" w:rsidRDefault="003D29C9">
            <w:pPr>
              <w:keepNext/>
              <w:keepLines/>
              <w:jc w:val="right"/>
              <w:rPr>
                <w:noProof/>
                <w:sz w:val="18"/>
                <w:szCs w:val="18"/>
              </w:rPr>
            </w:pPr>
            <w:r>
              <w:rPr>
                <w:noProof/>
                <w:sz w:val="18"/>
                <w:szCs w:val="18"/>
              </w:rPr>
              <w:t>-3%</w:t>
            </w:r>
          </w:p>
        </w:tc>
        <w:tc>
          <w:tcPr>
            <w:tcW w:w="857" w:type="dxa"/>
            <w:noWrap/>
            <w:hideMark/>
          </w:tcPr>
          <w:p w:rsidR="00333A1A" w:rsidRDefault="003D29C9">
            <w:pPr>
              <w:keepNext/>
              <w:keepLines/>
              <w:jc w:val="right"/>
              <w:rPr>
                <w:noProof/>
                <w:sz w:val="18"/>
                <w:szCs w:val="18"/>
              </w:rPr>
            </w:pPr>
            <w:r>
              <w:rPr>
                <w:noProof/>
                <w:sz w:val="18"/>
                <w:szCs w:val="18"/>
              </w:rPr>
              <w:t>4%</w:t>
            </w:r>
          </w:p>
        </w:tc>
        <w:tc>
          <w:tcPr>
            <w:tcW w:w="840" w:type="dxa"/>
            <w:noWrap/>
            <w:hideMark/>
          </w:tcPr>
          <w:p w:rsidR="00333A1A" w:rsidRDefault="003D29C9">
            <w:pPr>
              <w:keepNext/>
              <w:keepLines/>
              <w:jc w:val="right"/>
              <w:rPr>
                <w:noProof/>
                <w:sz w:val="18"/>
                <w:szCs w:val="18"/>
              </w:rPr>
            </w:pPr>
            <w:r>
              <w:rPr>
                <w:noProof/>
                <w:sz w:val="18"/>
                <w:szCs w:val="18"/>
              </w:rPr>
              <w:t>3%</w:t>
            </w:r>
          </w:p>
        </w:tc>
        <w:tc>
          <w:tcPr>
            <w:tcW w:w="823" w:type="dxa"/>
            <w:noWrap/>
            <w:hideMark/>
          </w:tcPr>
          <w:p w:rsidR="00333A1A" w:rsidRDefault="003D29C9">
            <w:pPr>
              <w:keepNext/>
              <w:keepLines/>
              <w:jc w:val="right"/>
              <w:rPr>
                <w:noProof/>
                <w:sz w:val="18"/>
                <w:szCs w:val="18"/>
              </w:rPr>
            </w:pPr>
            <w:r>
              <w:rPr>
                <w:noProof/>
                <w:sz w:val="18"/>
                <w:szCs w:val="18"/>
              </w:rPr>
              <w:t>-1%</w:t>
            </w:r>
          </w:p>
        </w:tc>
        <w:tc>
          <w:tcPr>
            <w:tcW w:w="857" w:type="dxa"/>
            <w:noWrap/>
            <w:hideMark/>
          </w:tcPr>
          <w:p w:rsidR="00333A1A" w:rsidRDefault="003D29C9">
            <w:pPr>
              <w:keepNext/>
              <w:keepLines/>
              <w:jc w:val="right"/>
              <w:rPr>
                <w:noProof/>
                <w:sz w:val="18"/>
                <w:szCs w:val="18"/>
              </w:rPr>
            </w:pPr>
            <w:r>
              <w:rPr>
                <w:noProof/>
                <w:sz w:val="18"/>
                <w:szCs w:val="18"/>
              </w:rPr>
              <w:t>1%</w:t>
            </w:r>
          </w:p>
        </w:tc>
        <w:tc>
          <w:tcPr>
            <w:tcW w:w="840" w:type="dxa"/>
            <w:noWrap/>
            <w:hideMark/>
          </w:tcPr>
          <w:p w:rsidR="00333A1A" w:rsidRDefault="003D29C9">
            <w:pPr>
              <w:keepNext/>
              <w:keepLines/>
              <w:jc w:val="right"/>
              <w:rPr>
                <w:noProof/>
                <w:sz w:val="18"/>
                <w:szCs w:val="18"/>
              </w:rPr>
            </w:pPr>
            <w:r>
              <w:rPr>
                <w:noProof/>
                <w:sz w:val="18"/>
                <w:szCs w:val="18"/>
              </w:rPr>
              <w:t>-2%</w:t>
            </w:r>
          </w:p>
        </w:tc>
        <w:tc>
          <w:tcPr>
            <w:tcW w:w="823" w:type="dxa"/>
            <w:noWrap/>
            <w:hideMark/>
          </w:tcPr>
          <w:p w:rsidR="00333A1A" w:rsidRDefault="003D29C9">
            <w:pPr>
              <w:keepNext/>
              <w:keepLines/>
              <w:jc w:val="right"/>
              <w:rPr>
                <w:noProof/>
                <w:sz w:val="18"/>
                <w:szCs w:val="18"/>
              </w:rPr>
            </w:pPr>
            <w:r>
              <w:rPr>
                <w:noProof/>
                <w:sz w:val="18"/>
                <w:szCs w:val="18"/>
              </w:rPr>
              <w:t>-3%</w:t>
            </w:r>
          </w:p>
        </w:tc>
        <w:tc>
          <w:tcPr>
            <w:tcW w:w="857" w:type="dxa"/>
            <w:noWrap/>
            <w:hideMark/>
          </w:tcPr>
          <w:p w:rsidR="00333A1A" w:rsidRDefault="003D29C9">
            <w:pPr>
              <w:keepNext/>
              <w:keepLines/>
              <w:jc w:val="right"/>
              <w:rPr>
                <w:noProof/>
                <w:sz w:val="18"/>
                <w:szCs w:val="18"/>
              </w:rPr>
            </w:pPr>
            <w:r>
              <w:rPr>
                <w:noProof/>
                <w:sz w:val="18"/>
                <w:szCs w:val="18"/>
              </w:rPr>
              <w:t>6%</w:t>
            </w:r>
          </w:p>
        </w:tc>
        <w:tc>
          <w:tcPr>
            <w:tcW w:w="840" w:type="dxa"/>
            <w:noWrap/>
            <w:hideMark/>
          </w:tcPr>
          <w:p w:rsidR="00333A1A" w:rsidRDefault="003D29C9">
            <w:pPr>
              <w:keepNext/>
              <w:keepLines/>
              <w:jc w:val="right"/>
              <w:rPr>
                <w:noProof/>
                <w:sz w:val="18"/>
                <w:szCs w:val="18"/>
              </w:rPr>
            </w:pPr>
            <w:r>
              <w:rPr>
                <w:noProof/>
                <w:sz w:val="18"/>
                <w:szCs w:val="18"/>
              </w:rPr>
              <w:t>0%</w:t>
            </w:r>
          </w:p>
        </w:tc>
        <w:tc>
          <w:tcPr>
            <w:tcW w:w="840" w:type="dxa"/>
            <w:noWrap/>
            <w:hideMark/>
          </w:tcPr>
          <w:p w:rsidR="00333A1A" w:rsidRDefault="003D29C9">
            <w:pPr>
              <w:keepNext/>
              <w:keepLines/>
              <w:jc w:val="right"/>
              <w:rPr>
                <w:noProof/>
                <w:sz w:val="18"/>
                <w:szCs w:val="18"/>
              </w:rPr>
            </w:pPr>
            <w:r>
              <w:rPr>
                <w:noProof/>
                <w:sz w:val="18"/>
                <w:szCs w:val="18"/>
              </w:rPr>
              <w:t>0%</w:t>
            </w:r>
          </w:p>
        </w:tc>
      </w:tr>
      <w:tr w:rsidR="00333A1A">
        <w:trPr>
          <w:trHeight w:val="288"/>
        </w:trPr>
        <w:tc>
          <w:tcPr>
            <w:tcW w:w="320" w:type="dxa"/>
            <w:noWrap/>
            <w:hideMark/>
          </w:tcPr>
          <w:p w:rsidR="00333A1A" w:rsidRDefault="003D29C9">
            <w:pPr>
              <w:keepNext/>
              <w:keepLines/>
              <w:rPr>
                <w:noProof/>
                <w:sz w:val="18"/>
                <w:szCs w:val="18"/>
              </w:rPr>
            </w:pPr>
            <w:r>
              <w:rPr>
                <w:noProof/>
                <w:sz w:val="18"/>
                <w:szCs w:val="18"/>
              </w:rPr>
              <w:t>4a</w:t>
            </w:r>
          </w:p>
        </w:tc>
        <w:tc>
          <w:tcPr>
            <w:tcW w:w="823" w:type="dxa"/>
            <w:noWrap/>
            <w:hideMark/>
          </w:tcPr>
          <w:p w:rsidR="00333A1A" w:rsidRDefault="003D29C9">
            <w:pPr>
              <w:keepNext/>
              <w:keepLines/>
              <w:jc w:val="right"/>
              <w:rPr>
                <w:noProof/>
                <w:sz w:val="18"/>
                <w:szCs w:val="18"/>
              </w:rPr>
            </w:pPr>
            <w:r>
              <w:rPr>
                <w:noProof/>
                <w:sz w:val="18"/>
                <w:szCs w:val="18"/>
              </w:rPr>
              <w:t>-9%</w:t>
            </w:r>
          </w:p>
        </w:tc>
        <w:tc>
          <w:tcPr>
            <w:tcW w:w="857" w:type="dxa"/>
            <w:noWrap/>
            <w:hideMark/>
          </w:tcPr>
          <w:p w:rsidR="00333A1A" w:rsidRDefault="003D29C9">
            <w:pPr>
              <w:keepNext/>
              <w:keepLines/>
              <w:jc w:val="right"/>
              <w:rPr>
                <w:noProof/>
                <w:sz w:val="18"/>
                <w:szCs w:val="18"/>
              </w:rPr>
            </w:pPr>
            <w:r>
              <w:rPr>
                <w:noProof/>
                <w:sz w:val="18"/>
                <w:szCs w:val="18"/>
              </w:rPr>
              <w:t>13%</w:t>
            </w:r>
          </w:p>
        </w:tc>
        <w:tc>
          <w:tcPr>
            <w:tcW w:w="840" w:type="dxa"/>
            <w:noWrap/>
            <w:hideMark/>
          </w:tcPr>
          <w:p w:rsidR="00333A1A" w:rsidRDefault="003D29C9">
            <w:pPr>
              <w:keepNext/>
              <w:keepLines/>
              <w:jc w:val="right"/>
              <w:rPr>
                <w:noProof/>
                <w:sz w:val="18"/>
                <w:szCs w:val="18"/>
              </w:rPr>
            </w:pPr>
            <w:r>
              <w:rPr>
                <w:noProof/>
                <w:sz w:val="18"/>
                <w:szCs w:val="18"/>
              </w:rPr>
              <w:t>2%</w:t>
            </w:r>
          </w:p>
        </w:tc>
        <w:tc>
          <w:tcPr>
            <w:tcW w:w="823" w:type="dxa"/>
            <w:noWrap/>
            <w:hideMark/>
          </w:tcPr>
          <w:p w:rsidR="00333A1A" w:rsidRDefault="003D29C9">
            <w:pPr>
              <w:keepNext/>
              <w:keepLines/>
              <w:jc w:val="right"/>
              <w:rPr>
                <w:noProof/>
                <w:sz w:val="18"/>
                <w:szCs w:val="18"/>
              </w:rPr>
            </w:pPr>
            <w:r>
              <w:rPr>
                <w:noProof/>
                <w:sz w:val="18"/>
                <w:szCs w:val="18"/>
              </w:rPr>
              <w:t>-2%</w:t>
            </w:r>
          </w:p>
        </w:tc>
        <w:tc>
          <w:tcPr>
            <w:tcW w:w="857" w:type="dxa"/>
            <w:noWrap/>
            <w:hideMark/>
          </w:tcPr>
          <w:p w:rsidR="00333A1A" w:rsidRDefault="003D29C9">
            <w:pPr>
              <w:keepNext/>
              <w:keepLines/>
              <w:jc w:val="right"/>
              <w:rPr>
                <w:noProof/>
                <w:sz w:val="18"/>
                <w:szCs w:val="18"/>
              </w:rPr>
            </w:pPr>
            <w:r>
              <w:rPr>
                <w:noProof/>
                <w:sz w:val="18"/>
                <w:szCs w:val="18"/>
              </w:rPr>
              <w:t>3%</w:t>
            </w:r>
          </w:p>
        </w:tc>
        <w:tc>
          <w:tcPr>
            <w:tcW w:w="840" w:type="dxa"/>
            <w:noWrap/>
            <w:hideMark/>
          </w:tcPr>
          <w:p w:rsidR="00333A1A" w:rsidRDefault="003D29C9">
            <w:pPr>
              <w:keepNext/>
              <w:keepLines/>
              <w:jc w:val="right"/>
              <w:rPr>
                <w:noProof/>
                <w:sz w:val="18"/>
                <w:szCs w:val="18"/>
              </w:rPr>
            </w:pPr>
            <w:r>
              <w:rPr>
                <w:noProof/>
                <w:sz w:val="18"/>
                <w:szCs w:val="18"/>
              </w:rPr>
              <w:t>-4%</w:t>
            </w:r>
          </w:p>
        </w:tc>
        <w:tc>
          <w:tcPr>
            <w:tcW w:w="823" w:type="dxa"/>
            <w:noWrap/>
            <w:hideMark/>
          </w:tcPr>
          <w:p w:rsidR="00333A1A" w:rsidRDefault="003D29C9">
            <w:pPr>
              <w:keepNext/>
              <w:keepLines/>
              <w:jc w:val="right"/>
              <w:rPr>
                <w:noProof/>
                <w:sz w:val="18"/>
                <w:szCs w:val="18"/>
              </w:rPr>
            </w:pPr>
            <w:r>
              <w:rPr>
                <w:noProof/>
                <w:sz w:val="18"/>
                <w:szCs w:val="18"/>
              </w:rPr>
              <w:t>-1%</w:t>
            </w:r>
          </w:p>
        </w:tc>
        <w:tc>
          <w:tcPr>
            <w:tcW w:w="857" w:type="dxa"/>
            <w:noWrap/>
            <w:hideMark/>
          </w:tcPr>
          <w:p w:rsidR="00333A1A" w:rsidRDefault="003D29C9">
            <w:pPr>
              <w:keepNext/>
              <w:keepLines/>
              <w:jc w:val="right"/>
              <w:rPr>
                <w:noProof/>
                <w:sz w:val="18"/>
                <w:szCs w:val="18"/>
              </w:rPr>
            </w:pPr>
            <w:r>
              <w:rPr>
                <w:noProof/>
                <w:sz w:val="18"/>
                <w:szCs w:val="18"/>
              </w:rPr>
              <w:t>3%</w:t>
            </w:r>
          </w:p>
        </w:tc>
        <w:tc>
          <w:tcPr>
            <w:tcW w:w="840" w:type="dxa"/>
            <w:noWrap/>
            <w:hideMark/>
          </w:tcPr>
          <w:p w:rsidR="00333A1A" w:rsidRDefault="003D29C9">
            <w:pPr>
              <w:keepNext/>
              <w:keepLines/>
              <w:jc w:val="right"/>
              <w:rPr>
                <w:noProof/>
                <w:sz w:val="18"/>
                <w:szCs w:val="18"/>
              </w:rPr>
            </w:pPr>
            <w:r>
              <w:rPr>
                <w:noProof/>
                <w:sz w:val="18"/>
                <w:szCs w:val="18"/>
              </w:rPr>
              <w:t>1%</w:t>
            </w:r>
          </w:p>
        </w:tc>
        <w:tc>
          <w:tcPr>
            <w:tcW w:w="840" w:type="dxa"/>
            <w:noWrap/>
            <w:hideMark/>
          </w:tcPr>
          <w:p w:rsidR="00333A1A" w:rsidRDefault="003D29C9">
            <w:pPr>
              <w:keepNext/>
              <w:keepLines/>
              <w:jc w:val="right"/>
              <w:rPr>
                <w:noProof/>
                <w:sz w:val="18"/>
                <w:szCs w:val="18"/>
              </w:rPr>
            </w:pPr>
            <w:r>
              <w:rPr>
                <w:noProof/>
                <w:sz w:val="18"/>
                <w:szCs w:val="18"/>
              </w:rPr>
              <w:t>-1%</w:t>
            </w:r>
          </w:p>
        </w:tc>
      </w:tr>
      <w:tr w:rsidR="00333A1A">
        <w:trPr>
          <w:trHeight w:val="288"/>
        </w:trPr>
        <w:tc>
          <w:tcPr>
            <w:tcW w:w="320" w:type="dxa"/>
            <w:noWrap/>
            <w:hideMark/>
          </w:tcPr>
          <w:p w:rsidR="00333A1A" w:rsidRDefault="003D29C9">
            <w:pPr>
              <w:keepNext/>
              <w:keepLines/>
              <w:rPr>
                <w:noProof/>
                <w:sz w:val="18"/>
                <w:szCs w:val="18"/>
              </w:rPr>
            </w:pPr>
            <w:r>
              <w:rPr>
                <w:noProof/>
                <w:sz w:val="18"/>
                <w:szCs w:val="18"/>
              </w:rPr>
              <w:t>4b</w:t>
            </w:r>
          </w:p>
        </w:tc>
        <w:tc>
          <w:tcPr>
            <w:tcW w:w="823" w:type="dxa"/>
            <w:noWrap/>
            <w:hideMark/>
          </w:tcPr>
          <w:p w:rsidR="00333A1A" w:rsidRDefault="003D29C9">
            <w:pPr>
              <w:keepNext/>
              <w:keepLines/>
              <w:jc w:val="right"/>
              <w:rPr>
                <w:noProof/>
                <w:sz w:val="18"/>
                <w:szCs w:val="18"/>
              </w:rPr>
            </w:pPr>
            <w:r>
              <w:rPr>
                <w:noProof/>
                <w:sz w:val="18"/>
                <w:szCs w:val="18"/>
              </w:rPr>
              <w:t>-7%</w:t>
            </w:r>
          </w:p>
        </w:tc>
        <w:tc>
          <w:tcPr>
            <w:tcW w:w="857" w:type="dxa"/>
            <w:noWrap/>
            <w:hideMark/>
          </w:tcPr>
          <w:p w:rsidR="00333A1A" w:rsidRDefault="003D29C9">
            <w:pPr>
              <w:keepNext/>
              <w:keepLines/>
              <w:jc w:val="right"/>
              <w:rPr>
                <w:noProof/>
                <w:sz w:val="18"/>
                <w:szCs w:val="18"/>
              </w:rPr>
            </w:pPr>
            <w:r>
              <w:rPr>
                <w:noProof/>
                <w:sz w:val="18"/>
                <w:szCs w:val="18"/>
              </w:rPr>
              <w:t>9%</w:t>
            </w:r>
          </w:p>
        </w:tc>
        <w:tc>
          <w:tcPr>
            <w:tcW w:w="840" w:type="dxa"/>
            <w:noWrap/>
            <w:hideMark/>
          </w:tcPr>
          <w:p w:rsidR="00333A1A" w:rsidRDefault="003D29C9">
            <w:pPr>
              <w:keepNext/>
              <w:keepLines/>
              <w:jc w:val="right"/>
              <w:rPr>
                <w:noProof/>
                <w:sz w:val="18"/>
                <w:szCs w:val="18"/>
              </w:rPr>
            </w:pPr>
            <w:r>
              <w:rPr>
                <w:noProof/>
                <w:sz w:val="18"/>
                <w:szCs w:val="18"/>
              </w:rPr>
              <w:t>1%</w:t>
            </w:r>
          </w:p>
        </w:tc>
        <w:tc>
          <w:tcPr>
            <w:tcW w:w="823" w:type="dxa"/>
            <w:noWrap/>
            <w:hideMark/>
          </w:tcPr>
          <w:p w:rsidR="00333A1A" w:rsidRDefault="003D29C9">
            <w:pPr>
              <w:keepNext/>
              <w:keepLines/>
              <w:jc w:val="right"/>
              <w:rPr>
                <w:noProof/>
                <w:sz w:val="18"/>
                <w:szCs w:val="18"/>
              </w:rPr>
            </w:pPr>
            <w:r>
              <w:rPr>
                <w:noProof/>
                <w:sz w:val="18"/>
                <w:szCs w:val="18"/>
              </w:rPr>
              <w:t>-1%</w:t>
            </w:r>
          </w:p>
        </w:tc>
        <w:tc>
          <w:tcPr>
            <w:tcW w:w="857" w:type="dxa"/>
            <w:noWrap/>
            <w:hideMark/>
          </w:tcPr>
          <w:p w:rsidR="00333A1A" w:rsidRDefault="003D29C9">
            <w:pPr>
              <w:keepNext/>
              <w:keepLines/>
              <w:jc w:val="right"/>
              <w:rPr>
                <w:noProof/>
                <w:sz w:val="18"/>
                <w:szCs w:val="18"/>
              </w:rPr>
            </w:pPr>
            <w:r>
              <w:rPr>
                <w:noProof/>
                <w:sz w:val="18"/>
                <w:szCs w:val="18"/>
              </w:rPr>
              <w:t>1%</w:t>
            </w:r>
          </w:p>
        </w:tc>
        <w:tc>
          <w:tcPr>
            <w:tcW w:w="840" w:type="dxa"/>
            <w:noWrap/>
            <w:hideMark/>
          </w:tcPr>
          <w:p w:rsidR="00333A1A" w:rsidRDefault="003D29C9">
            <w:pPr>
              <w:keepNext/>
              <w:keepLines/>
              <w:jc w:val="right"/>
              <w:rPr>
                <w:noProof/>
                <w:sz w:val="18"/>
                <w:szCs w:val="18"/>
              </w:rPr>
            </w:pPr>
            <w:r>
              <w:rPr>
                <w:noProof/>
                <w:sz w:val="18"/>
                <w:szCs w:val="18"/>
              </w:rPr>
              <w:t>-1%</w:t>
            </w:r>
          </w:p>
        </w:tc>
        <w:tc>
          <w:tcPr>
            <w:tcW w:w="823" w:type="dxa"/>
            <w:noWrap/>
            <w:hideMark/>
          </w:tcPr>
          <w:p w:rsidR="00333A1A" w:rsidRDefault="003D29C9">
            <w:pPr>
              <w:keepNext/>
              <w:keepLines/>
              <w:jc w:val="right"/>
              <w:rPr>
                <w:noProof/>
                <w:sz w:val="18"/>
                <w:szCs w:val="18"/>
              </w:rPr>
            </w:pPr>
            <w:r>
              <w:rPr>
                <w:noProof/>
                <w:sz w:val="18"/>
                <w:szCs w:val="18"/>
              </w:rPr>
              <w:t>0%</w:t>
            </w:r>
          </w:p>
        </w:tc>
        <w:tc>
          <w:tcPr>
            <w:tcW w:w="857" w:type="dxa"/>
            <w:noWrap/>
            <w:hideMark/>
          </w:tcPr>
          <w:p w:rsidR="00333A1A" w:rsidRDefault="003D29C9">
            <w:pPr>
              <w:keepNext/>
              <w:keepLines/>
              <w:jc w:val="right"/>
              <w:rPr>
                <w:noProof/>
                <w:sz w:val="18"/>
                <w:szCs w:val="18"/>
              </w:rPr>
            </w:pPr>
            <w:r>
              <w:rPr>
                <w:noProof/>
                <w:sz w:val="18"/>
                <w:szCs w:val="18"/>
              </w:rPr>
              <w:t>-1%</w:t>
            </w:r>
          </w:p>
        </w:tc>
        <w:tc>
          <w:tcPr>
            <w:tcW w:w="840" w:type="dxa"/>
            <w:noWrap/>
            <w:hideMark/>
          </w:tcPr>
          <w:p w:rsidR="00333A1A" w:rsidRDefault="003D29C9">
            <w:pPr>
              <w:keepNext/>
              <w:keepLines/>
              <w:jc w:val="right"/>
              <w:rPr>
                <w:noProof/>
                <w:sz w:val="18"/>
                <w:szCs w:val="18"/>
              </w:rPr>
            </w:pPr>
            <w:r>
              <w:rPr>
                <w:noProof/>
                <w:sz w:val="18"/>
                <w:szCs w:val="18"/>
              </w:rPr>
              <w:t>0%</w:t>
            </w:r>
          </w:p>
        </w:tc>
        <w:tc>
          <w:tcPr>
            <w:tcW w:w="840" w:type="dxa"/>
            <w:noWrap/>
            <w:hideMark/>
          </w:tcPr>
          <w:p w:rsidR="00333A1A" w:rsidRDefault="003D29C9">
            <w:pPr>
              <w:keepNext/>
              <w:keepLines/>
              <w:jc w:val="right"/>
              <w:rPr>
                <w:noProof/>
                <w:sz w:val="18"/>
                <w:szCs w:val="18"/>
              </w:rPr>
            </w:pPr>
            <w:r>
              <w:rPr>
                <w:noProof/>
                <w:sz w:val="18"/>
                <w:szCs w:val="18"/>
              </w:rPr>
              <w:t>-1%</w:t>
            </w:r>
          </w:p>
        </w:tc>
      </w:tr>
      <w:tr w:rsidR="00333A1A">
        <w:trPr>
          <w:trHeight w:val="288"/>
        </w:trPr>
        <w:tc>
          <w:tcPr>
            <w:tcW w:w="320" w:type="dxa"/>
            <w:noWrap/>
            <w:hideMark/>
          </w:tcPr>
          <w:p w:rsidR="00333A1A" w:rsidRDefault="003D29C9">
            <w:pPr>
              <w:keepNext/>
              <w:keepLines/>
              <w:rPr>
                <w:noProof/>
                <w:sz w:val="18"/>
                <w:szCs w:val="18"/>
              </w:rPr>
            </w:pPr>
            <w:r>
              <w:rPr>
                <w:noProof/>
                <w:sz w:val="18"/>
                <w:szCs w:val="18"/>
              </w:rPr>
              <w:t>5</w:t>
            </w:r>
          </w:p>
        </w:tc>
        <w:tc>
          <w:tcPr>
            <w:tcW w:w="823" w:type="dxa"/>
            <w:noWrap/>
            <w:hideMark/>
          </w:tcPr>
          <w:p w:rsidR="00333A1A" w:rsidRDefault="003D29C9">
            <w:pPr>
              <w:keepNext/>
              <w:keepLines/>
              <w:jc w:val="right"/>
              <w:rPr>
                <w:noProof/>
                <w:sz w:val="18"/>
                <w:szCs w:val="18"/>
              </w:rPr>
            </w:pPr>
            <w:r>
              <w:rPr>
                <w:noProof/>
                <w:sz w:val="18"/>
                <w:szCs w:val="18"/>
              </w:rPr>
              <w:t>-9%</w:t>
            </w:r>
          </w:p>
        </w:tc>
        <w:tc>
          <w:tcPr>
            <w:tcW w:w="857" w:type="dxa"/>
            <w:noWrap/>
            <w:hideMark/>
          </w:tcPr>
          <w:p w:rsidR="00333A1A" w:rsidRDefault="003D29C9">
            <w:pPr>
              <w:keepNext/>
              <w:keepLines/>
              <w:jc w:val="right"/>
              <w:rPr>
                <w:noProof/>
                <w:sz w:val="18"/>
                <w:szCs w:val="18"/>
              </w:rPr>
            </w:pPr>
            <w:r>
              <w:rPr>
                <w:noProof/>
                <w:sz w:val="18"/>
                <w:szCs w:val="18"/>
              </w:rPr>
              <w:t>13%</w:t>
            </w:r>
          </w:p>
        </w:tc>
        <w:tc>
          <w:tcPr>
            <w:tcW w:w="840" w:type="dxa"/>
            <w:noWrap/>
            <w:hideMark/>
          </w:tcPr>
          <w:p w:rsidR="00333A1A" w:rsidRDefault="003D29C9">
            <w:pPr>
              <w:keepNext/>
              <w:keepLines/>
              <w:jc w:val="right"/>
              <w:rPr>
                <w:noProof/>
                <w:sz w:val="18"/>
                <w:szCs w:val="18"/>
              </w:rPr>
            </w:pPr>
            <w:r>
              <w:rPr>
                <w:noProof/>
                <w:sz w:val="18"/>
                <w:szCs w:val="18"/>
              </w:rPr>
              <w:t>-6%</w:t>
            </w:r>
          </w:p>
        </w:tc>
        <w:tc>
          <w:tcPr>
            <w:tcW w:w="823" w:type="dxa"/>
            <w:noWrap/>
            <w:hideMark/>
          </w:tcPr>
          <w:p w:rsidR="00333A1A" w:rsidRDefault="003D29C9">
            <w:pPr>
              <w:keepNext/>
              <w:keepLines/>
              <w:jc w:val="right"/>
              <w:rPr>
                <w:noProof/>
                <w:sz w:val="18"/>
                <w:szCs w:val="18"/>
              </w:rPr>
            </w:pPr>
            <w:r>
              <w:rPr>
                <w:noProof/>
                <w:sz w:val="18"/>
                <w:szCs w:val="18"/>
              </w:rPr>
              <w:t>-1%</w:t>
            </w:r>
          </w:p>
        </w:tc>
        <w:tc>
          <w:tcPr>
            <w:tcW w:w="857" w:type="dxa"/>
            <w:noWrap/>
            <w:hideMark/>
          </w:tcPr>
          <w:p w:rsidR="00333A1A" w:rsidRDefault="003D29C9">
            <w:pPr>
              <w:keepNext/>
              <w:keepLines/>
              <w:jc w:val="right"/>
              <w:rPr>
                <w:noProof/>
                <w:sz w:val="18"/>
                <w:szCs w:val="18"/>
              </w:rPr>
            </w:pPr>
            <w:r>
              <w:rPr>
                <w:noProof/>
                <w:sz w:val="18"/>
                <w:szCs w:val="18"/>
              </w:rPr>
              <w:t>1%</w:t>
            </w:r>
          </w:p>
        </w:tc>
        <w:tc>
          <w:tcPr>
            <w:tcW w:w="840" w:type="dxa"/>
            <w:noWrap/>
            <w:hideMark/>
          </w:tcPr>
          <w:p w:rsidR="00333A1A" w:rsidRDefault="003D29C9">
            <w:pPr>
              <w:keepNext/>
              <w:keepLines/>
              <w:jc w:val="right"/>
              <w:rPr>
                <w:noProof/>
                <w:sz w:val="18"/>
                <w:szCs w:val="18"/>
              </w:rPr>
            </w:pPr>
            <w:r>
              <w:rPr>
                <w:noProof/>
                <w:sz w:val="18"/>
                <w:szCs w:val="18"/>
              </w:rPr>
              <w:t>-1%</w:t>
            </w:r>
          </w:p>
        </w:tc>
        <w:tc>
          <w:tcPr>
            <w:tcW w:w="823" w:type="dxa"/>
            <w:noWrap/>
            <w:hideMark/>
          </w:tcPr>
          <w:p w:rsidR="00333A1A" w:rsidRDefault="003D29C9">
            <w:pPr>
              <w:keepNext/>
              <w:keepLines/>
              <w:jc w:val="right"/>
              <w:rPr>
                <w:noProof/>
                <w:sz w:val="18"/>
                <w:szCs w:val="18"/>
              </w:rPr>
            </w:pPr>
            <w:r>
              <w:rPr>
                <w:noProof/>
                <w:sz w:val="18"/>
                <w:szCs w:val="18"/>
              </w:rPr>
              <w:t>-1%</w:t>
            </w:r>
          </w:p>
        </w:tc>
        <w:tc>
          <w:tcPr>
            <w:tcW w:w="857" w:type="dxa"/>
            <w:noWrap/>
            <w:hideMark/>
          </w:tcPr>
          <w:p w:rsidR="00333A1A" w:rsidRDefault="003D29C9">
            <w:pPr>
              <w:keepNext/>
              <w:keepLines/>
              <w:jc w:val="right"/>
              <w:rPr>
                <w:noProof/>
                <w:sz w:val="18"/>
                <w:szCs w:val="18"/>
              </w:rPr>
            </w:pPr>
            <w:r>
              <w:rPr>
                <w:noProof/>
                <w:sz w:val="18"/>
                <w:szCs w:val="18"/>
              </w:rPr>
              <w:t>1%</w:t>
            </w:r>
          </w:p>
        </w:tc>
        <w:tc>
          <w:tcPr>
            <w:tcW w:w="840" w:type="dxa"/>
            <w:noWrap/>
            <w:hideMark/>
          </w:tcPr>
          <w:p w:rsidR="00333A1A" w:rsidRDefault="003D29C9">
            <w:pPr>
              <w:keepNext/>
              <w:keepLines/>
              <w:jc w:val="right"/>
              <w:rPr>
                <w:noProof/>
                <w:sz w:val="18"/>
                <w:szCs w:val="18"/>
              </w:rPr>
            </w:pPr>
            <w:r>
              <w:rPr>
                <w:noProof/>
                <w:sz w:val="18"/>
                <w:szCs w:val="18"/>
              </w:rPr>
              <w:t>0%</w:t>
            </w:r>
          </w:p>
        </w:tc>
        <w:tc>
          <w:tcPr>
            <w:tcW w:w="840" w:type="dxa"/>
            <w:noWrap/>
            <w:hideMark/>
          </w:tcPr>
          <w:p w:rsidR="00333A1A" w:rsidRDefault="003D29C9">
            <w:pPr>
              <w:keepNext/>
              <w:keepLines/>
              <w:jc w:val="right"/>
              <w:rPr>
                <w:noProof/>
                <w:sz w:val="18"/>
                <w:szCs w:val="18"/>
              </w:rPr>
            </w:pPr>
            <w:r>
              <w:rPr>
                <w:noProof/>
                <w:sz w:val="18"/>
                <w:szCs w:val="18"/>
              </w:rPr>
              <w:t>-1%</w:t>
            </w:r>
          </w:p>
        </w:tc>
      </w:tr>
    </w:tbl>
    <w:p w:rsidR="00333A1A" w:rsidRDefault="003D29C9">
      <w:pPr>
        <w:spacing w:after="240" w:line="240" w:lineRule="auto"/>
        <w:rPr>
          <w:rFonts w:ascii="Times New Roman" w:hAnsi="Times New Roman" w:cs="Times New Roman"/>
          <w:noProof/>
          <w:sz w:val="16"/>
          <w:szCs w:val="16"/>
        </w:rPr>
      </w:pPr>
      <w:r>
        <w:rPr>
          <w:rFonts w:ascii="Times New Roman" w:hAnsi="Times New Roman" w:cs="Times New Roman"/>
          <w:noProof/>
          <w:sz w:val="16"/>
          <w:szCs w:val="16"/>
        </w:rPr>
        <w:t xml:space="preserve">Source: JRC, CAPRI </w:t>
      </w:r>
    </w:p>
    <w:p w:rsidR="00333A1A" w:rsidRDefault="003D29C9">
      <w:pPr>
        <w:pStyle w:val="Heading3"/>
        <w:rPr>
          <w:noProof/>
        </w:rPr>
      </w:pPr>
      <w:r>
        <w:rPr>
          <w:noProof/>
        </w:rPr>
        <w:t>Coupled support and competitiveness</w:t>
      </w:r>
    </w:p>
    <w:p w:rsidR="00333A1A" w:rsidRDefault="003D29C9">
      <w:pPr>
        <w:pStyle w:val="Text1"/>
        <w:spacing w:after="120"/>
        <w:ind w:left="0"/>
        <w:rPr>
          <w:noProof/>
        </w:rPr>
      </w:pPr>
      <w:r>
        <w:rPr>
          <w:noProof/>
        </w:rPr>
        <w:t>Where the market fails to remunerate farmers for all the services they provide and where the lack of support could lead to land abandonment and closed landscapes (e.g. for extensive livestock in grassland areas) a couple</w:t>
      </w:r>
      <w:r>
        <w:rPr>
          <w:noProof/>
        </w:rPr>
        <w:t xml:space="preserve">d payment can be justified to help maintaining production in territories and sectors at risk. </w:t>
      </w:r>
    </w:p>
    <w:p w:rsidR="00333A1A" w:rsidRDefault="003D29C9">
      <w:pPr>
        <w:pStyle w:val="Text1"/>
        <w:ind w:left="0"/>
        <w:rPr>
          <w:noProof/>
        </w:rPr>
      </w:pPr>
      <w:r>
        <w:rPr>
          <w:noProof/>
        </w:rPr>
        <w:t>The table below highlights the impact on production, productivity and prices of removing coupled support (in isolation from other changes) compared to the baseli</w:t>
      </w:r>
      <w:r>
        <w:rPr>
          <w:noProof/>
        </w:rPr>
        <w:t>ne: a decrease in area and herd, an increase in productivity (dairy and sugar beet) mitigating production effects, as well as a price increases.</w:t>
      </w:r>
    </w:p>
    <w:p w:rsidR="00333A1A" w:rsidRDefault="003D29C9">
      <w:pPr>
        <w:keepNext/>
        <w:spacing w:after="120" w:line="240" w:lineRule="auto"/>
        <w:rPr>
          <w:rFonts w:ascii="Times New Roman" w:hAnsi="Times New Roman" w:cs="Times New Roman"/>
          <w:noProof/>
          <w:sz w:val="24"/>
          <w:szCs w:val="24"/>
        </w:rPr>
      </w:pPr>
      <w:r>
        <w:rPr>
          <w:rFonts w:ascii="Times New Roman" w:eastAsia="Times New Roman" w:hAnsi="Times New Roman" w:cs="Times New Roman"/>
          <w:b/>
          <w:noProof/>
          <w:szCs w:val="20"/>
          <w:lang w:eastAsia="en-GB"/>
        </w:rPr>
        <w:t xml:space="preserve">Table </w:t>
      </w:r>
      <w:r>
        <w:rPr>
          <w:rFonts w:ascii="Times New Roman" w:eastAsia="Times New Roman" w:hAnsi="Times New Roman" w:cs="Times New Roman"/>
          <w:b/>
          <w:noProof/>
          <w:szCs w:val="20"/>
          <w:lang w:eastAsia="en-GB"/>
        </w:rPr>
        <w:fldChar w:fldCharType="begin"/>
      </w:r>
      <w:r>
        <w:rPr>
          <w:rFonts w:ascii="Times New Roman" w:eastAsia="Times New Roman" w:hAnsi="Times New Roman" w:cs="Times New Roman"/>
          <w:b/>
          <w:noProof/>
          <w:szCs w:val="20"/>
          <w:lang w:eastAsia="en-GB"/>
        </w:rPr>
        <w:instrText xml:space="preserve"> STYLEREF 1 \s </w:instrText>
      </w:r>
      <w:r>
        <w:rPr>
          <w:rFonts w:ascii="Times New Roman" w:eastAsia="Times New Roman" w:hAnsi="Times New Roman" w:cs="Times New Roman"/>
          <w:b/>
          <w:noProof/>
          <w:szCs w:val="20"/>
          <w:lang w:eastAsia="en-GB"/>
        </w:rPr>
        <w:fldChar w:fldCharType="separate"/>
      </w:r>
      <w:r>
        <w:rPr>
          <w:rFonts w:ascii="Times New Roman" w:eastAsia="Times New Roman" w:hAnsi="Times New Roman" w:cs="Times New Roman"/>
          <w:b/>
          <w:noProof/>
          <w:szCs w:val="20"/>
          <w:lang w:eastAsia="en-GB"/>
        </w:rPr>
        <w:t>2</w:t>
      </w:r>
      <w:r>
        <w:rPr>
          <w:rFonts w:ascii="Times New Roman" w:eastAsia="Times New Roman" w:hAnsi="Times New Roman" w:cs="Times New Roman"/>
          <w:b/>
          <w:noProof/>
          <w:szCs w:val="20"/>
          <w:lang w:eastAsia="en-GB"/>
        </w:rPr>
        <w:fldChar w:fldCharType="end"/>
      </w:r>
      <w:r>
        <w:rPr>
          <w:rFonts w:ascii="Times New Roman" w:eastAsia="Times New Roman" w:hAnsi="Times New Roman" w:cs="Times New Roman"/>
          <w:b/>
          <w:noProof/>
          <w:szCs w:val="20"/>
          <w:lang w:eastAsia="en-GB"/>
        </w:rPr>
        <w:t xml:space="preserve">.11 </w:t>
      </w:r>
      <w:r>
        <w:rPr>
          <w:rFonts w:ascii="Times New Roman" w:hAnsi="Times New Roman" w:cs="Times New Roman"/>
          <w:b/>
          <w:noProof/>
          <w:szCs w:val="24"/>
        </w:rPr>
        <w:t>Changes in price and production would coupled support be fully removed</w:t>
      </w:r>
    </w:p>
    <w:tbl>
      <w:tblPr>
        <w:tblW w:w="7213" w:type="dxa"/>
        <w:jc w:val="center"/>
        <w:tblInd w:w="-13" w:type="dxa"/>
        <w:tblCellMar>
          <w:left w:w="0" w:type="dxa"/>
          <w:right w:w="0" w:type="dxa"/>
        </w:tblCellMar>
        <w:tblLook w:val="04A0" w:firstRow="1" w:lastRow="0" w:firstColumn="1" w:lastColumn="0" w:noHBand="0" w:noVBand="1"/>
      </w:tblPr>
      <w:tblGrid>
        <w:gridCol w:w="2637"/>
        <w:gridCol w:w="1248"/>
        <w:gridCol w:w="1262"/>
        <w:gridCol w:w="1033"/>
        <w:gridCol w:w="1033"/>
      </w:tblGrid>
      <w:tr w:rsidR="00333A1A">
        <w:trPr>
          <w:trHeight w:val="765"/>
          <w:jc w:val="center"/>
        </w:trPr>
        <w:tc>
          <w:tcPr>
            <w:tcW w:w="2637" w:type="dxa"/>
            <w:tcBorders>
              <w:top w:val="single" w:sz="8" w:space="0" w:color="auto"/>
              <w:left w:val="single" w:sz="8" w:space="0" w:color="auto"/>
              <w:bottom w:val="single" w:sz="8" w:space="0" w:color="000000"/>
              <w:right w:val="single" w:sz="8" w:space="0" w:color="auto"/>
            </w:tcBorders>
            <w:shd w:val="clear" w:color="auto" w:fill="BFBFBF"/>
            <w:noWrap/>
            <w:tcMar>
              <w:top w:w="0" w:type="dxa"/>
              <w:left w:w="108" w:type="dxa"/>
              <w:bottom w:w="0" w:type="dxa"/>
              <w:right w:w="108" w:type="dxa"/>
            </w:tcMar>
            <w:vAlign w:val="center"/>
            <w:hideMark/>
          </w:tcPr>
          <w:p w:rsidR="00333A1A" w:rsidRDefault="00333A1A">
            <w:pPr>
              <w:keepNext/>
              <w:keepLines/>
              <w:spacing w:after="0" w:line="240" w:lineRule="auto"/>
              <w:jc w:val="center"/>
              <w:rPr>
                <w:rFonts w:ascii="Times New Roman" w:hAnsi="Times New Roman" w:cs="Times New Roman"/>
                <w:noProof/>
                <w:sz w:val="20"/>
                <w:szCs w:val="20"/>
                <w:lang w:eastAsia="en-GB"/>
              </w:rPr>
            </w:pPr>
          </w:p>
        </w:tc>
        <w:tc>
          <w:tcPr>
            <w:tcW w:w="124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 xml:space="preserve">Hectares </w:t>
            </w:r>
            <w:r>
              <w:rPr>
                <w:rFonts w:ascii="Times New Roman" w:hAnsi="Times New Roman" w:cs="Times New Roman"/>
                <w:b/>
                <w:bCs/>
                <w:noProof/>
                <w:sz w:val="20"/>
                <w:szCs w:val="20"/>
                <w:lang w:eastAsia="en-GB"/>
              </w:rPr>
              <w:t>or herd size</w:t>
            </w:r>
          </w:p>
        </w:tc>
        <w:tc>
          <w:tcPr>
            <w:tcW w:w="126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Yield</w:t>
            </w:r>
          </w:p>
        </w:tc>
        <w:tc>
          <w:tcPr>
            <w:tcW w:w="103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Supply</w:t>
            </w:r>
          </w:p>
        </w:tc>
        <w:tc>
          <w:tcPr>
            <w:tcW w:w="1033" w:type="dxa"/>
            <w:tcBorders>
              <w:top w:val="single" w:sz="8" w:space="0" w:color="auto"/>
              <w:left w:val="nil"/>
              <w:bottom w:val="single" w:sz="8" w:space="0" w:color="auto"/>
              <w:right w:val="single" w:sz="8" w:space="0" w:color="auto"/>
            </w:tcBorders>
            <w:shd w:val="clear" w:color="auto" w:fill="BFBFBF"/>
            <w:vAlign w:val="center"/>
          </w:tcPr>
          <w:p w:rsidR="00333A1A" w:rsidRDefault="003D29C9">
            <w:pPr>
              <w:keepNext/>
              <w:keepLines/>
              <w:spacing w:after="0" w:line="240" w:lineRule="auto"/>
              <w:jc w:val="center"/>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Price</w:t>
            </w:r>
          </w:p>
        </w:tc>
      </w:tr>
      <w:tr w:rsidR="00333A1A">
        <w:trPr>
          <w:trHeight w:val="255"/>
          <w:jc w:val="center"/>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Dairy</w:t>
            </w:r>
          </w:p>
        </w:tc>
        <w:tc>
          <w:tcPr>
            <w:tcW w:w="12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-0.7%</w:t>
            </w:r>
          </w:p>
        </w:tc>
        <w:tc>
          <w:tcPr>
            <w:tcW w:w="12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103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0.7%</w:t>
            </w:r>
          </w:p>
        </w:tc>
        <w:tc>
          <w:tcPr>
            <w:tcW w:w="1033" w:type="dxa"/>
            <w:tcBorders>
              <w:top w:val="nil"/>
              <w:left w:val="nil"/>
              <w:bottom w:val="single" w:sz="8" w:space="0" w:color="auto"/>
              <w:right w:val="single" w:sz="8" w:space="0" w:color="auto"/>
            </w:tcBorders>
            <w:vAlign w:val="center"/>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1.4%</w:t>
            </w:r>
          </w:p>
        </w:tc>
      </w:tr>
      <w:tr w:rsidR="00333A1A">
        <w:trPr>
          <w:trHeight w:val="255"/>
          <w:jc w:val="center"/>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Beef</w:t>
            </w:r>
          </w:p>
        </w:tc>
        <w:tc>
          <w:tcPr>
            <w:tcW w:w="12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-2.5%</w:t>
            </w:r>
          </w:p>
        </w:tc>
        <w:tc>
          <w:tcPr>
            <w:tcW w:w="12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0.2%</w:t>
            </w:r>
          </w:p>
        </w:tc>
        <w:tc>
          <w:tcPr>
            <w:tcW w:w="103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-2.4%</w:t>
            </w:r>
          </w:p>
        </w:tc>
        <w:tc>
          <w:tcPr>
            <w:tcW w:w="1033" w:type="dxa"/>
            <w:tcBorders>
              <w:top w:val="nil"/>
              <w:left w:val="nil"/>
              <w:bottom w:val="single" w:sz="8" w:space="0" w:color="auto"/>
              <w:right w:val="single" w:sz="8" w:space="0" w:color="auto"/>
            </w:tcBorders>
            <w:vAlign w:val="center"/>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3.2%</w:t>
            </w:r>
          </w:p>
        </w:tc>
      </w:tr>
      <w:tr w:rsidR="00333A1A">
        <w:trPr>
          <w:trHeight w:val="255"/>
          <w:jc w:val="center"/>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Sugar Beet</w:t>
            </w:r>
          </w:p>
        </w:tc>
        <w:tc>
          <w:tcPr>
            <w:tcW w:w="12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-4.9%</w:t>
            </w:r>
          </w:p>
        </w:tc>
        <w:tc>
          <w:tcPr>
            <w:tcW w:w="12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2.2%</w:t>
            </w:r>
          </w:p>
        </w:tc>
        <w:tc>
          <w:tcPr>
            <w:tcW w:w="103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-2.8%</w:t>
            </w:r>
          </w:p>
        </w:tc>
        <w:tc>
          <w:tcPr>
            <w:tcW w:w="1033" w:type="dxa"/>
            <w:tcBorders>
              <w:top w:val="nil"/>
              <w:left w:val="nil"/>
              <w:bottom w:val="single" w:sz="8" w:space="0" w:color="auto"/>
              <w:right w:val="single" w:sz="8" w:space="0" w:color="auto"/>
            </w:tcBorders>
            <w:vAlign w:val="center"/>
          </w:tcPr>
          <w:p w:rsidR="00333A1A" w:rsidRDefault="003D29C9">
            <w:pPr>
              <w:keepNext/>
              <w:keepLines/>
              <w:spacing w:after="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3.9%</w:t>
            </w:r>
          </w:p>
        </w:tc>
      </w:tr>
    </w:tbl>
    <w:p w:rsidR="00333A1A" w:rsidRDefault="003D29C9">
      <w:pPr>
        <w:ind w:firstLine="720"/>
        <w:jc w:val="both"/>
        <w:rPr>
          <w:rFonts w:ascii="Times New Roman" w:hAnsi="Times New Roman" w:cs="Times New Roman"/>
          <w:noProof/>
          <w:sz w:val="16"/>
          <w:szCs w:val="16"/>
        </w:rPr>
      </w:pPr>
      <w:r>
        <w:rPr>
          <w:rFonts w:ascii="Times New Roman" w:hAnsi="Times New Roman" w:cs="Times New Roman"/>
          <w:noProof/>
          <w:sz w:val="16"/>
          <w:szCs w:val="16"/>
        </w:rPr>
        <w:t>Source: JRC, CAPRI</w:t>
      </w:r>
    </w:p>
    <w:p w:rsidR="00333A1A" w:rsidRDefault="003D29C9">
      <w:pPr>
        <w:pStyle w:val="Text1"/>
        <w:ind w:left="0"/>
        <w:rPr>
          <w:noProof/>
        </w:rPr>
      </w:pPr>
      <w:r>
        <w:rPr>
          <w:noProof/>
        </w:rPr>
        <w:t xml:space="preserve">Coupled support has implications on the level playing field in the EU, because of the differences in </w:t>
      </w:r>
      <w:r>
        <w:rPr>
          <w:noProof/>
        </w:rPr>
        <w:t xml:space="preserve">implementation between MS, it might lead to unfair competition and to an increase in production. In addition, the World Bank in a recently published study, points out that coupled support prevents productivity increases contrary to decoupled and pillar II </w:t>
      </w:r>
      <w:r>
        <w:rPr>
          <w:noProof/>
        </w:rPr>
        <w:t>payments. The results also show that yield gains would have been higher without support for milk and sugar beet.</w:t>
      </w:r>
    </w:p>
    <w:p w:rsidR="00333A1A" w:rsidRDefault="003D29C9">
      <w:pPr>
        <w:pStyle w:val="Text1"/>
        <w:spacing w:after="120"/>
        <w:ind w:left="0"/>
        <w:rPr>
          <w:noProof/>
          <w:szCs w:val="24"/>
        </w:rPr>
      </w:pPr>
      <w:r>
        <w:rPr>
          <w:noProof/>
        </w:rPr>
        <w:t>The voluntary coupled support, as currently implemented, addresses only in part EU concerns: close to 70% of the support is granted to the shee</w:t>
      </w:r>
      <w:r>
        <w:rPr>
          <w:noProof/>
        </w:rPr>
        <w:t>p, cattle and protein crop sectors. The targeting could be further improved by limiting support to extensive livestock providing positive amenities as proposed in options 4 and 5. For the rest of the coupled support currently granted, several issues can be</w:t>
      </w:r>
      <w:r>
        <w:rPr>
          <w:noProof/>
        </w:rPr>
        <w:t xml:space="preserve"> pointed out</w:t>
      </w:r>
      <w:r>
        <w:rPr>
          <w:noProof/>
          <w:szCs w:val="24"/>
        </w:rPr>
        <w:t>:</w:t>
      </w:r>
    </w:p>
    <w:p w:rsidR="00333A1A" w:rsidRDefault="003D29C9">
      <w:pPr>
        <w:pStyle w:val="ListParagraph"/>
        <w:numPr>
          <w:ilvl w:val="0"/>
          <w:numId w:val="31"/>
        </w:numPr>
        <w:spacing w:after="120" w:line="240" w:lineRule="auto"/>
        <w:ind w:left="958" w:hanging="238"/>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A lack of targeting</w:t>
      </w:r>
      <w:r>
        <w:rPr>
          <w:rFonts w:ascii="Times New Roman" w:hAnsi="Times New Roman" w:cs="Times New Roman"/>
          <w:noProof/>
          <w:sz w:val="24"/>
          <w:szCs w:val="24"/>
        </w:rPr>
        <w:t xml:space="preserve">: in the dairy sector for example, in several MS a large share of dairy cows are eligible, sometimes to small amounts (like in FR and BE, below 30 EUR/head) questioning the usefulness of the scheme and sometimes to large </w:t>
      </w:r>
      <w:r>
        <w:rPr>
          <w:rFonts w:ascii="Times New Roman" w:hAnsi="Times New Roman" w:cs="Times New Roman"/>
          <w:noProof/>
          <w:sz w:val="24"/>
          <w:szCs w:val="24"/>
        </w:rPr>
        <w:t>amounts (like in CZ and HU) questioning in this case the proportionality of the scheme and the competitive advantage given to these producers. Similarly, in MS granting a coupled payment to sugar beet, generally all the area is eligible.</w:t>
      </w:r>
    </w:p>
    <w:p w:rsidR="00333A1A" w:rsidRDefault="003D29C9">
      <w:pPr>
        <w:pStyle w:val="ListParagraph"/>
        <w:numPr>
          <w:ilvl w:val="0"/>
          <w:numId w:val="31"/>
        </w:numPr>
        <w:spacing w:after="120" w:line="240" w:lineRule="auto"/>
        <w:ind w:left="958" w:hanging="238"/>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An </w:t>
      </w:r>
      <w:r>
        <w:rPr>
          <w:rFonts w:ascii="Times New Roman" w:hAnsi="Times New Roman" w:cs="Times New Roman"/>
          <w:b/>
          <w:noProof/>
          <w:sz w:val="24"/>
          <w:szCs w:val="24"/>
        </w:rPr>
        <w:t>impact on produ</w:t>
      </w:r>
      <w:r>
        <w:rPr>
          <w:rFonts w:ascii="Times New Roman" w:hAnsi="Times New Roman" w:cs="Times New Roman"/>
          <w:b/>
          <w:noProof/>
          <w:sz w:val="24"/>
          <w:szCs w:val="24"/>
        </w:rPr>
        <w:t>ction</w:t>
      </w:r>
      <w:r>
        <w:rPr>
          <w:rFonts w:ascii="Times New Roman" w:hAnsi="Times New Roman" w:cs="Times New Roman"/>
          <w:noProof/>
          <w:sz w:val="24"/>
          <w:szCs w:val="24"/>
        </w:rPr>
        <w:t>.</w:t>
      </w:r>
    </w:p>
    <w:p w:rsidR="00333A1A" w:rsidRDefault="003D29C9">
      <w:pPr>
        <w:pStyle w:val="ListParagraph"/>
        <w:numPr>
          <w:ilvl w:val="0"/>
          <w:numId w:val="31"/>
        </w:numPr>
        <w:spacing w:after="120" w:line="240" w:lineRule="auto"/>
        <w:ind w:left="958" w:hanging="238"/>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contradiction with a market oriented policy</w:t>
      </w:r>
      <w:r>
        <w:rPr>
          <w:rFonts w:ascii="Times New Roman" w:hAnsi="Times New Roman" w:cs="Times New Roman"/>
          <w:noProof/>
          <w:sz w:val="24"/>
          <w:szCs w:val="24"/>
        </w:rPr>
        <w:t xml:space="preserve">. The use of coupled support can be questioned when it is used, like in the sugar sector, to compensate for the lack of competitiveness of a whole country (and not a specific territory). Clearly, in such </w:t>
      </w:r>
      <w:r>
        <w:rPr>
          <w:rFonts w:ascii="Times New Roman" w:hAnsi="Times New Roman" w:cs="Times New Roman"/>
          <w:noProof/>
          <w:sz w:val="24"/>
          <w:szCs w:val="24"/>
        </w:rPr>
        <w:t>cases MS have put forward the social dimension of the support which helps keeping employment in the related processing industry, however without addressing the structural issue.</w:t>
      </w:r>
    </w:p>
    <w:p w:rsidR="00333A1A" w:rsidRDefault="003D29C9">
      <w:pPr>
        <w:pStyle w:val="ListParagraph"/>
        <w:numPr>
          <w:ilvl w:val="0"/>
          <w:numId w:val="31"/>
        </w:numPr>
        <w:spacing w:after="120" w:line="240" w:lineRule="auto"/>
        <w:ind w:left="958" w:hanging="238"/>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Competition issues</w:t>
      </w:r>
      <w:r>
        <w:rPr>
          <w:rFonts w:ascii="Times New Roman" w:hAnsi="Times New Roman" w:cs="Times New Roman"/>
          <w:noProof/>
          <w:sz w:val="24"/>
          <w:szCs w:val="24"/>
        </w:rPr>
        <w:t xml:space="preserve">. Coupled support introduces elements of unfair competition </w:t>
      </w:r>
      <w:r>
        <w:rPr>
          <w:rFonts w:ascii="Times New Roman" w:hAnsi="Times New Roman" w:cs="Times New Roman"/>
          <w:noProof/>
          <w:sz w:val="24"/>
          <w:szCs w:val="24"/>
        </w:rPr>
        <w:t>between MS. This can be illustrated with the coupled support granted to the sugar sector, where the aid granted in 2015 reached from 100 EUR/ha in FI to 800 EUR/ha in RO. In other words, in RO sugar beet growers received a coupled support of 20 EUR/t, whil</w:t>
      </w:r>
      <w:r>
        <w:rPr>
          <w:rFonts w:ascii="Times New Roman" w:hAnsi="Times New Roman" w:cs="Times New Roman"/>
          <w:noProof/>
          <w:sz w:val="24"/>
          <w:szCs w:val="24"/>
        </w:rPr>
        <w:t>e e.g. in BE where no VCS was granted, sugar beet growers signed contracts at 23 EUR/t. In addition, the CAPRI analysis shows that without support, RO would have produced 53% less.</w:t>
      </w:r>
    </w:p>
    <w:p w:rsidR="00333A1A" w:rsidRDefault="003D29C9">
      <w:pPr>
        <w:pStyle w:val="ListParagraph"/>
        <w:numPr>
          <w:ilvl w:val="0"/>
          <w:numId w:val="31"/>
        </w:numPr>
        <w:spacing w:line="240" w:lineRule="auto"/>
        <w:ind w:left="958" w:hanging="238"/>
        <w:jc w:val="both"/>
        <w:rPr>
          <w:rFonts w:ascii="Times New Roman" w:hAnsi="Times New Roman" w:cs="Times New Roman"/>
          <w:noProof/>
          <w:sz w:val="24"/>
          <w:szCs w:val="24"/>
        </w:rPr>
      </w:pPr>
      <w:r>
        <w:rPr>
          <w:rFonts w:ascii="Times New Roman" w:hAnsi="Times New Roman" w:cs="Times New Roman"/>
          <w:b/>
          <w:noProof/>
          <w:sz w:val="24"/>
          <w:szCs w:val="24"/>
        </w:rPr>
        <w:t>Disproportionate unit amounts</w:t>
      </w:r>
      <w:r>
        <w:rPr>
          <w:rFonts w:ascii="Times New Roman" w:hAnsi="Times New Roman" w:cs="Times New Roman"/>
          <w:noProof/>
          <w:sz w:val="24"/>
          <w:szCs w:val="24"/>
        </w:rPr>
        <w:t xml:space="preserve"> may be paid: this happens, in absence of any </w:t>
      </w:r>
      <w:r>
        <w:rPr>
          <w:rFonts w:ascii="Times New Roman" w:hAnsi="Times New Roman" w:cs="Times New Roman"/>
          <w:b/>
          <w:noProof/>
          <w:sz w:val="24"/>
          <w:szCs w:val="24"/>
        </w:rPr>
        <w:t>'safeguard'</w:t>
      </w:r>
      <w:r>
        <w:rPr>
          <w:rFonts w:ascii="Times New Roman" w:hAnsi="Times New Roman" w:cs="Times New Roman"/>
          <w:noProof/>
          <w:sz w:val="24"/>
          <w:szCs w:val="24"/>
        </w:rPr>
        <w:t>, when to avoid unspent funds MS increase the unitary level of aid when there is a drastically smaller number of applicants than planned.</w:t>
      </w:r>
    </w:p>
    <w:p w:rsidR="00333A1A" w:rsidRDefault="003D29C9">
      <w:pPr>
        <w:pStyle w:val="Text1"/>
        <w:spacing w:after="360"/>
        <w:ind w:left="0"/>
        <w:rPr>
          <w:noProof/>
        </w:rPr>
      </w:pPr>
      <w:r>
        <w:rPr>
          <w:noProof/>
          <w:szCs w:val="24"/>
        </w:rPr>
        <w:t>However, coupled support can address specific issues that the decoupled payment would otherwise leave unres</w:t>
      </w:r>
      <w:r>
        <w:rPr>
          <w:noProof/>
          <w:szCs w:val="24"/>
        </w:rPr>
        <w:t xml:space="preserve">olved. Coupled support could be limited and granted to sectors identified by MS as undergoing certain difficulties. </w:t>
      </w:r>
      <w:r>
        <w:rPr>
          <w:noProof/>
        </w:rPr>
        <w:t>This is why in options 4 and 5, coupled support was introduced to address some EU concerns. In option 3b, the possibility to grant coupled s</w:t>
      </w:r>
      <w:r>
        <w:rPr>
          <w:noProof/>
        </w:rPr>
        <w:t xml:space="preserve">upport was extended to sectors identified by MS as particularly important for social, economic, or environmental reasons, undergoing certain difficulties with the view to overcome these difficulties after a certain number of years. </w:t>
      </w:r>
    </w:p>
    <w:p w:rsidR="00333A1A" w:rsidRDefault="003D29C9">
      <w:pPr>
        <w:pStyle w:val="Heading2"/>
        <w:rPr>
          <w:noProof/>
        </w:rPr>
      </w:pPr>
      <w:bookmarkStart w:id="28" w:name="_Toc508208590"/>
      <w:bookmarkStart w:id="29" w:name="_Toc513053260"/>
      <w:bookmarkStart w:id="30" w:name="_Toc513053476"/>
      <w:bookmarkStart w:id="31" w:name="_Toc514514607"/>
      <w:r>
        <w:rPr>
          <w:noProof/>
        </w:rPr>
        <w:t>Increasing the environm</w:t>
      </w:r>
      <w:r>
        <w:rPr>
          <w:noProof/>
        </w:rPr>
        <w:t>ental and climatic benefits of the CAP</w:t>
      </w:r>
      <w:bookmarkEnd w:id="28"/>
      <w:bookmarkEnd w:id="29"/>
      <w:bookmarkEnd w:id="30"/>
      <w:bookmarkEnd w:id="31"/>
    </w:p>
    <w:p w:rsidR="00333A1A" w:rsidRDefault="003D29C9">
      <w:pPr>
        <w:pStyle w:val="Text1"/>
        <w:ind w:left="0"/>
        <w:rPr>
          <w:noProof/>
        </w:rPr>
      </w:pPr>
      <w:r>
        <w:rPr>
          <w:noProof/>
        </w:rPr>
        <w:t>It is proposed in the new green architecture to remove EU exemptions and thresholds. It implies that all the potentially eligible area will be under minimum conditionality. In addition, in the options where entitlemen</w:t>
      </w:r>
      <w:r>
        <w:rPr>
          <w:noProof/>
        </w:rPr>
        <w:t>ts can be removed (all except option 3b), the area covered by payments could increase and thus the area under conditionality (currently the area granted an aid is below 90% of the UAA). However, in this modelling exercise some exemptions were introduced to</w:t>
      </w:r>
      <w:r>
        <w:rPr>
          <w:noProof/>
        </w:rPr>
        <w:t xml:space="preserve"> avoid overestimating effects of some requirements.</w:t>
      </w:r>
    </w:p>
    <w:p w:rsidR="00333A1A" w:rsidRDefault="003D29C9">
      <w:pPr>
        <w:pStyle w:val="Heading3"/>
        <w:rPr>
          <w:noProof/>
        </w:rPr>
      </w:pPr>
      <w:bookmarkStart w:id="32" w:name="_Toc508208591"/>
      <w:r>
        <w:rPr>
          <w:noProof/>
        </w:rPr>
        <w:t>Contribute to climate change mitigation &amp; adaptation</w:t>
      </w:r>
      <w:bookmarkEnd w:id="32"/>
    </w:p>
    <w:p w:rsidR="00333A1A" w:rsidRDefault="003D29C9">
      <w:pPr>
        <w:pStyle w:val="Text1"/>
        <w:ind w:left="0"/>
        <w:rPr>
          <w:b/>
          <w:noProof/>
        </w:rPr>
      </w:pPr>
      <w:r>
        <w:rPr>
          <w:b/>
          <w:noProof/>
        </w:rPr>
        <w:t>Reduce GHG emissions</w:t>
      </w:r>
    </w:p>
    <w:p w:rsidR="00333A1A" w:rsidRDefault="003D29C9">
      <w:pPr>
        <w:spacing w:after="240" w:line="240" w:lineRule="auto"/>
        <w:jc w:val="both"/>
        <w:rPr>
          <w:noProof/>
        </w:rPr>
      </w:pPr>
      <w:r>
        <w:rPr>
          <w:rFonts w:ascii="Times New Roman" w:hAnsi="Times New Roman" w:cs="Times New Roman"/>
          <w:noProof/>
          <w:sz w:val="24"/>
          <w:szCs w:val="24"/>
        </w:rPr>
        <w:t>Previous</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analysis shows that there is a need to give a dedicated </w:t>
      </w:r>
      <w:r>
        <w:rPr>
          <w:rFonts w:ascii="Times New Roman" w:hAnsi="Times New Roman" w:cs="Times New Roman"/>
          <w:b/>
          <w:noProof/>
          <w:sz w:val="24"/>
          <w:szCs w:val="24"/>
        </w:rPr>
        <w:t>incentive to farmers</w:t>
      </w:r>
      <w:r>
        <w:rPr>
          <w:rFonts w:ascii="Times New Roman" w:hAnsi="Times New Roman" w:cs="Times New Roman"/>
          <w:noProof/>
          <w:sz w:val="24"/>
          <w:szCs w:val="24"/>
        </w:rPr>
        <w:t xml:space="preserve"> in order to reduce GHG emissions. The ECAMPA</w:t>
      </w:r>
      <w:r>
        <w:rPr>
          <w:rFonts w:ascii="Times New Roman" w:hAnsi="Times New Roman" w:cs="Times New Roman"/>
          <w:noProof/>
          <w:sz w:val="24"/>
          <w:szCs w:val="24"/>
        </w:rPr>
        <w:t xml:space="preserve"> project (see Box 1) showed that, in the absence of a compulsory emission reduction target for agriculture, a subsidy covering 80% of the costs of mitigation technologies, could deliver significant non-CO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 reductions, with little negative impact o</w:t>
      </w:r>
      <w:r>
        <w:rPr>
          <w:rFonts w:ascii="Times New Roman" w:hAnsi="Times New Roman" w:cs="Times New Roman"/>
          <w:noProof/>
          <w:sz w:val="24"/>
          <w:szCs w:val="24"/>
        </w:rPr>
        <w:t>n EU production. However, this measure would come along with considerable budgetary and unitary costs if farmers are projected to widely adopt the technologies, estimated at around the current total pillar II envelope. The fact that such incentives are not</w:t>
      </w:r>
      <w:r>
        <w:rPr>
          <w:rFonts w:ascii="Times New Roman" w:hAnsi="Times New Roman" w:cs="Times New Roman"/>
          <w:noProof/>
          <w:sz w:val="24"/>
          <w:szCs w:val="24"/>
        </w:rPr>
        <w:t xml:space="preserve"> explicitly included in the present analysis</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(also because of its budget-neutral assumption) explains why only small </w:t>
      </w:r>
      <w:r>
        <w:rPr>
          <w:rFonts w:ascii="Times New Roman" w:hAnsi="Times New Roman" w:cs="Times New Roman"/>
          <w:b/>
          <w:noProof/>
          <w:sz w:val="24"/>
          <w:szCs w:val="24"/>
        </w:rPr>
        <w:t>reductions in</w:t>
      </w:r>
      <w:r>
        <w:rPr>
          <w:rFonts w:ascii="Times New Roman" w:hAnsi="Times New Roman" w:cs="Times New Roman"/>
          <w:noProof/>
          <w:sz w:val="24"/>
          <w:szCs w:val="24"/>
        </w:rPr>
        <w:t xml:space="preserve"> non CO</w:t>
      </w:r>
      <w:r>
        <w:rPr>
          <w:rFonts w:ascii="Times New Roman" w:hAnsi="Times New Roman" w:cs="Times New Roman"/>
          <w:noProof/>
          <w:sz w:val="24"/>
          <w:szCs w:val="24"/>
          <w:vertAlign w:val="subscript"/>
        </w:rPr>
        <w:t>2</w:t>
      </w:r>
      <w:r>
        <w:rPr>
          <w:rFonts w:ascii="Times New Roman" w:hAnsi="Times New Roman" w:cs="Times New Roman"/>
          <w:b/>
          <w:noProof/>
          <w:sz w:val="24"/>
          <w:szCs w:val="24"/>
        </w:rPr>
        <w:t xml:space="preserve"> emissions</w:t>
      </w:r>
      <w:r>
        <w:rPr>
          <w:rFonts w:ascii="Times New Roman" w:hAnsi="Times New Roman" w:cs="Times New Roman"/>
          <w:noProof/>
          <w:sz w:val="24"/>
          <w:szCs w:val="24"/>
        </w:rPr>
        <w:t xml:space="preserve"> compared to baseline are reached in this assessment. </w:t>
      </w:r>
    </w:p>
    <w:p w:rsidR="00333A1A" w:rsidRDefault="003D29C9">
      <w:pPr>
        <w:spacing w:before="20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this assessment is an underestimation o</w:t>
      </w:r>
      <w:r>
        <w:rPr>
          <w:rFonts w:ascii="Times New Roman" w:hAnsi="Times New Roman" w:cs="Times New Roman"/>
          <w:noProof/>
          <w:sz w:val="24"/>
          <w:szCs w:val="24"/>
        </w:rPr>
        <w:t xml:space="preserve">f potential GHG emissions reduction because the impacts of land use change and carbon sequestration are not fully captured in the CAPRI model. However, the model accounts for changes in livestock diets and for the adoption of some mitigation technologies. </w:t>
      </w:r>
      <w:r>
        <w:rPr>
          <w:rFonts w:ascii="Times New Roman" w:hAnsi="Times New Roman" w:cs="Times New Roman"/>
          <w:noProof/>
          <w:sz w:val="24"/>
          <w:szCs w:val="24"/>
        </w:rPr>
        <w:t>The potential impact of targeted measures and other effects to reduce GHG emissions that could not be covered by quantitative modelling were taken on board in the different options of the MCA analysis (section 3.2.4.1).</w:t>
      </w:r>
    </w:p>
    <w:p w:rsidR="00333A1A" w:rsidRDefault="003D29C9">
      <w:pPr>
        <w:pStyle w:val="Text1"/>
        <w:ind w:left="0"/>
        <w:rPr>
          <w:noProof/>
          <w:szCs w:val="24"/>
        </w:rPr>
      </w:pPr>
      <w:r>
        <w:rPr>
          <w:noProof/>
        </w:rPr>
        <w:t>The budget cut (Post Brexit) implies</w:t>
      </w:r>
      <w:r>
        <w:rPr>
          <w:noProof/>
        </w:rPr>
        <w:t xml:space="preserve"> a 0.1% reduction of GHG emissions compared to baseline. In addition, all options show a small decrease of non-CO</w:t>
      </w:r>
      <w:r>
        <w:rPr>
          <w:noProof/>
          <w:vertAlign w:val="subscript"/>
        </w:rPr>
        <w:t>2</w:t>
      </w:r>
      <w:r>
        <w:rPr>
          <w:noProof/>
        </w:rPr>
        <w:t xml:space="preserve"> GHG emissions, ranging between 0.6% and 1.6%. Between 34% (4b) and 50% (4a) of the reduction comes from direct N</w:t>
      </w:r>
      <w:r>
        <w:rPr>
          <w:noProof/>
          <w:vertAlign w:val="subscript"/>
        </w:rPr>
        <w:t>2</w:t>
      </w:r>
      <w:r>
        <w:rPr>
          <w:noProof/>
        </w:rPr>
        <w:t xml:space="preserve">0 emissions from the </w:t>
      </w:r>
      <w:r>
        <w:rPr>
          <w:noProof/>
        </w:rPr>
        <w:t>application of mineral fertilisers, followed by 22% (4a) to 36% (4b) from methane emissions from enteric fermentation</w:t>
      </w:r>
      <w:r>
        <w:rPr>
          <w:noProof/>
          <w:szCs w:val="24"/>
        </w:rPr>
        <w:t xml:space="preserve">. </w:t>
      </w:r>
      <w:r>
        <w:rPr>
          <w:noProof/>
        </w:rPr>
        <w:t>Even though the difference in impact between the options in terms of non-CO</w:t>
      </w:r>
      <w:r>
        <w:rPr>
          <w:noProof/>
          <w:vertAlign w:val="subscript"/>
        </w:rPr>
        <w:t>2</w:t>
      </w:r>
      <w:r>
        <w:rPr>
          <w:noProof/>
        </w:rPr>
        <w:t xml:space="preserve"> GHG mitigation is a factor of three, this represents only be</w:t>
      </w:r>
      <w:r>
        <w:rPr>
          <w:noProof/>
        </w:rPr>
        <w:t>tween 2.6 and 7 million t CO</w:t>
      </w:r>
      <w:r>
        <w:rPr>
          <w:noProof/>
          <w:vertAlign w:val="subscript"/>
        </w:rPr>
        <w:t xml:space="preserve">2 </w:t>
      </w:r>
      <w:r>
        <w:rPr>
          <w:noProof/>
        </w:rPr>
        <w:t>eq/year.</w:t>
      </w:r>
      <w:r>
        <w:rPr>
          <w:noProof/>
          <w:szCs w:val="24"/>
        </w:rPr>
        <w:t xml:space="preserve"> </w:t>
      </w:r>
    </w:p>
    <w:p w:rsidR="00333A1A" w:rsidRDefault="003D29C9">
      <w:pPr>
        <w:spacing w:before="20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drivers for the reduction in non-CO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are the introduction of a tool for nutrient management with reduction targets of N-surplus. As the reduction target of the NMP is higher in option 3a and 4a com</w:t>
      </w:r>
      <w:r>
        <w:rPr>
          <w:rFonts w:ascii="Times New Roman" w:hAnsi="Times New Roman" w:cs="Times New Roman"/>
          <w:noProof/>
          <w:sz w:val="24"/>
          <w:szCs w:val="24"/>
        </w:rPr>
        <w:t xml:space="preserve">pared to the other options, it is quite logical that these scenarios show the biggest reductions in terms of GHG emissions. </w:t>
      </w:r>
    </w:p>
    <w:p w:rsidR="00333A1A" w:rsidRDefault="003D29C9">
      <w:pPr>
        <w:spacing w:before="20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Farmers may react to these reduction targets via production changes but also via the implementation of mitigation technologies. Aro</w:t>
      </w:r>
      <w:r>
        <w:rPr>
          <w:rFonts w:ascii="Times New Roman" w:hAnsi="Times New Roman" w:cs="Times New Roman"/>
          <w:noProof/>
          <w:sz w:val="24"/>
          <w:szCs w:val="24"/>
        </w:rPr>
        <w:t>und 56% of the total reduction in GHG emissions is achieved via mitigation technologies in option 4a, while it is around 25%-45% in the other options. The major part of the reduction is due to precision farming and the use of nitrification inhibitors out o</w:t>
      </w:r>
      <w:r>
        <w:rPr>
          <w:rFonts w:ascii="Times New Roman" w:hAnsi="Times New Roman" w:cs="Times New Roman"/>
          <w:noProof/>
          <w:sz w:val="24"/>
          <w:szCs w:val="24"/>
        </w:rPr>
        <w:t>f four farming practices. The results show as well that there is no adoption of other mitigation technologies in absence of any other incentive directly targeting non-CO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mitigation technologies. It should be noted that in the ECAMPA2 study</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(see also Box </w:t>
      </w:r>
      <w:r>
        <w:rPr>
          <w:rFonts w:ascii="Times New Roman" w:hAnsi="Times New Roman" w:cs="Times New Roman"/>
          <w:noProof/>
          <w:sz w:val="24"/>
          <w:szCs w:val="24"/>
        </w:rPr>
        <w:t>1), a scenario with a subsidy covering 80% of the costs of mitigation technologies but no compulsory emission reduction target for agriculture, delivered about 13.5% of non-CO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 reductions by 2030 compared to 2005, with little negative impact on EU</w:t>
      </w:r>
      <w:r>
        <w:rPr>
          <w:rFonts w:ascii="Times New Roman" w:hAnsi="Times New Roman" w:cs="Times New Roman"/>
          <w:noProof/>
          <w:sz w:val="24"/>
          <w:szCs w:val="24"/>
        </w:rPr>
        <w:t xml:space="preserve"> production. </w:t>
      </w:r>
    </w:p>
    <w:p w:rsidR="00333A1A" w:rsidRDefault="003D29C9">
      <w:pPr>
        <w:pBdr>
          <w:top w:val="single" w:sz="4" w:space="1" w:color="auto"/>
          <w:left w:val="single" w:sz="4" w:space="4" w:color="auto"/>
          <w:bottom w:val="single" w:sz="4" w:space="1" w:color="auto"/>
          <w:right w:val="single" w:sz="4" w:space="4" w:color="auto"/>
        </w:pBdr>
        <w:spacing w:before="200" w:after="120" w:line="240" w:lineRule="auto"/>
        <w:jc w:val="both"/>
        <w:rPr>
          <w:rFonts w:ascii="Times New Roman" w:eastAsiaTheme="majorEastAsia" w:hAnsi="Times New Roman" w:cs="Times New Roman"/>
          <w:b/>
          <w:i/>
          <w:iCs/>
          <w:noProof/>
          <w:szCs w:val="24"/>
        </w:rPr>
      </w:pPr>
      <w:r>
        <w:rPr>
          <w:rFonts w:ascii="Times New Roman" w:eastAsiaTheme="majorEastAsia" w:hAnsi="Times New Roman" w:cs="Times New Roman"/>
          <w:b/>
          <w:i/>
          <w:iCs/>
          <w:noProof/>
          <w:szCs w:val="24"/>
        </w:rPr>
        <w:t>Box 1: What's the potential of GHG emission mitigation in agriculture?</w:t>
      </w:r>
    </w:p>
    <w:p w:rsidR="00333A1A" w:rsidRDefault="003D29C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both"/>
        <w:rPr>
          <w:rFonts w:ascii="Times New Roman" w:hAnsi="Times New Roman" w:cs="Times New Roman"/>
          <w:noProof/>
          <w:color w:val="000000"/>
          <w:szCs w:val="24"/>
        </w:rPr>
      </w:pPr>
      <w:r>
        <w:rPr>
          <w:rFonts w:ascii="Times New Roman" w:hAnsi="Times New Roman" w:cs="Times New Roman"/>
          <w:noProof/>
          <w:color w:val="000000"/>
          <w:szCs w:val="24"/>
        </w:rPr>
        <w:t>The options considered in this impact assessment do not include specific GHG emission reduction targets or policy obligations to mitigate GHG emissions from EU agriculture</w:t>
      </w:r>
      <w:r>
        <w:rPr>
          <w:rStyle w:val="FootnoteReference"/>
          <w:rFonts w:ascii="Times New Roman" w:hAnsi="Times New Roman" w:cs="Times New Roman"/>
          <w:noProof/>
          <w:color w:val="000000"/>
          <w:szCs w:val="24"/>
        </w:rPr>
        <w:footnoteReference w:id="28"/>
      </w:r>
      <w:r>
        <w:rPr>
          <w:rFonts w:ascii="Times New Roman" w:hAnsi="Times New Roman" w:cs="Times New Roman"/>
          <w:noProof/>
          <w:color w:val="000000"/>
          <w:szCs w:val="24"/>
        </w:rPr>
        <w:t>. While the possibility for uptake of emission mitigation technologies is considered in the quantitative analysis, adoption by farmers is low (see section 2.2.1), which explains why the GHG emissions reduction achieved in the different policy options is l</w:t>
      </w:r>
      <w:r>
        <w:rPr>
          <w:rFonts w:ascii="Times New Roman" w:hAnsi="Times New Roman" w:cs="Times New Roman"/>
          <w:noProof/>
          <w:color w:val="000000"/>
          <w:szCs w:val="24"/>
        </w:rPr>
        <w:t>imited. This is in line with the main findings of the EcAMPA 2 study (Pérez Domínguez et al., 2016</w:t>
      </w:r>
      <w:r>
        <w:rPr>
          <w:rStyle w:val="FootnoteReference"/>
          <w:rFonts w:ascii="Times New Roman" w:hAnsi="Times New Roman" w:cs="Times New Roman"/>
          <w:noProof/>
          <w:color w:val="000000"/>
          <w:szCs w:val="24"/>
        </w:rPr>
        <w:footnoteReference w:id="29"/>
      </w:r>
      <w:r>
        <w:rPr>
          <w:rFonts w:ascii="Times New Roman" w:hAnsi="Times New Roman" w:cs="Times New Roman"/>
          <w:noProof/>
          <w:color w:val="000000"/>
          <w:szCs w:val="24"/>
        </w:rPr>
        <w:t xml:space="preserve">), which shows that adoption of mitigation technologies in the agricultural sector is unlikely to happen at a large scale without additional incentives. </w:t>
      </w:r>
    </w:p>
    <w:p w:rsidR="00333A1A" w:rsidRDefault="003D29C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both"/>
        <w:rPr>
          <w:rFonts w:ascii="Times New Roman" w:hAnsi="Times New Roman" w:cs="Times New Roman"/>
          <w:noProof/>
          <w:color w:val="000000"/>
          <w:szCs w:val="24"/>
        </w:rPr>
      </w:pPr>
      <w:r>
        <w:rPr>
          <w:rFonts w:ascii="Times New Roman" w:hAnsi="Times New Roman" w:cs="Times New Roman"/>
          <w:noProof/>
          <w:color w:val="000000"/>
          <w:szCs w:val="24"/>
        </w:rPr>
        <w:t xml:space="preserve">In </w:t>
      </w:r>
      <w:r>
        <w:rPr>
          <w:rFonts w:ascii="Times New Roman" w:hAnsi="Times New Roman" w:cs="Times New Roman"/>
          <w:noProof/>
          <w:color w:val="000000"/>
          <w:szCs w:val="24"/>
        </w:rPr>
        <w:t xml:space="preserve">the EcAMPA 2 study, the role of emission targets and subsidies for the uptake of technological (i.e. technical and management-based) mitigation options was specifically addressed with the CAPRI model for year 2030. The study examined the impacts of policy </w:t>
      </w:r>
      <w:r>
        <w:rPr>
          <w:rFonts w:ascii="Times New Roman" w:hAnsi="Times New Roman" w:cs="Times New Roman"/>
          <w:noProof/>
          <w:color w:val="000000"/>
          <w:szCs w:val="24"/>
        </w:rPr>
        <w:t>instruments directly targeting non-CO</w:t>
      </w:r>
      <w:r>
        <w:rPr>
          <w:rFonts w:ascii="Times New Roman" w:hAnsi="Times New Roman" w:cs="Times New Roman"/>
          <w:noProof/>
          <w:color w:val="000000"/>
          <w:szCs w:val="24"/>
          <w:vertAlign w:val="subscript"/>
        </w:rPr>
        <w:t>2</w:t>
      </w:r>
      <w:r>
        <w:rPr>
          <w:rFonts w:ascii="Times New Roman" w:hAnsi="Times New Roman" w:cs="Times New Roman"/>
          <w:noProof/>
          <w:color w:val="000000"/>
          <w:szCs w:val="24"/>
        </w:rPr>
        <w:t xml:space="preserve"> GHG emission reductions in the EU agricultural sector, concluding that without further policy incentives, EU-28 agricultural GHG emissions would decrease by about 2.3 % by 2030 compared with 2005. EU agricultural production would be significantly reduced </w:t>
      </w:r>
      <w:r>
        <w:rPr>
          <w:rFonts w:ascii="Times New Roman" w:hAnsi="Times New Roman" w:cs="Times New Roman"/>
          <w:noProof/>
          <w:color w:val="000000"/>
          <w:szCs w:val="24"/>
        </w:rPr>
        <w:t>if the sector was to deliver a -20% emission reduction without including subsidies for the adoption of mitigation technologies. Livestock herds would be substantially affected, especially cattle for beef production. Negative production impacts of a mitigat</w:t>
      </w:r>
      <w:r>
        <w:rPr>
          <w:rFonts w:ascii="Times New Roman" w:hAnsi="Times New Roman" w:cs="Times New Roman"/>
          <w:noProof/>
          <w:color w:val="000000"/>
          <w:szCs w:val="24"/>
        </w:rPr>
        <w:t>ion target would be more limited if</w:t>
      </w:r>
      <w:r>
        <w:rPr>
          <w:rFonts w:ascii="Times New Roman" w:hAnsi="Times New Roman" w:cs="Times New Roman"/>
          <w:iCs/>
          <w:noProof/>
          <w:color w:val="000000"/>
          <w:szCs w:val="24"/>
        </w:rPr>
        <w:t xml:space="preserve"> the implementation of emission mitigation technologies by farmers would be subsidised</w:t>
      </w:r>
      <w:r>
        <w:rPr>
          <w:rFonts w:ascii="Times New Roman" w:hAnsi="Times New Roman" w:cs="Times New Roman"/>
          <w:noProof/>
          <w:szCs w:val="24"/>
        </w:rPr>
        <w:t>. Furthermore, the study showed that considerable emission reductions could also be achieved when including subsidies for emission tech</w:t>
      </w:r>
      <w:r>
        <w:rPr>
          <w:rFonts w:ascii="Times New Roman" w:hAnsi="Times New Roman" w:cs="Times New Roman"/>
          <w:noProof/>
          <w:szCs w:val="24"/>
        </w:rPr>
        <w:t xml:space="preserve">nologies without a specific emission target. In this case, emissions would decrease by about 13.5% compared to 2005, without negative impacts for EU agricultural production. However, EcAMPA 2 showed that the subsidies payed in the scenarios would lead to </w:t>
      </w:r>
      <w:r>
        <w:rPr>
          <w:rFonts w:ascii="Times New Roman" w:hAnsi="Times New Roman" w:cs="Times New Roman"/>
          <w:iCs/>
          <w:noProof/>
          <w:color w:val="000000"/>
          <w:szCs w:val="24"/>
        </w:rPr>
        <w:t>a</w:t>
      </w:r>
      <w:r>
        <w:rPr>
          <w:rFonts w:ascii="Times New Roman" w:hAnsi="Times New Roman" w:cs="Times New Roman"/>
          <w:iCs/>
          <w:noProof/>
          <w:color w:val="000000"/>
          <w:szCs w:val="24"/>
        </w:rPr>
        <w:t>dditional budgetary costs between 12.7 and 15.6 billion EUR (188 - 278 EUR/t CO</w:t>
      </w:r>
      <w:r>
        <w:rPr>
          <w:rFonts w:ascii="Times New Roman" w:hAnsi="Times New Roman" w:cs="Times New Roman"/>
          <w:iCs/>
          <w:noProof/>
          <w:color w:val="000000"/>
          <w:szCs w:val="24"/>
          <w:vertAlign w:val="subscript"/>
        </w:rPr>
        <w:t>2</w:t>
      </w:r>
      <w:r>
        <w:rPr>
          <w:rFonts w:ascii="Times New Roman" w:hAnsi="Times New Roman" w:cs="Times New Roman"/>
          <w:iCs/>
          <w:noProof/>
          <w:color w:val="000000"/>
          <w:szCs w:val="24"/>
        </w:rPr>
        <w:t xml:space="preserve"> eq mitigated) depending on the scenario setting (i.e. voluntary vs. mandatory adoption modalities, cost and number of technologies available, etc.).</w:t>
      </w:r>
    </w:p>
    <w:p w:rsidR="00333A1A" w:rsidRDefault="003D29C9">
      <w:pPr>
        <w:keepNext/>
        <w:pBdr>
          <w:top w:val="single" w:sz="4" w:space="1" w:color="auto"/>
          <w:left w:val="single" w:sz="4" w:space="4" w:color="auto"/>
          <w:bottom w:val="single" w:sz="4" w:space="1" w:color="auto"/>
          <w:right w:val="single" w:sz="4" w:space="4" w:color="auto"/>
        </w:pBdr>
        <w:spacing w:before="120" w:after="0" w:line="240" w:lineRule="auto"/>
        <w:rPr>
          <w:rFonts w:ascii="Times New Roman" w:eastAsiaTheme="majorEastAsia" w:hAnsi="Times New Roman" w:cs="Times New Roman"/>
          <w:b/>
          <w:iCs/>
          <w:noProof/>
          <w:szCs w:val="24"/>
        </w:rPr>
      </w:pPr>
      <w:r>
        <w:rPr>
          <w:rFonts w:ascii="Times New Roman" w:hAnsi="Times New Roman" w:cs="Times New Roman"/>
          <w:b/>
          <w:noProof/>
          <w:szCs w:val="20"/>
        </w:rPr>
        <w:t xml:space="preserve">Graph </w:t>
      </w:r>
      <w:r>
        <w:rPr>
          <w:rFonts w:ascii="Times New Roman" w:hAnsi="Times New Roman" w:cs="Times New Roman"/>
          <w:b/>
          <w:bCs/>
          <w:noProof/>
          <w:szCs w:val="20"/>
        </w:rPr>
        <w:fldChar w:fldCharType="begin"/>
      </w:r>
      <w:r>
        <w:rPr>
          <w:rFonts w:ascii="Times New Roman" w:hAnsi="Times New Roman" w:cs="Times New Roman"/>
          <w:b/>
          <w:noProof/>
          <w:szCs w:val="20"/>
        </w:rPr>
        <w:instrText xml:space="preserve"> STYLEREF 1 \s </w:instrText>
      </w:r>
      <w:r>
        <w:rPr>
          <w:rFonts w:ascii="Times New Roman" w:hAnsi="Times New Roman" w:cs="Times New Roman"/>
          <w:b/>
          <w:bCs/>
          <w:noProof/>
          <w:szCs w:val="20"/>
        </w:rPr>
        <w:fldChar w:fldCharType="separate"/>
      </w:r>
      <w:r>
        <w:rPr>
          <w:rFonts w:ascii="Times New Roman" w:hAnsi="Times New Roman" w:cs="Times New Roman"/>
          <w:b/>
          <w:noProof/>
          <w:szCs w:val="20"/>
        </w:rPr>
        <w:t>2</w:t>
      </w:r>
      <w:r>
        <w:rPr>
          <w:rFonts w:ascii="Times New Roman" w:hAnsi="Times New Roman" w:cs="Times New Roman"/>
          <w:b/>
          <w:bCs/>
          <w:noProof/>
          <w:szCs w:val="20"/>
        </w:rPr>
        <w:fldChar w:fldCharType="end"/>
      </w:r>
      <w:r>
        <w:rPr>
          <w:rFonts w:ascii="Times New Roman" w:hAnsi="Times New Roman" w:cs="Times New Roman"/>
          <w:b/>
          <w:noProof/>
          <w:szCs w:val="20"/>
        </w:rPr>
        <w:t>.</w:t>
      </w:r>
      <w:r>
        <w:rPr>
          <w:rFonts w:ascii="Times New Roman" w:hAnsi="Times New Roman" w:cs="Times New Roman"/>
          <w:b/>
          <w:noProof/>
          <w:szCs w:val="20"/>
        </w:rPr>
        <w:t>11</w:t>
      </w:r>
      <w:r>
        <w:rPr>
          <w:rFonts w:ascii="Times New Roman" w:eastAsiaTheme="majorEastAsia" w:hAnsi="Times New Roman" w:cs="Times New Roman"/>
          <w:b/>
          <w:iCs/>
          <w:noProof/>
          <w:szCs w:val="24"/>
        </w:rPr>
        <w:t>: Contribution of each technology to total mitigation (EU-28, 2030)</w:t>
      </w:r>
    </w:p>
    <w:p w:rsidR="00333A1A" w:rsidRDefault="003D29C9">
      <w:pPr>
        <w:pBdr>
          <w:top w:val="single" w:sz="4" w:space="1" w:color="auto"/>
          <w:left w:val="single" w:sz="4" w:space="4" w:color="auto"/>
          <w:bottom w:val="single" w:sz="4" w:space="1" w:color="auto"/>
          <w:right w:val="single" w:sz="4" w:space="4" w:color="auto"/>
        </w:pBdr>
        <w:spacing w:after="0" w:line="240" w:lineRule="auto"/>
        <w:jc w:val="center"/>
        <w:rPr>
          <w:rFonts w:eastAsiaTheme="majorEastAsia"/>
          <w:b/>
          <w:i/>
          <w:iCs/>
          <w:noProof/>
          <w:szCs w:val="28"/>
        </w:rPr>
      </w:pPr>
      <w:r>
        <w:rPr>
          <w:noProof/>
          <w:lang w:eastAsia="en-GB"/>
        </w:rPr>
        <w:drawing>
          <wp:inline distT="0" distB="0" distL="0" distR="0" wp14:anchorId="22E186F7" wp14:editId="4103656E">
            <wp:extent cx="3784600" cy="226904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2924" cy="2268043"/>
                    </a:xfrm>
                    <a:prstGeom prst="rect">
                      <a:avLst/>
                    </a:prstGeom>
                    <a:noFill/>
                    <a:ln>
                      <a:noFill/>
                    </a:ln>
                  </pic:spPr>
                </pic:pic>
              </a:graphicData>
            </a:graphic>
          </wp:inline>
        </w:drawing>
      </w:r>
    </w:p>
    <w:p w:rsidR="00333A1A" w:rsidRDefault="003D29C9">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b/>
          <w:noProof/>
          <w:sz w:val="18"/>
          <w:szCs w:val="18"/>
        </w:rPr>
      </w:pPr>
      <w:r>
        <w:rPr>
          <w:rFonts w:ascii="Times New Roman" w:eastAsia="Calibri" w:hAnsi="Times New Roman" w:cs="Times New Roman"/>
          <w:noProof/>
          <w:sz w:val="18"/>
          <w:szCs w:val="18"/>
          <w:lang w:val="fr-FR"/>
        </w:rPr>
        <w:t xml:space="preserve">Source: Pérez Domínguez et al. </w:t>
      </w:r>
      <w:r>
        <w:rPr>
          <w:rFonts w:ascii="Times New Roman" w:eastAsia="Calibri" w:hAnsi="Times New Roman" w:cs="Times New Roman"/>
          <w:noProof/>
          <w:sz w:val="18"/>
          <w:szCs w:val="18"/>
        </w:rPr>
        <w:t xml:space="preserve">(2016). HET20 = Compulsory 20% mitigation target for EU-28 agriculture, cost-effective allocation by MS; SUB80V_20 = same as HET20, but with 80% subsidy for the voluntary application of mitigation </w:t>
      </w:r>
    </w:p>
    <w:p w:rsidR="00333A1A" w:rsidRDefault="00333A1A">
      <w:pPr>
        <w:spacing w:after="240" w:line="240" w:lineRule="auto"/>
        <w:jc w:val="both"/>
        <w:rPr>
          <w:rFonts w:ascii="Times New Roman" w:hAnsi="Times New Roman" w:cs="Times New Roman"/>
          <w:noProof/>
          <w:sz w:val="24"/>
          <w:szCs w:val="24"/>
        </w:rPr>
      </w:pPr>
    </w:p>
    <w:p w:rsidR="00333A1A" w:rsidRDefault="003D29C9">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positive effect of a reduction in GHG emissions is </w:t>
      </w:r>
      <w:r>
        <w:rPr>
          <w:rFonts w:ascii="Times New Roman" w:hAnsi="Times New Roman" w:cs="Times New Roman"/>
          <w:noProof/>
          <w:sz w:val="24"/>
          <w:szCs w:val="24"/>
        </w:rPr>
        <w:t>partly offset by emission leakage, meaning increased emissions outside the EU, to produce agricultural products to be imported into the EU or to replace EU exports. Between 35% and 75% of the GHG emission savings are substituted by additional emissions out</w:t>
      </w:r>
      <w:r>
        <w:rPr>
          <w:rFonts w:ascii="Times New Roman" w:hAnsi="Times New Roman" w:cs="Times New Roman"/>
          <w:noProof/>
          <w:sz w:val="24"/>
          <w:szCs w:val="24"/>
        </w:rPr>
        <w:t>side the EU (the so-called leakage). This effect is the strongest in option 3a due to the strong decline of EU beef production replaced by imports from less efficient regions in terms of GHG emissions/kg of product</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based on the historical emissions effici</w:t>
      </w:r>
      <w:r>
        <w:rPr>
          <w:rFonts w:ascii="Times New Roman" w:hAnsi="Times New Roman" w:cs="Times New Roman"/>
          <w:noProof/>
          <w:sz w:val="24"/>
          <w:szCs w:val="24"/>
        </w:rPr>
        <w:t>ency trends as the exact impact of the Paris Agreement in different parts of the world is yet unclear. In general, all measures that lead to production drops imply a reduction in gross GHG emissions. However, only a change in human consumption will transla</w:t>
      </w:r>
      <w:r>
        <w:rPr>
          <w:rFonts w:ascii="Times New Roman" w:hAnsi="Times New Roman" w:cs="Times New Roman"/>
          <w:noProof/>
          <w:sz w:val="24"/>
          <w:szCs w:val="24"/>
        </w:rPr>
        <w:t xml:space="preserve">te into an actual reduction of GHG emissions worldwide (i.e. to avoid leakage). </w:t>
      </w:r>
    </w:p>
    <w:p w:rsidR="00333A1A" w:rsidRDefault="003D29C9">
      <w:pPr>
        <w:spacing w:before="20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average results hide diverging impacts at national and regional level due to the prevailing farming systems in the baseline. Another explanatory element is the implement</w:t>
      </w:r>
      <w:r>
        <w:rPr>
          <w:rFonts w:ascii="Times New Roman" w:hAnsi="Times New Roman" w:cs="Times New Roman"/>
          <w:noProof/>
          <w:sz w:val="24"/>
          <w:szCs w:val="24"/>
        </w:rPr>
        <w:t>ation of the tool for nutrient management assuming that regions with a high livestock density need to reduce the nitrogen surplus with a higher percentage than regions with a lower nitrogen surplus.</w:t>
      </w:r>
    </w:p>
    <w:p w:rsidR="00333A1A" w:rsidRDefault="003D29C9">
      <w:pPr>
        <w:keepNext/>
        <w:keepLines/>
        <w:spacing w:after="0"/>
        <w:rPr>
          <w:rFonts w:ascii="Times New Roman" w:hAnsi="Times New Roman" w:cs="Times New Roman"/>
          <w:b/>
          <w:noProof/>
        </w:rPr>
      </w:pPr>
      <w:r>
        <w:rPr>
          <w:rFonts w:ascii="Times New Roman" w:hAnsi="Times New Roman" w:cs="Times New Roman"/>
          <w:b/>
          <w:noProof/>
        </w:rPr>
        <w:t xml:space="preserve">Table 2.12: Relative contribution of emission categories </w:t>
      </w:r>
      <w:r>
        <w:rPr>
          <w:rFonts w:ascii="Times New Roman" w:hAnsi="Times New Roman" w:cs="Times New Roman"/>
          <w:b/>
          <w:noProof/>
        </w:rPr>
        <w:t>to total emission reduction (%) in the different options</w:t>
      </w:r>
    </w:p>
    <w:tbl>
      <w:tblPr>
        <w:tblStyle w:val="TableGrid"/>
        <w:tblW w:w="5000" w:type="pct"/>
        <w:tblLook w:val="04A0" w:firstRow="1" w:lastRow="0" w:firstColumn="1" w:lastColumn="0" w:noHBand="0" w:noVBand="1"/>
      </w:tblPr>
      <w:tblGrid>
        <w:gridCol w:w="4003"/>
        <w:gridCol w:w="962"/>
        <w:gridCol w:w="1058"/>
        <w:gridCol w:w="866"/>
        <w:gridCol w:w="961"/>
        <w:gridCol w:w="984"/>
      </w:tblGrid>
      <w:tr w:rsidR="00333A1A">
        <w:tc>
          <w:tcPr>
            <w:tcW w:w="2265" w:type="pct"/>
            <w:tcBorders>
              <w:bottom w:val="single" w:sz="4" w:space="0" w:color="auto"/>
            </w:tcBorders>
          </w:tcPr>
          <w:p w:rsidR="00333A1A" w:rsidRDefault="00333A1A">
            <w:pPr>
              <w:keepNext/>
              <w:keepLines/>
              <w:spacing w:line="360" w:lineRule="auto"/>
              <w:rPr>
                <w:noProof/>
              </w:rPr>
            </w:pPr>
          </w:p>
        </w:tc>
        <w:tc>
          <w:tcPr>
            <w:tcW w:w="544" w:type="pct"/>
            <w:tcBorders>
              <w:bottom w:val="single" w:sz="4" w:space="0" w:color="auto"/>
            </w:tcBorders>
          </w:tcPr>
          <w:p w:rsidR="00333A1A" w:rsidRDefault="003D29C9">
            <w:pPr>
              <w:keepNext/>
              <w:keepLines/>
              <w:spacing w:line="360" w:lineRule="auto"/>
              <w:rPr>
                <w:i/>
                <w:noProof/>
              </w:rPr>
            </w:pPr>
            <w:r>
              <w:rPr>
                <w:i/>
                <w:noProof/>
              </w:rPr>
              <w:t>3A</w:t>
            </w:r>
          </w:p>
        </w:tc>
        <w:tc>
          <w:tcPr>
            <w:tcW w:w="599" w:type="pct"/>
            <w:tcBorders>
              <w:bottom w:val="single" w:sz="4" w:space="0" w:color="auto"/>
            </w:tcBorders>
          </w:tcPr>
          <w:p w:rsidR="00333A1A" w:rsidRDefault="003D29C9">
            <w:pPr>
              <w:keepNext/>
              <w:keepLines/>
              <w:spacing w:line="360" w:lineRule="auto"/>
              <w:rPr>
                <w:i/>
                <w:noProof/>
              </w:rPr>
            </w:pPr>
            <w:r>
              <w:rPr>
                <w:i/>
                <w:noProof/>
              </w:rPr>
              <w:t>3B</w:t>
            </w:r>
          </w:p>
        </w:tc>
        <w:tc>
          <w:tcPr>
            <w:tcW w:w="490" w:type="pct"/>
            <w:tcBorders>
              <w:bottom w:val="single" w:sz="4" w:space="0" w:color="auto"/>
            </w:tcBorders>
          </w:tcPr>
          <w:p w:rsidR="00333A1A" w:rsidRDefault="003D29C9">
            <w:pPr>
              <w:keepNext/>
              <w:keepLines/>
              <w:spacing w:line="360" w:lineRule="auto"/>
              <w:rPr>
                <w:i/>
                <w:noProof/>
              </w:rPr>
            </w:pPr>
            <w:r>
              <w:rPr>
                <w:i/>
                <w:noProof/>
              </w:rPr>
              <w:t>4A</w:t>
            </w:r>
          </w:p>
        </w:tc>
        <w:tc>
          <w:tcPr>
            <w:tcW w:w="544" w:type="pct"/>
            <w:tcBorders>
              <w:bottom w:val="single" w:sz="4" w:space="0" w:color="auto"/>
            </w:tcBorders>
          </w:tcPr>
          <w:p w:rsidR="00333A1A" w:rsidRDefault="003D29C9">
            <w:pPr>
              <w:keepNext/>
              <w:keepLines/>
              <w:spacing w:line="360" w:lineRule="auto"/>
              <w:rPr>
                <w:i/>
                <w:noProof/>
              </w:rPr>
            </w:pPr>
            <w:r>
              <w:rPr>
                <w:i/>
                <w:noProof/>
              </w:rPr>
              <w:t>4B</w:t>
            </w:r>
          </w:p>
        </w:tc>
        <w:tc>
          <w:tcPr>
            <w:tcW w:w="557" w:type="pct"/>
            <w:tcBorders>
              <w:bottom w:val="single" w:sz="4" w:space="0" w:color="auto"/>
            </w:tcBorders>
          </w:tcPr>
          <w:p w:rsidR="00333A1A" w:rsidRDefault="003D29C9">
            <w:pPr>
              <w:keepNext/>
              <w:keepLines/>
              <w:spacing w:line="360" w:lineRule="auto"/>
              <w:rPr>
                <w:i/>
                <w:noProof/>
              </w:rPr>
            </w:pPr>
            <w:r>
              <w:rPr>
                <w:i/>
                <w:noProof/>
              </w:rPr>
              <w:t>5</w:t>
            </w:r>
          </w:p>
        </w:tc>
      </w:tr>
      <w:tr w:rsidR="00333A1A">
        <w:tc>
          <w:tcPr>
            <w:tcW w:w="2265" w:type="pct"/>
            <w:tcBorders>
              <w:bottom w:val="nil"/>
            </w:tcBorders>
          </w:tcPr>
          <w:p w:rsidR="00333A1A" w:rsidRDefault="003D29C9">
            <w:pPr>
              <w:keepNext/>
              <w:keepLines/>
              <w:spacing w:line="360" w:lineRule="auto"/>
              <w:rPr>
                <w:i/>
                <w:noProof/>
              </w:rPr>
            </w:pPr>
            <w:r>
              <w:rPr>
                <w:i/>
                <w:noProof/>
              </w:rPr>
              <w:t>N</w:t>
            </w:r>
            <w:r>
              <w:rPr>
                <w:i/>
                <w:noProof/>
                <w:vertAlign w:val="subscript"/>
              </w:rPr>
              <w:t>2</w:t>
            </w:r>
            <w:r>
              <w:rPr>
                <w:i/>
                <w:noProof/>
              </w:rPr>
              <w:t>O from application of manure</w:t>
            </w:r>
          </w:p>
        </w:tc>
        <w:tc>
          <w:tcPr>
            <w:tcW w:w="544" w:type="pct"/>
            <w:tcBorders>
              <w:bottom w:val="nil"/>
            </w:tcBorders>
          </w:tcPr>
          <w:p w:rsidR="00333A1A" w:rsidRDefault="003D29C9">
            <w:pPr>
              <w:keepNext/>
              <w:keepLines/>
              <w:spacing w:line="360" w:lineRule="auto"/>
              <w:rPr>
                <w:i/>
                <w:noProof/>
              </w:rPr>
            </w:pPr>
            <w:r>
              <w:rPr>
                <w:noProof/>
              </w:rPr>
              <w:t>3</w:t>
            </w:r>
          </w:p>
        </w:tc>
        <w:tc>
          <w:tcPr>
            <w:tcW w:w="599" w:type="pct"/>
            <w:tcBorders>
              <w:bottom w:val="nil"/>
            </w:tcBorders>
          </w:tcPr>
          <w:p w:rsidR="00333A1A" w:rsidRDefault="003D29C9">
            <w:pPr>
              <w:keepNext/>
              <w:keepLines/>
              <w:spacing w:line="360" w:lineRule="auto"/>
              <w:rPr>
                <w:i/>
                <w:noProof/>
              </w:rPr>
            </w:pPr>
            <w:r>
              <w:rPr>
                <w:noProof/>
              </w:rPr>
              <w:t>4</w:t>
            </w:r>
          </w:p>
        </w:tc>
        <w:tc>
          <w:tcPr>
            <w:tcW w:w="490" w:type="pct"/>
            <w:tcBorders>
              <w:bottom w:val="nil"/>
            </w:tcBorders>
          </w:tcPr>
          <w:p w:rsidR="00333A1A" w:rsidRDefault="003D29C9">
            <w:pPr>
              <w:keepNext/>
              <w:keepLines/>
              <w:spacing w:line="360" w:lineRule="auto"/>
              <w:rPr>
                <w:i/>
                <w:noProof/>
              </w:rPr>
            </w:pPr>
            <w:r>
              <w:rPr>
                <w:noProof/>
              </w:rPr>
              <w:t>3</w:t>
            </w:r>
          </w:p>
        </w:tc>
        <w:tc>
          <w:tcPr>
            <w:tcW w:w="544" w:type="pct"/>
            <w:tcBorders>
              <w:bottom w:val="nil"/>
            </w:tcBorders>
          </w:tcPr>
          <w:p w:rsidR="00333A1A" w:rsidRDefault="003D29C9">
            <w:pPr>
              <w:keepNext/>
              <w:keepLines/>
              <w:spacing w:line="360" w:lineRule="auto"/>
              <w:rPr>
                <w:i/>
                <w:noProof/>
              </w:rPr>
            </w:pPr>
            <w:r>
              <w:rPr>
                <w:noProof/>
              </w:rPr>
              <w:t>4</w:t>
            </w:r>
          </w:p>
        </w:tc>
        <w:tc>
          <w:tcPr>
            <w:tcW w:w="557" w:type="pct"/>
            <w:tcBorders>
              <w:bottom w:val="nil"/>
            </w:tcBorders>
          </w:tcPr>
          <w:p w:rsidR="00333A1A" w:rsidRDefault="003D29C9">
            <w:pPr>
              <w:keepNext/>
              <w:keepLines/>
              <w:spacing w:line="360" w:lineRule="auto"/>
              <w:rPr>
                <w:i/>
                <w:noProof/>
              </w:rPr>
            </w:pPr>
            <w:r>
              <w:rPr>
                <w:noProof/>
              </w:rPr>
              <w:t>4</w:t>
            </w:r>
          </w:p>
        </w:tc>
      </w:tr>
      <w:tr w:rsidR="00333A1A">
        <w:tc>
          <w:tcPr>
            <w:tcW w:w="2265" w:type="pct"/>
            <w:tcBorders>
              <w:top w:val="nil"/>
              <w:bottom w:val="nil"/>
            </w:tcBorders>
          </w:tcPr>
          <w:p w:rsidR="00333A1A" w:rsidRDefault="003D29C9">
            <w:pPr>
              <w:keepNext/>
              <w:keepLines/>
              <w:spacing w:line="360" w:lineRule="auto"/>
              <w:rPr>
                <w:i/>
                <w:noProof/>
              </w:rPr>
            </w:pPr>
            <w:r>
              <w:rPr>
                <w:i/>
                <w:noProof/>
              </w:rPr>
              <w:t>N</w:t>
            </w:r>
            <w:r>
              <w:rPr>
                <w:i/>
                <w:noProof/>
                <w:vertAlign w:val="subscript"/>
              </w:rPr>
              <w:t>2</w:t>
            </w:r>
            <w:r>
              <w:rPr>
                <w:i/>
                <w:noProof/>
              </w:rPr>
              <w:t>O from grazing animals</w:t>
            </w:r>
          </w:p>
        </w:tc>
        <w:tc>
          <w:tcPr>
            <w:tcW w:w="544" w:type="pct"/>
            <w:tcBorders>
              <w:top w:val="nil"/>
              <w:bottom w:val="nil"/>
            </w:tcBorders>
          </w:tcPr>
          <w:p w:rsidR="00333A1A" w:rsidRDefault="003D29C9">
            <w:pPr>
              <w:keepNext/>
              <w:keepLines/>
              <w:spacing w:line="360" w:lineRule="auto"/>
              <w:rPr>
                <w:i/>
                <w:noProof/>
              </w:rPr>
            </w:pPr>
            <w:r>
              <w:rPr>
                <w:noProof/>
              </w:rPr>
              <w:t>7</w:t>
            </w:r>
          </w:p>
        </w:tc>
        <w:tc>
          <w:tcPr>
            <w:tcW w:w="599" w:type="pct"/>
            <w:tcBorders>
              <w:top w:val="nil"/>
              <w:bottom w:val="nil"/>
            </w:tcBorders>
          </w:tcPr>
          <w:p w:rsidR="00333A1A" w:rsidRDefault="003D29C9">
            <w:pPr>
              <w:keepNext/>
              <w:keepLines/>
              <w:spacing w:line="360" w:lineRule="auto"/>
              <w:rPr>
                <w:i/>
                <w:noProof/>
              </w:rPr>
            </w:pPr>
            <w:r>
              <w:rPr>
                <w:noProof/>
              </w:rPr>
              <w:t>3</w:t>
            </w:r>
          </w:p>
        </w:tc>
        <w:tc>
          <w:tcPr>
            <w:tcW w:w="490" w:type="pct"/>
            <w:tcBorders>
              <w:top w:val="nil"/>
              <w:bottom w:val="nil"/>
            </w:tcBorders>
          </w:tcPr>
          <w:p w:rsidR="00333A1A" w:rsidRDefault="003D29C9">
            <w:pPr>
              <w:keepNext/>
              <w:keepLines/>
              <w:spacing w:line="360" w:lineRule="auto"/>
              <w:rPr>
                <w:i/>
                <w:noProof/>
              </w:rPr>
            </w:pPr>
            <w:r>
              <w:rPr>
                <w:noProof/>
              </w:rPr>
              <w:t>5</w:t>
            </w:r>
          </w:p>
        </w:tc>
        <w:tc>
          <w:tcPr>
            <w:tcW w:w="544" w:type="pct"/>
            <w:tcBorders>
              <w:top w:val="nil"/>
              <w:bottom w:val="nil"/>
            </w:tcBorders>
          </w:tcPr>
          <w:p w:rsidR="00333A1A" w:rsidRDefault="003D29C9">
            <w:pPr>
              <w:keepNext/>
              <w:keepLines/>
              <w:spacing w:line="360" w:lineRule="auto"/>
              <w:rPr>
                <w:i/>
                <w:noProof/>
              </w:rPr>
            </w:pPr>
            <w:r>
              <w:rPr>
                <w:noProof/>
              </w:rPr>
              <w:t>9</w:t>
            </w:r>
          </w:p>
        </w:tc>
        <w:tc>
          <w:tcPr>
            <w:tcW w:w="557" w:type="pct"/>
            <w:tcBorders>
              <w:top w:val="nil"/>
              <w:bottom w:val="nil"/>
            </w:tcBorders>
          </w:tcPr>
          <w:p w:rsidR="00333A1A" w:rsidRDefault="003D29C9">
            <w:pPr>
              <w:keepNext/>
              <w:keepLines/>
              <w:spacing w:line="360" w:lineRule="auto"/>
              <w:rPr>
                <w:i/>
                <w:noProof/>
              </w:rPr>
            </w:pPr>
            <w:r>
              <w:rPr>
                <w:noProof/>
              </w:rPr>
              <w:t>8</w:t>
            </w:r>
          </w:p>
        </w:tc>
      </w:tr>
      <w:tr w:rsidR="00333A1A">
        <w:tc>
          <w:tcPr>
            <w:tcW w:w="2265" w:type="pct"/>
            <w:tcBorders>
              <w:top w:val="nil"/>
              <w:bottom w:val="nil"/>
            </w:tcBorders>
          </w:tcPr>
          <w:p w:rsidR="00333A1A" w:rsidRDefault="003D29C9">
            <w:pPr>
              <w:keepNext/>
              <w:keepLines/>
              <w:spacing w:line="360" w:lineRule="auto"/>
              <w:rPr>
                <w:i/>
                <w:noProof/>
              </w:rPr>
            </w:pPr>
            <w:r>
              <w:rPr>
                <w:i/>
                <w:noProof/>
              </w:rPr>
              <w:t>N</w:t>
            </w:r>
            <w:r>
              <w:rPr>
                <w:i/>
                <w:noProof/>
                <w:vertAlign w:val="subscript"/>
              </w:rPr>
              <w:t>2</w:t>
            </w:r>
            <w:r>
              <w:rPr>
                <w:i/>
                <w:noProof/>
              </w:rPr>
              <w:t>O from manure management</w:t>
            </w:r>
          </w:p>
        </w:tc>
        <w:tc>
          <w:tcPr>
            <w:tcW w:w="544" w:type="pct"/>
            <w:tcBorders>
              <w:top w:val="nil"/>
              <w:bottom w:val="nil"/>
            </w:tcBorders>
          </w:tcPr>
          <w:p w:rsidR="00333A1A" w:rsidRDefault="003D29C9">
            <w:pPr>
              <w:keepNext/>
              <w:keepLines/>
              <w:spacing w:line="360" w:lineRule="auto"/>
              <w:rPr>
                <w:i/>
                <w:noProof/>
              </w:rPr>
            </w:pPr>
            <w:r>
              <w:rPr>
                <w:noProof/>
              </w:rPr>
              <w:t>3</w:t>
            </w:r>
          </w:p>
        </w:tc>
        <w:tc>
          <w:tcPr>
            <w:tcW w:w="599" w:type="pct"/>
            <w:tcBorders>
              <w:top w:val="nil"/>
              <w:bottom w:val="nil"/>
            </w:tcBorders>
          </w:tcPr>
          <w:p w:rsidR="00333A1A" w:rsidRDefault="003D29C9">
            <w:pPr>
              <w:keepNext/>
              <w:keepLines/>
              <w:spacing w:line="360" w:lineRule="auto"/>
              <w:rPr>
                <w:i/>
                <w:noProof/>
              </w:rPr>
            </w:pPr>
            <w:r>
              <w:rPr>
                <w:noProof/>
              </w:rPr>
              <w:t>3</w:t>
            </w:r>
          </w:p>
        </w:tc>
        <w:tc>
          <w:tcPr>
            <w:tcW w:w="490" w:type="pct"/>
            <w:tcBorders>
              <w:top w:val="nil"/>
              <w:bottom w:val="nil"/>
            </w:tcBorders>
          </w:tcPr>
          <w:p w:rsidR="00333A1A" w:rsidRDefault="003D29C9">
            <w:pPr>
              <w:keepNext/>
              <w:keepLines/>
              <w:spacing w:line="360" w:lineRule="auto"/>
              <w:rPr>
                <w:i/>
                <w:noProof/>
              </w:rPr>
            </w:pPr>
            <w:r>
              <w:rPr>
                <w:noProof/>
              </w:rPr>
              <w:t>2</w:t>
            </w:r>
          </w:p>
        </w:tc>
        <w:tc>
          <w:tcPr>
            <w:tcW w:w="544" w:type="pct"/>
            <w:tcBorders>
              <w:top w:val="nil"/>
              <w:bottom w:val="nil"/>
            </w:tcBorders>
          </w:tcPr>
          <w:p w:rsidR="00333A1A" w:rsidRDefault="003D29C9">
            <w:pPr>
              <w:keepNext/>
              <w:keepLines/>
              <w:spacing w:line="360" w:lineRule="auto"/>
              <w:rPr>
                <w:i/>
                <w:noProof/>
              </w:rPr>
            </w:pPr>
            <w:r>
              <w:rPr>
                <w:noProof/>
              </w:rPr>
              <w:t>3</w:t>
            </w:r>
          </w:p>
        </w:tc>
        <w:tc>
          <w:tcPr>
            <w:tcW w:w="557" w:type="pct"/>
            <w:tcBorders>
              <w:top w:val="nil"/>
              <w:bottom w:val="nil"/>
            </w:tcBorders>
          </w:tcPr>
          <w:p w:rsidR="00333A1A" w:rsidRDefault="003D29C9">
            <w:pPr>
              <w:keepNext/>
              <w:keepLines/>
              <w:spacing w:line="360" w:lineRule="auto"/>
              <w:rPr>
                <w:i/>
                <w:noProof/>
              </w:rPr>
            </w:pPr>
            <w:r>
              <w:rPr>
                <w:noProof/>
              </w:rPr>
              <w:t>3</w:t>
            </w:r>
          </w:p>
        </w:tc>
      </w:tr>
      <w:tr w:rsidR="00333A1A">
        <w:tc>
          <w:tcPr>
            <w:tcW w:w="2265" w:type="pct"/>
            <w:tcBorders>
              <w:top w:val="nil"/>
              <w:bottom w:val="nil"/>
            </w:tcBorders>
          </w:tcPr>
          <w:p w:rsidR="00333A1A" w:rsidRDefault="003D29C9">
            <w:pPr>
              <w:keepNext/>
              <w:keepLines/>
              <w:spacing w:line="360" w:lineRule="auto"/>
              <w:rPr>
                <w:i/>
                <w:noProof/>
              </w:rPr>
            </w:pPr>
            <w:r>
              <w:rPr>
                <w:i/>
                <w:noProof/>
              </w:rPr>
              <w:t>N</w:t>
            </w:r>
            <w:r>
              <w:rPr>
                <w:i/>
                <w:noProof/>
                <w:vertAlign w:val="subscript"/>
              </w:rPr>
              <w:t>2</w:t>
            </w:r>
            <w:r>
              <w:rPr>
                <w:i/>
                <w:noProof/>
              </w:rPr>
              <w:t>O from application of mineral fertilisers</w:t>
            </w:r>
          </w:p>
        </w:tc>
        <w:tc>
          <w:tcPr>
            <w:tcW w:w="544" w:type="pct"/>
            <w:tcBorders>
              <w:top w:val="nil"/>
              <w:bottom w:val="nil"/>
            </w:tcBorders>
          </w:tcPr>
          <w:p w:rsidR="00333A1A" w:rsidRDefault="003D29C9">
            <w:pPr>
              <w:keepNext/>
              <w:keepLines/>
              <w:spacing w:line="360" w:lineRule="auto"/>
              <w:rPr>
                <w:i/>
                <w:noProof/>
              </w:rPr>
            </w:pPr>
            <w:r>
              <w:rPr>
                <w:noProof/>
              </w:rPr>
              <w:t>40</w:t>
            </w:r>
          </w:p>
        </w:tc>
        <w:tc>
          <w:tcPr>
            <w:tcW w:w="599" w:type="pct"/>
            <w:tcBorders>
              <w:top w:val="nil"/>
              <w:bottom w:val="nil"/>
            </w:tcBorders>
          </w:tcPr>
          <w:p w:rsidR="00333A1A" w:rsidRDefault="003D29C9">
            <w:pPr>
              <w:keepNext/>
              <w:keepLines/>
              <w:spacing w:line="360" w:lineRule="auto"/>
              <w:rPr>
                <w:i/>
                <w:noProof/>
              </w:rPr>
            </w:pPr>
            <w:r>
              <w:rPr>
                <w:noProof/>
              </w:rPr>
              <w:t>43</w:t>
            </w:r>
          </w:p>
        </w:tc>
        <w:tc>
          <w:tcPr>
            <w:tcW w:w="490" w:type="pct"/>
            <w:tcBorders>
              <w:top w:val="nil"/>
              <w:bottom w:val="nil"/>
            </w:tcBorders>
          </w:tcPr>
          <w:p w:rsidR="00333A1A" w:rsidRDefault="003D29C9">
            <w:pPr>
              <w:keepNext/>
              <w:keepLines/>
              <w:spacing w:line="360" w:lineRule="auto"/>
              <w:rPr>
                <w:i/>
                <w:noProof/>
              </w:rPr>
            </w:pPr>
            <w:r>
              <w:rPr>
                <w:noProof/>
              </w:rPr>
              <w:t>50</w:t>
            </w:r>
          </w:p>
        </w:tc>
        <w:tc>
          <w:tcPr>
            <w:tcW w:w="544" w:type="pct"/>
            <w:tcBorders>
              <w:top w:val="nil"/>
              <w:bottom w:val="nil"/>
            </w:tcBorders>
          </w:tcPr>
          <w:p w:rsidR="00333A1A" w:rsidRDefault="003D29C9">
            <w:pPr>
              <w:keepNext/>
              <w:keepLines/>
              <w:spacing w:line="360" w:lineRule="auto"/>
              <w:rPr>
                <w:i/>
                <w:noProof/>
              </w:rPr>
            </w:pPr>
            <w:r>
              <w:rPr>
                <w:noProof/>
              </w:rPr>
              <w:t>34</w:t>
            </w:r>
          </w:p>
        </w:tc>
        <w:tc>
          <w:tcPr>
            <w:tcW w:w="557" w:type="pct"/>
            <w:tcBorders>
              <w:top w:val="nil"/>
              <w:bottom w:val="nil"/>
            </w:tcBorders>
          </w:tcPr>
          <w:p w:rsidR="00333A1A" w:rsidRDefault="003D29C9">
            <w:pPr>
              <w:keepNext/>
              <w:keepLines/>
              <w:spacing w:line="360" w:lineRule="auto"/>
              <w:rPr>
                <w:i/>
                <w:noProof/>
              </w:rPr>
            </w:pPr>
            <w:r>
              <w:rPr>
                <w:noProof/>
              </w:rPr>
              <w:t>36</w:t>
            </w:r>
          </w:p>
        </w:tc>
      </w:tr>
      <w:tr w:rsidR="00333A1A">
        <w:tc>
          <w:tcPr>
            <w:tcW w:w="2265" w:type="pct"/>
            <w:tcBorders>
              <w:top w:val="nil"/>
              <w:bottom w:val="nil"/>
            </w:tcBorders>
          </w:tcPr>
          <w:p w:rsidR="00333A1A" w:rsidRDefault="003D29C9">
            <w:pPr>
              <w:keepNext/>
              <w:keepLines/>
              <w:spacing w:line="360" w:lineRule="auto"/>
              <w:rPr>
                <w:i/>
                <w:noProof/>
              </w:rPr>
            </w:pPr>
            <w:r>
              <w:rPr>
                <w:i/>
                <w:noProof/>
              </w:rPr>
              <w:t>N</w:t>
            </w:r>
            <w:r>
              <w:rPr>
                <w:i/>
                <w:noProof/>
                <w:vertAlign w:val="subscript"/>
              </w:rPr>
              <w:t>2</w:t>
            </w:r>
            <w:r>
              <w:rPr>
                <w:i/>
                <w:noProof/>
              </w:rPr>
              <w:t xml:space="preserve">O </w:t>
            </w:r>
            <w:r>
              <w:rPr>
                <w:i/>
                <w:noProof/>
              </w:rPr>
              <w:t>from organic soils</w:t>
            </w:r>
          </w:p>
        </w:tc>
        <w:tc>
          <w:tcPr>
            <w:tcW w:w="544" w:type="pct"/>
            <w:tcBorders>
              <w:top w:val="nil"/>
              <w:bottom w:val="nil"/>
            </w:tcBorders>
          </w:tcPr>
          <w:p w:rsidR="00333A1A" w:rsidRDefault="003D29C9">
            <w:pPr>
              <w:keepNext/>
              <w:keepLines/>
              <w:spacing w:line="360" w:lineRule="auto"/>
              <w:rPr>
                <w:i/>
                <w:noProof/>
              </w:rPr>
            </w:pPr>
            <w:r>
              <w:rPr>
                <w:noProof/>
              </w:rPr>
              <w:t>0</w:t>
            </w:r>
          </w:p>
        </w:tc>
        <w:tc>
          <w:tcPr>
            <w:tcW w:w="599" w:type="pct"/>
            <w:tcBorders>
              <w:top w:val="nil"/>
              <w:bottom w:val="nil"/>
            </w:tcBorders>
          </w:tcPr>
          <w:p w:rsidR="00333A1A" w:rsidRDefault="003D29C9">
            <w:pPr>
              <w:keepNext/>
              <w:keepLines/>
              <w:spacing w:line="360" w:lineRule="auto"/>
              <w:rPr>
                <w:i/>
                <w:noProof/>
              </w:rPr>
            </w:pPr>
            <w:r>
              <w:rPr>
                <w:noProof/>
              </w:rPr>
              <w:t>1</w:t>
            </w:r>
          </w:p>
        </w:tc>
        <w:tc>
          <w:tcPr>
            <w:tcW w:w="490" w:type="pct"/>
            <w:tcBorders>
              <w:top w:val="nil"/>
              <w:bottom w:val="nil"/>
            </w:tcBorders>
          </w:tcPr>
          <w:p w:rsidR="00333A1A" w:rsidRDefault="003D29C9">
            <w:pPr>
              <w:keepNext/>
              <w:keepLines/>
              <w:spacing w:line="360" w:lineRule="auto"/>
              <w:rPr>
                <w:i/>
                <w:noProof/>
              </w:rPr>
            </w:pPr>
            <w:r>
              <w:rPr>
                <w:noProof/>
              </w:rPr>
              <w:t>1</w:t>
            </w:r>
          </w:p>
        </w:tc>
        <w:tc>
          <w:tcPr>
            <w:tcW w:w="544" w:type="pct"/>
            <w:tcBorders>
              <w:top w:val="nil"/>
              <w:bottom w:val="nil"/>
            </w:tcBorders>
          </w:tcPr>
          <w:p w:rsidR="00333A1A" w:rsidRDefault="003D29C9">
            <w:pPr>
              <w:keepNext/>
              <w:keepLines/>
              <w:spacing w:line="360" w:lineRule="auto"/>
              <w:rPr>
                <w:i/>
                <w:noProof/>
              </w:rPr>
            </w:pPr>
            <w:r>
              <w:rPr>
                <w:noProof/>
              </w:rPr>
              <w:t>0</w:t>
            </w:r>
          </w:p>
        </w:tc>
        <w:tc>
          <w:tcPr>
            <w:tcW w:w="557" w:type="pct"/>
            <w:tcBorders>
              <w:top w:val="nil"/>
              <w:bottom w:val="nil"/>
            </w:tcBorders>
          </w:tcPr>
          <w:p w:rsidR="00333A1A" w:rsidRDefault="003D29C9">
            <w:pPr>
              <w:keepNext/>
              <w:keepLines/>
              <w:spacing w:line="360" w:lineRule="auto"/>
              <w:rPr>
                <w:i/>
                <w:noProof/>
              </w:rPr>
            </w:pPr>
            <w:r>
              <w:rPr>
                <w:noProof/>
              </w:rPr>
              <w:t>4</w:t>
            </w:r>
          </w:p>
        </w:tc>
      </w:tr>
      <w:tr w:rsidR="00333A1A">
        <w:tc>
          <w:tcPr>
            <w:tcW w:w="2265" w:type="pct"/>
            <w:tcBorders>
              <w:top w:val="nil"/>
              <w:bottom w:val="nil"/>
            </w:tcBorders>
          </w:tcPr>
          <w:p w:rsidR="00333A1A" w:rsidRDefault="003D29C9">
            <w:pPr>
              <w:keepNext/>
              <w:keepLines/>
              <w:spacing w:line="360" w:lineRule="auto"/>
              <w:rPr>
                <w:i/>
                <w:noProof/>
              </w:rPr>
            </w:pPr>
            <w:r>
              <w:rPr>
                <w:i/>
                <w:noProof/>
              </w:rPr>
              <w:t>N</w:t>
            </w:r>
            <w:r>
              <w:rPr>
                <w:i/>
                <w:noProof/>
                <w:vertAlign w:val="subscript"/>
              </w:rPr>
              <w:t>2</w:t>
            </w:r>
            <w:r>
              <w:rPr>
                <w:i/>
                <w:noProof/>
              </w:rPr>
              <w:t>O from crop residues</w:t>
            </w:r>
          </w:p>
        </w:tc>
        <w:tc>
          <w:tcPr>
            <w:tcW w:w="544" w:type="pct"/>
            <w:tcBorders>
              <w:top w:val="nil"/>
              <w:bottom w:val="nil"/>
            </w:tcBorders>
          </w:tcPr>
          <w:p w:rsidR="00333A1A" w:rsidRDefault="003D29C9">
            <w:pPr>
              <w:keepNext/>
              <w:keepLines/>
              <w:spacing w:line="360" w:lineRule="auto"/>
              <w:rPr>
                <w:i/>
                <w:noProof/>
              </w:rPr>
            </w:pPr>
            <w:r>
              <w:rPr>
                <w:noProof/>
              </w:rPr>
              <w:t>4</w:t>
            </w:r>
          </w:p>
        </w:tc>
        <w:tc>
          <w:tcPr>
            <w:tcW w:w="599" w:type="pct"/>
            <w:tcBorders>
              <w:top w:val="nil"/>
              <w:bottom w:val="nil"/>
            </w:tcBorders>
          </w:tcPr>
          <w:p w:rsidR="00333A1A" w:rsidRDefault="003D29C9">
            <w:pPr>
              <w:keepNext/>
              <w:keepLines/>
              <w:spacing w:line="360" w:lineRule="auto"/>
              <w:rPr>
                <w:i/>
                <w:noProof/>
              </w:rPr>
            </w:pPr>
            <w:r>
              <w:rPr>
                <w:noProof/>
              </w:rPr>
              <w:t>12</w:t>
            </w:r>
          </w:p>
        </w:tc>
        <w:tc>
          <w:tcPr>
            <w:tcW w:w="490" w:type="pct"/>
            <w:tcBorders>
              <w:top w:val="nil"/>
              <w:bottom w:val="nil"/>
            </w:tcBorders>
          </w:tcPr>
          <w:p w:rsidR="00333A1A" w:rsidRDefault="003D29C9">
            <w:pPr>
              <w:keepNext/>
              <w:keepLines/>
              <w:spacing w:line="360" w:lineRule="auto"/>
              <w:rPr>
                <w:i/>
                <w:noProof/>
              </w:rPr>
            </w:pPr>
            <w:r>
              <w:rPr>
                <w:noProof/>
              </w:rPr>
              <w:t>4</w:t>
            </w:r>
          </w:p>
        </w:tc>
        <w:tc>
          <w:tcPr>
            <w:tcW w:w="544" w:type="pct"/>
            <w:tcBorders>
              <w:top w:val="nil"/>
              <w:bottom w:val="nil"/>
            </w:tcBorders>
          </w:tcPr>
          <w:p w:rsidR="00333A1A" w:rsidRDefault="003D29C9">
            <w:pPr>
              <w:keepNext/>
              <w:keepLines/>
              <w:spacing w:line="360" w:lineRule="auto"/>
              <w:rPr>
                <w:i/>
                <w:noProof/>
              </w:rPr>
            </w:pPr>
            <w:r>
              <w:rPr>
                <w:noProof/>
              </w:rPr>
              <w:t>6</w:t>
            </w:r>
          </w:p>
        </w:tc>
        <w:tc>
          <w:tcPr>
            <w:tcW w:w="557" w:type="pct"/>
            <w:tcBorders>
              <w:top w:val="nil"/>
              <w:bottom w:val="nil"/>
            </w:tcBorders>
          </w:tcPr>
          <w:p w:rsidR="00333A1A" w:rsidRDefault="003D29C9">
            <w:pPr>
              <w:keepNext/>
              <w:keepLines/>
              <w:spacing w:line="360" w:lineRule="auto"/>
              <w:rPr>
                <w:i/>
                <w:noProof/>
              </w:rPr>
            </w:pPr>
            <w:r>
              <w:rPr>
                <w:noProof/>
              </w:rPr>
              <w:t>6</w:t>
            </w:r>
          </w:p>
        </w:tc>
      </w:tr>
      <w:tr w:rsidR="00333A1A">
        <w:tc>
          <w:tcPr>
            <w:tcW w:w="2265" w:type="pct"/>
            <w:tcBorders>
              <w:top w:val="nil"/>
              <w:bottom w:val="nil"/>
            </w:tcBorders>
          </w:tcPr>
          <w:p w:rsidR="00333A1A" w:rsidRDefault="003D29C9">
            <w:pPr>
              <w:keepNext/>
              <w:keepLines/>
              <w:spacing w:line="360" w:lineRule="auto"/>
              <w:rPr>
                <w:i/>
                <w:noProof/>
              </w:rPr>
            </w:pPr>
            <w:r>
              <w:rPr>
                <w:i/>
                <w:noProof/>
              </w:rPr>
              <w:t>Indirect N</w:t>
            </w:r>
            <w:r>
              <w:rPr>
                <w:i/>
                <w:noProof/>
                <w:vertAlign w:val="subscript"/>
              </w:rPr>
              <w:t>2</w:t>
            </w:r>
            <w:r>
              <w:rPr>
                <w:i/>
                <w:noProof/>
              </w:rPr>
              <w:t>O from runoff and leaching</w:t>
            </w:r>
          </w:p>
        </w:tc>
        <w:tc>
          <w:tcPr>
            <w:tcW w:w="544" w:type="pct"/>
            <w:tcBorders>
              <w:top w:val="nil"/>
              <w:bottom w:val="nil"/>
            </w:tcBorders>
          </w:tcPr>
          <w:p w:rsidR="00333A1A" w:rsidRDefault="003D29C9">
            <w:pPr>
              <w:keepNext/>
              <w:keepLines/>
              <w:spacing w:line="360" w:lineRule="auto"/>
              <w:rPr>
                <w:i/>
                <w:noProof/>
              </w:rPr>
            </w:pPr>
            <w:r>
              <w:rPr>
                <w:noProof/>
              </w:rPr>
              <w:t>5</w:t>
            </w:r>
          </w:p>
        </w:tc>
        <w:tc>
          <w:tcPr>
            <w:tcW w:w="599" w:type="pct"/>
            <w:tcBorders>
              <w:top w:val="nil"/>
              <w:bottom w:val="nil"/>
            </w:tcBorders>
          </w:tcPr>
          <w:p w:rsidR="00333A1A" w:rsidRDefault="003D29C9">
            <w:pPr>
              <w:keepNext/>
              <w:keepLines/>
              <w:spacing w:line="360" w:lineRule="auto"/>
              <w:rPr>
                <w:i/>
                <w:noProof/>
              </w:rPr>
            </w:pPr>
            <w:r>
              <w:rPr>
                <w:noProof/>
              </w:rPr>
              <w:t>4</w:t>
            </w:r>
          </w:p>
        </w:tc>
        <w:tc>
          <w:tcPr>
            <w:tcW w:w="490" w:type="pct"/>
            <w:tcBorders>
              <w:top w:val="nil"/>
              <w:bottom w:val="nil"/>
            </w:tcBorders>
          </w:tcPr>
          <w:p w:rsidR="00333A1A" w:rsidRDefault="003D29C9">
            <w:pPr>
              <w:keepNext/>
              <w:keepLines/>
              <w:spacing w:line="360" w:lineRule="auto"/>
              <w:rPr>
                <w:i/>
                <w:noProof/>
              </w:rPr>
            </w:pPr>
            <w:r>
              <w:rPr>
                <w:noProof/>
              </w:rPr>
              <w:t>6</w:t>
            </w:r>
          </w:p>
        </w:tc>
        <w:tc>
          <w:tcPr>
            <w:tcW w:w="544" w:type="pct"/>
            <w:tcBorders>
              <w:top w:val="nil"/>
              <w:bottom w:val="nil"/>
            </w:tcBorders>
          </w:tcPr>
          <w:p w:rsidR="00333A1A" w:rsidRDefault="003D29C9">
            <w:pPr>
              <w:keepNext/>
              <w:keepLines/>
              <w:spacing w:line="360" w:lineRule="auto"/>
              <w:rPr>
                <w:i/>
                <w:noProof/>
              </w:rPr>
            </w:pPr>
            <w:r>
              <w:rPr>
                <w:noProof/>
              </w:rPr>
              <w:t>4</w:t>
            </w:r>
          </w:p>
        </w:tc>
        <w:tc>
          <w:tcPr>
            <w:tcW w:w="557" w:type="pct"/>
            <w:tcBorders>
              <w:top w:val="nil"/>
              <w:bottom w:val="nil"/>
            </w:tcBorders>
          </w:tcPr>
          <w:p w:rsidR="00333A1A" w:rsidRDefault="003D29C9">
            <w:pPr>
              <w:keepNext/>
              <w:keepLines/>
              <w:spacing w:line="360" w:lineRule="auto"/>
              <w:rPr>
                <w:i/>
                <w:noProof/>
              </w:rPr>
            </w:pPr>
            <w:r>
              <w:rPr>
                <w:noProof/>
              </w:rPr>
              <w:t>4</w:t>
            </w:r>
          </w:p>
        </w:tc>
      </w:tr>
      <w:tr w:rsidR="00333A1A">
        <w:tc>
          <w:tcPr>
            <w:tcW w:w="2265" w:type="pct"/>
            <w:tcBorders>
              <w:top w:val="nil"/>
              <w:bottom w:val="single" w:sz="4" w:space="0" w:color="auto"/>
            </w:tcBorders>
          </w:tcPr>
          <w:p w:rsidR="00333A1A" w:rsidRDefault="003D29C9">
            <w:pPr>
              <w:keepNext/>
              <w:keepLines/>
              <w:spacing w:line="360" w:lineRule="auto"/>
              <w:rPr>
                <w:i/>
                <w:noProof/>
              </w:rPr>
            </w:pPr>
            <w:r>
              <w:rPr>
                <w:i/>
                <w:noProof/>
              </w:rPr>
              <w:t>Indirect N</w:t>
            </w:r>
            <w:r>
              <w:rPr>
                <w:i/>
                <w:noProof/>
                <w:vertAlign w:val="subscript"/>
              </w:rPr>
              <w:t>2</w:t>
            </w:r>
            <w:r>
              <w:rPr>
                <w:i/>
                <w:noProof/>
              </w:rPr>
              <w:t>O from volatilised ammonia</w:t>
            </w:r>
          </w:p>
        </w:tc>
        <w:tc>
          <w:tcPr>
            <w:tcW w:w="544" w:type="pct"/>
            <w:tcBorders>
              <w:top w:val="nil"/>
              <w:bottom w:val="single" w:sz="4" w:space="0" w:color="auto"/>
            </w:tcBorders>
          </w:tcPr>
          <w:p w:rsidR="00333A1A" w:rsidRDefault="003D29C9">
            <w:pPr>
              <w:keepNext/>
              <w:keepLines/>
              <w:spacing w:line="360" w:lineRule="auto"/>
              <w:rPr>
                <w:i/>
                <w:noProof/>
              </w:rPr>
            </w:pPr>
            <w:r>
              <w:rPr>
                <w:noProof/>
              </w:rPr>
              <w:t>3</w:t>
            </w:r>
          </w:p>
        </w:tc>
        <w:tc>
          <w:tcPr>
            <w:tcW w:w="599" w:type="pct"/>
            <w:tcBorders>
              <w:top w:val="nil"/>
              <w:bottom w:val="single" w:sz="4" w:space="0" w:color="auto"/>
            </w:tcBorders>
          </w:tcPr>
          <w:p w:rsidR="00333A1A" w:rsidRDefault="003D29C9">
            <w:pPr>
              <w:keepNext/>
              <w:keepLines/>
              <w:spacing w:line="360" w:lineRule="auto"/>
              <w:rPr>
                <w:i/>
                <w:noProof/>
              </w:rPr>
            </w:pPr>
            <w:r>
              <w:rPr>
                <w:noProof/>
              </w:rPr>
              <w:t>3</w:t>
            </w:r>
          </w:p>
        </w:tc>
        <w:tc>
          <w:tcPr>
            <w:tcW w:w="490" w:type="pct"/>
            <w:tcBorders>
              <w:top w:val="nil"/>
              <w:bottom w:val="single" w:sz="4" w:space="0" w:color="auto"/>
            </w:tcBorders>
          </w:tcPr>
          <w:p w:rsidR="00333A1A" w:rsidRDefault="003D29C9">
            <w:pPr>
              <w:keepNext/>
              <w:keepLines/>
              <w:spacing w:line="360" w:lineRule="auto"/>
              <w:rPr>
                <w:i/>
                <w:noProof/>
              </w:rPr>
            </w:pPr>
            <w:r>
              <w:rPr>
                <w:noProof/>
              </w:rPr>
              <w:t>3</w:t>
            </w:r>
          </w:p>
        </w:tc>
        <w:tc>
          <w:tcPr>
            <w:tcW w:w="544" w:type="pct"/>
            <w:tcBorders>
              <w:top w:val="nil"/>
              <w:bottom w:val="single" w:sz="4" w:space="0" w:color="auto"/>
            </w:tcBorders>
          </w:tcPr>
          <w:p w:rsidR="00333A1A" w:rsidRDefault="003D29C9">
            <w:pPr>
              <w:keepNext/>
              <w:keepLines/>
              <w:spacing w:line="360" w:lineRule="auto"/>
              <w:rPr>
                <w:i/>
                <w:noProof/>
              </w:rPr>
            </w:pPr>
            <w:r>
              <w:rPr>
                <w:noProof/>
              </w:rPr>
              <w:t>2</w:t>
            </w:r>
          </w:p>
        </w:tc>
        <w:tc>
          <w:tcPr>
            <w:tcW w:w="557" w:type="pct"/>
            <w:tcBorders>
              <w:top w:val="nil"/>
              <w:bottom w:val="single" w:sz="4" w:space="0" w:color="auto"/>
            </w:tcBorders>
          </w:tcPr>
          <w:p w:rsidR="00333A1A" w:rsidRDefault="003D29C9">
            <w:pPr>
              <w:keepNext/>
              <w:keepLines/>
              <w:spacing w:line="360" w:lineRule="auto"/>
              <w:rPr>
                <w:i/>
                <w:noProof/>
              </w:rPr>
            </w:pPr>
            <w:r>
              <w:rPr>
                <w:noProof/>
              </w:rPr>
              <w:t>3</w:t>
            </w:r>
          </w:p>
        </w:tc>
      </w:tr>
      <w:tr w:rsidR="00333A1A">
        <w:tc>
          <w:tcPr>
            <w:tcW w:w="2265" w:type="pct"/>
            <w:tcBorders>
              <w:top w:val="single" w:sz="4" w:space="0" w:color="auto"/>
              <w:bottom w:val="single" w:sz="4" w:space="0" w:color="auto"/>
            </w:tcBorders>
          </w:tcPr>
          <w:p w:rsidR="00333A1A" w:rsidRDefault="003D29C9">
            <w:pPr>
              <w:keepNext/>
              <w:keepLines/>
              <w:spacing w:line="360" w:lineRule="auto"/>
              <w:rPr>
                <w:b/>
                <w:i/>
                <w:noProof/>
              </w:rPr>
            </w:pPr>
            <w:r>
              <w:rPr>
                <w:b/>
                <w:i/>
                <w:noProof/>
              </w:rPr>
              <w:t>Total N</w:t>
            </w:r>
            <w:r>
              <w:rPr>
                <w:b/>
                <w:i/>
                <w:noProof/>
                <w:vertAlign w:val="subscript"/>
              </w:rPr>
              <w:t>2</w:t>
            </w:r>
            <w:r>
              <w:rPr>
                <w:b/>
                <w:i/>
                <w:noProof/>
              </w:rPr>
              <w:t>O</w:t>
            </w:r>
          </w:p>
        </w:tc>
        <w:tc>
          <w:tcPr>
            <w:tcW w:w="544" w:type="pct"/>
            <w:tcBorders>
              <w:top w:val="single" w:sz="4" w:space="0" w:color="auto"/>
              <w:bottom w:val="single" w:sz="4" w:space="0" w:color="auto"/>
            </w:tcBorders>
          </w:tcPr>
          <w:p w:rsidR="00333A1A" w:rsidRDefault="003D29C9">
            <w:pPr>
              <w:keepNext/>
              <w:keepLines/>
              <w:spacing w:line="360" w:lineRule="auto"/>
              <w:rPr>
                <w:b/>
                <w:i/>
                <w:noProof/>
              </w:rPr>
            </w:pPr>
            <w:r>
              <w:rPr>
                <w:b/>
                <w:noProof/>
              </w:rPr>
              <w:t>65</w:t>
            </w:r>
          </w:p>
        </w:tc>
        <w:tc>
          <w:tcPr>
            <w:tcW w:w="599" w:type="pct"/>
            <w:tcBorders>
              <w:top w:val="single" w:sz="4" w:space="0" w:color="auto"/>
              <w:bottom w:val="single" w:sz="4" w:space="0" w:color="auto"/>
            </w:tcBorders>
          </w:tcPr>
          <w:p w:rsidR="00333A1A" w:rsidRDefault="003D29C9">
            <w:pPr>
              <w:keepNext/>
              <w:keepLines/>
              <w:spacing w:line="360" w:lineRule="auto"/>
              <w:rPr>
                <w:b/>
                <w:i/>
                <w:noProof/>
              </w:rPr>
            </w:pPr>
            <w:r>
              <w:rPr>
                <w:b/>
                <w:noProof/>
              </w:rPr>
              <w:t>73</w:t>
            </w:r>
          </w:p>
        </w:tc>
        <w:tc>
          <w:tcPr>
            <w:tcW w:w="490" w:type="pct"/>
            <w:tcBorders>
              <w:top w:val="single" w:sz="4" w:space="0" w:color="auto"/>
              <w:bottom w:val="single" w:sz="4" w:space="0" w:color="auto"/>
            </w:tcBorders>
          </w:tcPr>
          <w:p w:rsidR="00333A1A" w:rsidRDefault="003D29C9">
            <w:pPr>
              <w:keepNext/>
              <w:keepLines/>
              <w:spacing w:line="360" w:lineRule="auto"/>
              <w:rPr>
                <w:b/>
                <w:i/>
                <w:noProof/>
              </w:rPr>
            </w:pPr>
            <w:r>
              <w:rPr>
                <w:b/>
                <w:noProof/>
              </w:rPr>
              <w:t>75</w:t>
            </w:r>
          </w:p>
        </w:tc>
        <w:tc>
          <w:tcPr>
            <w:tcW w:w="544" w:type="pct"/>
            <w:tcBorders>
              <w:top w:val="single" w:sz="4" w:space="0" w:color="auto"/>
              <w:bottom w:val="single" w:sz="4" w:space="0" w:color="auto"/>
            </w:tcBorders>
          </w:tcPr>
          <w:p w:rsidR="00333A1A" w:rsidRDefault="003D29C9">
            <w:pPr>
              <w:keepNext/>
              <w:keepLines/>
              <w:spacing w:line="360" w:lineRule="auto"/>
              <w:rPr>
                <w:b/>
                <w:i/>
                <w:noProof/>
              </w:rPr>
            </w:pPr>
            <w:r>
              <w:rPr>
                <w:b/>
                <w:noProof/>
              </w:rPr>
              <w:t>62</w:t>
            </w:r>
          </w:p>
        </w:tc>
        <w:tc>
          <w:tcPr>
            <w:tcW w:w="557" w:type="pct"/>
            <w:tcBorders>
              <w:top w:val="single" w:sz="4" w:space="0" w:color="auto"/>
              <w:bottom w:val="single" w:sz="4" w:space="0" w:color="auto"/>
            </w:tcBorders>
          </w:tcPr>
          <w:p w:rsidR="00333A1A" w:rsidRDefault="003D29C9">
            <w:pPr>
              <w:keepNext/>
              <w:keepLines/>
              <w:spacing w:line="360" w:lineRule="auto"/>
              <w:rPr>
                <w:b/>
                <w:i/>
                <w:noProof/>
              </w:rPr>
            </w:pPr>
            <w:r>
              <w:rPr>
                <w:b/>
                <w:noProof/>
              </w:rPr>
              <w:t>67</w:t>
            </w:r>
          </w:p>
        </w:tc>
      </w:tr>
      <w:tr w:rsidR="00333A1A">
        <w:tc>
          <w:tcPr>
            <w:tcW w:w="2265" w:type="pct"/>
            <w:tcBorders>
              <w:top w:val="single" w:sz="4" w:space="0" w:color="auto"/>
              <w:bottom w:val="nil"/>
            </w:tcBorders>
          </w:tcPr>
          <w:p w:rsidR="00333A1A" w:rsidRDefault="003D29C9">
            <w:pPr>
              <w:keepNext/>
              <w:keepLines/>
              <w:spacing w:line="360" w:lineRule="auto"/>
              <w:rPr>
                <w:i/>
                <w:noProof/>
              </w:rPr>
            </w:pPr>
            <w:r>
              <w:rPr>
                <w:i/>
                <w:noProof/>
              </w:rPr>
              <w:t>CH</w:t>
            </w:r>
            <w:r>
              <w:rPr>
                <w:i/>
                <w:noProof/>
                <w:vertAlign w:val="subscript"/>
              </w:rPr>
              <w:t xml:space="preserve">4 </w:t>
            </w:r>
            <w:r>
              <w:rPr>
                <w:i/>
                <w:noProof/>
              </w:rPr>
              <w:t>from enteric fermentation</w:t>
            </w:r>
          </w:p>
        </w:tc>
        <w:tc>
          <w:tcPr>
            <w:tcW w:w="544" w:type="pct"/>
            <w:tcBorders>
              <w:top w:val="single" w:sz="4" w:space="0" w:color="auto"/>
              <w:bottom w:val="nil"/>
            </w:tcBorders>
          </w:tcPr>
          <w:p w:rsidR="00333A1A" w:rsidRDefault="003D29C9">
            <w:pPr>
              <w:keepNext/>
              <w:keepLines/>
              <w:spacing w:line="360" w:lineRule="auto"/>
              <w:rPr>
                <w:i/>
                <w:noProof/>
              </w:rPr>
            </w:pPr>
            <w:r>
              <w:rPr>
                <w:noProof/>
              </w:rPr>
              <w:t>33</w:t>
            </w:r>
          </w:p>
        </w:tc>
        <w:tc>
          <w:tcPr>
            <w:tcW w:w="599" w:type="pct"/>
            <w:tcBorders>
              <w:top w:val="single" w:sz="4" w:space="0" w:color="auto"/>
              <w:bottom w:val="nil"/>
            </w:tcBorders>
          </w:tcPr>
          <w:p w:rsidR="00333A1A" w:rsidRDefault="003D29C9">
            <w:pPr>
              <w:keepNext/>
              <w:keepLines/>
              <w:spacing w:line="360" w:lineRule="auto"/>
              <w:rPr>
                <w:i/>
                <w:noProof/>
              </w:rPr>
            </w:pPr>
            <w:r>
              <w:rPr>
                <w:noProof/>
              </w:rPr>
              <w:t>24</w:t>
            </w:r>
          </w:p>
        </w:tc>
        <w:tc>
          <w:tcPr>
            <w:tcW w:w="490" w:type="pct"/>
            <w:tcBorders>
              <w:top w:val="single" w:sz="4" w:space="0" w:color="auto"/>
              <w:bottom w:val="nil"/>
            </w:tcBorders>
          </w:tcPr>
          <w:p w:rsidR="00333A1A" w:rsidRDefault="003D29C9">
            <w:pPr>
              <w:keepNext/>
              <w:keepLines/>
              <w:spacing w:line="360" w:lineRule="auto"/>
              <w:rPr>
                <w:i/>
                <w:noProof/>
              </w:rPr>
            </w:pPr>
            <w:r>
              <w:rPr>
                <w:noProof/>
              </w:rPr>
              <w:t>22</w:t>
            </w:r>
          </w:p>
        </w:tc>
        <w:tc>
          <w:tcPr>
            <w:tcW w:w="544" w:type="pct"/>
            <w:tcBorders>
              <w:top w:val="single" w:sz="4" w:space="0" w:color="auto"/>
              <w:bottom w:val="nil"/>
            </w:tcBorders>
          </w:tcPr>
          <w:p w:rsidR="00333A1A" w:rsidRDefault="003D29C9">
            <w:pPr>
              <w:keepNext/>
              <w:keepLines/>
              <w:spacing w:line="360" w:lineRule="auto"/>
              <w:rPr>
                <w:i/>
                <w:noProof/>
              </w:rPr>
            </w:pPr>
            <w:r>
              <w:rPr>
                <w:noProof/>
              </w:rPr>
              <w:t>36</w:t>
            </w:r>
          </w:p>
        </w:tc>
        <w:tc>
          <w:tcPr>
            <w:tcW w:w="557" w:type="pct"/>
            <w:tcBorders>
              <w:top w:val="single" w:sz="4" w:space="0" w:color="auto"/>
              <w:bottom w:val="nil"/>
            </w:tcBorders>
          </w:tcPr>
          <w:p w:rsidR="00333A1A" w:rsidRDefault="003D29C9">
            <w:pPr>
              <w:keepNext/>
              <w:keepLines/>
              <w:spacing w:line="360" w:lineRule="auto"/>
              <w:rPr>
                <w:i/>
                <w:noProof/>
              </w:rPr>
            </w:pPr>
            <w:r>
              <w:rPr>
                <w:noProof/>
              </w:rPr>
              <w:t>31</w:t>
            </w:r>
          </w:p>
        </w:tc>
      </w:tr>
      <w:tr w:rsidR="00333A1A">
        <w:tc>
          <w:tcPr>
            <w:tcW w:w="2265" w:type="pct"/>
            <w:tcBorders>
              <w:top w:val="nil"/>
              <w:bottom w:val="single" w:sz="4" w:space="0" w:color="auto"/>
            </w:tcBorders>
          </w:tcPr>
          <w:p w:rsidR="00333A1A" w:rsidRDefault="003D29C9">
            <w:pPr>
              <w:keepNext/>
              <w:keepLines/>
              <w:spacing w:line="360" w:lineRule="auto"/>
              <w:rPr>
                <w:i/>
                <w:noProof/>
              </w:rPr>
            </w:pPr>
            <w:r>
              <w:rPr>
                <w:i/>
                <w:noProof/>
              </w:rPr>
              <w:t>CH</w:t>
            </w:r>
            <w:r>
              <w:rPr>
                <w:i/>
                <w:noProof/>
                <w:vertAlign w:val="subscript"/>
              </w:rPr>
              <w:t>4</w:t>
            </w:r>
            <w:r>
              <w:rPr>
                <w:i/>
                <w:noProof/>
              </w:rPr>
              <w:t xml:space="preserve"> from manure management</w:t>
            </w:r>
          </w:p>
        </w:tc>
        <w:tc>
          <w:tcPr>
            <w:tcW w:w="544" w:type="pct"/>
            <w:tcBorders>
              <w:top w:val="nil"/>
              <w:bottom w:val="single" w:sz="4" w:space="0" w:color="auto"/>
            </w:tcBorders>
          </w:tcPr>
          <w:p w:rsidR="00333A1A" w:rsidRDefault="003D29C9">
            <w:pPr>
              <w:keepNext/>
              <w:keepLines/>
              <w:spacing w:line="360" w:lineRule="auto"/>
              <w:rPr>
                <w:i/>
                <w:noProof/>
              </w:rPr>
            </w:pPr>
            <w:r>
              <w:rPr>
                <w:noProof/>
              </w:rPr>
              <w:t>2</w:t>
            </w:r>
          </w:p>
        </w:tc>
        <w:tc>
          <w:tcPr>
            <w:tcW w:w="599" w:type="pct"/>
            <w:tcBorders>
              <w:top w:val="nil"/>
              <w:bottom w:val="single" w:sz="4" w:space="0" w:color="auto"/>
            </w:tcBorders>
          </w:tcPr>
          <w:p w:rsidR="00333A1A" w:rsidRDefault="003D29C9">
            <w:pPr>
              <w:keepNext/>
              <w:keepLines/>
              <w:spacing w:line="360" w:lineRule="auto"/>
              <w:rPr>
                <w:i/>
                <w:noProof/>
              </w:rPr>
            </w:pPr>
            <w:r>
              <w:rPr>
                <w:noProof/>
              </w:rPr>
              <w:t>3</w:t>
            </w:r>
          </w:p>
        </w:tc>
        <w:tc>
          <w:tcPr>
            <w:tcW w:w="490" w:type="pct"/>
            <w:tcBorders>
              <w:top w:val="nil"/>
              <w:bottom w:val="single" w:sz="4" w:space="0" w:color="auto"/>
            </w:tcBorders>
          </w:tcPr>
          <w:p w:rsidR="00333A1A" w:rsidRDefault="003D29C9">
            <w:pPr>
              <w:keepNext/>
              <w:keepLines/>
              <w:spacing w:line="360" w:lineRule="auto"/>
              <w:rPr>
                <w:i/>
                <w:noProof/>
              </w:rPr>
            </w:pPr>
            <w:r>
              <w:rPr>
                <w:noProof/>
              </w:rPr>
              <w:t>3</w:t>
            </w:r>
          </w:p>
        </w:tc>
        <w:tc>
          <w:tcPr>
            <w:tcW w:w="544" w:type="pct"/>
            <w:tcBorders>
              <w:top w:val="nil"/>
              <w:bottom w:val="single" w:sz="4" w:space="0" w:color="auto"/>
            </w:tcBorders>
          </w:tcPr>
          <w:p w:rsidR="00333A1A" w:rsidRDefault="003D29C9">
            <w:pPr>
              <w:keepNext/>
              <w:keepLines/>
              <w:spacing w:line="360" w:lineRule="auto"/>
              <w:rPr>
                <w:i/>
                <w:noProof/>
              </w:rPr>
            </w:pPr>
            <w:r>
              <w:rPr>
                <w:noProof/>
              </w:rPr>
              <w:t>2</w:t>
            </w:r>
          </w:p>
        </w:tc>
        <w:tc>
          <w:tcPr>
            <w:tcW w:w="557" w:type="pct"/>
            <w:tcBorders>
              <w:top w:val="nil"/>
              <w:bottom w:val="single" w:sz="4" w:space="0" w:color="auto"/>
            </w:tcBorders>
          </w:tcPr>
          <w:p w:rsidR="00333A1A" w:rsidRDefault="003D29C9">
            <w:pPr>
              <w:keepNext/>
              <w:keepLines/>
              <w:spacing w:line="360" w:lineRule="auto"/>
              <w:rPr>
                <w:i/>
                <w:noProof/>
              </w:rPr>
            </w:pPr>
            <w:r>
              <w:rPr>
                <w:noProof/>
              </w:rPr>
              <w:t>2</w:t>
            </w:r>
          </w:p>
        </w:tc>
      </w:tr>
      <w:tr w:rsidR="00333A1A">
        <w:tc>
          <w:tcPr>
            <w:tcW w:w="2265" w:type="pct"/>
            <w:tcBorders>
              <w:top w:val="single" w:sz="4" w:space="0" w:color="auto"/>
              <w:bottom w:val="single" w:sz="4" w:space="0" w:color="auto"/>
            </w:tcBorders>
          </w:tcPr>
          <w:p w:rsidR="00333A1A" w:rsidRDefault="003D29C9">
            <w:pPr>
              <w:keepNext/>
              <w:keepLines/>
              <w:spacing w:line="360" w:lineRule="auto"/>
              <w:rPr>
                <w:b/>
                <w:i/>
                <w:noProof/>
              </w:rPr>
            </w:pPr>
            <w:r>
              <w:rPr>
                <w:b/>
                <w:i/>
                <w:noProof/>
              </w:rPr>
              <w:t>Total CH</w:t>
            </w:r>
            <w:r>
              <w:rPr>
                <w:b/>
                <w:i/>
                <w:noProof/>
                <w:vertAlign w:val="subscript"/>
              </w:rPr>
              <w:t>4</w:t>
            </w:r>
          </w:p>
        </w:tc>
        <w:tc>
          <w:tcPr>
            <w:tcW w:w="544" w:type="pct"/>
            <w:tcBorders>
              <w:top w:val="single" w:sz="4" w:space="0" w:color="auto"/>
              <w:bottom w:val="single" w:sz="4" w:space="0" w:color="auto"/>
            </w:tcBorders>
          </w:tcPr>
          <w:p w:rsidR="00333A1A" w:rsidRDefault="003D29C9">
            <w:pPr>
              <w:keepNext/>
              <w:keepLines/>
              <w:spacing w:line="360" w:lineRule="auto"/>
              <w:rPr>
                <w:b/>
                <w:i/>
                <w:noProof/>
              </w:rPr>
            </w:pPr>
            <w:r>
              <w:rPr>
                <w:b/>
                <w:noProof/>
              </w:rPr>
              <w:t>35</w:t>
            </w:r>
          </w:p>
        </w:tc>
        <w:tc>
          <w:tcPr>
            <w:tcW w:w="599" w:type="pct"/>
            <w:tcBorders>
              <w:top w:val="single" w:sz="4" w:space="0" w:color="auto"/>
              <w:bottom w:val="single" w:sz="4" w:space="0" w:color="auto"/>
            </w:tcBorders>
          </w:tcPr>
          <w:p w:rsidR="00333A1A" w:rsidRDefault="003D29C9">
            <w:pPr>
              <w:keepNext/>
              <w:keepLines/>
              <w:spacing w:line="360" w:lineRule="auto"/>
              <w:rPr>
                <w:b/>
                <w:i/>
                <w:noProof/>
              </w:rPr>
            </w:pPr>
            <w:r>
              <w:rPr>
                <w:b/>
                <w:noProof/>
              </w:rPr>
              <w:t>27</w:t>
            </w:r>
          </w:p>
        </w:tc>
        <w:tc>
          <w:tcPr>
            <w:tcW w:w="490" w:type="pct"/>
            <w:tcBorders>
              <w:top w:val="single" w:sz="4" w:space="0" w:color="auto"/>
              <w:bottom w:val="single" w:sz="4" w:space="0" w:color="auto"/>
            </w:tcBorders>
          </w:tcPr>
          <w:p w:rsidR="00333A1A" w:rsidRDefault="003D29C9">
            <w:pPr>
              <w:keepNext/>
              <w:keepLines/>
              <w:spacing w:line="360" w:lineRule="auto"/>
              <w:rPr>
                <w:b/>
                <w:i/>
                <w:noProof/>
              </w:rPr>
            </w:pPr>
            <w:r>
              <w:rPr>
                <w:b/>
                <w:noProof/>
              </w:rPr>
              <w:t>25</w:t>
            </w:r>
          </w:p>
        </w:tc>
        <w:tc>
          <w:tcPr>
            <w:tcW w:w="544" w:type="pct"/>
            <w:tcBorders>
              <w:top w:val="single" w:sz="4" w:space="0" w:color="auto"/>
              <w:bottom w:val="single" w:sz="4" w:space="0" w:color="auto"/>
            </w:tcBorders>
          </w:tcPr>
          <w:p w:rsidR="00333A1A" w:rsidRDefault="003D29C9">
            <w:pPr>
              <w:keepNext/>
              <w:keepLines/>
              <w:spacing w:line="360" w:lineRule="auto"/>
              <w:rPr>
                <w:b/>
                <w:i/>
                <w:noProof/>
              </w:rPr>
            </w:pPr>
            <w:r>
              <w:rPr>
                <w:b/>
                <w:noProof/>
              </w:rPr>
              <w:t>38</w:t>
            </w:r>
          </w:p>
        </w:tc>
        <w:tc>
          <w:tcPr>
            <w:tcW w:w="557" w:type="pct"/>
            <w:tcBorders>
              <w:top w:val="single" w:sz="4" w:space="0" w:color="auto"/>
              <w:bottom w:val="single" w:sz="4" w:space="0" w:color="auto"/>
            </w:tcBorders>
          </w:tcPr>
          <w:p w:rsidR="00333A1A" w:rsidRDefault="003D29C9">
            <w:pPr>
              <w:keepNext/>
              <w:keepLines/>
              <w:spacing w:line="360" w:lineRule="auto"/>
              <w:rPr>
                <w:b/>
                <w:i/>
                <w:noProof/>
              </w:rPr>
            </w:pPr>
            <w:r>
              <w:rPr>
                <w:b/>
                <w:noProof/>
              </w:rPr>
              <w:t>33</w:t>
            </w:r>
          </w:p>
        </w:tc>
      </w:tr>
    </w:tbl>
    <w:p w:rsidR="00333A1A" w:rsidRDefault="003D29C9">
      <w:pPr>
        <w:spacing w:after="240" w:line="240" w:lineRule="auto"/>
        <w:jc w:val="both"/>
        <w:rPr>
          <w:rFonts w:ascii="Times New Roman" w:hAnsi="Times New Roman" w:cs="Times New Roman"/>
          <w:noProof/>
          <w:sz w:val="18"/>
          <w:szCs w:val="24"/>
        </w:rPr>
      </w:pPr>
      <w:r>
        <w:rPr>
          <w:rFonts w:ascii="Times New Roman" w:hAnsi="Times New Roman" w:cs="Times New Roman"/>
          <w:noProof/>
          <w:sz w:val="18"/>
          <w:szCs w:val="24"/>
        </w:rPr>
        <w:t>Source: JRC, CAPRI model</w:t>
      </w:r>
    </w:p>
    <w:p w:rsidR="00333A1A" w:rsidRDefault="003D29C9">
      <w:pPr>
        <w:pStyle w:val="Text1"/>
        <w:ind w:left="0"/>
        <w:rPr>
          <w:b/>
          <w:noProof/>
        </w:rPr>
      </w:pPr>
      <w:r>
        <w:rPr>
          <w:b/>
          <w:noProof/>
        </w:rPr>
        <w:t>Increase carbon sequestration</w:t>
      </w:r>
    </w:p>
    <w:p w:rsidR="00333A1A" w:rsidRDefault="003D29C9">
      <w:pPr>
        <w:pStyle w:val="Text1"/>
        <w:ind w:left="0"/>
        <w:rPr>
          <w:noProof/>
        </w:rPr>
      </w:pPr>
      <w:r>
        <w:rPr>
          <w:noProof/>
        </w:rPr>
        <w:t xml:space="preserve">The maintenance of permanent grassland – i.e. obligation not to convert permanent grassland to other land uses - is key for carbon </w:t>
      </w:r>
      <w:r>
        <w:rPr>
          <w:noProof/>
        </w:rPr>
        <w:t>sequestration and preservation, thus the obligation to maintain the share of permanent grassland in UAA in conditionality requirements. In addition, other policy instruments can contribute to maintain or even extend permanent grassland area: support to per</w:t>
      </w:r>
      <w:r>
        <w:rPr>
          <w:noProof/>
        </w:rPr>
        <w:t>manent grassland (option 4 and 5), support to ANC and support to extensive livestock. It is worth noting that any scheme granting lower payments to large farms (as simulated in option 5) is damaging for extensive farms with permanent grassland; thus the ne</w:t>
      </w:r>
      <w:r>
        <w:rPr>
          <w:noProof/>
        </w:rPr>
        <w:t>ed to compensate these systems with targeted support. In addition, the increase in green requirements might lead to an increase in permanent grassland by reducing economic returns from arable land.</w:t>
      </w:r>
    </w:p>
    <w:p w:rsidR="00333A1A" w:rsidRDefault="003D29C9">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Certain farming practices have also beneficial effects on </w:t>
      </w:r>
      <w:r>
        <w:rPr>
          <w:rFonts w:ascii="Times New Roman" w:hAnsi="Times New Roman" w:cs="Times New Roman"/>
          <w:noProof/>
          <w:sz w:val="24"/>
          <w:szCs w:val="24"/>
        </w:rPr>
        <w:t>soil organic carbon. There is substantial scientific evidence that cover crops reduce nitrate and phosphate leaching (water quality), increase the soil organic carbon content and reduce soil loss by improving soil structure and increasing infiltration.</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Ex</w:t>
      </w:r>
      <w:r>
        <w:rPr>
          <w:rFonts w:ascii="Times New Roman" w:hAnsi="Times New Roman" w:cs="Times New Roman"/>
          <w:noProof/>
          <w:sz w:val="24"/>
          <w:szCs w:val="24"/>
        </w:rPr>
        <w:t>perimental results have shown that cover crops can reduce soil erosion by 20% (conservative estimation); thus, the proposal for more environmentally ambitious MS to specify an obligation of winter soil cover with cover crops (meaning that mulching would no</w:t>
      </w:r>
      <w:r>
        <w:rPr>
          <w:rFonts w:ascii="Times New Roman" w:hAnsi="Times New Roman" w:cs="Times New Roman"/>
          <w:noProof/>
          <w:sz w:val="24"/>
          <w:szCs w:val="24"/>
        </w:rPr>
        <w:t>t be enough). Cover crops are applied currently on 6.5% of the EU-28 arable land, but large differences between MS exist.</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xml:space="preserve"> The use of green coverage between tree rows of permanent crops ranges between 5 and 10% in the EU. </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this impact assessment, 3 sce</w:t>
      </w:r>
      <w:r>
        <w:rPr>
          <w:rFonts w:ascii="Times New Roman" w:hAnsi="Times New Roman" w:cs="Times New Roman"/>
          <w:noProof/>
          <w:sz w:val="24"/>
          <w:szCs w:val="24"/>
        </w:rPr>
        <w:t>narios were developed and run by the JRC, using the Century model and RUSLE 2015</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to see the potential effect of cover crops on carbon sequestration and soil erosion, separately from the non-CO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modelling with CAPRI described above:</w:t>
      </w:r>
    </w:p>
    <w:p w:rsidR="00333A1A" w:rsidRDefault="003D29C9">
      <w:pPr>
        <w:pStyle w:val="PlainText"/>
        <w:numPr>
          <w:ilvl w:val="0"/>
          <w:numId w:val="32"/>
        </w:numPr>
        <w:spacing w:after="120"/>
        <w:ind w:left="238" w:hanging="238"/>
        <w:rPr>
          <w:rFonts w:ascii="Times New Roman" w:hAnsi="Times New Roman"/>
          <w:noProof/>
          <w:sz w:val="24"/>
          <w:szCs w:val="24"/>
        </w:rPr>
      </w:pPr>
      <w:r>
        <w:rPr>
          <w:rFonts w:ascii="Times New Roman" w:hAnsi="Times New Roman"/>
          <w:noProof/>
          <w:sz w:val="24"/>
          <w:szCs w:val="24"/>
        </w:rPr>
        <w:t>Scenario 1: introducin</w:t>
      </w:r>
      <w:r>
        <w:rPr>
          <w:rFonts w:ascii="Times New Roman" w:hAnsi="Times New Roman"/>
          <w:noProof/>
          <w:sz w:val="24"/>
          <w:szCs w:val="24"/>
        </w:rPr>
        <w:t>g a minimum rate of cover crops in the whole EU territory, several levels were tested: 25%, 50% and 75% of arable land and permanent crops. In areas were the cover crops application was larger no change was implemented ("</w:t>
      </w:r>
      <w:r>
        <w:rPr>
          <w:rFonts w:ascii="Times New Roman" w:hAnsi="Times New Roman"/>
          <w:i/>
          <w:noProof/>
          <w:sz w:val="24"/>
          <w:szCs w:val="24"/>
        </w:rPr>
        <w:t>Flat rate 25%, 50%, 75%"</w:t>
      </w:r>
      <w:r>
        <w:rPr>
          <w:rFonts w:ascii="Times New Roman" w:hAnsi="Times New Roman"/>
          <w:noProof/>
          <w:sz w:val="24"/>
          <w:szCs w:val="24"/>
        </w:rPr>
        <w:t>).</w:t>
      </w:r>
    </w:p>
    <w:p w:rsidR="00333A1A" w:rsidRDefault="003D29C9">
      <w:pPr>
        <w:pStyle w:val="PlainText"/>
        <w:numPr>
          <w:ilvl w:val="0"/>
          <w:numId w:val="32"/>
        </w:numPr>
        <w:spacing w:after="120"/>
        <w:ind w:left="238" w:hanging="238"/>
        <w:rPr>
          <w:rFonts w:ascii="Times New Roman" w:hAnsi="Times New Roman"/>
          <w:noProof/>
          <w:sz w:val="24"/>
          <w:szCs w:val="24"/>
        </w:rPr>
      </w:pPr>
      <w:r>
        <w:rPr>
          <w:rFonts w:ascii="Times New Roman" w:hAnsi="Times New Roman"/>
          <w:noProof/>
          <w:sz w:val="24"/>
          <w:szCs w:val="24"/>
        </w:rPr>
        <w:t>Scenario</w:t>
      </w:r>
      <w:r>
        <w:rPr>
          <w:rFonts w:ascii="Times New Roman" w:hAnsi="Times New Roman"/>
          <w:noProof/>
          <w:sz w:val="24"/>
          <w:szCs w:val="24"/>
        </w:rPr>
        <w:t xml:space="preserve"> 2: introducing minimum cover rates of 10% everywhere, but with higher levels depending on the erosion status of the zone: 25% if soil erosion is above 2t/ha per year and 50% if soil erosion is above 5t/ha ("</w:t>
      </w:r>
      <w:r>
        <w:rPr>
          <w:rFonts w:ascii="Times New Roman" w:hAnsi="Times New Roman"/>
          <w:i/>
          <w:noProof/>
          <w:sz w:val="24"/>
          <w:szCs w:val="24"/>
        </w:rPr>
        <w:t>Minimum + target"</w:t>
      </w:r>
      <w:r>
        <w:rPr>
          <w:rFonts w:ascii="Times New Roman" w:hAnsi="Times New Roman"/>
          <w:noProof/>
          <w:sz w:val="24"/>
          <w:szCs w:val="24"/>
        </w:rPr>
        <w:t>).</w:t>
      </w:r>
    </w:p>
    <w:p w:rsidR="00333A1A" w:rsidRDefault="003D29C9">
      <w:pPr>
        <w:pStyle w:val="PlainText"/>
        <w:numPr>
          <w:ilvl w:val="0"/>
          <w:numId w:val="32"/>
        </w:numPr>
        <w:ind w:left="238" w:hanging="238"/>
        <w:rPr>
          <w:rFonts w:ascii="Times New Roman" w:hAnsi="Times New Roman"/>
          <w:noProof/>
          <w:sz w:val="24"/>
          <w:szCs w:val="24"/>
        </w:rPr>
      </w:pPr>
      <w:r>
        <w:rPr>
          <w:rFonts w:ascii="Times New Roman" w:hAnsi="Times New Roman"/>
          <w:noProof/>
          <w:sz w:val="24"/>
          <w:szCs w:val="24"/>
        </w:rPr>
        <w:t>Scenario 3: introducing targ</w:t>
      </w:r>
      <w:r>
        <w:rPr>
          <w:rFonts w:ascii="Times New Roman" w:hAnsi="Times New Roman"/>
          <w:noProof/>
          <w:sz w:val="24"/>
          <w:szCs w:val="24"/>
        </w:rPr>
        <w:t>eted cover rates only where erosion rate are above 1t/ha: 25% if soil erosion is above 1t/ha per year, 50% if soil erosion is above 2t/ha and 75% if soil erosion is above 5t/ha ("</w:t>
      </w:r>
      <w:r>
        <w:rPr>
          <w:rFonts w:ascii="Times New Roman" w:hAnsi="Times New Roman"/>
          <w:i/>
          <w:noProof/>
          <w:sz w:val="24"/>
          <w:szCs w:val="24"/>
        </w:rPr>
        <w:t>Target"</w:t>
      </w:r>
      <w:r>
        <w:rPr>
          <w:rFonts w:ascii="Times New Roman" w:hAnsi="Times New Roman"/>
          <w:noProof/>
          <w:sz w:val="24"/>
          <w:szCs w:val="24"/>
        </w:rPr>
        <w:t>).</w:t>
      </w:r>
    </w:p>
    <w:p w:rsidR="00333A1A" w:rsidRDefault="003D29C9">
      <w:pPr>
        <w:pStyle w:val="PlainText"/>
        <w:rPr>
          <w:rFonts w:ascii="Times New Roman" w:hAnsi="Times New Roman"/>
          <w:noProof/>
          <w:sz w:val="24"/>
          <w:szCs w:val="24"/>
        </w:rPr>
      </w:pPr>
      <w:r>
        <w:rPr>
          <w:rFonts w:ascii="Times New Roman" w:hAnsi="Times New Roman"/>
          <w:noProof/>
          <w:sz w:val="24"/>
          <w:szCs w:val="24"/>
        </w:rPr>
        <w:t>Cover crops application on arable land improves carbon sequestratio</w:t>
      </w:r>
      <w:r>
        <w:rPr>
          <w:rFonts w:ascii="Times New Roman" w:hAnsi="Times New Roman"/>
          <w:noProof/>
          <w:sz w:val="24"/>
          <w:szCs w:val="24"/>
        </w:rPr>
        <w:t xml:space="preserve">n in all scenarios. Between 37 and 138 million t of additional carbon can be accumulated into the soil over a period of 15 years. The impact by MS is mainly driven by the number of hectares of arable land and the potential erosion risk. On a yearly basis, </w:t>
      </w:r>
      <w:r>
        <w:rPr>
          <w:rFonts w:ascii="Times New Roman" w:hAnsi="Times New Roman"/>
          <w:noProof/>
          <w:sz w:val="24"/>
          <w:szCs w:val="24"/>
        </w:rPr>
        <w:t>the impact represents between 0.5% and 2% of total agricultural non-CO</w:t>
      </w:r>
      <w:r>
        <w:rPr>
          <w:rFonts w:ascii="Times New Roman" w:hAnsi="Times New Roman"/>
          <w:noProof/>
          <w:sz w:val="24"/>
          <w:szCs w:val="24"/>
          <w:vertAlign w:val="subscript"/>
        </w:rPr>
        <w:t>2</w:t>
      </w:r>
      <w:r>
        <w:rPr>
          <w:rFonts w:ascii="Times New Roman" w:hAnsi="Times New Roman"/>
          <w:noProof/>
          <w:sz w:val="24"/>
          <w:szCs w:val="24"/>
        </w:rPr>
        <w:t xml:space="preserve"> emissions (437 million t in 2015, EEA).</w:t>
      </w:r>
    </w:p>
    <w:p w:rsidR="00333A1A" w:rsidRDefault="003D29C9">
      <w:pPr>
        <w:spacing w:after="0" w:line="240" w:lineRule="auto"/>
        <w:jc w:val="both"/>
        <w:rPr>
          <w:rFonts w:ascii="Times New Roman" w:hAnsi="Times New Roman" w:cs="Times New Roman"/>
          <w:b/>
          <w:noProof/>
        </w:rPr>
      </w:pPr>
      <w:r>
        <w:rPr>
          <w:rFonts w:ascii="Times New Roman" w:hAnsi="Times New Roman" w:cs="Times New Roman"/>
          <w:b/>
          <w:noProof/>
        </w:rPr>
        <w:t>Table 2.13: Change in carbon sequestration cumulated over a period of 15 years due to different implementation strategies of cover crops on arab</w:t>
      </w:r>
      <w:r>
        <w:rPr>
          <w:rFonts w:ascii="Times New Roman" w:hAnsi="Times New Roman" w:cs="Times New Roman"/>
          <w:b/>
          <w:noProof/>
        </w:rPr>
        <w:t>le land</w:t>
      </w:r>
    </w:p>
    <w:tbl>
      <w:tblPr>
        <w:tblW w:w="7343" w:type="dxa"/>
        <w:jc w:val="center"/>
        <w:tblLook w:val="04A0" w:firstRow="1" w:lastRow="0" w:firstColumn="1" w:lastColumn="0" w:noHBand="0" w:noVBand="1"/>
      </w:tblPr>
      <w:tblGrid>
        <w:gridCol w:w="817"/>
        <w:gridCol w:w="1361"/>
        <w:gridCol w:w="850"/>
        <w:gridCol w:w="993"/>
        <w:gridCol w:w="990"/>
        <w:gridCol w:w="1183"/>
        <w:gridCol w:w="1196"/>
      </w:tblGrid>
      <w:tr w:rsidR="00333A1A">
        <w:trPr>
          <w:trHeight w:val="576"/>
          <w:tblHeader/>
          <w:jc w:val="center"/>
        </w:trPr>
        <w:tc>
          <w:tcPr>
            <w:tcW w:w="817" w:type="dxa"/>
            <w:vMerge w:val="restart"/>
            <w:tcBorders>
              <w:top w:val="single" w:sz="4" w:space="0" w:color="auto"/>
              <w:left w:val="single" w:sz="4" w:space="0" w:color="auto"/>
              <w:bottom w:val="single" w:sz="4" w:space="0" w:color="auto"/>
              <w:right w:val="nil"/>
            </w:tcBorders>
            <w:shd w:val="clear" w:color="auto" w:fill="auto"/>
            <w:noWrap/>
            <w:vAlign w:val="bottom"/>
          </w:tcPr>
          <w:p w:rsidR="00333A1A" w:rsidRDefault="003D29C9">
            <w:pPr>
              <w:spacing w:after="0" w:line="240" w:lineRule="auto"/>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MS</w:t>
            </w:r>
          </w:p>
        </w:tc>
        <w:tc>
          <w:tcPr>
            <w:tcW w:w="1361" w:type="dxa"/>
            <w:vMerge w:val="restart"/>
            <w:tcBorders>
              <w:top w:val="single" w:sz="4" w:space="0" w:color="auto"/>
              <w:left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Carbon sequestration (Mt)</w:t>
            </w:r>
          </w:p>
        </w:tc>
        <w:tc>
          <w:tcPr>
            <w:tcW w:w="2833" w:type="dxa"/>
            <w:gridSpan w:val="3"/>
            <w:tcBorders>
              <w:top w:val="single" w:sz="4" w:space="0" w:color="auto"/>
              <w:left w:val="nil"/>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Scenario 1 "Flat rate"</w:t>
            </w:r>
          </w:p>
        </w:tc>
        <w:tc>
          <w:tcPr>
            <w:tcW w:w="1136" w:type="dxa"/>
            <w:vMerge w:val="restart"/>
            <w:tcBorders>
              <w:top w:val="single" w:sz="4" w:space="0" w:color="auto"/>
              <w:left w:val="nil"/>
              <w:right w:val="single" w:sz="4" w:space="0" w:color="auto"/>
            </w:tcBorders>
            <w:shd w:val="clear" w:color="auto" w:fill="auto"/>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Scenario 2 "Minimum + target"</w:t>
            </w:r>
          </w:p>
        </w:tc>
        <w:tc>
          <w:tcPr>
            <w:tcW w:w="1196" w:type="dxa"/>
            <w:vMerge w:val="restart"/>
            <w:tcBorders>
              <w:top w:val="single" w:sz="4" w:space="0" w:color="auto"/>
              <w:left w:val="single" w:sz="4" w:space="0" w:color="auto"/>
              <w:right w:val="single" w:sz="4" w:space="0" w:color="auto"/>
            </w:tcBorders>
            <w:shd w:val="clear" w:color="auto" w:fill="auto"/>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Scenario 3 "Target"</w:t>
            </w:r>
          </w:p>
        </w:tc>
      </w:tr>
      <w:tr w:rsidR="00333A1A">
        <w:trPr>
          <w:trHeight w:val="576"/>
          <w:tblHeader/>
          <w:jc w:val="center"/>
        </w:trPr>
        <w:tc>
          <w:tcPr>
            <w:tcW w:w="817" w:type="dxa"/>
            <w:vMerge/>
            <w:tcBorders>
              <w:left w:val="single" w:sz="4" w:space="0" w:color="auto"/>
              <w:bottom w:val="single" w:sz="4" w:space="0" w:color="auto"/>
              <w:right w:val="nil"/>
            </w:tcBorders>
            <w:shd w:val="clear" w:color="auto" w:fill="auto"/>
            <w:noWrap/>
            <w:vAlign w:val="bottom"/>
            <w:hideMark/>
          </w:tcPr>
          <w:p w:rsidR="00333A1A" w:rsidRDefault="00333A1A">
            <w:pPr>
              <w:spacing w:after="0" w:line="240" w:lineRule="auto"/>
              <w:rPr>
                <w:rFonts w:ascii="Times New Roman" w:eastAsia="Times New Roman" w:hAnsi="Times New Roman" w:cs="Times New Roman"/>
                <w:b/>
                <w:noProof/>
                <w:color w:val="000000"/>
                <w:sz w:val="20"/>
                <w:lang w:eastAsia="en-GB"/>
              </w:rPr>
            </w:pPr>
          </w:p>
        </w:tc>
        <w:tc>
          <w:tcPr>
            <w:tcW w:w="1361" w:type="dxa"/>
            <w:vMerge/>
            <w:tcBorders>
              <w:left w:val="single" w:sz="4" w:space="0" w:color="auto"/>
              <w:bottom w:val="single" w:sz="4" w:space="0" w:color="auto"/>
              <w:right w:val="single" w:sz="4" w:space="0" w:color="auto"/>
            </w:tcBorders>
            <w:shd w:val="clear" w:color="auto" w:fill="auto"/>
            <w:noWrap/>
            <w:vAlign w:val="center"/>
          </w:tcPr>
          <w:p w:rsidR="00333A1A" w:rsidRDefault="00333A1A">
            <w:pPr>
              <w:spacing w:after="0" w:line="240" w:lineRule="auto"/>
              <w:jc w:val="center"/>
              <w:rPr>
                <w:rFonts w:ascii="Times New Roman" w:eastAsia="Times New Roman" w:hAnsi="Times New Roman" w:cs="Times New Roman"/>
                <w:b/>
                <w:noProof/>
                <w:color w:val="000000"/>
                <w:sz w:val="20"/>
                <w:lang w:eastAsia="en-GB"/>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50%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75%</w:t>
            </w:r>
          </w:p>
        </w:tc>
        <w:tc>
          <w:tcPr>
            <w:tcW w:w="1136" w:type="dxa"/>
            <w:vMerge/>
            <w:tcBorders>
              <w:left w:val="nil"/>
              <w:bottom w:val="single" w:sz="4" w:space="0" w:color="auto"/>
              <w:right w:val="single" w:sz="4" w:space="0" w:color="auto"/>
            </w:tcBorders>
            <w:shd w:val="clear" w:color="auto" w:fill="auto"/>
            <w:vAlign w:val="center"/>
            <w:hideMark/>
          </w:tcPr>
          <w:p w:rsidR="00333A1A" w:rsidRDefault="00333A1A">
            <w:pPr>
              <w:spacing w:after="0" w:line="240" w:lineRule="auto"/>
              <w:jc w:val="center"/>
              <w:rPr>
                <w:rFonts w:ascii="Times New Roman" w:eastAsia="Times New Roman" w:hAnsi="Times New Roman" w:cs="Times New Roman"/>
                <w:b/>
                <w:noProof/>
                <w:color w:val="000000"/>
                <w:sz w:val="20"/>
                <w:lang w:eastAsia="en-GB"/>
              </w:rPr>
            </w:pPr>
          </w:p>
        </w:tc>
        <w:tc>
          <w:tcPr>
            <w:tcW w:w="1196" w:type="dxa"/>
            <w:vMerge/>
            <w:tcBorders>
              <w:left w:val="single" w:sz="4" w:space="0" w:color="auto"/>
              <w:bottom w:val="single" w:sz="4" w:space="0" w:color="auto"/>
              <w:right w:val="single" w:sz="4" w:space="0" w:color="auto"/>
            </w:tcBorders>
            <w:shd w:val="clear" w:color="auto" w:fill="auto"/>
            <w:vAlign w:val="center"/>
            <w:hideMark/>
          </w:tcPr>
          <w:p w:rsidR="00333A1A" w:rsidRDefault="00333A1A">
            <w:pPr>
              <w:spacing w:after="0" w:line="240" w:lineRule="auto"/>
              <w:jc w:val="center"/>
              <w:rPr>
                <w:rFonts w:ascii="Times New Roman" w:eastAsia="Times New Roman" w:hAnsi="Times New Roman" w:cs="Times New Roman"/>
                <w:b/>
                <w:noProof/>
                <w:color w:val="000000"/>
                <w:sz w:val="20"/>
                <w:lang w:eastAsia="en-GB"/>
              </w:rPr>
            </w:pP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AT</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0.4</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1.1</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r>
      <w:tr w:rsidR="00333A1A">
        <w:trPr>
          <w:trHeight w:val="30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BE</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0.2</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0.3</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0.6</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0.1</w:t>
            </w:r>
          </w:p>
        </w:tc>
      </w:tr>
      <w:tr w:rsidR="00333A1A">
        <w:trPr>
          <w:trHeight w:val="288"/>
          <w:jc w:val="cent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BG</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2.9</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4.4</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1.1</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1.8</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CY</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DE</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2.4</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6.2</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14.8</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23.3</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3.4</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5.9</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CZ</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1.7</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3.9</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6.2</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1.1</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2.4</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DK</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0.7</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2.1</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EE</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0.6</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EL</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0.8</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1.2</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0.5</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ES</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2.1</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4.7</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7.4</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3.7</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FI</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0.8</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1.7</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2.6</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0.1</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FR</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6.0</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18.6</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30.8</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3.1</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7.2</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IE</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0.4</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0.8</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HU</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0.2</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2.9</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5.9</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9.0</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1.8</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2.6</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HR</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0.0</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IT</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5.4</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8.4</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3.1</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5.4</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LT</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2.7</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4.0</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0.4</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LU</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0.0</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LV</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0.4</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NL</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0.2</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0.4</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0.7</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PL</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1.6</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9.9</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15.6</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1.8</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3.2</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PT</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0.2</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0.5</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0.1</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0.2</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RO</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0.2</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3.2</w:t>
            </w:r>
          </w:p>
        </w:tc>
        <w:tc>
          <w:tcPr>
            <w:tcW w:w="99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6.7</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10.1</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2.4</w:t>
            </w:r>
          </w:p>
        </w:tc>
        <w:tc>
          <w:tcPr>
            <w:tcW w:w="119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3.8</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SE</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2.0</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3.2</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0.4</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SI</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0.1</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0.2</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0.1</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SK</w:t>
            </w:r>
          </w:p>
        </w:tc>
        <w:tc>
          <w:tcPr>
            <w:tcW w:w="1361"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0.2</w:t>
            </w:r>
          </w:p>
        </w:tc>
        <w:tc>
          <w:tcPr>
            <w:tcW w:w="85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1.9</w:t>
            </w:r>
          </w:p>
        </w:tc>
        <w:tc>
          <w:tcPr>
            <w:tcW w:w="99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2.9</w:t>
            </w:r>
          </w:p>
        </w:tc>
        <w:tc>
          <w:tcPr>
            <w:tcW w:w="1136"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0.8</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1.3</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Total</w:t>
            </w:r>
          </w:p>
        </w:tc>
        <w:tc>
          <w:tcPr>
            <w:tcW w:w="1361" w:type="dxa"/>
            <w:tcBorders>
              <w:top w:val="nil"/>
              <w:left w:val="nil"/>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14.4</w:t>
            </w:r>
          </w:p>
        </w:tc>
        <w:tc>
          <w:tcPr>
            <w:tcW w:w="850" w:type="dxa"/>
            <w:tcBorders>
              <w:top w:val="nil"/>
              <w:left w:val="nil"/>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36.9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87.3</w:t>
            </w:r>
          </w:p>
        </w:tc>
        <w:tc>
          <w:tcPr>
            <w:tcW w:w="990" w:type="dxa"/>
            <w:tcBorders>
              <w:top w:val="nil"/>
              <w:left w:val="nil"/>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138.2</w:t>
            </w:r>
          </w:p>
        </w:tc>
        <w:tc>
          <w:tcPr>
            <w:tcW w:w="1136" w:type="dxa"/>
            <w:tcBorders>
              <w:top w:val="nil"/>
              <w:left w:val="nil"/>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22.9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39.8</w:t>
            </w:r>
          </w:p>
        </w:tc>
      </w:tr>
    </w:tbl>
    <w:p w:rsidR="00333A1A" w:rsidRDefault="003D29C9">
      <w:pPr>
        <w:pStyle w:val="Text1"/>
        <w:ind w:left="0" w:firstLine="720"/>
        <w:rPr>
          <w:noProof/>
          <w:sz w:val="18"/>
        </w:rPr>
      </w:pPr>
      <w:r>
        <w:rPr>
          <w:noProof/>
          <w:sz w:val="18"/>
        </w:rPr>
        <w:t xml:space="preserve">Source: JRC, </w:t>
      </w:r>
      <w:r>
        <w:rPr>
          <w:noProof/>
          <w:sz w:val="18"/>
          <w:szCs w:val="24"/>
        </w:rPr>
        <w:t>Century model</w:t>
      </w:r>
    </w:p>
    <w:p w:rsidR="00333A1A" w:rsidRDefault="003D29C9">
      <w:pPr>
        <w:pStyle w:val="Heading3"/>
        <w:rPr>
          <w:noProof/>
        </w:rPr>
      </w:pPr>
      <w:bookmarkStart w:id="33" w:name="_Toc508208592"/>
      <w:r>
        <w:rPr>
          <w:noProof/>
        </w:rPr>
        <w:t>Foster sustainable and efficient management of resources</w:t>
      </w:r>
      <w:bookmarkEnd w:id="33"/>
    </w:p>
    <w:p w:rsidR="00333A1A" w:rsidRDefault="003D29C9">
      <w:pPr>
        <w:pStyle w:val="Text1"/>
        <w:ind w:left="0"/>
        <w:rPr>
          <w:b/>
          <w:noProof/>
        </w:rPr>
      </w:pPr>
      <w:r>
        <w:rPr>
          <w:b/>
          <w:noProof/>
        </w:rPr>
        <w:t xml:space="preserve">Reduce N surplus and improve water </w:t>
      </w:r>
      <w:r>
        <w:rPr>
          <w:b/>
          <w:noProof/>
        </w:rPr>
        <w:t>quality</w:t>
      </w:r>
    </w:p>
    <w:p w:rsidR="00333A1A" w:rsidRDefault="003D29C9">
      <w:pPr>
        <w:pStyle w:val="Text1"/>
        <w:spacing w:after="120"/>
        <w:ind w:left="0"/>
        <w:rPr>
          <w:noProof/>
        </w:rPr>
      </w:pPr>
      <w:r>
        <w:rPr>
          <w:noProof/>
        </w:rPr>
        <w:t xml:space="preserve">This assessment explores how the introduction of Nutrient Management Plans (NMP) could contribute to improve water quality. Nitrogen and phosphorus loads are big issues for water quality. However, since the balance of phosphorus is not complete in </w:t>
      </w:r>
      <w:r>
        <w:rPr>
          <w:noProof/>
        </w:rPr>
        <w:t>CAPRI, the assessment concentrates on nitrogen.</w:t>
      </w:r>
    </w:p>
    <w:p w:rsidR="00333A1A" w:rsidRDefault="003D29C9">
      <w:pPr>
        <w:pStyle w:val="Text1"/>
        <w:spacing w:after="120"/>
        <w:ind w:left="0"/>
        <w:rPr>
          <w:noProof/>
        </w:rPr>
      </w:pPr>
      <w:r>
        <w:rPr>
          <w:noProof/>
        </w:rPr>
        <w:t>Two nitrogen-restricting measures are tested:</w:t>
      </w:r>
    </w:p>
    <w:p w:rsidR="00333A1A" w:rsidRDefault="003D29C9">
      <w:pPr>
        <w:pStyle w:val="Text1"/>
        <w:numPr>
          <w:ilvl w:val="0"/>
          <w:numId w:val="33"/>
        </w:numPr>
        <w:spacing w:after="120"/>
        <w:ind w:left="426" w:hanging="426"/>
        <w:rPr>
          <w:noProof/>
        </w:rPr>
      </w:pPr>
      <w:r>
        <w:rPr>
          <w:noProof/>
        </w:rPr>
        <w:t>The obligation for all farms to elaborate a Nutrient Management Plan (NMP) (i.e. not only in nitrate vulnerable zones, as it currently applies) as minimum require</w:t>
      </w:r>
      <w:r>
        <w:rPr>
          <w:noProof/>
        </w:rPr>
        <w:t xml:space="preserve">ment, this scenario with a </w:t>
      </w:r>
      <w:r>
        <w:rPr>
          <w:b/>
          <w:noProof/>
        </w:rPr>
        <w:t>tool for nutrient management</w:t>
      </w:r>
      <w:r>
        <w:rPr>
          <w:noProof/>
        </w:rPr>
        <w:t xml:space="preserve"> is called 'NMP'.</w:t>
      </w:r>
    </w:p>
    <w:p w:rsidR="00333A1A" w:rsidRDefault="003D29C9">
      <w:pPr>
        <w:pStyle w:val="Text1"/>
        <w:numPr>
          <w:ilvl w:val="0"/>
          <w:numId w:val="33"/>
        </w:numPr>
        <w:ind w:left="426" w:hanging="426"/>
        <w:rPr>
          <w:noProof/>
        </w:rPr>
      </w:pPr>
      <w:r>
        <w:rPr>
          <w:noProof/>
        </w:rPr>
        <w:t>A reduction target of nitrogen balance, as proposed in options 3a and 4a, this scenario is called 'NMP+'.</w:t>
      </w:r>
    </w:p>
    <w:p w:rsidR="00333A1A" w:rsidRDefault="003D29C9">
      <w:pPr>
        <w:pStyle w:val="Text1"/>
        <w:ind w:left="0"/>
        <w:rPr>
          <w:noProof/>
        </w:rPr>
      </w:pPr>
      <w:r>
        <w:rPr>
          <w:noProof/>
        </w:rPr>
        <w:t>The JRC used the CAPRI model for the simulation. CAPRI approximates farm-leve</w:t>
      </w:r>
      <w:r>
        <w:rPr>
          <w:noProof/>
        </w:rPr>
        <w:t xml:space="preserve">l N-surplus with the Gross Nitrogen Balance (GNB). The GNB includes all N losses from housing, manure storage and management and soils. The two measures are mimicked as reduction targets of the GNB. The targets are defined relative to the level of the GNB </w:t>
      </w:r>
      <w:r>
        <w:rPr>
          <w:noProof/>
        </w:rPr>
        <w:t>per hectare of UAA in the baseline. EU regions are categorised according to their baseline N-surplus per hectare, and different reduction targets are applied for each category. For EU regions with already significant manure trade, lower reduction targets a</w:t>
      </w:r>
      <w:r>
        <w:rPr>
          <w:noProof/>
        </w:rPr>
        <w:t>re applied. Reduction targets simulated are summarised in the table below.</w:t>
      </w:r>
    </w:p>
    <w:p w:rsidR="00333A1A" w:rsidRDefault="003D29C9">
      <w:pPr>
        <w:pStyle w:val="Caption"/>
        <w:keepNext/>
        <w:spacing w:after="120"/>
        <w:rPr>
          <w:rFonts w:ascii="Times New Roman" w:hAnsi="Times New Roman" w:cs="Times New Roman"/>
          <w:noProof/>
          <w:color w:val="000000" w:themeColor="text1"/>
          <w:sz w:val="22"/>
        </w:rPr>
      </w:pPr>
      <w:r>
        <w:rPr>
          <w:rFonts w:ascii="Times New Roman" w:hAnsi="Times New Roman" w:cs="Times New Roman"/>
          <w:noProof/>
          <w:color w:val="000000" w:themeColor="text1"/>
          <w:sz w:val="22"/>
        </w:rPr>
        <w:t>Table 2.14: Relative N-surplus reduction targets in both scenarios</w:t>
      </w:r>
    </w:p>
    <w:tbl>
      <w:tblPr>
        <w:tblStyle w:val="TableGrid"/>
        <w:tblW w:w="8613" w:type="dxa"/>
        <w:tblLook w:val="04A0" w:firstRow="1" w:lastRow="0" w:firstColumn="1" w:lastColumn="0" w:noHBand="0" w:noVBand="1"/>
      </w:tblPr>
      <w:tblGrid>
        <w:gridCol w:w="3929"/>
        <w:gridCol w:w="1226"/>
        <w:gridCol w:w="1227"/>
        <w:gridCol w:w="1097"/>
        <w:gridCol w:w="1134"/>
      </w:tblGrid>
      <w:tr w:rsidR="00333A1A">
        <w:tc>
          <w:tcPr>
            <w:tcW w:w="3929" w:type="dxa"/>
            <w:tcBorders>
              <w:bottom w:val="single" w:sz="4" w:space="0" w:color="auto"/>
            </w:tcBorders>
          </w:tcPr>
          <w:p w:rsidR="00333A1A" w:rsidRDefault="00333A1A">
            <w:pPr>
              <w:jc w:val="both"/>
              <w:rPr>
                <w:noProof/>
              </w:rPr>
            </w:pPr>
          </w:p>
        </w:tc>
        <w:tc>
          <w:tcPr>
            <w:tcW w:w="1226" w:type="dxa"/>
            <w:tcBorders>
              <w:bottom w:val="single" w:sz="4" w:space="0" w:color="auto"/>
            </w:tcBorders>
          </w:tcPr>
          <w:p w:rsidR="00333A1A" w:rsidRDefault="00333A1A">
            <w:pPr>
              <w:jc w:val="both"/>
              <w:rPr>
                <w:noProof/>
              </w:rPr>
            </w:pPr>
          </w:p>
        </w:tc>
        <w:tc>
          <w:tcPr>
            <w:tcW w:w="1227" w:type="dxa"/>
            <w:tcBorders>
              <w:bottom w:val="single" w:sz="4" w:space="0" w:color="auto"/>
            </w:tcBorders>
          </w:tcPr>
          <w:p w:rsidR="00333A1A" w:rsidRDefault="003D29C9">
            <w:pPr>
              <w:jc w:val="both"/>
              <w:rPr>
                <w:noProof/>
              </w:rPr>
            </w:pPr>
            <w:r>
              <w:rPr>
                <w:noProof/>
              </w:rPr>
              <w:t>Number of NUTS2-regions</w:t>
            </w:r>
          </w:p>
        </w:tc>
        <w:tc>
          <w:tcPr>
            <w:tcW w:w="1097" w:type="dxa"/>
            <w:tcBorders>
              <w:bottom w:val="single" w:sz="4" w:space="0" w:color="auto"/>
            </w:tcBorders>
            <w:vAlign w:val="bottom"/>
          </w:tcPr>
          <w:p w:rsidR="00333A1A" w:rsidRDefault="003D29C9">
            <w:pPr>
              <w:jc w:val="center"/>
              <w:rPr>
                <w:noProof/>
              </w:rPr>
            </w:pPr>
            <w:r>
              <w:rPr>
                <w:noProof/>
              </w:rPr>
              <w:t>Target NMP</w:t>
            </w:r>
          </w:p>
        </w:tc>
        <w:tc>
          <w:tcPr>
            <w:tcW w:w="1134" w:type="dxa"/>
            <w:tcBorders>
              <w:bottom w:val="single" w:sz="4" w:space="0" w:color="auto"/>
            </w:tcBorders>
            <w:vAlign w:val="bottom"/>
          </w:tcPr>
          <w:p w:rsidR="00333A1A" w:rsidRDefault="003D29C9">
            <w:pPr>
              <w:jc w:val="center"/>
              <w:rPr>
                <w:noProof/>
              </w:rPr>
            </w:pPr>
            <w:r>
              <w:rPr>
                <w:noProof/>
              </w:rPr>
              <w:t>Target NPM+</w:t>
            </w:r>
          </w:p>
        </w:tc>
      </w:tr>
    </w:tbl>
    <w:tbl>
      <w:tblPr>
        <w:tblW w:w="8613" w:type="dxa"/>
        <w:tblLook w:val="04A0" w:firstRow="1" w:lastRow="0" w:firstColumn="1" w:lastColumn="0" w:noHBand="0" w:noVBand="1"/>
      </w:tblPr>
      <w:tblGrid>
        <w:gridCol w:w="3929"/>
        <w:gridCol w:w="1226"/>
        <w:gridCol w:w="1227"/>
        <w:gridCol w:w="1097"/>
        <w:gridCol w:w="1134"/>
      </w:tblGrid>
      <w:tr w:rsidR="00333A1A">
        <w:tc>
          <w:tcPr>
            <w:tcW w:w="3929"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GNB &lt; 40 kg N ha</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yr-</w:t>
            </w:r>
            <w:r>
              <w:rPr>
                <w:rFonts w:ascii="Times New Roman" w:hAnsi="Times New Roman" w:cs="Times New Roman"/>
                <w:noProof/>
                <w:sz w:val="20"/>
                <w:szCs w:val="20"/>
                <w:vertAlign w:val="superscript"/>
                <w:lang w:val="it-IT"/>
              </w:rPr>
              <w:t>1</w:t>
            </w:r>
          </w:p>
        </w:tc>
        <w:tc>
          <w:tcPr>
            <w:tcW w:w="1226" w:type="dxa"/>
            <w:tcBorders>
              <w:top w:val="single" w:sz="4" w:space="0" w:color="auto"/>
              <w:left w:val="single" w:sz="4" w:space="0" w:color="auto"/>
              <w:bottom w:val="single" w:sz="4" w:space="0" w:color="auto"/>
              <w:right w:val="single" w:sz="4" w:space="0" w:color="auto"/>
            </w:tcBorders>
          </w:tcPr>
          <w:p w:rsidR="00333A1A" w:rsidRDefault="00333A1A">
            <w:pPr>
              <w:spacing w:after="0" w:line="240" w:lineRule="auto"/>
              <w:rPr>
                <w:rFonts w:ascii="Times New Roman" w:hAnsi="Times New Roman" w:cs="Times New Roman"/>
                <w:noProof/>
                <w:sz w:val="20"/>
                <w:szCs w:val="20"/>
                <w:lang w:val="it-IT"/>
              </w:rPr>
            </w:pPr>
          </w:p>
        </w:tc>
        <w:tc>
          <w:tcPr>
            <w:tcW w:w="122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93</w:t>
            </w:r>
          </w:p>
        </w:tc>
        <w:tc>
          <w:tcPr>
            <w:tcW w:w="109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ind w:right="240"/>
              <w:jc w:val="right"/>
              <w:rPr>
                <w:rFonts w:ascii="Times New Roman" w:hAnsi="Times New Roman" w:cs="Times New Roman"/>
                <w:noProof/>
                <w:sz w:val="20"/>
                <w:szCs w:val="20"/>
              </w:rPr>
            </w:pPr>
            <w:r>
              <w:rPr>
                <w:rFonts w:ascii="Times New Roman" w:hAnsi="Times New Roman" w:cs="Times New Roman"/>
                <w:noProof/>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0%</w:t>
            </w:r>
          </w:p>
        </w:tc>
      </w:tr>
      <w:tr w:rsidR="00333A1A">
        <w:tc>
          <w:tcPr>
            <w:tcW w:w="3929"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40 N ha</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yr</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&lt; GNB &lt;</w:t>
            </w:r>
            <w:r>
              <w:rPr>
                <w:rFonts w:ascii="Times New Roman" w:hAnsi="Times New Roman" w:cs="Times New Roman"/>
                <w:noProof/>
                <w:sz w:val="20"/>
                <w:szCs w:val="20"/>
                <w:lang w:val="it-IT"/>
              </w:rPr>
              <w:t xml:space="preserve"> 80 kg N ha</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yr</w:t>
            </w:r>
            <w:r>
              <w:rPr>
                <w:rFonts w:ascii="Times New Roman" w:hAnsi="Times New Roman" w:cs="Times New Roman"/>
                <w:noProof/>
                <w:sz w:val="20"/>
                <w:szCs w:val="20"/>
                <w:vertAlign w:val="superscript"/>
                <w:lang w:val="it-IT"/>
              </w:rPr>
              <w:t>-1</w:t>
            </w:r>
          </w:p>
        </w:tc>
        <w:tc>
          <w:tcPr>
            <w:tcW w:w="1226" w:type="dxa"/>
            <w:tcBorders>
              <w:top w:val="single" w:sz="4" w:space="0" w:color="auto"/>
              <w:left w:val="single" w:sz="4" w:space="0" w:color="auto"/>
              <w:bottom w:val="single" w:sz="4" w:space="0" w:color="auto"/>
              <w:right w:val="single" w:sz="4" w:space="0" w:color="auto"/>
            </w:tcBorders>
          </w:tcPr>
          <w:p w:rsidR="00333A1A" w:rsidRDefault="00333A1A">
            <w:pPr>
              <w:spacing w:after="0" w:line="240" w:lineRule="auto"/>
              <w:rPr>
                <w:rFonts w:ascii="Times New Roman" w:hAnsi="Times New Roman" w:cs="Times New Roman"/>
                <w:noProof/>
                <w:sz w:val="20"/>
                <w:szCs w:val="20"/>
                <w:lang w:val="it-IT"/>
              </w:rPr>
            </w:pPr>
          </w:p>
        </w:tc>
        <w:tc>
          <w:tcPr>
            <w:tcW w:w="122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95</w:t>
            </w:r>
          </w:p>
        </w:tc>
        <w:tc>
          <w:tcPr>
            <w:tcW w:w="109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ind w:right="240"/>
              <w:jc w:val="right"/>
              <w:rPr>
                <w:rFonts w:ascii="Times New Roman" w:hAnsi="Times New Roman" w:cs="Times New Roman"/>
                <w:noProof/>
                <w:sz w:val="20"/>
                <w:szCs w:val="20"/>
              </w:rPr>
            </w:pPr>
            <w:r>
              <w:rPr>
                <w:rFonts w:ascii="Times New Roman" w:hAnsi="Times New Roman" w:cs="Times New Roman"/>
                <w:noProof/>
                <w:sz w:val="20"/>
                <w:szCs w:val="20"/>
              </w:rPr>
              <w:t>0.6%</w:t>
            </w:r>
          </w:p>
        </w:tc>
        <w:tc>
          <w:tcPr>
            <w:tcW w:w="1134"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2%</w:t>
            </w:r>
          </w:p>
        </w:tc>
      </w:tr>
      <w:tr w:rsidR="00333A1A">
        <w:tc>
          <w:tcPr>
            <w:tcW w:w="3929"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80 N ha</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yr</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&lt; GNB &lt; 120 kg N ha</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yr</w:t>
            </w:r>
            <w:r>
              <w:rPr>
                <w:rFonts w:ascii="Times New Roman" w:hAnsi="Times New Roman" w:cs="Times New Roman"/>
                <w:noProof/>
                <w:sz w:val="20"/>
                <w:szCs w:val="20"/>
                <w:vertAlign w:val="superscript"/>
                <w:lang w:val="it-IT"/>
              </w:rPr>
              <w:t>-1</w:t>
            </w:r>
          </w:p>
        </w:tc>
        <w:tc>
          <w:tcPr>
            <w:tcW w:w="1226" w:type="dxa"/>
            <w:tcBorders>
              <w:top w:val="single" w:sz="4" w:space="0" w:color="auto"/>
              <w:left w:val="single" w:sz="4" w:space="0" w:color="auto"/>
              <w:bottom w:val="single" w:sz="4" w:space="0" w:color="auto"/>
              <w:right w:val="single" w:sz="4" w:space="0" w:color="auto"/>
            </w:tcBorders>
          </w:tcPr>
          <w:p w:rsidR="00333A1A" w:rsidRDefault="00333A1A">
            <w:pPr>
              <w:spacing w:after="0" w:line="240" w:lineRule="auto"/>
              <w:rPr>
                <w:rFonts w:ascii="Times New Roman" w:hAnsi="Times New Roman" w:cs="Times New Roman"/>
                <w:noProof/>
                <w:sz w:val="20"/>
                <w:szCs w:val="20"/>
                <w:lang w:val="it-IT"/>
              </w:rPr>
            </w:pPr>
          </w:p>
        </w:tc>
        <w:tc>
          <w:tcPr>
            <w:tcW w:w="122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37</w:t>
            </w:r>
          </w:p>
        </w:tc>
        <w:tc>
          <w:tcPr>
            <w:tcW w:w="109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ind w:right="240"/>
              <w:jc w:val="right"/>
              <w:rPr>
                <w:rFonts w:ascii="Times New Roman" w:hAnsi="Times New Roman" w:cs="Times New Roman"/>
                <w:noProof/>
                <w:sz w:val="20"/>
                <w:szCs w:val="20"/>
              </w:rPr>
            </w:pPr>
            <w:r>
              <w:rPr>
                <w:rFonts w:ascii="Times New Roman" w:hAnsi="Times New Roman" w:cs="Times New Roman"/>
                <w:noProof/>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5%</w:t>
            </w:r>
          </w:p>
        </w:tc>
      </w:tr>
      <w:tr w:rsidR="00333A1A">
        <w:tc>
          <w:tcPr>
            <w:tcW w:w="3929"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120 N ha</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yr</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&lt; GNB &lt; 160 kg N ha</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yr</w:t>
            </w:r>
            <w:r>
              <w:rPr>
                <w:rFonts w:ascii="Times New Roman" w:hAnsi="Times New Roman" w:cs="Times New Roman"/>
                <w:noProof/>
                <w:sz w:val="20"/>
                <w:szCs w:val="20"/>
                <w:vertAlign w:val="superscript"/>
                <w:lang w:val="it-IT"/>
              </w:rPr>
              <w:t>-1</w:t>
            </w:r>
          </w:p>
        </w:tc>
        <w:tc>
          <w:tcPr>
            <w:tcW w:w="1226" w:type="dxa"/>
            <w:tcBorders>
              <w:top w:val="single" w:sz="4" w:space="0" w:color="auto"/>
              <w:left w:val="single" w:sz="4" w:space="0" w:color="auto"/>
              <w:bottom w:val="single" w:sz="4" w:space="0" w:color="auto"/>
              <w:right w:val="single" w:sz="4" w:space="0" w:color="auto"/>
            </w:tcBorders>
          </w:tcPr>
          <w:p w:rsidR="00333A1A" w:rsidRDefault="00333A1A">
            <w:pPr>
              <w:spacing w:after="0" w:line="240" w:lineRule="auto"/>
              <w:rPr>
                <w:rFonts w:ascii="Times New Roman" w:hAnsi="Times New Roman" w:cs="Times New Roman"/>
                <w:noProof/>
                <w:sz w:val="20"/>
                <w:szCs w:val="20"/>
                <w:lang w:val="it-IT"/>
              </w:rPr>
            </w:pPr>
          </w:p>
        </w:tc>
        <w:tc>
          <w:tcPr>
            <w:tcW w:w="122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17</w:t>
            </w:r>
          </w:p>
        </w:tc>
        <w:tc>
          <w:tcPr>
            <w:tcW w:w="109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ind w:right="240"/>
              <w:jc w:val="right"/>
              <w:rPr>
                <w:rFonts w:ascii="Times New Roman" w:hAnsi="Times New Roman" w:cs="Times New Roman"/>
                <w:noProof/>
                <w:sz w:val="20"/>
                <w:szCs w:val="20"/>
              </w:rPr>
            </w:pPr>
            <w:r>
              <w:rPr>
                <w:rFonts w:ascii="Times New Roman" w:hAnsi="Times New Roman" w:cs="Times New Roman"/>
                <w:noProof/>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10%</w:t>
            </w:r>
          </w:p>
        </w:tc>
      </w:tr>
      <w:tr w:rsidR="00333A1A">
        <w:tc>
          <w:tcPr>
            <w:tcW w:w="3929"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GNB &gt; 160 kg N ha</w:t>
            </w:r>
            <w:r>
              <w:rPr>
                <w:rFonts w:ascii="Times New Roman" w:hAnsi="Times New Roman" w:cs="Times New Roman"/>
                <w:noProof/>
                <w:sz w:val="20"/>
                <w:szCs w:val="20"/>
                <w:vertAlign w:val="superscript"/>
              </w:rPr>
              <w:t>-1</w:t>
            </w:r>
            <w:r>
              <w:rPr>
                <w:rFonts w:ascii="Times New Roman" w:hAnsi="Times New Roman" w:cs="Times New Roman"/>
                <w:noProof/>
                <w:sz w:val="20"/>
                <w:szCs w:val="20"/>
              </w:rPr>
              <w:t xml:space="preserve"> yr</w:t>
            </w:r>
            <w:r>
              <w:rPr>
                <w:rFonts w:ascii="Times New Roman" w:hAnsi="Times New Roman" w:cs="Times New Roman"/>
                <w:noProof/>
                <w:sz w:val="20"/>
                <w:szCs w:val="20"/>
                <w:vertAlign w:val="superscript"/>
              </w:rPr>
              <w:t>-1</w:t>
            </w:r>
            <w:r>
              <w:rPr>
                <w:rFonts w:ascii="Times New Roman" w:hAnsi="Times New Roman" w:cs="Times New Roman"/>
                <w:noProof/>
                <w:sz w:val="20"/>
                <w:szCs w:val="20"/>
              </w:rPr>
              <w:t xml:space="preserve"> – </w:t>
            </w:r>
            <w:r>
              <w:rPr>
                <w:rFonts w:ascii="Times New Roman" w:hAnsi="Times New Roman" w:cs="Times New Roman"/>
                <w:i/>
                <w:noProof/>
                <w:sz w:val="20"/>
                <w:szCs w:val="20"/>
              </w:rPr>
              <w:t>Manure trading</w:t>
            </w:r>
          </w:p>
        </w:tc>
        <w:tc>
          <w:tcPr>
            <w:tcW w:w="1226"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BE, NL, DE</w:t>
            </w:r>
          </w:p>
        </w:tc>
        <w:tc>
          <w:tcPr>
            <w:tcW w:w="122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12</w:t>
            </w:r>
          </w:p>
        </w:tc>
        <w:tc>
          <w:tcPr>
            <w:tcW w:w="109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ind w:right="240"/>
              <w:jc w:val="right"/>
              <w:rPr>
                <w:rFonts w:ascii="Times New Roman" w:hAnsi="Times New Roman" w:cs="Times New Roman"/>
                <w:noProof/>
                <w:sz w:val="20"/>
                <w:szCs w:val="20"/>
              </w:rPr>
            </w:pPr>
            <w:r>
              <w:rPr>
                <w:rFonts w:ascii="Times New Roman" w:hAnsi="Times New Roman" w:cs="Times New Roman"/>
                <w:noProof/>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5%</w:t>
            </w:r>
          </w:p>
        </w:tc>
      </w:tr>
      <w:tr w:rsidR="00333A1A">
        <w:tc>
          <w:tcPr>
            <w:tcW w:w="3929"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GNB &gt; 160 kg N ha</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yr</w:t>
            </w:r>
            <w:r>
              <w:rPr>
                <w:rFonts w:ascii="Times New Roman" w:hAnsi="Times New Roman" w:cs="Times New Roman"/>
                <w:noProof/>
                <w:sz w:val="20"/>
                <w:szCs w:val="20"/>
                <w:vertAlign w:val="superscript"/>
                <w:lang w:val="it-IT"/>
              </w:rPr>
              <w:t>-1</w:t>
            </w:r>
            <w:r>
              <w:rPr>
                <w:rFonts w:ascii="Times New Roman" w:hAnsi="Times New Roman" w:cs="Times New Roman"/>
                <w:noProof/>
                <w:sz w:val="20"/>
                <w:szCs w:val="20"/>
                <w:lang w:val="it-IT"/>
              </w:rPr>
              <w:t xml:space="preserve"> - </w:t>
            </w:r>
            <w:r>
              <w:rPr>
                <w:rFonts w:ascii="Times New Roman" w:hAnsi="Times New Roman" w:cs="Times New Roman"/>
                <w:i/>
                <w:noProof/>
                <w:sz w:val="20"/>
                <w:szCs w:val="20"/>
                <w:lang w:val="it-IT"/>
              </w:rPr>
              <w:t>No manure trading</w:t>
            </w:r>
          </w:p>
        </w:tc>
        <w:tc>
          <w:tcPr>
            <w:tcW w:w="1226"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BE, </w:t>
            </w:r>
            <w:r>
              <w:rPr>
                <w:rFonts w:ascii="Times New Roman" w:hAnsi="Times New Roman" w:cs="Times New Roman"/>
                <w:noProof/>
                <w:sz w:val="20"/>
                <w:szCs w:val="20"/>
              </w:rPr>
              <w:t>IT, PT, ES</w:t>
            </w:r>
          </w:p>
        </w:tc>
        <w:tc>
          <w:tcPr>
            <w:tcW w:w="122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7</w:t>
            </w:r>
          </w:p>
        </w:tc>
        <w:tc>
          <w:tcPr>
            <w:tcW w:w="1097"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ind w:right="240"/>
              <w:jc w:val="right"/>
              <w:rPr>
                <w:rFonts w:ascii="Times New Roman" w:eastAsia="Times New Roman" w:hAnsi="Times New Roman" w:cs="Times New Roman"/>
                <w:noProof/>
                <w:sz w:val="20"/>
                <w:szCs w:val="20"/>
                <w:lang w:eastAsia="en-GB"/>
              </w:rPr>
            </w:pPr>
            <w:r>
              <w:rPr>
                <w:rFonts w:ascii="Times New Roman" w:hAnsi="Times New Roman" w:cs="Times New Roman"/>
                <w:noProof/>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333A1A" w:rsidRDefault="003D29C9">
            <w:pPr>
              <w:spacing w:after="0" w:line="240" w:lineRule="auto"/>
              <w:jc w:val="center"/>
              <w:rPr>
                <w:rFonts w:ascii="Times New Roman" w:eastAsiaTheme="majorEastAsia" w:hAnsi="Times New Roman" w:cs="Times New Roman"/>
                <w:noProof/>
                <w:color w:val="404040" w:themeColor="text1" w:themeTint="BF"/>
                <w:sz w:val="20"/>
                <w:szCs w:val="20"/>
              </w:rPr>
            </w:pPr>
            <w:r>
              <w:rPr>
                <w:rFonts w:ascii="Times New Roman" w:hAnsi="Times New Roman" w:cs="Times New Roman"/>
                <w:noProof/>
                <w:sz w:val="20"/>
                <w:szCs w:val="20"/>
              </w:rPr>
              <w:t>10%</w:t>
            </w:r>
          </w:p>
        </w:tc>
      </w:tr>
    </w:tbl>
    <w:p w:rsidR="00333A1A" w:rsidRDefault="003D29C9">
      <w:pPr>
        <w:rPr>
          <w:rFonts w:ascii="Times New Roman" w:hAnsi="Times New Roman" w:cs="Times New Roman"/>
          <w:noProof/>
          <w:sz w:val="18"/>
        </w:rPr>
      </w:pPr>
      <w:r>
        <w:rPr>
          <w:rFonts w:ascii="Times New Roman" w:hAnsi="Times New Roman" w:cs="Times New Roman"/>
          <w:noProof/>
          <w:sz w:val="18"/>
        </w:rPr>
        <w:t>Source: JRC</w:t>
      </w:r>
    </w:p>
    <w:p w:rsidR="00333A1A" w:rsidRDefault="003D29C9">
      <w:pPr>
        <w:pStyle w:val="Caption"/>
        <w:keepNext/>
        <w:rPr>
          <w:noProof/>
        </w:rPr>
      </w:pPr>
      <w:r>
        <w:rPr>
          <w:rFonts w:ascii="Times New Roman" w:hAnsi="Times New Roman" w:cs="Times New Roman"/>
          <w:noProof/>
          <w:color w:val="000000" w:themeColor="text1"/>
          <w:sz w:val="22"/>
        </w:rPr>
        <w:t xml:space="preserve">Map </w:t>
      </w:r>
      <w:r>
        <w:rPr>
          <w:rFonts w:ascii="Times New Roman" w:hAnsi="Times New Roman" w:cs="Times New Roman"/>
          <w:noProof/>
          <w:color w:val="000000" w:themeColor="text1"/>
          <w:sz w:val="22"/>
        </w:rPr>
        <w:fldChar w:fldCharType="begin"/>
      </w:r>
      <w:r>
        <w:rPr>
          <w:rFonts w:ascii="Times New Roman" w:hAnsi="Times New Roman" w:cs="Times New Roman"/>
          <w:noProof/>
          <w:color w:val="000000" w:themeColor="text1"/>
          <w:sz w:val="22"/>
        </w:rPr>
        <w:instrText xml:space="preserve"> STYLEREF 1 \s </w:instrText>
      </w:r>
      <w:r>
        <w:rPr>
          <w:rFonts w:ascii="Times New Roman" w:hAnsi="Times New Roman" w:cs="Times New Roman"/>
          <w:noProof/>
          <w:color w:val="000000" w:themeColor="text1"/>
          <w:sz w:val="22"/>
        </w:rPr>
        <w:fldChar w:fldCharType="separate"/>
      </w:r>
      <w:r>
        <w:rPr>
          <w:rFonts w:ascii="Times New Roman" w:hAnsi="Times New Roman" w:cs="Times New Roman"/>
          <w:noProof/>
          <w:color w:val="000000" w:themeColor="text1"/>
          <w:sz w:val="22"/>
        </w:rPr>
        <w:t>2</w:t>
      </w:r>
      <w:r>
        <w:rPr>
          <w:rFonts w:ascii="Times New Roman" w:hAnsi="Times New Roman" w:cs="Times New Roman"/>
          <w:noProof/>
          <w:color w:val="000000" w:themeColor="text1"/>
          <w:sz w:val="22"/>
        </w:rPr>
        <w:fldChar w:fldCharType="end"/>
      </w:r>
      <w:r>
        <w:rPr>
          <w:rFonts w:ascii="Times New Roman" w:hAnsi="Times New Roman" w:cs="Times New Roman"/>
          <w:noProof/>
          <w:color w:val="000000" w:themeColor="text1"/>
          <w:sz w:val="22"/>
        </w:rPr>
        <w:t>.</w:t>
      </w:r>
      <w:r>
        <w:rPr>
          <w:rFonts w:ascii="Times New Roman" w:hAnsi="Times New Roman" w:cs="Times New Roman"/>
          <w:noProof/>
          <w:color w:val="000000" w:themeColor="text1"/>
          <w:sz w:val="22"/>
        </w:rPr>
        <w:fldChar w:fldCharType="begin"/>
      </w:r>
      <w:r>
        <w:rPr>
          <w:rFonts w:ascii="Times New Roman" w:hAnsi="Times New Roman" w:cs="Times New Roman"/>
          <w:noProof/>
          <w:color w:val="000000" w:themeColor="text1"/>
          <w:sz w:val="22"/>
        </w:rPr>
        <w:instrText xml:space="preserve"> SEQ Map \* ARABIC \s 1 </w:instrText>
      </w:r>
      <w:r>
        <w:rPr>
          <w:rFonts w:ascii="Times New Roman" w:hAnsi="Times New Roman" w:cs="Times New Roman"/>
          <w:noProof/>
          <w:color w:val="000000" w:themeColor="text1"/>
          <w:sz w:val="22"/>
        </w:rPr>
        <w:fldChar w:fldCharType="separate"/>
      </w:r>
      <w:r>
        <w:rPr>
          <w:rFonts w:ascii="Times New Roman" w:hAnsi="Times New Roman" w:cs="Times New Roman"/>
          <w:noProof/>
          <w:color w:val="000000" w:themeColor="text1"/>
          <w:sz w:val="22"/>
        </w:rPr>
        <w:t>1</w:t>
      </w:r>
      <w:r>
        <w:rPr>
          <w:rFonts w:ascii="Times New Roman" w:hAnsi="Times New Roman" w:cs="Times New Roman"/>
          <w:noProof/>
          <w:color w:val="000000" w:themeColor="text1"/>
          <w:sz w:val="22"/>
        </w:rPr>
        <w:fldChar w:fldCharType="end"/>
      </w:r>
      <w:r>
        <w:rPr>
          <w:rFonts w:ascii="Times New Roman" w:hAnsi="Times New Roman" w:cs="Times New Roman"/>
          <w:noProof/>
          <w:color w:val="000000" w:themeColor="text1"/>
          <w:sz w:val="22"/>
          <w:lang w:eastAsia="en-GB"/>
        </w:rPr>
        <w:t xml:space="preserve">: </w:t>
      </w:r>
      <w:r>
        <w:rPr>
          <w:rFonts w:ascii="Times New Roman" w:hAnsi="Times New Roman" w:cs="Times New Roman"/>
          <w:noProof/>
          <w:color w:val="000000" w:themeColor="text1"/>
          <w:sz w:val="22"/>
        </w:rPr>
        <w:t xml:space="preserve">Reduction in N-surplus per ha of UAA (relative to baseline), NMP+ scenario </w:t>
      </w:r>
    </w:p>
    <w:p w:rsidR="00333A1A" w:rsidRDefault="003D29C9">
      <w:pPr>
        <w:spacing w:after="0" w:line="240" w:lineRule="auto"/>
        <w:rPr>
          <w:rFonts w:ascii="Times New Roman" w:hAnsi="Times New Roman" w:cs="Times New Roman"/>
          <w:noProof/>
          <w:sz w:val="18"/>
        </w:rPr>
      </w:pPr>
      <w:r>
        <w:rPr>
          <w:noProof/>
          <w:lang w:eastAsia="en-GB"/>
        </w:rPr>
        <w:drawing>
          <wp:inline distT="0" distB="0" distL="0" distR="0" wp14:anchorId="3A57138A" wp14:editId="39956229">
            <wp:extent cx="5327892" cy="3333750"/>
            <wp:effectExtent l="0" t="0" r="6350" b="0"/>
            <wp:docPr id="42" name="Picture 42" descr="cid:image003.png@01D3B6F9.301EE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3B6F9.301EE78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335238" cy="3338347"/>
                    </a:xfrm>
                    <a:prstGeom prst="rect">
                      <a:avLst/>
                    </a:prstGeom>
                    <a:noFill/>
                    <a:ln>
                      <a:noFill/>
                    </a:ln>
                  </pic:spPr>
                </pic:pic>
              </a:graphicData>
            </a:graphic>
          </wp:inline>
        </w:drawing>
      </w:r>
    </w:p>
    <w:p w:rsidR="00333A1A" w:rsidRDefault="003D29C9">
      <w:pPr>
        <w:rPr>
          <w:rFonts w:ascii="Times New Roman" w:hAnsi="Times New Roman" w:cs="Times New Roman"/>
          <w:noProof/>
          <w:sz w:val="16"/>
        </w:rPr>
      </w:pPr>
      <w:r>
        <w:rPr>
          <w:rFonts w:ascii="Times New Roman" w:hAnsi="Times New Roman" w:cs="Times New Roman"/>
          <w:noProof/>
          <w:sz w:val="16"/>
        </w:rPr>
        <w:t xml:space="preserve">Source: JRC, CAPRI </w:t>
      </w:r>
    </w:p>
    <w:p w:rsidR="00333A1A" w:rsidRDefault="003D29C9">
      <w:pPr>
        <w:pStyle w:val="Text1"/>
        <w:ind w:left="0"/>
        <w:rPr>
          <w:noProof/>
        </w:rPr>
      </w:pPr>
      <w:r>
        <w:rPr>
          <w:noProof/>
        </w:rPr>
        <w:t xml:space="preserve">Farms in CAPRI have two main options to reduce their N-surplus; they </w:t>
      </w:r>
      <w:r>
        <w:rPr>
          <w:noProof/>
        </w:rPr>
        <w:t>either adjust their current production structure (by e.g. reducing the number of animals, changing land allocation to crops or adjusting input use) or they can opt for more N-efficient farming practices. The latter effect is captured by a limited set of op</w:t>
      </w:r>
      <w:r>
        <w:rPr>
          <w:noProof/>
        </w:rPr>
        <w:t>tional production technologies</w:t>
      </w:r>
      <w:r>
        <w:rPr>
          <w:noProof/>
          <w:vertAlign w:val="superscript"/>
        </w:rPr>
        <w:footnoteReference w:id="34"/>
      </w:r>
      <w:r>
        <w:rPr>
          <w:noProof/>
        </w:rPr>
        <w:t>: precision farming, variable rate technology, a better timing of fertilising, nitrification inhibitors and low N-feeding. The adoption of these technological options comes at a cost for farmers.</w:t>
      </w:r>
    </w:p>
    <w:p w:rsidR="00333A1A" w:rsidRDefault="003D29C9">
      <w:pPr>
        <w:pStyle w:val="Text1"/>
        <w:ind w:left="0"/>
        <w:rPr>
          <w:noProof/>
        </w:rPr>
      </w:pPr>
      <w:r>
        <w:rPr>
          <w:noProof/>
        </w:rPr>
        <w:t>The imposed reduction targets</w:t>
      </w:r>
      <w:r>
        <w:rPr>
          <w:noProof/>
        </w:rPr>
        <w:t xml:space="preserve"> are met in the scenarios, with an average reduction for the EU of 1% in the NPM scenario and close to 4% in the NPM+. Farmers take advantage of more N-efficient technologies, such as precision farming. Overall, the mineral fertiliser use is decreasing by </w:t>
      </w:r>
      <w:r>
        <w:rPr>
          <w:noProof/>
        </w:rPr>
        <w:t>1.5% (option 3b) to 5.1% (option 3a) at EU level (see e.g. the mineral N use for cereals in the map below decreasing by more than 8% in the regions in dark green). The impact on agricultural income is very small, only about 0.2% in both scenarios for the E</w:t>
      </w:r>
      <w:r>
        <w:rPr>
          <w:noProof/>
        </w:rPr>
        <w:t>U. In the NPM+ scenario a small adjustment in the regional allocation of land use and animal production can be observed.</w:t>
      </w:r>
    </w:p>
    <w:p w:rsidR="00333A1A" w:rsidRDefault="003D29C9">
      <w:pPr>
        <w:pStyle w:val="Caption"/>
        <w:keepNext/>
        <w:rPr>
          <w:rFonts w:ascii="Times New Roman" w:hAnsi="Times New Roman" w:cs="Times New Roman"/>
          <w:noProof/>
          <w:color w:val="000000" w:themeColor="text1"/>
          <w:sz w:val="22"/>
        </w:rPr>
      </w:pPr>
      <w:r>
        <w:rPr>
          <w:rFonts w:ascii="Times New Roman" w:hAnsi="Times New Roman" w:cs="Times New Roman"/>
          <w:noProof/>
          <w:color w:val="000000" w:themeColor="text1"/>
          <w:sz w:val="22"/>
        </w:rPr>
        <w:t xml:space="preserve">Map </w:t>
      </w:r>
      <w:r>
        <w:rPr>
          <w:rFonts w:ascii="Times New Roman" w:hAnsi="Times New Roman" w:cs="Times New Roman"/>
          <w:noProof/>
          <w:color w:val="000000" w:themeColor="text1"/>
          <w:sz w:val="22"/>
        </w:rPr>
        <w:fldChar w:fldCharType="begin"/>
      </w:r>
      <w:r>
        <w:rPr>
          <w:rFonts w:ascii="Times New Roman" w:hAnsi="Times New Roman" w:cs="Times New Roman"/>
          <w:noProof/>
          <w:color w:val="000000" w:themeColor="text1"/>
          <w:sz w:val="22"/>
        </w:rPr>
        <w:instrText xml:space="preserve"> STYLEREF 1 \s </w:instrText>
      </w:r>
      <w:r>
        <w:rPr>
          <w:rFonts w:ascii="Times New Roman" w:hAnsi="Times New Roman" w:cs="Times New Roman"/>
          <w:noProof/>
          <w:color w:val="000000" w:themeColor="text1"/>
          <w:sz w:val="22"/>
        </w:rPr>
        <w:fldChar w:fldCharType="separate"/>
      </w:r>
      <w:r>
        <w:rPr>
          <w:rFonts w:ascii="Times New Roman" w:hAnsi="Times New Roman" w:cs="Times New Roman"/>
          <w:noProof/>
          <w:color w:val="000000" w:themeColor="text1"/>
          <w:sz w:val="22"/>
        </w:rPr>
        <w:t>2</w:t>
      </w:r>
      <w:r>
        <w:rPr>
          <w:rFonts w:ascii="Times New Roman" w:hAnsi="Times New Roman" w:cs="Times New Roman"/>
          <w:noProof/>
          <w:color w:val="000000" w:themeColor="text1"/>
          <w:sz w:val="22"/>
        </w:rPr>
        <w:fldChar w:fldCharType="end"/>
      </w:r>
      <w:r>
        <w:rPr>
          <w:rFonts w:ascii="Times New Roman" w:hAnsi="Times New Roman" w:cs="Times New Roman"/>
          <w:noProof/>
          <w:color w:val="000000" w:themeColor="text1"/>
          <w:sz w:val="22"/>
        </w:rPr>
        <w:t>.2</w:t>
      </w:r>
      <w:r>
        <w:rPr>
          <w:rFonts w:ascii="Times New Roman" w:hAnsi="Times New Roman" w:cs="Times New Roman"/>
          <w:noProof/>
          <w:color w:val="000000" w:themeColor="text1"/>
          <w:sz w:val="22"/>
          <w:lang w:eastAsia="en-GB"/>
        </w:rPr>
        <w:t xml:space="preserve">: </w:t>
      </w:r>
      <w:r>
        <w:rPr>
          <w:rFonts w:ascii="Times New Roman" w:hAnsi="Times New Roman" w:cs="Times New Roman"/>
          <w:noProof/>
          <w:color w:val="000000" w:themeColor="text1"/>
          <w:sz w:val="22"/>
        </w:rPr>
        <w:t xml:space="preserve">Mineral N (fertiliser) use for cereals, relative change in kg of N use/ha, NMP+ scenario </w:t>
      </w:r>
    </w:p>
    <w:p w:rsidR="00333A1A" w:rsidRDefault="003D29C9">
      <w:pPr>
        <w:rPr>
          <w:noProof/>
        </w:rPr>
      </w:pPr>
      <w:r>
        <w:rPr>
          <w:noProof/>
          <w:lang w:eastAsia="en-GB"/>
        </w:rPr>
        <w:drawing>
          <wp:inline distT="0" distB="0" distL="0" distR="0" wp14:anchorId="32E38E3F" wp14:editId="5ED4C813">
            <wp:extent cx="5472430" cy="3410868"/>
            <wp:effectExtent l="0" t="0" r="0" b="0"/>
            <wp:docPr id="81" name="Picture 81" descr="cid:image005.png@01D3B9F5.38FF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3B9F5.38FF070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472430" cy="3410868"/>
                    </a:xfrm>
                    <a:prstGeom prst="rect">
                      <a:avLst/>
                    </a:prstGeom>
                    <a:noFill/>
                    <a:ln>
                      <a:noFill/>
                    </a:ln>
                  </pic:spPr>
                </pic:pic>
              </a:graphicData>
            </a:graphic>
          </wp:inline>
        </w:drawing>
      </w:r>
    </w:p>
    <w:p w:rsidR="00333A1A" w:rsidRDefault="003D29C9">
      <w:pPr>
        <w:rPr>
          <w:rFonts w:ascii="Times New Roman" w:hAnsi="Times New Roman" w:cs="Times New Roman"/>
          <w:noProof/>
          <w:sz w:val="16"/>
        </w:rPr>
      </w:pPr>
      <w:r>
        <w:rPr>
          <w:rFonts w:ascii="Times New Roman" w:hAnsi="Times New Roman" w:cs="Times New Roman"/>
          <w:noProof/>
          <w:sz w:val="16"/>
        </w:rPr>
        <w:t>Source: JRC, CAP</w:t>
      </w:r>
      <w:r>
        <w:rPr>
          <w:rFonts w:ascii="Times New Roman" w:hAnsi="Times New Roman" w:cs="Times New Roman"/>
          <w:noProof/>
          <w:sz w:val="16"/>
        </w:rPr>
        <w:t xml:space="preserve">RI </w:t>
      </w:r>
    </w:p>
    <w:p w:rsidR="00333A1A" w:rsidRDefault="003D29C9">
      <w:pPr>
        <w:pStyle w:val="Text1"/>
        <w:ind w:left="0"/>
        <w:rPr>
          <w:b/>
          <w:noProof/>
        </w:rPr>
      </w:pPr>
      <w:r>
        <w:rPr>
          <w:b/>
          <w:noProof/>
        </w:rPr>
        <w:t>Reduce soil erosion</w:t>
      </w:r>
    </w:p>
    <w:p w:rsidR="00333A1A" w:rsidRDefault="003D29C9">
      <w:pPr>
        <w:pStyle w:val="Text1"/>
        <w:ind w:left="0"/>
        <w:rPr>
          <w:noProof/>
        </w:rPr>
      </w:pPr>
      <w:r>
        <w:rPr>
          <w:noProof/>
        </w:rPr>
        <w:t>As illustrated in the map below, the regions requiring intervention to reduce soil erosion (regions in red and orange with a mean soil erosion above 2 t/ha) are numerous and located mainly in the southern part of Europe.</w:t>
      </w:r>
    </w:p>
    <w:p w:rsidR="00333A1A" w:rsidRDefault="003D29C9">
      <w:pPr>
        <w:pStyle w:val="Text1"/>
        <w:ind w:left="0"/>
        <w:rPr>
          <w:noProof/>
        </w:rPr>
      </w:pPr>
      <w:r>
        <w:rPr>
          <w:noProof/>
        </w:rPr>
        <w:t xml:space="preserve">The same </w:t>
      </w:r>
      <w:r>
        <w:rPr>
          <w:noProof/>
        </w:rPr>
        <w:t>scenarios as for carbon sequestration were run for cover crops on arable land and on permanent crops to see its impact on soil erosion. The analysis shows that cover crops can potentially reduce average annual erosion on arable land by up to 15% and on per</w:t>
      </w:r>
      <w:r>
        <w:rPr>
          <w:noProof/>
        </w:rPr>
        <w:t>manent crops by up to 37% with a flat rate at 75% in the EU. Low requirement rates (below 10% of coverage of arable land and below 25% on permanent crops) would have little effect because MS apply already cover crops.</w:t>
      </w:r>
    </w:p>
    <w:p w:rsidR="00333A1A" w:rsidRDefault="003D29C9">
      <w:pPr>
        <w:pStyle w:val="Text1"/>
        <w:keepNext/>
        <w:ind w:left="0"/>
        <w:jc w:val="left"/>
        <w:rPr>
          <w:noProof/>
          <w:sz w:val="22"/>
          <w:szCs w:val="22"/>
        </w:rPr>
      </w:pPr>
      <w:r>
        <w:rPr>
          <w:b/>
          <w:noProof/>
          <w:sz w:val="22"/>
          <w:szCs w:val="22"/>
          <w:lang w:eastAsia="en-GB"/>
        </w:rPr>
        <w:t>Map 2.3: Mean annual soil erosion</w:t>
      </w:r>
      <w:r>
        <w:rPr>
          <w:b/>
          <w:noProof/>
          <w:sz w:val="22"/>
          <w:szCs w:val="22"/>
          <w:lang w:eastAsia="en-GB"/>
        </w:rPr>
        <w:br/>
      </w:r>
      <w:r>
        <w:rPr>
          <w:noProof/>
          <w:sz w:val="22"/>
          <w:szCs w:val="22"/>
        </w:rPr>
        <w:t>Gree</w:t>
      </w:r>
      <w:r>
        <w:rPr>
          <w:noProof/>
          <w:sz w:val="22"/>
          <w:szCs w:val="22"/>
        </w:rPr>
        <w:t>n colours indicate regions without soil erosion issues, while regions in orange and red need to reduce erosion.</w:t>
      </w:r>
    </w:p>
    <w:p w:rsidR="00333A1A" w:rsidRDefault="003D29C9">
      <w:pPr>
        <w:pStyle w:val="Text1"/>
        <w:keepNext/>
        <w:ind w:left="284"/>
        <w:jc w:val="left"/>
        <w:rPr>
          <w:noProof/>
          <w:sz w:val="22"/>
          <w:szCs w:val="22"/>
        </w:rPr>
      </w:pPr>
      <w:r>
        <w:rPr>
          <w:noProof/>
          <w:sz w:val="22"/>
          <w:szCs w:val="22"/>
          <w:lang w:eastAsia="en-GB"/>
        </w:rPr>
        <w:drawing>
          <wp:inline distT="0" distB="0" distL="0" distR="0" wp14:anchorId="240C5BCB" wp14:editId="092A3AE3">
            <wp:extent cx="4170680" cy="3074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soil erosion risk.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71648" cy="3074764"/>
                    </a:xfrm>
                    <a:prstGeom prst="rect">
                      <a:avLst/>
                    </a:prstGeom>
                  </pic:spPr>
                </pic:pic>
              </a:graphicData>
            </a:graphic>
          </wp:inline>
        </w:drawing>
      </w:r>
    </w:p>
    <w:p w:rsidR="00333A1A" w:rsidRDefault="003D29C9">
      <w:pPr>
        <w:pStyle w:val="Text1"/>
        <w:spacing w:before="240"/>
        <w:ind w:left="0"/>
        <w:rPr>
          <w:noProof/>
        </w:rPr>
      </w:pPr>
      <w:r>
        <w:rPr>
          <w:noProof/>
        </w:rPr>
        <w:t>An implementation taking into account the on-site erosion risk would lead to similar reduction rates of soil erosion in the most vulnerable ar</w:t>
      </w:r>
      <w:r>
        <w:rPr>
          <w:noProof/>
        </w:rPr>
        <w:t>eas than a flat rate. However, it would have the advantage to be much better targeted to areas/countries with an erosion problem and would limit as well the additional burden to farmers.</w:t>
      </w:r>
    </w:p>
    <w:p w:rsidR="00333A1A" w:rsidRDefault="003D29C9">
      <w:pPr>
        <w:pStyle w:val="Text1"/>
        <w:ind w:left="0"/>
        <w:rPr>
          <w:noProof/>
        </w:rPr>
      </w:pPr>
      <w:r>
        <w:rPr>
          <w:noProof/>
        </w:rPr>
        <w:t xml:space="preserve">Cover crops are clearly beneficial to reduce erosion but not enough: </w:t>
      </w:r>
      <w:r>
        <w:rPr>
          <w:noProof/>
        </w:rPr>
        <w:t>certain MS would still record erosion rates above 5t/ha per year for permanent crops and above 2t/ha per year on arable land in all scenarios. Therefore, the winter soil cover requirement would need to be combined with other measures, such as plant residue</w:t>
      </w:r>
      <w:r>
        <w:rPr>
          <w:noProof/>
        </w:rPr>
        <w:t xml:space="preserve">s after crop harvesting, the increase of grass margins, contour farming in sloppy areas and reduced tillage, in order to reduce erosion to acceptable levels in all MS. Although it was not covered in the scenarios, several studies indicate that the type of </w:t>
      </w:r>
      <w:r>
        <w:rPr>
          <w:noProof/>
        </w:rPr>
        <w:t>cover crop (leguminous for example) and the duration of the vegetation cover are two factors that influence to a large extent the effectiveness of this farming practice.</w:t>
      </w:r>
    </w:p>
    <w:p w:rsidR="00333A1A" w:rsidRDefault="003D29C9">
      <w:pPr>
        <w:spacing w:before="240" w:after="240" w:line="240" w:lineRule="auto"/>
        <w:jc w:val="both"/>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t xml:space="preserve">Another way to reduce soil erosion is to develop and improve </w:t>
      </w:r>
      <w:r>
        <w:rPr>
          <w:rFonts w:ascii="Times New Roman" w:hAnsi="Times New Roman" w:cs="Times New Roman"/>
          <w:b/>
          <w:noProof/>
          <w:color w:val="000000" w:themeColor="text1"/>
          <w:sz w:val="24"/>
          <w:szCs w:val="24"/>
          <w:lang w:eastAsia="en-GB"/>
        </w:rPr>
        <w:t>crop rotation</w:t>
      </w:r>
      <w:r>
        <w:rPr>
          <w:rFonts w:ascii="Times New Roman" w:hAnsi="Times New Roman" w:cs="Times New Roman"/>
          <w:noProof/>
          <w:color w:val="000000" w:themeColor="text1"/>
          <w:sz w:val="24"/>
          <w:szCs w:val="24"/>
          <w:lang w:eastAsia="en-GB"/>
        </w:rPr>
        <w:t xml:space="preserve">. According </w:t>
      </w:r>
      <w:r>
        <w:rPr>
          <w:rFonts w:ascii="Times New Roman" w:hAnsi="Times New Roman" w:cs="Times New Roman"/>
          <w:noProof/>
          <w:color w:val="000000" w:themeColor="text1"/>
          <w:sz w:val="24"/>
          <w:szCs w:val="24"/>
          <w:lang w:eastAsia="en-GB"/>
        </w:rPr>
        <w:t>to the H2020 Smartsoil project, improved crop rotations refer to specially tailored crop rotation regimes, such as alternating deep-rooted and shallow-rooted plants or alternating a series of crops with a period of grassland (grass-ley) and introducing cat</w:t>
      </w:r>
      <w:r>
        <w:rPr>
          <w:rFonts w:ascii="Times New Roman" w:hAnsi="Times New Roman" w:cs="Times New Roman"/>
          <w:noProof/>
          <w:color w:val="000000" w:themeColor="text1"/>
          <w:sz w:val="24"/>
          <w:szCs w:val="24"/>
          <w:lang w:eastAsia="en-GB"/>
        </w:rPr>
        <w:t>ch or cover crops. These improved rotations can benefit farm soil by building soil organic matter, enhancing soil fertility and improving (deep) soil structure. Crop rotation has multiple benefits: it can help replenish nitrogen in the soil, reduce erosion</w:t>
      </w:r>
      <w:r>
        <w:rPr>
          <w:rFonts w:ascii="Times New Roman" w:hAnsi="Times New Roman" w:cs="Times New Roman"/>
          <w:noProof/>
          <w:color w:val="000000" w:themeColor="text1"/>
          <w:sz w:val="24"/>
          <w:szCs w:val="24"/>
          <w:lang w:eastAsia="en-GB"/>
        </w:rPr>
        <w:t>, and increase the water infiltration capacity of the soil. Practicing crop rotation can also provide a simple technique for managing and preventing weeds, pests and diseases from building up when land is continuously planted with the same crop (monocultur</w:t>
      </w:r>
      <w:r>
        <w:rPr>
          <w:rFonts w:ascii="Times New Roman" w:hAnsi="Times New Roman" w:cs="Times New Roman"/>
          <w:noProof/>
          <w:color w:val="000000" w:themeColor="text1"/>
          <w:sz w:val="24"/>
          <w:szCs w:val="24"/>
          <w:lang w:eastAsia="en-GB"/>
        </w:rPr>
        <w:t>e) and thus contribute to the objective of reducing pesticide use. The simulation carried out by JRC showed that the rotation obligations proposed in the options imply indeed a reduction in grain maize and durum wheat areas more often cultivated in monocul</w:t>
      </w:r>
      <w:r>
        <w:rPr>
          <w:rFonts w:ascii="Times New Roman" w:hAnsi="Times New Roman" w:cs="Times New Roman"/>
          <w:noProof/>
          <w:color w:val="000000" w:themeColor="text1"/>
          <w:sz w:val="24"/>
          <w:szCs w:val="24"/>
          <w:lang w:eastAsia="en-GB"/>
        </w:rPr>
        <w:t>ture.</w:t>
      </w:r>
    </w:p>
    <w:p w:rsidR="00333A1A" w:rsidRDefault="003D29C9">
      <w:pPr>
        <w:rPr>
          <w:rFonts w:ascii="Times New Roman" w:hAnsi="Times New Roman" w:cs="Times New Roman"/>
          <w:b/>
          <w:noProof/>
        </w:rPr>
      </w:pPr>
      <w:r>
        <w:rPr>
          <w:rFonts w:ascii="Times New Roman" w:hAnsi="Times New Roman" w:cs="Times New Roman"/>
          <w:b/>
          <w:noProof/>
        </w:rPr>
        <w:br w:type="page"/>
      </w:r>
    </w:p>
    <w:p w:rsidR="00333A1A" w:rsidRDefault="003D29C9">
      <w:pPr>
        <w:spacing w:after="0" w:line="240" w:lineRule="auto"/>
        <w:jc w:val="both"/>
        <w:rPr>
          <w:rFonts w:ascii="Times New Roman" w:hAnsi="Times New Roman" w:cs="Times New Roman"/>
          <w:b/>
          <w:noProof/>
        </w:rPr>
      </w:pPr>
      <w:r>
        <w:rPr>
          <w:rFonts w:ascii="Times New Roman" w:hAnsi="Times New Roman" w:cs="Times New Roman"/>
          <w:b/>
          <w:noProof/>
        </w:rPr>
        <w:t>Table 2.15: Change in erosion due to different implementation strategies of cover crops on arable land</w:t>
      </w:r>
    </w:p>
    <w:tbl>
      <w:tblPr>
        <w:tblW w:w="7258" w:type="dxa"/>
        <w:jc w:val="center"/>
        <w:tblLook w:val="04A0" w:firstRow="1" w:lastRow="0" w:firstColumn="1" w:lastColumn="0" w:noHBand="0" w:noVBand="1"/>
      </w:tblPr>
      <w:tblGrid>
        <w:gridCol w:w="817"/>
        <w:gridCol w:w="1276"/>
        <w:gridCol w:w="850"/>
        <w:gridCol w:w="993"/>
        <w:gridCol w:w="990"/>
        <w:gridCol w:w="1136"/>
        <w:gridCol w:w="1196"/>
      </w:tblGrid>
      <w:tr w:rsidR="00333A1A">
        <w:trPr>
          <w:trHeight w:val="576"/>
          <w:jc w:val="center"/>
        </w:trPr>
        <w:tc>
          <w:tcPr>
            <w:tcW w:w="817" w:type="dxa"/>
            <w:vMerge w:val="restart"/>
            <w:tcBorders>
              <w:top w:val="single" w:sz="4" w:space="0" w:color="auto"/>
              <w:left w:val="single" w:sz="4" w:space="0" w:color="auto"/>
              <w:bottom w:val="single" w:sz="4" w:space="0" w:color="auto"/>
              <w:right w:val="nil"/>
            </w:tcBorders>
            <w:shd w:val="clear" w:color="auto" w:fill="auto"/>
            <w:noWrap/>
            <w:vAlign w:val="bottom"/>
          </w:tcPr>
          <w:p w:rsidR="00333A1A" w:rsidRDefault="003D29C9">
            <w:pPr>
              <w:spacing w:after="0" w:line="240" w:lineRule="auto"/>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MS</w:t>
            </w:r>
          </w:p>
        </w:tc>
        <w:tc>
          <w:tcPr>
            <w:tcW w:w="1276" w:type="dxa"/>
            <w:vMerge w:val="restart"/>
            <w:tcBorders>
              <w:top w:val="single" w:sz="4" w:space="0" w:color="auto"/>
              <w:left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Erosion rate in baseline (t/ha)</w:t>
            </w:r>
            <w:r>
              <w:rPr>
                <w:rStyle w:val="FootnoteReference"/>
                <w:rFonts w:ascii="Times New Roman" w:eastAsia="Times New Roman" w:hAnsi="Times New Roman" w:cs="Times New Roman"/>
                <w:b/>
                <w:noProof/>
                <w:color w:val="000000"/>
                <w:sz w:val="20"/>
                <w:lang w:eastAsia="en-GB"/>
              </w:rPr>
              <w:footnoteReference w:id="35"/>
            </w:r>
          </w:p>
        </w:tc>
        <w:tc>
          <w:tcPr>
            <w:tcW w:w="2833" w:type="dxa"/>
            <w:gridSpan w:val="3"/>
            <w:tcBorders>
              <w:top w:val="single" w:sz="4" w:space="0" w:color="auto"/>
              <w:left w:val="nil"/>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Share of cover crops</w:t>
            </w:r>
          </w:p>
        </w:tc>
        <w:tc>
          <w:tcPr>
            <w:tcW w:w="1136" w:type="dxa"/>
            <w:vMerge w:val="restart"/>
            <w:tcBorders>
              <w:top w:val="single" w:sz="4" w:space="0" w:color="auto"/>
              <w:left w:val="nil"/>
              <w:right w:val="single" w:sz="4" w:space="0" w:color="auto"/>
            </w:tcBorders>
            <w:shd w:val="clear" w:color="auto" w:fill="auto"/>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Minimum + target</w:t>
            </w:r>
          </w:p>
        </w:tc>
        <w:tc>
          <w:tcPr>
            <w:tcW w:w="1196" w:type="dxa"/>
            <w:vMerge w:val="restart"/>
            <w:tcBorders>
              <w:top w:val="single" w:sz="4" w:space="0" w:color="auto"/>
              <w:left w:val="single" w:sz="4" w:space="0" w:color="auto"/>
              <w:right w:val="single" w:sz="4" w:space="0" w:color="auto"/>
            </w:tcBorders>
            <w:shd w:val="clear" w:color="auto" w:fill="auto"/>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Target</w:t>
            </w:r>
          </w:p>
        </w:tc>
      </w:tr>
      <w:tr w:rsidR="00333A1A">
        <w:trPr>
          <w:trHeight w:val="576"/>
          <w:jc w:val="center"/>
        </w:trPr>
        <w:tc>
          <w:tcPr>
            <w:tcW w:w="817" w:type="dxa"/>
            <w:vMerge/>
            <w:tcBorders>
              <w:left w:val="single" w:sz="4" w:space="0" w:color="auto"/>
              <w:bottom w:val="single" w:sz="4" w:space="0" w:color="auto"/>
              <w:right w:val="nil"/>
            </w:tcBorders>
            <w:shd w:val="clear" w:color="auto" w:fill="auto"/>
            <w:noWrap/>
            <w:vAlign w:val="bottom"/>
            <w:hideMark/>
          </w:tcPr>
          <w:p w:rsidR="00333A1A" w:rsidRDefault="00333A1A">
            <w:pPr>
              <w:spacing w:after="0" w:line="240" w:lineRule="auto"/>
              <w:rPr>
                <w:rFonts w:ascii="Times New Roman" w:eastAsia="Times New Roman" w:hAnsi="Times New Roman" w:cs="Times New Roman"/>
                <w:b/>
                <w:noProof/>
                <w:color w:val="000000"/>
                <w:sz w:val="20"/>
                <w:lang w:eastAsia="en-GB"/>
              </w:rPr>
            </w:pPr>
          </w:p>
        </w:tc>
        <w:tc>
          <w:tcPr>
            <w:tcW w:w="1276" w:type="dxa"/>
            <w:vMerge/>
            <w:tcBorders>
              <w:left w:val="single" w:sz="4" w:space="0" w:color="auto"/>
              <w:bottom w:val="single" w:sz="4" w:space="0" w:color="auto"/>
              <w:right w:val="single" w:sz="4" w:space="0" w:color="auto"/>
            </w:tcBorders>
            <w:shd w:val="clear" w:color="auto" w:fill="auto"/>
            <w:noWrap/>
            <w:vAlign w:val="center"/>
          </w:tcPr>
          <w:p w:rsidR="00333A1A" w:rsidRDefault="00333A1A">
            <w:pPr>
              <w:spacing w:after="0" w:line="240" w:lineRule="auto"/>
              <w:jc w:val="center"/>
              <w:rPr>
                <w:rFonts w:ascii="Times New Roman" w:eastAsia="Times New Roman" w:hAnsi="Times New Roman" w:cs="Times New Roman"/>
                <w:b/>
                <w:noProof/>
                <w:color w:val="000000"/>
                <w:sz w:val="20"/>
                <w:lang w:eastAsia="en-GB"/>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50%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75%</w:t>
            </w:r>
          </w:p>
        </w:tc>
        <w:tc>
          <w:tcPr>
            <w:tcW w:w="1136" w:type="dxa"/>
            <w:vMerge/>
            <w:tcBorders>
              <w:left w:val="nil"/>
              <w:bottom w:val="single" w:sz="4" w:space="0" w:color="auto"/>
              <w:right w:val="single" w:sz="4" w:space="0" w:color="auto"/>
            </w:tcBorders>
            <w:shd w:val="clear" w:color="auto" w:fill="auto"/>
            <w:vAlign w:val="center"/>
            <w:hideMark/>
          </w:tcPr>
          <w:p w:rsidR="00333A1A" w:rsidRDefault="00333A1A">
            <w:pPr>
              <w:spacing w:after="0" w:line="240" w:lineRule="auto"/>
              <w:jc w:val="center"/>
              <w:rPr>
                <w:rFonts w:ascii="Times New Roman" w:eastAsia="Times New Roman" w:hAnsi="Times New Roman" w:cs="Times New Roman"/>
                <w:b/>
                <w:noProof/>
                <w:color w:val="000000"/>
                <w:sz w:val="20"/>
                <w:lang w:eastAsia="en-GB"/>
              </w:rPr>
            </w:pPr>
          </w:p>
        </w:tc>
        <w:tc>
          <w:tcPr>
            <w:tcW w:w="1196" w:type="dxa"/>
            <w:vMerge/>
            <w:tcBorders>
              <w:left w:val="single" w:sz="4" w:space="0" w:color="auto"/>
              <w:bottom w:val="single" w:sz="4" w:space="0" w:color="auto"/>
              <w:right w:val="single" w:sz="4" w:space="0" w:color="auto"/>
            </w:tcBorders>
            <w:shd w:val="clear" w:color="auto" w:fill="auto"/>
            <w:vAlign w:val="center"/>
            <w:hideMark/>
          </w:tcPr>
          <w:p w:rsidR="00333A1A" w:rsidRDefault="00333A1A">
            <w:pPr>
              <w:spacing w:after="0" w:line="240" w:lineRule="auto"/>
              <w:jc w:val="center"/>
              <w:rPr>
                <w:rFonts w:ascii="Times New Roman" w:eastAsia="Times New Roman" w:hAnsi="Times New Roman" w:cs="Times New Roman"/>
                <w:b/>
                <w:noProof/>
                <w:color w:val="000000"/>
                <w:sz w:val="20"/>
                <w:lang w:eastAsia="en-GB"/>
              </w:rPr>
            </w:pPr>
          </w:p>
        </w:tc>
      </w:tr>
      <w:tr w:rsidR="00333A1A">
        <w:trPr>
          <w:trHeight w:val="300"/>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AT</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4.0</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-9.6%</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-4.8%</w:t>
            </w:r>
          </w:p>
        </w:tc>
      </w:tr>
      <w:tr w:rsidR="00333A1A">
        <w:trPr>
          <w:trHeight w:val="324"/>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BE</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2.1</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-3.1%</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-8.5%</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-6.1%</w:t>
            </w:r>
          </w:p>
        </w:tc>
      </w:tr>
      <w:tr w:rsidR="00333A1A">
        <w:trPr>
          <w:trHeight w:val="288"/>
          <w:jc w:val="cent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BG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-10.1%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-15.1%</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-4.1%</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-8.9%</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CY</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1.8</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-15.0%</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DE</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1.8</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-3.5%</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-8.7%</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-13.8%</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-2.6%</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-6.5%</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CZ</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2.5</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-3.8%</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-8.9%</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-14.0%</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-3.6%</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-8.6%</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DK</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0.6</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-15.0%</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-0.9%</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EE</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-3.8%</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-9.0%</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-14.2%</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EL</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2.8</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-9.8%</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-14.9%</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-9.8%</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ES</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4.3</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-3.5%</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-8.7%</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-13.9%</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-5.3%</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-10.4%</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FI</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-4.9%</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-7.4%</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-10.7%</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FR</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-8.2%</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-13.2%</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-1.8%</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-5.5%</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IE</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-4.3%</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-6.1%</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-8.2%</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-3.7%</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HU</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2.1</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-4.8%</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-9.8%</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-14.9%</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-3.9%</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-8.2%</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HR</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1.7</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-9.6%</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-14.7%</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-1.7%</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-5.8%</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IT</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8.4</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-9.4%</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-14.2%</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-13.6%</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LT</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-9.9%</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-14.9%</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-0.8%</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LU</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4.5</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-8.3%</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-13.4%</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-3.1%</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-8.3%</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LV</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-9.1%</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-14.2%</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MT</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15.9</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-15.0%</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-15.0%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NL</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-5.9%</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-11.2%</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PL</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1.6</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-3.7%</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-8.8%</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-13.9%</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-3.1%</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-6.7%</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PT</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2.9</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-5.1%</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-10.4%</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-13.3%</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-6.7%</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-11.8%</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RO</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3.4</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-9.8%</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-14.8%</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-7.5%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-12.5%</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SE</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-8.7%</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-13.8%</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-2.2%</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SI</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4.6</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-6.5%</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-11.7%</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-2.4%</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-7.6%</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SK</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3.5</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-4.2%</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-9.3%</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-14.4%</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-5.6%</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-10.6%</w:t>
            </w:r>
          </w:p>
        </w:tc>
      </w:tr>
    </w:tbl>
    <w:p w:rsidR="00333A1A" w:rsidRDefault="003D29C9">
      <w:pPr>
        <w:pStyle w:val="Text1"/>
        <w:ind w:left="720"/>
        <w:rPr>
          <w:noProof/>
          <w:sz w:val="18"/>
        </w:rPr>
      </w:pPr>
      <w:r>
        <w:rPr>
          <w:noProof/>
          <w:sz w:val="18"/>
        </w:rPr>
        <w:t>Source: JRC,</w:t>
      </w:r>
      <w:r>
        <w:rPr>
          <w:noProof/>
          <w:sz w:val="18"/>
        </w:rPr>
        <w:t xml:space="preserve"> RUSLE 2015</w:t>
      </w:r>
    </w:p>
    <w:p w:rsidR="00333A1A" w:rsidRDefault="003D29C9">
      <w:pPr>
        <w:rPr>
          <w:rFonts w:ascii="Times New Roman" w:hAnsi="Times New Roman" w:cs="Times New Roman"/>
          <w:b/>
          <w:noProof/>
        </w:rPr>
      </w:pPr>
      <w:r>
        <w:rPr>
          <w:rFonts w:ascii="Times New Roman" w:hAnsi="Times New Roman" w:cs="Times New Roman"/>
          <w:b/>
          <w:noProof/>
        </w:rPr>
        <w:br w:type="page"/>
      </w:r>
    </w:p>
    <w:p w:rsidR="00333A1A" w:rsidRDefault="003D29C9">
      <w:pPr>
        <w:spacing w:line="240" w:lineRule="auto"/>
        <w:jc w:val="both"/>
        <w:rPr>
          <w:rFonts w:ascii="Times New Roman" w:hAnsi="Times New Roman" w:cs="Times New Roman"/>
          <w:b/>
          <w:noProof/>
        </w:rPr>
      </w:pPr>
      <w:r>
        <w:rPr>
          <w:rFonts w:ascii="Times New Roman" w:hAnsi="Times New Roman" w:cs="Times New Roman"/>
          <w:b/>
          <w:noProof/>
        </w:rPr>
        <w:t>Table 2.16: Change in erosion due to different implementation strategies of cover crops on permanent crops</w:t>
      </w:r>
    </w:p>
    <w:tbl>
      <w:tblPr>
        <w:tblW w:w="7258" w:type="dxa"/>
        <w:jc w:val="center"/>
        <w:tblLook w:val="04A0" w:firstRow="1" w:lastRow="0" w:firstColumn="1" w:lastColumn="0" w:noHBand="0" w:noVBand="1"/>
      </w:tblPr>
      <w:tblGrid>
        <w:gridCol w:w="817"/>
        <w:gridCol w:w="1276"/>
        <w:gridCol w:w="850"/>
        <w:gridCol w:w="993"/>
        <w:gridCol w:w="990"/>
        <w:gridCol w:w="1136"/>
        <w:gridCol w:w="1196"/>
      </w:tblGrid>
      <w:tr w:rsidR="00333A1A">
        <w:trPr>
          <w:trHeight w:val="576"/>
          <w:jc w:val="center"/>
        </w:trPr>
        <w:tc>
          <w:tcPr>
            <w:tcW w:w="817" w:type="dxa"/>
            <w:vMerge w:val="restart"/>
            <w:tcBorders>
              <w:top w:val="single" w:sz="4" w:space="0" w:color="auto"/>
              <w:left w:val="single" w:sz="4" w:space="0" w:color="auto"/>
              <w:bottom w:val="single" w:sz="4" w:space="0" w:color="auto"/>
              <w:right w:val="nil"/>
            </w:tcBorders>
            <w:shd w:val="clear" w:color="auto" w:fill="auto"/>
            <w:noWrap/>
            <w:vAlign w:val="bottom"/>
          </w:tcPr>
          <w:p w:rsidR="00333A1A" w:rsidRDefault="003D29C9">
            <w:pPr>
              <w:spacing w:after="0" w:line="240" w:lineRule="auto"/>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MS</w:t>
            </w:r>
          </w:p>
        </w:tc>
        <w:tc>
          <w:tcPr>
            <w:tcW w:w="1276" w:type="dxa"/>
            <w:vMerge w:val="restart"/>
            <w:tcBorders>
              <w:top w:val="single" w:sz="4" w:space="0" w:color="auto"/>
              <w:left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Erosion rate (t/ha)</w:t>
            </w:r>
            <w:r>
              <w:rPr>
                <w:rStyle w:val="FootnoteReference"/>
                <w:rFonts w:ascii="Times New Roman" w:eastAsia="Times New Roman" w:hAnsi="Times New Roman" w:cs="Times New Roman"/>
                <w:b/>
                <w:noProof/>
                <w:color w:val="000000"/>
                <w:sz w:val="20"/>
                <w:lang w:eastAsia="en-GB"/>
              </w:rPr>
              <w:footnoteReference w:id="36"/>
            </w:r>
          </w:p>
        </w:tc>
        <w:tc>
          <w:tcPr>
            <w:tcW w:w="2833" w:type="dxa"/>
            <w:gridSpan w:val="3"/>
            <w:tcBorders>
              <w:top w:val="single" w:sz="4" w:space="0" w:color="auto"/>
              <w:left w:val="nil"/>
              <w:bottom w:val="single" w:sz="4" w:space="0" w:color="auto"/>
              <w:right w:val="single" w:sz="4" w:space="0" w:color="auto"/>
            </w:tcBorders>
            <w:shd w:val="clear" w:color="auto" w:fill="auto"/>
            <w:noWrap/>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Flat rate</w:t>
            </w:r>
          </w:p>
        </w:tc>
        <w:tc>
          <w:tcPr>
            <w:tcW w:w="1136" w:type="dxa"/>
            <w:vMerge w:val="restart"/>
            <w:tcBorders>
              <w:top w:val="single" w:sz="4" w:space="0" w:color="auto"/>
              <w:left w:val="nil"/>
              <w:right w:val="single" w:sz="4" w:space="0" w:color="auto"/>
            </w:tcBorders>
            <w:shd w:val="clear" w:color="auto" w:fill="auto"/>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Minimum + target</w:t>
            </w:r>
          </w:p>
        </w:tc>
        <w:tc>
          <w:tcPr>
            <w:tcW w:w="1196" w:type="dxa"/>
            <w:vMerge w:val="restart"/>
            <w:tcBorders>
              <w:top w:val="single" w:sz="4" w:space="0" w:color="auto"/>
              <w:left w:val="single" w:sz="4" w:space="0" w:color="auto"/>
              <w:right w:val="single" w:sz="4" w:space="0" w:color="auto"/>
            </w:tcBorders>
            <w:shd w:val="clear" w:color="auto" w:fill="auto"/>
            <w:vAlign w:val="center"/>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Target</w:t>
            </w:r>
          </w:p>
        </w:tc>
      </w:tr>
      <w:tr w:rsidR="00333A1A">
        <w:trPr>
          <w:trHeight w:val="576"/>
          <w:jc w:val="center"/>
        </w:trPr>
        <w:tc>
          <w:tcPr>
            <w:tcW w:w="817" w:type="dxa"/>
            <w:vMerge/>
            <w:tcBorders>
              <w:left w:val="single" w:sz="4" w:space="0" w:color="auto"/>
              <w:bottom w:val="single" w:sz="4" w:space="0" w:color="auto"/>
              <w:right w:val="nil"/>
            </w:tcBorders>
            <w:shd w:val="clear" w:color="auto" w:fill="auto"/>
            <w:noWrap/>
            <w:vAlign w:val="bottom"/>
            <w:hideMark/>
          </w:tcPr>
          <w:p w:rsidR="00333A1A" w:rsidRDefault="00333A1A">
            <w:pPr>
              <w:spacing w:after="0" w:line="240" w:lineRule="auto"/>
              <w:rPr>
                <w:rFonts w:ascii="Times New Roman" w:eastAsia="Times New Roman" w:hAnsi="Times New Roman" w:cs="Times New Roman"/>
                <w:b/>
                <w:noProof/>
                <w:color w:val="000000"/>
                <w:sz w:val="20"/>
                <w:lang w:eastAsia="en-GB"/>
              </w:rPr>
            </w:pPr>
          </w:p>
        </w:tc>
        <w:tc>
          <w:tcPr>
            <w:tcW w:w="1276" w:type="dxa"/>
            <w:vMerge/>
            <w:tcBorders>
              <w:left w:val="single" w:sz="4" w:space="0" w:color="auto"/>
              <w:bottom w:val="single" w:sz="4" w:space="0" w:color="auto"/>
              <w:right w:val="single" w:sz="4" w:space="0" w:color="auto"/>
            </w:tcBorders>
            <w:shd w:val="clear" w:color="auto" w:fill="auto"/>
            <w:noWrap/>
            <w:vAlign w:val="center"/>
          </w:tcPr>
          <w:p w:rsidR="00333A1A" w:rsidRDefault="00333A1A">
            <w:pPr>
              <w:spacing w:after="0" w:line="240" w:lineRule="auto"/>
              <w:jc w:val="center"/>
              <w:rPr>
                <w:rFonts w:ascii="Times New Roman" w:eastAsia="Times New Roman" w:hAnsi="Times New Roman" w:cs="Times New Roman"/>
                <w:b/>
                <w:noProof/>
                <w:color w:val="000000"/>
                <w:sz w:val="20"/>
                <w:lang w:eastAsia="en-GB"/>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50%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75%</w:t>
            </w:r>
          </w:p>
        </w:tc>
        <w:tc>
          <w:tcPr>
            <w:tcW w:w="1136" w:type="dxa"/>
            <w:vMerge/>
            <w:tcBorders>
              <w:left w:val="nil"/>
              <w:bottom w:val="single" w:sz="4" w:space="0" w:color="auto"/>
              <w:right w:val="single" w:sz="4" w:space="0" w:color="auto"/>
            </w:tcBorders>
            <w:shd w:val="clear" w:color="auto" w:fill="auto"/>
            <w:vAlign w:val="center"/>
            <w:hideMark/>
          </w:tcPr>
          <w:p w:rsidR="00333A1A" w:rsidRDefault="00333A1A">
            <w:pPr>
              <w:spacing w:after="0" w:line="240" w:lineRule="auto"/>
              <w:jc w:val="center"/>
              <w:rPr>
                <w:rFonts w:ascii="Times New Roman" w:eastAsia="Times New Roman" w:hAnsi="Times New Roman" w:cs="Times New Roman"/>
                <w:b/>
                <w:noProof/>
                <w:color w:val="000000"/>
                <w:sz w:val="20"/>
                <w:lang w:eastAsia="en-GB"/>
              </w:rPr>
            </w:pPr>
          </w:p>
        </w:tc>
        <w:tc>
          <w:tcPr>
            <w:tcW w:w="1196" w:type="dxa"/>
            <w:vMerge/>
            <w:tcBorders>
              <w:left w:val="single" w:sz="4" w:space="0" w:color="auto"/>
              <w:bottom w:val="single" w:sz="4" w:space="0" w:color="auto"/>
              <w:right w:val="single" w:sz="4" w:space="0" w:color="auto"/>
            </w:tcBorders>
            <w:shd w:val="clear" w:color="auto" w:fill="auto"/>
            <w:vAlign w:val="center"/>
            <w:hideMark/>
          </w:tcPr>
          <w:p w:rsidR="00333A1A" w:rsidRDefault="00333A1A">
            <w:pPr>
              <w:spacing w:after="0" w:line="240" w:lineRule="auto"/>
              <w:jc w:val="center"/>
              <w:rPr>
                <w:rFonts w:ascii="Times New Roman" w:eastAsia="Times New Roman" w:hAnsi="Times New Roman" w:cs="Times New Roman"/>
                <w:b/>
                <w:noProof/>
                <w:color w:val="000000"/>
                <w:sz w:val="20"/>
                <w:lang w:eastAsia="en-GB"/>
              </w:rPr>
            </w:pP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AT</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6.6</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-8%</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-29%</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-7%</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-25%</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BE</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-25%</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w:t>
            </w:r>
          </w:p>
        </w:tc>
      </w:tr>
      <w:tr w:rsidR="00333A1A">
        <w:trPr>
          <w:trHeight w:val="288"/>
          <w:jc w:val="cent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BG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-17%</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-37%</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-11%</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-30%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CY</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5.4</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-36%</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-36%</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DE</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6.1</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-24%</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-19%</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CZ</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4.4</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-11%</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-32%</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DK</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-27%</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EE</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0.6</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EL</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7.9</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-27%</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-25%</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ES</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8.8</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-1.7%</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-16%</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-37%</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-14%</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-34%</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FR</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5.5</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-0.5%</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-31%</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-27%</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HU</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4.9</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-14%</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-35%</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-12%</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-31%</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HR</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10.2</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-26%</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-26%</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IT</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16.7</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-27%</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-26%</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LT</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LU</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10.8</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-22%</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-22%</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LV</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0.9</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-15%</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NL</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-30%</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PL</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1.2</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-21%</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PT</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5.4</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-0.2%</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-9%</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-31%</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-21%</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RO</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9.8</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-7%</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-29%</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-7%</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-29%</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SE</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0.9</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0%</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SI</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32.1</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-24%</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w:t>
            </w:r>
          </w:p>
        </w:tc>
        <w:tc>
          <w:tcPr>
            <w:tcW w:w="11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-24%</w:t>
            </w:r>
          </w:p>
        </w:tc>
      </w:tr>
      <w:tr w:rsidR="00333A1A">
        <w:trPr>
          <w:trHeight w:val="288"/>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SK</w:t>
            </w:r>
          </w:p>
        </w:tc>
        <w:tc>
          <w:tcPr>
            <w:tcW w:w="127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7.5</w:t>
            </w:r>
          </w:p>
        </w:tc>
        <w:tc>
          <w:tcPr>
            <w:tcW w:w="85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-9%</w:t>
            </w:r>
          </w:p>
        </w:tc>
        <w:tc>
          <w:tcPr>
            <w:tcW w:w="99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-30%</w:t>
            </w:r>
          </w:p>
        </w:tc>
        <w:tc>
          <w:tcPr>
            <w:tcW w:w="113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szCs w:val="20"/>
                <w:lang w:eastAsia="en-GB"/>
              </w:rPr>
            </w:pPr>
            <w:r>
              <w:rPr>
                <w:rFonts w:ascii="Times New Roman" w:hAnsi="Times New Roman" w:cs="Times New Roman"/>
                <w:noProof/>
                <w:sz w:val="20"/>
                <w:szCs w:val="20"/>
              </w:rPr>
              <w:t>-30%</w:t>
            </w:r>
          </w:p>
        </w:tc>
      </w:tr>
    </w:tbl>
    <w:p w:rsidR="00333A1A" w:rsidRDefault="003D29C9">
      <w:pPr>
        <w:pStyle w:val="Text1"/>
        <w:ind w:left="720"/>
        <w:rPr>
          <w:noProof/>
          <w:sz w:val="18"/>
        </w:rPr>
      </w:pPr>
      <w:r>
        <w:rPr>
          <w:noProof/>
          <w:sz w:val="18"/>
        </w:rPr>
        <w:t>Source: JRC, RUSLE 2015</w:t>
      </w:r>
    </w:p>
    <w:p w:rsidR="00333A1A" w:rsidRDefault="003D29C9">
      <w:pPr>
        <w:pStyle w:val="Text1"/>
        <w:keepNext/>
        <w:ind w:left="0"/>
        <w:rPr>
          <w:b/>
          <w:noProof/>
        </w:rPr>
      </w:pPr>
      <w:r>
        <w:rPr>
          <w:b/>
          <w:noProof/>
        </w:rPr>
        <w:t>Reduce ammonia emissions</w:t>
      </w:r>
    </w:p>
    <w:p w:rsidR="00333A1A" w:rsidRDefault="003D29C9">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Ammonia emissions reduce </w:t>
      </w:r>
      <w:r>
        <w:rPr>
          <w:rFonts w:ascii="Times New Roman" w:hAnsi="Times New Roman" w:cs="Times New Roman"/>
          <w:noProof/>
          <w:sz w:val="24"/>
          <w:szCs w:val="24"/>
        </w:rPr>
        <w:t>between 0.3% and 0.8% in the various options. As the mitigation technologies available in the model are not directly targeted to reduce specifically ammonia emissions, the reduction comes from changes in production and input use. The reduction targets from</w:t>
      </w:r>
      <w:r>
        <w:rPr>
          <w:rFonts w:ascii="Times New Roman" w:hAnsi="Times New Roman" w:cs="Times New Roman"/>
          <w:noProof/>
          <w:sz w:val="24"/>
          <w:szCs w:val="24"/>
        </w:rPr>
        <w:t xml:space="preserve"> the NMP are determining to a large extent the differences between the scenarios. A similar reasoning applies to the results for nitrate leaching, indicating a reduction between -1.4% (scenario 4b) and -4.5% (scenario 3a and 4a).</w:t>
      </w:r>
    </w:p>
    <w:p w:rsidR="00333A1A" w:rsidRDefault="003D29C9">
      <w:pPr>
        <w:pStyle w:val="Heading3"/>
        <w:rPr>
          <w:noProof/>
        </w:rPr>
      </w:pPr>
      <w:bookmarkStart w:id="34" w:name="_Toc508208593"/>
      <w:r>
        <w:rPr>
          <w:noProof/>
        </w:rPr>
        <w:t xml:space="preserve">Preserve nature and </w:t>
      </w:r>
      <w:r>
        <w:rPr>
          <w:noProof/>
        </w:rPr>
        <w:t>landscapes</w:t>
      </w:r>
      <w:bookmarkEnd w:id="34"/>
    </w:p>
    <w:p w:rsidR="00333A1A" w:rsidRDefault="003D29C9">
      <w:pPr>
        <w:pStyle w:val="Text1"/>
        <w:keepNext/>
        <w:ind w:left="0"/>
        <w:rPr>
          <w:b/>
          <w:noProof/>
        </w:rPr>
      </w:pPr>
      <w:r>
        <w:rPr>
          <w:b/>
          <w:noProof/>
        </w:rPr>
        <w:t>Landscape elements</w:t>
      </w:r>
    </w:p>
    <w:p w:rsidR="00333A1A" w:rsidRDefault="003D29C9">
      <w:pPr>
        <w:pStyle w:val="Text1"/>
        <w:spacing w:after="120"/>
        <w:ind w:left="0"/>
        <w:rPr>
          <w:noProof/>
        </w:rPr>
      </w:pPr>
      <w:r>
        <w:rPr>
          <w:noProof/>
        </w:rPr>
        <w:t xml:space="preserve">It is proven that landscape elements contribute to maintain biodiversity; thus, the green requirement of 3% of UAA with non-productive elements (fallow land, afforested area and landscape elements) proposed and the top-up for </w:t>
      </w:r>
      <w:r>
        <w:rPr>
          <w:noProof/>
        </w:rPr>
        <w:t>linear elements in option 5.</w:t>
      </w:r>
    </w:p>
    <w:p w:rsidR="00333A1A" w:rsidRDefault="003D29C9">
      <w:pPr>
        <w:pStyle w:val="Text1"/>
        <w:spacing w:after="120"/>
        <w:ind w:left="0"/>
        <w:rPr>
          <w:noProof/>
        </w:rPr>
      </w:pPr>
      <w:r>
        <w:rPr>
          <w:noProof/>
        </w:rPr>
        <w:t xml:space="preserve">As explained above, this green-requirement and the effect of this top-up could not be fully assessed because of the lack of knowledge </w:t>
      </w:r>
      <w:r>
        <w:rPr>
          <w:noProof/>
          <w:szCs w:val="24"/>
        </w:rPr>
        <w:t xml:space="preserve">on the extent of linear elements in MS (not to mention at farm level). </w:t>
      </w:r>
      <w:r>
        <w:rPr>
          <w:noProof/>
        </w:rPr>
        <w:t>JRC ran a first attemp</w:t>
      </w:r>
      <w:r>
        <w:rPr>
          <w:noProof/>
        </w:rPr>
        <w:t>t to estimate this area. To that aim, the JRC used the LUCAS transects database. This work would need to be continued and data crossed with Copernicus information, but is gives already relevant information. It was not always clear if the linear element sur</w:t>
      </w:r>
      <w:r>
        <w:rPr>
          <w:noProof/>
        </w:rPr>
        <w:t>veyed was part of agricultural area or not, thus the identification of dubious cases.</w:t>
      </w:r>
    </w:p>
    <w:p w:rsidR="00333A1A" w:rsidRDefault="003D29C9">
      <w:pPr>
        <w:pStyle w:val="Caption"/>
        <w:keepNext/>
        <w:keepLines/>
        <w:spacing w:after="120"/>
        <w:rPr>
          <w:noProof/>
          <w:color w:val="000000" w:themeColor="text1"/>
          <w:sz w:val="22"/>
          <w:szCs w:val="22"/>
        </w:rPr>
      </w:pPr>
      <w:r>
        <w:rPr>
          <w:rFonts w:ascii="Times New Roman" w:hAnsi="Times New Roman" w:cs="Times New Roman"/>
          <w:noProof/>
          <w:color w:val="000000" w:themeColor="text1"/>
          <w:sz w:val="22"/>
        </w:rPr>
        <w:t xml:space="preserve">Table 2.17: </w:t>
      </w:r>
      <w:r>
        <w:rPr>
          <w:rFonts w:ascii="Times New Roman" w:hAnsi="Times New Roman" w:cs="Times New Roman"/>
          <w:noProof/>
          <w:color w:val="000000" w:themeColor="text1"/>
          <w:sz w:val="22"/>
          <w:szCs w:val="22"/>
        </w:rPr>
        <w:t>Landscape elements in the EU</w:t>
      </w:r>
    </w:p>
    <w:tbl>
      <w:tblPr>
        <w:tblW w:w="7440" w:type="dxa"/>
        <w:tblInd w:w="60" w:type="dxa"/>
        <w:tblCellMar>
          <w:left w:w="70" w:type="dxa"/>
          <w:right w:w="70" w:type="dxa"/>
        </w:tblCellMar>
        <w:tblLook w:val="04A0" w:firstRow="1" w:lastRow="0" w:firstColumn="1" w:lastColumn="0" w:noHBand="0" w:noVBand="1"/>
      </w:tblPr>
      <w:tblGrid>
        <w:gridCol w:w="1920"/>
        <w:gridCol w:w="1380"/>
        <w:gridCol w:w="1380"/>
        <w:gridCol w:w="1380"/>
        <w:gridCol w:w="1380"/>
      </w:tblGrid>
      <w:tr w:rsidR="00333A1A">
        <w:trPr>
          <w:trHeight w:val="320"/>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eastAsia="fr-FR"/>
              </w:rPr>
            </w:pPr>
            <w:r>
              <w:rPr>
                <w:rFonts w:ascii="Times New Roman" w:eastAsia="Times New Roman" w:hAnsi="Times New Roman" w:cs="Times New Roman"/>
                <w:noProof/>
                <w:color w:val="000000"/>
                <w:sz w:val="20"/>
                <w:szCs w:val="20"/>
                <w:lang w:eastAsia="fr-FR"/>
              </w:rPr>
              <w:t> </w:t>
            </w:r>
          </w:p>
        </w:tc>
        <w:tc>
          <w:tcPr>
            <w:tcW w:w="276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Excluding dubious cases</w:t>
            </w:r>
          </w:p>
        </w:tc>
        <w:tc>
          <w:tcPr>
            <w:tcW w:w="2760"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Including dubious cases</w:t>
            </w:r>
          </w:p>
        </w:tc>
      </w:tr>
      <w:tr w:rsidR="00333A1A">
        <w:trPr>
          <w:trHeight w:val="500"/>
        </w:trPr>
        <w:tc>
          <w:tcPr>
            <w:tcW w:w="1920" w:type="dxa"/>
            <w:tcBorders>
              <w:top w:val="nil"/>
              <w:left w:val="single" w:sz="8" w:space="0" w:color="auto"/>
              <w:bottom w:val="single" w:sz="8" w:space="0" w:color="auto"/>
              <w:right w:val="single" w:sz="8" w:space="0" w:color="auto"/>
            </w:tcBorders>
            <w:shd w:val="clear" w:color="auto" w:fill="auto"/>
            <w:vAlign w:val="bottom"/>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w:t>
            </w:r>
          </w:p>
        </w:tc>
        <w:tc>
          <w:tcPr>
            <w:tcW w:w="1380" w:type="dxa"/>
            <w:tcBorders>
              <w:top w:val="nil"/>
              <w:left w:val="nil"/>
              <w:bottom w:val="single" w:sz="8" w:space="0" w:color="auto"/>
              <w:right w:val="single" w:sz="8" w:space="0" w:color="auto"/>
            </w:tcBorders>
            <w:shd w:val="clear" w:color="000000" w:fill="D9D9D9"/>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Length     (1 000 km)</w:t>
            </w:r>
          </w:p>
        </w:tc>
        <w:tc>
          <w:tcPr>
            <w:tcW w:w="1380" w:type="dxa"/>
            <w:tcBorders>
              <w:top w:val="nil"/>
              <w:left w:val="nil"/>
              <w:bottom w:val="single" w:sz="8" w:space="0" w:color="auto"/>
              <w:right w:val="single" w:sz="8" w:space="0" w:color="auto"/>
            </w:tcBorders>
            <w:shd w:val="clear" w:color="000000" w:fill="D9D9D9"/>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Area        (1 000 ha)</w:t>
            </w:r>
          </w:p>
        </w:tc>
        <w:tc>
          <w:tcPr>
            <w:tcW w:w="1380" w:type="dxa"/>
            <w:tcBorders>
              <w:top w:val="nil"/>
              <w:left w:val="nil"/>
              <w:bottom w:val="single" w:sz="8" w:space="0" w:color="auto"/>
              <w:right w:val="single" w:sz="8" w:space="0" w:color="auto"/>
            </w:tcBorders>
            <w:shd w:val="clear" w:color="000000" w:fill="BFBFBF"/>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Length     (1 000 km)</w:t>
            </w:r>
          </w:p>
        </w:tc>
        <w:tc>
          <w:tcPr>
            <w:tcW w:w="1380" w:type="dxa"/>
            <w:tcBorders>
              <w:top w:val="nil"/>
              <w:left w:val="nil"/>
              <w:bottom w:val="single" w:sz="8" w:space="0" w:color="auto"/>
              <w:right w:val="single" w:sz="8" w:space="0" w:color="auto"/>
            </w:tcBorders>
            <w:shd w:val="clear" w:color="000000" w:fill="BFBFBF"/>
            <w:vAlign w:val="center"/>
            <w:hideMark/>
          </w:tcPr>
          <w:p w:rsidR="00333A1A" w:rsidRDefault="003D29C9">
            <w:pPr>
              <w:keepNext/>
              <w:keepLines/>
              <w:spacing w:after="0" w:line="240" w:lineRule="auto"/>
              <w:jc w:val="center"/>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Area     </w:t>
            </w:r>
            <w:r>
              <w:rPr>
                <w:rFonts w:ascii="Times New Roman" w:eastAsia="Times New Roman" w:hAnsi="Times New Roman" w:cs="Times New Roman"/>
                <w:noProof/>
                <w:color w:val="000000"/>
                <w:sz w:val="20"/>
                <w:szCs w:val="20"/>
                <w:lang w:val="fr-BE" w:eastAsia="fr-FR"/>
              </w:rPr>
              <w:t xml:space="preserve">   (1 000 ha)</w:t>
            </w:r>
          </w:p>
        </w:tc>
      </w:tr>
      <w:tr w:rsidR="00333A1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Grass margins</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4 750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2 850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5 880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3 530 </w:t>
            </w:r>
          </w:p>
        </w:tc>
      </w:tr>
      <w:tr w:rsidR="00333A1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Shrub margins</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690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420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1 170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700 </w:t>
            </w:r>
          </w:p>
        </w:tc>
      </w:tr>
      <w:tr w:rsidR="00333A1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Single trees bushes</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600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300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730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370 </w:t>
            </w:r>
          </w:p>
        </w:tc>
      </w:tr>
      <w:tr w:rsidR="00333A1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Lines of trees</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680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340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1 090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540 </w:t>
            </w:r>
          </w:p>
        </w:tc>
      </w:tr>
      <w:tr w:rsidR="00333A1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Hedges</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2 370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1 190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3 310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1 660 </w:t>
            </w:r>
          </w:p>
        </w:tc>
      </w:tr>
      <w:tr w:rsidR="00333A1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Grove margins</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120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70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240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140 </w:t>
            </w:r>
          </w:p>
        </w:tc>
      </w:tr>
      <w:tr w:rsidR="00333A1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Stone walls</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970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100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1 550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150 </w:t>
            </w:r>
          </w:p>
        </w:tc>
      </w:tr>
      <w:tr w:rsidR="00333A1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333A1A" w:rsidRDefault="003D29C9">
            <w:pPr>
              <w:keepNext/>
              <w:keepLines/>
              <w:spacing w:after="0" w:line="240" w:lineRule="auto"/>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Ditches</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1 920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960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2 860 </w:t>
            </w:r>
          </w:p>
        </w:tc>
        <w:tc>
          <w:tcPr>
            <w:tcW w:w="1380" w:type="dxa"/>
            <w:tcBorders>
              <w:top w:val="nil"/>
              <w:left w:val="nil"/>
              <w:bottom w:val="single" w:sz="8" w:space="0" w:color="auto"/>
              <w:right w:val="single" w:sz="8" w:space="0" w:color="auto"/>
            </w:tcBorders>
            <w:shd w:val="clear" w:color="000000" w:fill="D9D9D9"/>
            <w:noWrap/>
            <w:vAlign w:val="center"/>
            <w:hideMark/>
          </w:tcPr>
          <w:p w:rsidR="00333A1A" w:rsidRDefault="003D29C9">
            <w:pPr>
              <w:keepNext/>
              <w:keepLines/>
              <w:spacing w:after="0" w:line="240" w:lineRule="auto"/>
              <w:jc w:val="right"/>
              <w:rPr>
                <w:rFonts w:ascii="Times New Roman" w:eastAsia="Times New Roman" w:hAnsi="Times New Roman" w:cs="Times New Roman"/>
                <w:noProof/>
                <w:color w:val="000000"/>
                <w:sz w:val="20"/>
                <w:szCs w:val="20"/>
                <w:lang w:val="fr-BE" w:eastAsia="fr-FR"/>
              </w:rPr>
            </w:pPr>
            <w:r>
              <w:rPr>
                <w:rFonts w:ascii="Times New Roman" w:eastAsia="Times New Roman" w:hAnsi="Times New Roman" w:cs="Times New Roman"/>
                <w:noProof/>
                <w:color w:val="000000"/>
                <w:sz w:val="20"/>
                <w:szCs w:val="20"/>
                <w:lang w:val="fr-BE" w:eastAsia="fr-FR"/>
              </w:rPr>
              <w:t xml:space="preserve"> 1 430 </w:t>
            </w:r>
          </w:p>
        </w:tc>
      </w:tr>
      <w:tr w:rsidR="00333A1A">
        <w:trPr>
          <w:trHeight w:val="300"/>
        </w:trPr>
        <w:tc>
          <w:tcPr>
            <w:tcW w:w="1920" w:type="dxa"/>
            <w:tcBorders>
              <w:top w:val="nil"/>
              <w:left w:val="single" w:sz="8" w:space="0" w:color="auto"/>
              <w:bottom w:val="single" w:sz="8" w:space="0" w:color="auto"/>
              <w:right w:val="single" w:sz="8" w:space="0" w:color="auto"/>
            </w:tcBorders>
            <w:shd w:val="clear" w:color="000000" w:fill="FFFF00"/>
            <w:noWrap/>
            <w:vAlign w:val="center"/>
            <w:hideMark/>
          </w:tcPr>
          <w:p w:rsidR="00333A1A" w:rsidRDefault="003D29C9">
            <w:pPr>
              <w:keepNext/>
              <w:keepLines/>
              <w:spacing w:after="0" w:line="240" w:lineRule="auto"/>
              <w:rPr>
                <w:rFonts w:ascii="Times New Roman" w:eastAsia="Times New Roman" w:hAnsi="Times New Roman" w:cs="Times New Roman"/>
                <w:b/>
                <w:noProof/>
                <w:color w:val="000000"/>
                <w:sz w:val="20"/>
                <w:szCs w:val="20"/>
                <w:lang w:val="fr-BE" w:eastAsia="fr-FR"/>
              </w:rPr>
            </w:pPr>
            <w:r>
              <w:rPr>
                <w:rFonts w:ascii="Times New Roman" w:eastAsia="Times New Roman" w:hAnsi="Times New Roman" w:cs="Times New Roman"/>
                <w:b/>
                <w:noProof/>
                <w:color w:val="000000"/>
                <w:sz w:val="20"/>
                <w:szCs w:val="20"/>
                <w:lang w:val="fr-BE" w:eastAsia="fr-FR"/>
              </w:rPr>
              <w:t xml:space="preserve">Total </w:t>
            </w:r>
          </w:p>
        </w:tc>
        <w:tc>
          <w:tcPr>
            <w:tcW w:w="1380" w:type="dxa"/>
            <w:tcBorders>
              <w:top w:val="nil"/>
              <w:left w:val="nil"/>
              <w:bottom w:val="single" w:sz="8" w:space="0" w:color="auto"/>
              <w:right w:val="single" w:sz="8" w:space="0" w:color="auto"/>
            </w:tcBorders>
            <w:shd w:val="clear" w:color="000000" w:fill="FFFF00"/>
            <w:noWrap/>
            <w:vAlign w:val="center"/>
            <w:hideMark/>
          </w:tcPr>
          <w:p w:rsidR="00333A1A" w:rsidRDefault="003D29C9">
            <w:pPr>
              <w:keepNext/>
              <w:keepLines/>
              <w:spacing w:after="0" w:line="240" w:lineRule="auto"/>
              <w:jc w:val="right"/>
              <w:rPr>
                <w:rFonts w:ascii="Times New Roman" w:eastAsia="Times New Roman" w:hAnsi="Times New Roman" w:cs="Times New Roman"/>
                <w:b/>
                <w:noProof/>
                <w:color w:val="000000"/>
                <w:sz w:val="20"/>
                <w:szCs w:val="20"/>
                <w:lang w:val="fr-BE" w:eastAsia="fr-FR"/>
              </w:rPr>
            </w:pPr>
            <w:r>
              <w:rPr>
                <w:rFonts w:ascii="Times New Roman" w:eastAsia="Times New Roman" w:hAnsi="Times New Roman" w:cs="Times New Roman"/>
                <w:b/>
                <w:noProof/>
                <w:color w:val="000000"/>
                <w:sz w:val="20"/>
                <w:szCs w:val="20"/>
                <w:lang w:val="fr-BE" w:eastAsia="fr-FR"/>
              </w:rPr>
              <w:t xml:space="preserve"> 12 120 </w:t>
            </w:r>
          </w:p>
        </w:tc>
        <w:tc>
          <w:tcPr>
            <w:tcW w:w="1380" w:type="dxa"/>
            <w:tcBorders>
              <w:top w:val="nil"/>
              <w:left w:val="nil"/>
              <w:bottom w:val="single" w:sz="8" w:space="0" w:color="auto"/>
              <w:right w:val="single" w:sz="8" w:space="0" w:color="auto"/>
            </w:tcBorders>
            <w:shd w:val="clear" w:color="000000" w:fill="FFFF00"/>
            <w:noWrap/>
            <w:vAlign w:val="center"/>
            <w:hideMark/>
          </w:tcPr>
          <w:p w:rsidR="00333A1A" w:rsidRDefault="003D29C9">
            <w:pPr>
              <w:keepNext/>
              <w:keepLines/>
              <w:spacing w:after="0" w:line="240" w:lineRule="auto"/>
              <w:jc w:val="right"/>
              <w:rPr>
                <w:rFonts w:ascii="Times New Roman" w:eastAsia="Times New Roman" w:hAnsi="Times New Roman" w:cs="Times New Roman"/>
                <w:b/>
                <w:noProof/>
                <w:color w:val="000000"/>
                <w:sz w:val="20"/>
                <w:szCs w:val="20"/>
                <w:lang w:val="fr-BE" w:eastAsia="fr-FR"/>
              </w:rPr>
            </w:pPr>
            <w:r>
              <w:rPr>
                <w:rFonts w:ascii="Times New Roman" w:eastAsia="Times New Roman" w:hAnsi="Times New Roman" w:cs="Times New Roman"/>
                <w:b/>
                <w:noProof/>
                <w:color w:val="000000"/>
                <w:sz w:val="20"/>
                <w:szCs w:val="20"/>
                <w:lang w:val="fr-BE" w:eastAsia="fr-FR"/>
              </w:rPr>
              <w:t xml:space="preserve"> 6 220 </w:t>
            </w:r>
          </w:p>
        </w:tc>
        <w:tc>
          <w:tcPr>
            <w:tcW w:w="1380" w:type="dxa"/>
            <w:tcBorders>
              <w:top w:val="nil"/>
              <w:left w:val="nil"/>
              <w:bottom w:val="single" w:sz="8" w:space="0" w:color="auto"/>
              <w:right w:val="single" w:sz="8" w:space="0" w:color="auto"/>
            </w:tcBorders>
            <w:shd w:val="clear" w:color="000000" w:fill="FFFF00"/>
            <w:noWrap/>
            <w:vAlign w:val="center"/>
            <w:hideMark/>
          </w:tcPr>
          <w:p w:rsidR="00333A1A" w:rsidRDefault="003D29C9">
            <w:pPr>
              <w:keepNext/>
              <w:keepLines/>
              <w:spacing w:after="0" w:line="240" w:lineRule="auto"/>
              <w:jc w:val="right"/>
              <w:rPr>
                <w:rFonts w:ascii="Times New Roman" w:eastAsia="Times New Roman" w:hAnsi="Times New Roman" w:cs="Times New Roman"/>
                <w:b/>
                <w:noProof/>
                <w:color w:val="000000"/>
                <w:sz w:val="20"/>
                <w:szCs w:val="20"/>
                <w:lang w:val="fr-BE" w:eastAsia="fr-FR"/>
              </w:rPr>
            </w:pPr>
            <w:r>
              <w:rPr>
                <w:rFonts w:ascii="Times New Roman" w:eastAsia="Times New Roman" w:hAnsi="Times New Roman" w:cs="Times New Roman"/>
                <w:b/>
                <w:noProof/>
                <w:color w:val="000000"/>
                <w:sz w:val="20"/>
                <w:szCs w:val="20"/>
                <w:lang w:val="fr-BE" w:eastAsia="fr-FR"/>
              </w:rPr>
              <w:t xml:space="preserve"> 16 850 </w:t>
            </w:r>
          </w:p>
        </w:tc>
        <w:tc>
          <w:tcPr>
            <w:tcW w:w="1380" w:type="dxa"/>
            <w:tcBorders>
              <w:top w:val="nil"/>
              <w:left w:val="nil"/>
              <w:bottom w:val="single" w:sz="8" w:space="0" w:color="auto"/>
              <w:right w:val="single" w:sz="8" w:space="0" w:color="auto"/>
            </w:tcBorders>
            <w:shd w:val="clear" w:color="000000" w:fill="FFFF00"/>
            <w:noWrap/>
            <w:vAlign w:val="center"/>
            <w:hideMark/>
          </w:tcPr>
          <w:p w:rsidR="00333A1A" w:rsidRDefault="003D29C9">
            <w:pPr>
              <w:keepNext/>
              <w:keepLines/>
              <w:spacing w:after="0" w:line="240" w:lineRule="auto"/>
              <w:jc w:val="right"/>
              <w:rPr>
                <w:rFonts w:ascii="Times New Roman" w:eastAsia="Times New Roman" w:hAnsi="Times New Roman" w:cs="Times New Roman"/>
                <w:b/>
                <w:noProof/>
                <w:color w:val="000000"/>
                <w:sz w:val="20"/>
                <w:szCs w:val="20"/>
                <w:lang w:val="fr-BE" w:eastAsia="fr-FR"/>
              </w:rPr>
            </w:pPr>
            <w:r>
              <w:rPr>
                <w:rFonts w:ascii="Times New Roman" w:eastAsia="Times New Roman" w:hAnsi="Times New Roman" w:cs="Times New Roman"/>
                <w:b/>
                <w:noProof/>
                <w:color w:val="000000"/>
                <w:sz w:val="20"/>
                <w:szCs w:val="20"/>
                <w:lang w:val="fr-BE" w:eastAsia="fr-FR"/>
              </w:rPr>
              <w:t xml:space="preserve"> 8 540 </w:t>
            </w:r>
          </w:p>
        </w:tc>
      </w:tr>
    </w:tbl>
    <w:p w:rsidR="00333A1A" w:rsidRDefault="003D29C9">
      <w:pPr>
        <w:pStyle w:val="Text1"/>
        <w:ind w:left="0"/>
        <w:rPr>
          <w:noProof/>
          <w:sz w:val="16"/>
        </w:rPr>
      </w:pPr>
      <w:r>
        <w:rPr>
          <w:noProof/>
          <w:sz w:val="16"/>
        </w:rPr>
        <w:t>Source: JRC, based on LUCAS</w:t>
      </w:r>
    </w:p>
    <w:p w:rsidR="00333A1A" w:rsidRDefault="003D29C9">
      <w:pPr>
        <w:pStyle w:val="Text1"/>
        <w:spacing w:after="120"/>
        <w:ind w:left="0"/>
        <w:rPr>
          <w:noProof/>
        </w:rPr>
      </w:pPr>
      <w:r>
        <w:rPr>
          <w:noProof/>
        </w:rPr>
        <w:t>In addition, the JRC completed the work with the estimation of grass margins, shrub margins, single trees bushes, lines of trees, hedges and ditches at MS level. This estimation is to be taken with caution because of methodological caveats. However, it sho</w:t>
      </w:r>
      <w:r>
        <w:rPr>
          <w:noProof/>
        </w:rPr>
        <w:t xml:space="preserve">ws that two MS have more than 3% of their UAA with linear elements: NL and FI (see Annex 5.4). </w:t>
      </w:r>
    </w:p>
    <w:p w:rsidR="00333A1A" w:rsidRDefault="003D29C9">
      <w:pPr>
        <w:pStyle w:val="Text1"/>
        <w:spacing w:after="120"/>
        <w:ind w:left="0"/>
        <w:rPr>
          <w:noProof/>
        </w:rPr>
      </w:pPr>
      <w:r>
        <w:rPr>
          <w:noProof/>
        </w:rPr>
        <w:t xml:space="preserve">Adding to this estimate Eurostat data on land fallow, it shows that the 3% of non-productive elements will be binding in 12 MS (CZ, LU, BE, BG, DK, IE, HR, SI, </w:t>
      </w:r>
      <w:r>
        <w:rPr>
          <w:noProof/>
        </w:rPr>
        <w:t>SK, DE, FR, AT), all the more because the obligation applies at farm level. It explains the strong increase in set aside and fallow land simulated in the various options, mainly at the expense of cereal area (</w:t>
      </w:r>
      <w:r>
        <w:rPr>
          <w:noProof/>
        </w:rPr>
        <w:fldChar w:fldCharType="begin"/>
      </w:r>
      <w:r>
        <w:rPr>
          <w:noProof/>
        </w:rPr>
        <w:instrText xml:space="preserve"> REF _Ref507665380 \h  \* MERGEFORMAT </w:instrText>
      </w:r>
      <w:r>
        <w:rPr>
          <w:noProof/>
        </w:rPr>
      </w:r>
      <w:r>
        <w:rPr>
          <w:noProof/>
        </w:rPr>
        <w:fldChar w:fldCharType="separate"/>
      </w:r>
      <w:r>
        <w:rPr>
          <w:noProof/>
          <w:lang w:eastAsia="en-GB"/>
        </w:rPr>
        <w:t>Table 2.2</w:t>
      </w:r>
      <w:r>
        <w:rPr>
          <w:noProof/>
        </w:rPr>
        <w:fldChar w:fldCharType="end"/>
      </w:r>
      <w:r>
        <w:rPr>
          <w:noProof/>
        </w:rPr>
        <w:t xml:space="preserve"> and 2.3). A CAPRI simulation modelling this green requirement in isolation confirms these results. The drop in cereal area is smaller though as part of land reallocation is due to rotation.</w:t>
      </w:r>
    </w:p>
    <w:p w:rsidR="00333A1A" w:rsidRDefault="003D29C9">
      <w:pPr>
        <w:pStyle w:val="Text1"/>
        <w:keepNext/>
        <w:ind w:left="0"/>
        <w:rPr>
          <w:b/>
          <w:noProof/>
        </w:rPr>
      </w:pPr>
      <w:r>
        <w:rPr>
          <w:b/>
          <w:noProof/>
        </w:rPr>
        <w:t>Land abandonment</w:t>
      </w:r>
    </w:p>
    <w:p w:rsidR="00333A1A" w:rsidRDefault="003D29C9">
      <w:pPr>
        <w:spacing w:after="240" w:line="240" w:lineRule="auto"/>
        <w:jc w:val="both"/>
        <w:rPr>
          <w:rFonts w:ascii="Times New Roman" w:hAnsi="Times New Roman" w:cs="Times New Roman"/>
          <w:noProof/>
          <w:sz w:val="24"/>
        </w:rPr>
      </w:pPr>
      <w:r>
        <w:rPr>
          <w:rFonts w:ascii="Times New Roman" w:hAnsi="Times New Roman" w:cs="Times New Roman"/>
          <w:noProof/>
          <w:sz w:val="24"/>
        </w:rPr>
        <w:t>Maintaining the agricultural activity is the fir</w:t>
      </w:r>
      <w:r>
        <w:rPr>
          <w:rFonts w:ascii="Times New Roman" w:hAnsi="Times New Roman" w:cs="Times New Roman"/>
          <w:noProof/>
          <w:sz w:val="24"/>
        </w:rPr>
        <w:t xml:space="preserve">st requirement to preserve nature and landscape. In all options, except option 5 result in a small reduction in UAA because the drop in support is threatening farm viability implying a decline in UAA of 300 000 ha in option 1 relative to baseline. On top, </w:t>
      </w:r>
      <w:r>
        <w:rPr>
          <w:rFonts w:ascii="Times New Roman" w:hAnsi="Times New Roman" w:cs="Times New Roman"/>
          <w:noProof/>
          <w:sz w:val="24"/>
        </w:rPr>
        <w:t>the increasing green requirements lead to a further reduction by close to 400 000 ha (-0.3% relative to option 1) in option 4a and 350 000 ha in option 3a. No additional land abandonment is recorded in option 5 because green requirements are minimal and be</w:t>
      </w:r>
      <w:r>
        <w:rPr>
          <w:rFonts w:ascii="Times New Roman" w:hAnsi="Times New Roman" w:cs="Times New Roman"/>
          <w:noProof/>
          <w:sz w:val="24"/>
        </w:rPr>
        <w:t>cause several factors contribute to keep farmers in business in areas facing constraints: the top up to ANCs, to permanent grassland and the coupled support to extensive livestock.</w:t>
      </w:r>
    </w:p>
    <w:p w:rsidR="00333A1A" w:rsidRDefault="003D29C9">
      <w:pPr>
        <w:pBdr>
          <w:top w:val="single" w:sz="4" w:space="1" w:color="auto"/>
          <w:left w:val="single" w:sz="4" w:space="4" w:color="auto"/>
          <w:bottom w:val="single" w:sz="4" w:space="1" w:color="auto"/>
          <w:right w:val="single" w:sz="4" w:space="4" w:color="auto"/>
        </w:pBdr>
        <w:spacing w:after="240" w:line="240" w:lineRule="auto"/>
        <w:jc w:val="center"/>
        <w:rPr>
          <w:rFonts w:ascii="Times New Roman" w:hAnsi="Times New Roman" w:cs="Times New Roman"/>
          <w:noProof/>
          <w:szCs w:val="24"/>
        </w:rPr>
      </w:pPr>
      <w:r>
        <w:rPr>
          <w:rFonts w:ascii="Times New Roman" w:hAnsi="Times New Roman" w:cs="Times New Roman"/>
          <w:noProof/>
          <w:szCs w:val="24"/>
        </w:rPr>
        <w:t>Implementation of environmental top-ups in option 5</w:t>
      </w:r>
    </w:p>
    <w:p w:rsidR="00333A1A" w:rsidRDefault="003D29C9">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Cs w:val="24"/>
        </w:rPr>
      </w:pPr>
      <w:r>
        <w:rPr>
          <w:rFonts w:ascii="Times New Roman" w:hAnsi="Times New Roman" w:cs="Times New Roman"/>
          <w:noProof/>
          <w:szCs w:val="24"/>
        </w:rPr>
        <w:t xml:space="preserve">In this simulation, it </w:t>
      </w:r>
      <w:r>
        <w:rPr>
          <w:rFonts w:ascii="Times New Roman" w:hAnsi="Times New Roman" w:cs="Times New Roman"/>
          <w:noProof/>
          <w:szCs w:val="24"/>
        </w:rPr>
        <w:t>was not possible to dedicate 30% of pillar I envelope of each MS to ANCs, permanent grassland, organic area</w:t>
      </w:r>
      <w:r>
        <w:rPr>
          <w:rStyle w:val="FootnoteReference"/>
          <w:rFonts w:ascii="Times New Roman" w:hAnsi="Times New Roman" w:cs="Times New Roman"/>
          <w:noProof/>
          <w:szCs w:val="24"/>
        </w:rPr>
        <w:footnoteReference w:id="37"/>
      </w:r>
      <w:r>
        <w:rPr>
          <w:rFonts w:ascii="Times New Roman" w:hAnsi="Times New Roman" w:cs="Times New Roman"/>
          <w:noProof/>
          <w:szCs w:val="24"/>
        </w:rPr>
        <w:t xml:space="preserve"> and linear elements: first because of the lack of knowledge on linear elements; second and more importantly because the provision of these area typ</w:t>
      </w:r>
      <w:r>
        <w:rPr>
          <w:rFonts w:ascii="Times New Roman" w:hAnsi="Times New Roman" w:cs="Times New Roman"/>
          <w:noProof/>
          <w:szCs w:val="24"/>
        </w:rPr>
        <w:t>es is unequal between MS. With the level of top ups simulated here</w:t>
      </w:r>
      <w:r>
        <w:rPr>
          <w:rStyle w:val="FootnoteReference"/>
          <w:rFonts w:ascii="Times New Roman" w:hAnsi="Times New Roman" w:cs="Times New Roman"/>
          <w:noProof/>
          <w:szCs w:val="24"/>
        </w:rPr>
        <w:footnoteReference w:id="38"/>
      </w:r>
      <w:r>
        <w:rPr>
          <w:rFonts w:ascii="Times New Roman" w:hAnsi="Times New Roman" w:cs="Times New Roman"/>
          <w:noProof/>
          <w:szCs w:val="24"/>
        </w:rPr>
        <w:t>, the share of the envelope dedicated to these top-ups is 22%. This illustrates limits of strict ring-fencing.</w:t>
      </w:r>
    </w:p>
    <w:p w:rsidR="00333A1A" w:rsidRDefault="003D29C9">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Cs w:val="24"/>
        </w:rPr>
      </w:pPr>
      <w:r>
        <w:rPr>
          <w:rFonts w:ascii="Times New Roman" w:hAnsi="Times New Roman" w:cs="Times New Roman"/>
          <w:noProof/>
          <w:szCs w:val="24"/>
        </w:rPr>
        <w:t>However, without accounting for linear elements, the envelope required to gran</w:t>
      </w:r>
      <w:r>
        <w:rPr>
          <w:rFonts w:ascii="Times New Roman" w:hAnsi="Times New Roman" w:cs="Times New Roman"/>
          <w:noProof/>
          <w:szCs w:val="24"/>
        </w:rPr>
        <w:t>t these top ups is above 30% in 7 MS (AT, FI, SI, LV, PT, LU and SK). Some MS have indeed more than 50% of UAA with permanent grassland (IE, HR, PT, SI, EL, LU, AT), more than 50% of area in ANCs (FI, MT, LU, LV, SI, CY, SK, AT, PT and RO) and large organi</w:t>
      </w:r>
      <w:r>
        <w:rPr>
          <w:rFonts w:ascii="Times New Roman" w:hAnsi="Times New Roman" w:cs="Times New Roman"/>
          <w:noProof/>
          <w:szCs w:val="24"/>
        </w:rPr>
        <w:t>c areas (AT, SE, EE, IT and LV). In these MS, in this simulation, the envelope dedicated to the decoupled payment was therefore cut leading to stronger drop in support outside ANCs</w:t>
      </w:r>
      <w:r>
        <w:rPr>
          <w:rStyle w:val="FootnoteReference"/>
          <w:rFonts w:ascii="Times New Roman" w:hAnsi="Times New Roman" w:cs="Times New Roman"/>
          <w:noProof/>
          <w:szCs w:val="24"/>
        </w:rPr>
        <w:footnoteReference w:id="39"/>
      </w:r>
      <w:r>
        <w:rPr>
          <w:rFonts w:ascii="Times New Roman" w:hAnsi="Times New Roman" w:cs="Times New Roman"/>
          <w:noProof/>
          <w:szCs w:val="24"/>
        </w:rPr>
        <w:t xml:space="preserve">. </w:t>
      </w:r>
    </w:p>
    <w:p w:rsidR="00333A1A" w:rsidRDefault="003D29C9">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Cs w:val="24"/>
        </w:rPr>
      </w:pPr>
      <w:r>
        <w:rPr>
          <w:rFonts w:ascii="Times New Roman" w:hAnsi="Times New Roman" w:cs="Times New Roman"/>
          <w:noProof/>
          <w:szCs w:val="24"/>
        </w:rPr>
        <w:t>Conversely, in MS with less area classified with natural constraints and</w:t>
      </w:r>
      <w:r>
        <w:rPr>
          <w:rFonts w:ascii="Times New Roman" w:hAnsi="Times New Roman" w:cs="Times New Roman"/>
          <w:noProof/>
          <w:szCs w:val="24"/>
        </w:rPr>
        <w:t xml:space="preserve"> less permanent grassland, in this simulation the share of envelope dedicated to the tops ups was below 10% in DK and HU and below 20% in NL, BE, DE, BG, LT, PL and SE</w:t>
      </w:r>
      <w:r>
        <w:rPr>
          <w:rStyle w:val="FootnoteReference"/>
          <w:rFonts w:ascii="Times New Roman" w:hAnsi="Times New Roman" w:cs="Times New Roman"/>
          <w:noProof/>
          <w:szCs w:val="24"/>
        </w:rPr>
        <w:footnoteReference w:id="40"/>
      </w:r>
      <w:r>
        <w:rPr>
          <w:rFonts w:ascii="Times New Roman" w:hAnsi="Times New Roman" w:cs="Times New Roman"/>
          <w:noProof/>
          <w:szCs w:val="24"/>
        </w:rPr>
        <w:t xml:space="preserve">. In that case, the budget was allocated to the decoupled payment modulated by size. </w:t>
      </w:r>
    </w:p>
    <w:p w:rsidR="00333A1A" w:rsidRDefault="003D29C9">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Cs w:val="24"/>
        </w:rPr>
      </w:pPr>
      <w:r>
        <w:rPr>
          <w:rFonts w:ascii="Times New Roman" w:hAnsi="Times New Roman" w:cs="Times New Roman"/>
          <w:noProof/>
          <w:szCs w:val="24"/>
        </w:rPr>
        <w:t>In</w:t>
      </w:r>
      <w:r>
        <w:rPr>
          <w:rFonts w:ascii="Times New Roman" w:hAnsi="Times New Roman" w:cs="Times New Roman"/>
          <w:noProof/>
          <w:szCs w:val="24"/>
        </w:rPr>
        <w:t xml:space="preserve"> addition, in some MS the top-up simulated here was below the current ANC payment accounting for co-financing and national top ups. This highlights, in MS with large support to ANC relying currently on national funds, the potential difficulty to keep simil</w:t>
      </w:r>
      <w:r>
        <w:rPr>
          <w:rFonts w:ascii="Times New Roman" w:hAnsi="Times New Roman" w:cs="Times New Roman"/>
          <w:noProof/>
          <w:szCs w:val="24"/>
        </w:rPr>
        <w:t>ar support levels in a pillar I framework. In these cases, it should be seen how the flexibility of the strategic plan could allow MSs to adapt the mix of interventions to maintain support in ANCs. Anyhow, in this simulation the current ANC support was alw</w:t>
      </w:r>
      <w:r>
        <w:rPr>
          <w:rFonts w:ascii="Times New Roman" w:hAnsi="Times New Roman" w:cs="Times New Roman"/>
          <w:noProof/>
          <w:szCs w:val="24"/>
        </w:rPr>
        <w:t>ays maintained.</w:t>
      </w:r>
    </w:p>
    <w:p w:rsidR="00333A1A" w:rsidRDefault="003D29C9">
      <w:pPr>
        <w:pBdr>
          <w:top w:val="single" w:sz="4" w:space="1" w:color="auto"/>
          <w:left w:val="single" w:sz="4" w:space="4" w:color="auto"/>
          <w:bottom w:val="single" w:sz="4" w:space="1" w:color="auto"/>
          <w:right w:val="single" w:sz="4" w:space="4" w:color="auto"/>
        </w:pBdr>
        <w:spacing w:after="240" w:line="240" w:lineRule="auto"/>
        <w:jc w:val="both"/>
        <w:rPr>
          <w:noProof/>
          <w:sz w:val="20"/>
        </w:rPr>
      </w:pPr>
      <w:r>
        <w:rPr>
          <w:rFonts w:ascii="Times New Roman" w:hAnsi="Times New Roman" w:cs="Times New Roman"/>
          <w:noProof/>
          <w:szCs w:val="24"/>
        </w:rPr>
        <w:t xml:space="preserve">Finally, would these top-ups be introduced, more flexibility on the envelope share should be envisaged. In addition, it might be needed to extend the scope of the top-ups to certifications. </w:t>
      </w:r>
    </w:p>
    <w:p w:rsidR="00333A1A" w:rsidRDefault="003D29C9">
      <w:pPr>
        <w:pStyle w:val="Heading3"/>
        <w:rPr>
          <w:noProof/>
        </w:rPr>
      </w:pPr>
      <w:bookmarkStart w:id="35" w:name="_Toc508208594"/>
      <w:r>
        <w:rPr>
          <w:noProof/>
        </w:rPr>
        <w:t xml:space="preserve">Additional elements to enhance environmental and </w:t>
      </w:r>
      <w:r>
        <w:rPr>
          <w:noProof/>
        </w:rPr>
        <w:t>climate performance</w:t>
      </w:r>
      <w:bookmarkEnd w:id="35"/>
    </w:p>
    <w:p w:rsidR="00333A1A" w:rsidRDefault="003D29C9">
      <w:pPr>
        <w:pStyle w:val="Text1"/>
        <w:ind w:left="0"/>
        <w:rPr>
          <w:noProof/>
        </w:rPr>
      </w:pPr>
      <w:r>
        <w:rPr>
          <w:noProof/>
        </w:rPr>
        <w:t xml:space="preserve">To assess better the behaviour of farmers when confronted to the new green architecture proposed in the reform, the JRC organised focus groups with farmers. Farmers were separated in two groups: the farmers more inclined to adopt green </w:t>
      </w:r>
      <w:r>
        <w:rPr>
          <w:noProof/>
        </w:rPr>
        <w:t>practices 'Green farmers' and those more conventional. The first group associates green incentives to voluntary schemes, the latter to mandatory schemes. Voluntary schemes are perceived as more encouraging, though if not at the cost of reduced basic paymen</w:t>
      </w:r>
      <w:r>
        <w:rPr>
          <w:noProof/>
        </w:rPr>
        <w:t>ts. Cross compliance (conditionality) is well accepted by farmers, but they are concerned for the level playing field when rules applied differ between MS but also as regards more competitive imports originating from third countries not complying with simi</w:t>
      </w:r>
      <w:r>
        <w:rPr>
          <w:noProof/>
        </w:rPr>
        <w:t>lar requirements. Greening is judged overall positive even though some concerns were expressed. As regards, agri-environment-climate measures farmers mentioned that the key factor to enrol is the economic dimension. More details are available in Annex 8.</w:t>
      </w:r>
    </w:p>
    <w:p w:rsidR="00333A1A" w:rsidRDefault="003D29C9">
      <w:pPr>
        <w:pStyle w:val="Text1"/>
        <w:ind w:left="0"/>
        <w:rPr>
          <w:noProof/>
        </w:rPr>
      </w:pPr>
      <w:r>
        <w:rPr>
          <w:noProof/>
        </w:rPr>
        <w:t>S</w:t>
      </w:r>
      <w:r>
        <w:rPr>
          <w:noProof/>
        </w:rPr>
        <w:t xml:space="preserve">ome additional key insights could be derived already from this work on farmers' opinion: the need for a better </w:t>
      </w:r>
      <w:r>
        <w:rPr>
          <w:bCs/>
          <w:noProof/>
        </w:rPr>
        <w:t>local</w:t>
      </w:r>
      <w:r>
        <w:rPr>
          <w:noProof/>
        </w:rPr>
        <w:t xml:space="preserve"> knowledge to design coherent/meaningful incentives, the strong call for improving the </w:t>
      </w:r>
      <w:r>
        <w:rPr>
          <w:bCs/>
          <w:noProof/>
        </w:rPr>
        <w:t>level-playing field</w:t>
      </w:r>
      <w:r>
        <w:rPr>
          <w:noProof/>
        </w:rPr>
        <w:t xml:space="preserve"> between farmers as regards volunt</w:t>
      </w:r>
      <w:r>
        <w:rPr>
          <w:noProof/>
        </w:rPr>
        <w:t>ary schemes and the potential subsidiarity left to MS, the need to target incentive schemes to 'real' farmers and to small farmers and finally the need to better educate consumers.</w:t>
      </w:r>
    </w:p>
    <w:p w:rsidR="00333A1A" w:rsidRDefault="003D29C9">
      <w:pPr>
        <w:pStyle w:val="Text1"/>
        <w:ind w:left="0"/>
        <w:rPr>
          <w:noProof/>
        </w:rPr>
      </w:pPr>
      <w:r>
        <w:rPr>
          <w:noProof/>
        </w:rPr>
        <w:t xml:space="preserve">The role of the economic incentive is further demonstrated by the economic </w:t>
      </w:r>
      <w:r>
        <w:rPr>
          <w:noProof/>
        </w:rPr>
        <w:t>analysis concluding to a high uptake of the eco-scheme, despite the associated costs due mainly to decreased agricultural production, because the aid is necessary to ensure the viability of the farm. In addition, according to the ECAMPA study carried out b</w:t>
      </w:r>
      <w:r>
        <w:rPr>
          <w:noProof/>
        </w:rPr>
        <w:t>y JRC</w:t>
      </w:r>
      <w:r>
        <w:rPr>
          <w:rStyle w:val="FootnoteReference"/>
          <w:noProof/>
        </w:rPr>
        <w:footnoteReference w:id="41"/>
      </w:r>
      <w:r>
        <w:rPr>
          <w:noProof/>
        </w:rPr>
        <w:t>, adverse effects of binding emission reduction targets on EU agricultural production and emission leakage are significantly reduced if subsidies are paid for the adoption of technological GHG emission mitigation options. However, this comes along wi</w:t>
      </w:r>
      <w:r>
        <w:rPr>
          <w:noProof/>
        </w:rPr>
        <w:t>th considerable budgetary and unitary costs if farmers are projected to widely adopt the technologies.</w:t>
      </w:r>
    </w:p>
    <w:p w:rsidR="00333A1A" w:rsidRDefault="003D29C9">
      <w:pPr>
        <w:pStyle w:val="Heading1"/>
        <w:rPr>
          <w:noProof/>
        </w:rPr>
      </w:pPr>
      <w:bookmarkStart w:id="36" w:name="_Toc507689264"/>
      <w:bookmarkStart w:id="37" w:name="_Toc508286104"/>
      <w:bookmarkStart w:id="38" w:name="_Toc508286214"/>
      <w:bookmarkStart w:id="39" w:name="_Toc513053261"/>
      <w:bookmarkStart w:id="40" w:name="_Toc513053477"/>
      <w:bookmarkStart w:id="41" w:name="_Toc514514608"/>
      <w:r>
        <w:rPr>
          <w:noProof/>
        </w:rPr>
        <w:t>Multi Criteria Analysis</w:t>
      </w:r>
      <w:bookmarkEnd w:id="36"/>
      <w:bookmarkEnd w:id="37"/>
      <w:bookmarkEnd w:id="38"/>
      <w:bookmarkEnd w:id="39"/>
      <w:bookmarkEnd w:id="40"/>
      <w:bookmarkEnd w:id="41"/>
    </w:p>
    <w:p w:rsidR="00333A1A" w:rsidRDefault="003D29C9">
      <w:pPr>
        <w:pStyle w:val="Heading2"/>
        <w:rPr>
          <w:noProof/>
        </w:rPr>
      </w:pPr>
      <w:bookmarkStart w:id="42" w:name="_Toc508286105"/>
      <w:bookmarkStart w:id="43" w:name="_Toc508286215"/>
      <w:bookmarkStart w:id="44" w:name="_Toc513053262"/>
      <w:bookmarkStart w:id="45" w:name="_Toc513053478"/>
      <w:bookmarkStart w:id="46" w:name="_Toc514514609"/>
      <w:r>
        <w:rPr>
          <w:noProof/>
        </w:rPr>
        <w:t>Introduction</w:t>
      </w:r>
      <w:bookmarkEnd w:id="42"/>
      <w:bookmarkEnd w:id="43"/>
      <w:bookmarkEnd w:id="44"/>
      <w:bookmarkEnd w:id="45"/>
      <w:bookmarkEnd w:id="46"/>
    </w:p>
    <w:p w:rsidR="00333A1A" w:rsidRDefault="003D29C9">
      <w:pPr>
        <w:pStyle w:val="Text1"/>
        <w:ind w:left="0"/>
        <w:rPr>
          <w:noProof/>
        </w:rPr>
      </w:pPr>
      <w:r>
        <w:rPr>
          <w:noProof/>
        </w:rPr>
        <w:t xml:space="preserve">This part of the annex presents the results of the option comparison, combining both quantitative and qualitative approaches, as outlined in the Annex on Methods and tools. In section 3.2 the </w:t>
      </w:r>
      <w:r>
        <w:rPr>
          <w:b/>
          <w:noProof/>
        </w:rPr>
        <w:t>Effectiveness</w:t>
      </w:r>
      <w:r>
        <w:rPr>
          <w:noProof/>
        </w:rPr>
        <w:t xml:space="preserve"> of the options towards the policy's Main Objective</w:t>
      </w:r>
      <w:r>
        <w:rPr>
          <w:noProof/>
        </w:rPr>
        <w:t xml:space="preserve">s (MOs) is assessed. Section 3.3 focuses on the </w:t>
      </w:r>
      <w:r>
        <w:rPr>
          <w:b/>
          <w:noProof/>
        </w:rPr>
        <w:t>Efficiency</w:t>
      </w:r>
      <w:r>
        <w:rPr>
          <w:noProof/>
        </w:rPr>
        <w:t xml:space="preserve"> of these policy options, and assesses their contribution towards simplification, while section 3.4 addresses the cross-cutting objective of </w:t>
      </w:r>
      <w:r>
        <w:rPr>
          <w:b/>
          <w:noProof/>
        </w:rPr>
        <w:t>Modernisation</w:t>
      </w:r>
      <w:r>
        <w:rPr>
          <w:noProof/>
        </w:rPr>
        <w:t xml:space="preserve">. Section 3.5 discusses policy </w:t>
      </w:r>
      <w:r>
        <w:rPr>
          <w:b/>
          <w:noProof/>
        </w:rPr>
        <w:t>Coherence</w:t>
      </w:r>
      <w:r>
        <w:rPr>
          <w:noProof/>
        </w:rPr>
        <w:t xml:space="preserve"> while the final section focuses on the cross-cutting objective of </w:t>
      </w:r>
      <w:r>
        <w:rPr>
          <w:b/>
          <w:noProof/>
        </w:rPr>
        <w:t>Sustainability</w:t>
      </w:r>
      <w:r>
        <w:rPr>
          <w:noProof/>
        </w:rPr>
        <w:t xml:space="preserve">. </w:t>
      </w:r>
    </w:p>
    <w:p w:rsidR="00333A1A" w:rsidRDefault="003D29C9">
      <w:pPr>
        <w:pStyle w:val="Text1"/>
        <w:ind w:left="0"/>
        <w:rPr>
          <w:noProof/>
        </w:rPr>
      </w:pPr>
      <w:r>
        <w:rPr>
          <w:noProof/>
        </w:rPr>
        <w:t>A detailed overview of the achievements and shortcomings of the current policy, resulting into the set of identified challenges from which the specific objectives originate</w:t>
      </w:r>
      <w:r>
        <w:rPr>
          <w:noProof/>
        </w:rPr>
        <w:t xml:space="preserve">, can be found in the Background documents (see Annex 1 to the IA report).  </w:t>
      </w:r>
    </w:p>
    <w:p w:rsidR="00333A1A" w:rsidRDefault="003D29C9">
      <w:pPr>
        <w:pStyle w:val="Heading2"/>
        <w:rPr>
          <w:noProof/>
        </w:rPr>
      </w:pPr>
      <w:bookmarkStart w:id="47" w:name="_Toc508286106"/>
      <w:bookmarkStart w:id="48" w:name="_Toc508286216"/>
      <w:bookmarkStart w:id="49" w:name="_Toc513053263"/>
      <w:bookmarkStart w:id="50" w:name="_Toc513053479"/>
      <w:bookmarkStart w:id="51" w:name="_Toc514514610"/>
      <w:r>
        <w:rPr>
          <w:noProof/>
        </w:rPr>
        <w:t>Effectiveness of policy options</w:t>
      </w:r>
      <w:bookmarkEnd w:id="47"/>
      <w:bookmarkEnd w:id="48"/>
      <w:bookmarkEnd w:id="49"/>
      <w:bookmarkEnd w:id="50"/>
      <w:bookmarkEnd w:id="51"/>
    </w:p>
    <w:p w:rsidR="00333A1A" w:rsidRDefault="003D29C9">
      <w:pPr>
        <w:pStyle w:val="Heading3"/>
        <w:rPr>
          <w:noProof/>
        </w:rPr>
      </w:pPr>
      <w:bookmarkStart w:id="52" w:name="_Toc508286107"/>
      <w:r>
        <w:rPr>
          <w:noProof/>
        </w:rPr>
        <w:t>Overall scores on effectiveness</w:t>
      </w:r>
      <w:bookmarkEnd w:id="52"/>
    </w:p>
    <w:p w:rsidR="00333A1A" w:rsidRDefault="003D29C9">
      <w:pPr>
        <w:pStyle w:val="Text1"/>
        <w:ind w:left="0"/>
        <w:rPr>
          <w:noProof/>
        </w:rPr>
      </w:pPr>
      <w:r>
        <w:rPr>
          <w:noProof/>
        </w:rPr>
        <w:t>Effectiveness analysis considers how successful the options could be in achieving or progressing towards the new CA</w:t>
      </w:r>
      <w:r>
        <w:rPr>
          <w:noProof/>
        </w:rPr>
        <w:t>P objectives</w:t>
      </w:r>
      <w:r>
        <w:rPr>
          <w:rStyle w:val="FootnoteReference"/>
          <w:noProof/>
        </w:rPr>
        <w:footnoteReference w:id="42"/>
      </w:r>
      <w:r>
        <w:rPr>
          <w:noProof/>
        </w:rPr>
        <w:t>. Given the high aggregation level of the Main and Specific Objectives, this Annex describes effectiveness not only at these levels but also draws lessons from the Operational Objectives (OO) level (Annex 5.3). The group expert judgements were</w:t>
      </w:r>
      <w:r>
        <w:rPr>
          <w:noProof/>
        </w:rPr>
        <w:t xml:space="preserve"> done at the level of OOs, to allow for sufficient refinement in the argumentation. The MCA exercise was prepared in DG AGRI in 2017 and run in January 2018.</w:t>
      </w:r>
    </w:p>
    <w:p w:rsidR="00333A1A" w:rsidRDefault="003D29C9">
      <w:pPr>
        <w:pStyle w:val="Text1"/>
        <w:ind w:left="0"/>
        <w:rPr>
          <w:noProof/>
        </w:rPr>
      </w:pPr>
      <w:r>
        <w:rPr>
          <w:noProof/>
        </w:rPr>
        <w:t>Effectiveness is judged towards the economic, environmental and climate and social policy objectiv</w:t>
      </w:r>
      <w:r>
        <w:rPr>
          <w:noProof/>
        </w:rPr>
        <w:t>e of the CAP. Graph 3.1 reflects the overall scores of the different options, including sub-options of 3 and 4. None of the options come close to the theoretical maximum (100), so combining the strong points of the different option designs will further inc</w:t>
      </w:r>
      <w:r>
        <w:rPr>
          <w:noProof/>
        </w:rPr>
        <w:t xml:space="preserve">rease the performance. One should however not neglect potential trade-offs between policy objectives, hampering a perfect score. </w:t>
      </w:r>
    </w:p>
    <w:p w:rsidR="00333A1A" w:rsidRDefault="003D29C9">
      <w:pPr>
        <w:pStyle w:val="Text1"/>
        <w:ind w:left="0"/>
        <w:rPr>
          <w:noProof/>
        </w:rPr>
      </w:pPr>
      <w:r>
        <w:rPr>
          <w:noProof/>
        </w:rPr>
        <w:t>When applying an equal weight between the three main policy objectives option 5 attains the highest overall score. Option 5 co</w:t>
      </w:r>
      <w:r>
        <w:rPr>
          <w:noProof/>
        </w:rPr>
        <w:t xml:space="preserve">mbines several redistributive elements, especially towards smaller farms, with a strong EU–wide focus on environmental aspects. </w:t>
      </w:r>
    </w:p>
    <w:p w:rsidR="00333A1A" w:rsidRDefault="003D29C9">
      <w:pPr>
        <w:pStyle w:val="Text1"/>
        <w:ind w:left="0"/>
        <w:rPr>
          <w:noProof/>
        </w:rPr>
      </w:pPr>
      <w:r>
        <w:rPr>
          <w:noProof/>
        </w:rPr>
        <w:t>When considering sub-options a and b in the other options, option 5 is matched by option 3a which offers high environmental amb</w:t>
      </w:r>
      <w:r>
        <w:rPr>
          <w:noProof/>
        </w:rPr>
        <w:t>ition by means of a voluntary eco-scheme together with increased risk management instruments and cooperation measures. The sub-options help to test MS ambition in a delivery model based on increased subsidiarity. The distance in scores between options a an</w:t>
      </w:r>
      <w:r>
        <w:rPr>
          <w:noProof/>
        </w:rPr>
        <w:t xml:space="preserve">d b reflect uncertainty regarding the level of MS' (mainly environmental) ambition. As a take away, if ambitious MS choices are desired, sufficient </w:t>
      </w:r>
      <w:r>
        <w:rPr>
          <w:b/>
          <w:noProof/>
        </w:rPr>
        <w:t>safeguards</w:t>
      </w:r>
      <w:r>
        <w:rPr>
          <w:noProof/>
        </w:rPr>
        <w:t xml:space="preserve"> at EU-level should be put in place.</w:t>
      </w:r>
    </w:p>
    <w:p w:rsidR="00333A1A" w:rsidRDefault="003D29C9">
      <w:pPr>
        <w:pStyle w:val="Text1"/>
        <w:ind w:left="0"/>
        <w:rPr>
          <w:noProof/>
        </w:rPr>
      </w:pPr>
      <w:r>
        <w:rPr>
          <w:noProof/>
        </w:rPr>
        <w:t>The distance in scores between options 4a and 4b is smaller c</w:t>
      </w:r>
      <w:r>
        <w:rPr>
          <w:noProof/>
        </w:rPr>
        <w:t>ompared to 3a and 3b. This is partly linked to increased uncertainty related to a voluntary incentive-based eco-scheme (option 3) vis-à-vis the compulsory enhanced conditionality (option 4a), and partly to the fact that option 4a and b have opposite prefer</w:t>
      </w:r>
      <w:r>
        <w:rPr>
          <w:noProof/>
        </w:rPr>
        <w:t>ences regarding the main policy objectives. This can also be seen in Graph 3.2. While option 4a is outperformed by option 4b for the economic and social objective, it is the opposite for the environmental objective, given its higher environmental ambition.</w:t>
      </w:r>
      <w:r>
        <w:rPr>
          <w:noProof/>
        </w:rPr>
        <w:t xml:space="preserve"> Option 3a also scores high for the economic objective, as it is associated with faster structural change and hence productivity increase.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4706"/>
      </w:tblGrid>
      <w:tr w:rsidR="00333A1A">
        <w:tc>
          <w:tcPr>
            <w:tcW w:w="3953" w:type="dxa"/>
          </w:tcPr>
          <w:p w:rsidR="00333A1A" w:rsidRDefault="003D29C9">
            <w:pPr>
              <w:pStyle w:val="Text1"/>
              <w:spacing w:after="0"/>
              <w:ind w:left="0"/>
              <w:rPr>
                <w:noProof/>
              </w:rPr>
            </w:pPr>
            <w:r>
              <w:rPr>
                <w:b/>
                <w:noProof/>
                <w:sz w:val="22"/>
              </w:rPr>
              <w:t xml:space="preserve">Graph </w:t>
            </w:r>
            <w:r>
              <w:rPr>
                <w:b/>
                <w:noProof/>
              </w:rPr>
              <w:fldChar w:fldCharType="begin"/>
            </w:r>
            <w:r>
              <w:rPr>
                <w:b/>
                <w:noProof/>
                <w:sz w:val="22"/>
              </w:rPr>
              <w:instrText xml:space="preserve"> STYLEREF 1 \s </w:instrText>
            </w:r>
            <w:r>
              <w:rPr>
                <w:b/>
                <w:noProof/>
              </w:rPr>
              <w:fldChar w:fldCharType="separate"/>
            </w:r>
            <w:r>
              <w:rPr>
                <w:b/>
                <w:noProof/>
                <w:sz w:val="22"/>
              </w:rPr>
              <w:t>3</w:t>
            </w:r>
            <w:r>
              <w:rPr>
                <w:b/>
                <w:noProof/>
              </w:rPr>
              <w:fldChar w:fldCharType="end"/>
            </w:r>
            <w:r>
              <w:rPr>
                <w:b/>
                <w:noProof/>
                <w:sz w:val="22"/>
              </w:rPr>
              <w:t>.</w:t>
            </w:r>
            <w:r>
              <w:rPr>
                <w:b/>
                <w:noProof/>
              </w:rPr>
              <w:fldChar w:fldCharType="begin"/>
            </w:r>
            <w:r>
              <w:rPr>
                <w:b/>
                <w:noProof/>
                <w:sz w:val="22"/>
              </w:rPr>
              <w:instrText xml:space="preserve"> SEQ Graph \* ARABIC \s 1 </w:instrText>
            </w:r>
            <w:r>
              <w:rPr>
                <w:b/>
                <w:noProof/>
              </w:rPr>
              <w:fldChar w:fldCharType="separate"/>
            </w:r>
            <w:r>
              <w:rPr>
                <w:b/>
                <w:noProof/>
                <w:sz w:val="22"/>
              </w:rPr>
              <w:t>1</w:t>
            </w:r>
            <w:r>
              <w:rPr>
                <w:b/>
                <w:noProof/>
              </w:rPr>
              <w:fldChar w:fldCharType="end"/>
            </w:r>
            <w:r>
              <w:rPr>
                <w:b/>
                <w:noProof/>
                <w:sz w:val="22"/>
              </w:rPr>
              <w:t>. Option scores on overall effectiveness (100=maximu</w:t>
            </w:r>
            <w:r>
              <w:rPr>
                <w:b/>
                <w:noProof/>
                <w:sz w:val="22"/>
              </w:rPr>
              <w:t xml:space="preserve">m) </w:t>
            </w:r>
          </w:p>
        </w:tc>
        <w:tc>
          <w:tcPr>
            <w:tcW w:w="4881" w:type="dxa"/>
          </w:tcPr>
          <w:p w:rsidR="00333A1A" w:rsidRDefault="003D29C9">
            <w:pPr>
              <w:pStyle w:val="Text1"/>
              <w:spacing w:after="0"/>
              <w:ind w:left="0"/>
              <w:rPr>
                <w:noProof/>
              </w:rPr>
            </w:pPr>
            <w:r>
              <w:rPr>
                <w:b/>
                <w:noProof/>
                <w:sz w:val="22"/>
              </w:rPr>
              <w:t xml:space="preserve">Graph </w:t>
            </w:r>
            <w:r>
              <w:rPr>
                <w:b/>
                <w:noProof/>
              </w:rPr>
              <w:fldChar w:fldCharType="begin"/>
            </w:r>
            <w:r>
              <w:rPr>
                <w:b/>
                <w:noProof/>
                <w:sz w:val="22"/>
              </w:rPr>
              <w:instrText xml:space="preserve"> STYLEREF 1 \s </w:instrText>
            </w:r>
            <w:r>
              <w:rPr>
                <w:b/>
                <w:noProof/>
              </w:rPr>
              <w:fldChar w:fldCharType="separate"/>
            </w:r>
            <w:r>
              <w:rPr>
                <w:b/>
                <w:noProof/>
                <w:sz w:val="22"/>
              </w:rPr>
              <w:t>3</w:t>
            </w:r>
            <w:r>
              <w:rPr>
                <w:b/>
                <w:noProof/>
              </w:rPr>
              <w:fldChar w:fldCharType="end"/>
            </w:r>
            <w:r>
              <w:rPr>
                <w:b/>
                <w:noProof/>
                <w:sz w:val="22"/>
              </w:rPr>
              <w:t>.</w:t>
            </w:r>
            <w:r>
              <w:rPr>
                <w:b/>
                <w:noProof/>
              </w:rPr>
              <w:fldChar w:fldCharType="begin"/>
            </w:r>
            <w:r>
              <w:rPr>
                <w:b/>
                <w:noProof/>
                <w:sz w:val="22"/>
              </w:rPr>
              <w:instrText xml:space="preserve"> SEQ Graph \* ARABIC \s 1 </w:instrText>
            </w:r>
            <w:r>
              <w:rPr>
                <w:b/>
                <w:noProof/>
              </w:rPr>
              <w:fldChar w:fldCharType="separate"/>
            </w:r>
            <w:r>
              <w:rPr>
                <w:b/>
                <w:noProof/>
                <w:sz w:val="22"/>
              </w:rPr>
              <w:t>2</w:t>
            </w:r>
            <w:r>
              <w:rPr>
                <w:b/>
                <w:noProof/>
              </w:rPr>
              <w:fldChar w:fldCharType="end"/>
            </w:r>
            <w:r>
              <w:rPr>
                <w:b/>
                <w:noProof/>
                <w:sz w:val="22"/>
              </w:rPr>
              <w:t>. Option scores on economic, environmental and social policy objectives</w:t>
            </w:r>
          </w:p>
        </w:tc>
      </w:tr>
      <w:tr w:rsidR="00333A1A">
        <w:tc>
          <w:tcPr>
            <w:tcW w:w="3953" w:type="dxa"/>
          </w:tcPr>
          <w:p w:rsidR="00333A1A" w:rsidRDefault="003D29C9">
            <w:pPr>
              <w:pStyle w:val="Text1"/>
              <w:ind w:left="0"/>
              <w:rPr>
                <w:noProof/>
              </w:rPr>
            </w:pPr>
            <w:r>
              <w:rPr>
                <w:noProof/>
              </w:rPr>
              <w:drawing>
                <wp:inline distT="0" distB="0" distL="0" distR="0" wp14:anchorId="3421DC86" wp14:editId="1215D427">
                  <wp:extent cx="2581275" cy="274320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33A1A" w:rsidRDefault="003D29C9">
            <w:pPr>
              <w:pStyle w:val="Text1"/>
              <w:spacing w:after="0"/>
              <w:ind w:left="0"/>
              <w:rPr>
                <w:noProof/>
              </w:rPr>
            </w:pPr>
            <w:r>
              <w:rPr>
                <w:noProof/>
                <w:sz w:val="18"/>
              </w:rPr>
              <w:t>Note: Amb-Cons includes the ambitious (a) and conservative (b) sub-options of option 3 and 4</w:t>
            </w:r>
          </w:p>
        </w:tc>
        <w:tc>
          <w:tcPr>
            <w:tcW w:w="4881" w:type="dxa"/>
          </w:tcPr>
          <w:p w:rsidR="00333A1A" w:rsidRDefault="003D29C9">
            <w:pPr>
              <w:pStyle w:val="Text1"/>
              <w:ind w:left="0"/>
              <w:rPr>
                <w:noProof/>
              </w:rPr>
            </w:pPr>
            <w:r>
              <w:rPr>
                <w:noProof/>
              </w:rPr>
              <w:drawing>
                <wp:inline distT="0" distB="0" distL="0" distR="0" wp14:anchorId="6A789CFB" wp14:editId="302B2798">
                  <wp:extent cx="2962275" cy="2743200"/>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333A1A" w:rsidRDefault="003D29C9">
      <w:pPr>
        <w:pStyle w:val="Text1"/>
        <w:spacing w:before="200"/>
        <w:ind w:left="0"/>
        <w:rPr>
          <w:noProof/>
        </w:rPr>
      </w:pPr>
      <w:r>
        <w:rPr>
          <w:noProof/>
        </w:rPr>
        <w:t>Graph 3.2 also shows that</w:t>
      </w:r>
      <w:r>
        <w:rPr>
          <w:noProof/>
        </w:rPr>
        <w:t xml:space="preserve"> in general the options underperform on the economic objective, compared to the other 2 objectives. The policy compensates for the provision of public goods, which are not sufficiently rewarded by the market, resulting in better scores on the environmental</w:t>
      </w:r>
      <w:r>
        <w:rPr>
          <w:noProof/>
        </w:rPr>
        <w:t xml:space="preserve"> and social objective. For the economic objective it remains a second best to properly functioning markets. The large spread between the ambitious and conservative sub-options (both for option 3 and 4) mainly originates from a different contribution toward</w:t>
      </w:r>
      <w:r>
        <w:rPr>
          <w:noProof/>
        </w:rPr>
        <w:t>s the environmental objective, as the main option design differences relate to the environmental ambition. Option 5 achieves a remarkable score for the social objective as this option contains a mix of instruments which is geared towards the social objecti</w:t>
      </w:r>
      <w:r>
        <w:rPr>
          <w:noProof/>
        </w:rPr>
        <w:t>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88"/>
      </w:tblGrid>
      <w:tr w:rsidR="00333A1A">
        <w:tc>
          <w:tcPr>
            <w:tcW w:w="4446" w:type="dxa"/>
          </w:tcPr>
          <w:p w:rsidR="00333A1A" w:rsidRDefault="003D29C9">
            <w:pPr>
              <w:pStyle w:val="Text1"/>
              <w:spacing w:after="0"/>
              <w:ind w:left="0"/>
              <w:rPr>
                <w:noProof/>
              </w:rPr>
            </w:pPr>
            <w:r>
              <w:rPr>
                <w:b/>
                <w:noProof/>
                <w:sz w:val="22"/>
              </w:rPr>
              <w:t xml:space="preserve">Graph </w:t>
            </w:r>
            <w:r>
              <w:rPr>
                <w:b/>
                <w:noProof/>
              </w:rPr>
              <w:fldChar w:fldCharType="begin"/>
            </w:r>
            <w:r>
              <w:rPr>
                <w:b/>
                <w:noProof/>
                <w:sz w:val="22"/>
              </w:rPr>
              <w:instrText xml:space="preserve"> STYLEREF 1 \s </w:instrText>
            </w:r>
            <w:r>
              <w:rPr>
                <w:b/>
                <w:noProof/>
              </w:rPr>
              <w:fldChar w:fldCharType="separate"/>
            </w:r>
            <w:r>
              <w:rPr>
                <w:b/>
                <w:noProof/>
                <w:sz w:val="22"/>
              </w:rPr>
              <w:t>3</w:t>
            </w:r>
            <w:r>
              <w:rPr>
                <w:b/>
                <w:noProof/>
              </w:rPr>
              <w:fldChar w:fldCharType="end"/>
            </w:r>
            <w:r>
              <w:rPr>
                <w:b/>
                <w:noProof/>
                <w:sz w:val="22"/>
              </w:rPr>
              <w:t>.</w:t>
            </w:r>
            <w:r>
              <w:rPr>
                <w:b/>
                <w:noProof/>
              </w:rPr>
              <w:fldChar w:fldCharType="begin"/>
            </w:r>
            <w:r>
              <w:rPr>
                <w:b/>
                <w:noProof/>
                <w:sz w:val="22"/>
              </w:rPr>
              <w:instrText xml:space="preserve"> SEQ Graph \* ARABIC \s 1 </w:instrText>
            </w:r>
            <w:r>
              <w:rPr>
                <w:b/>
                <w:noProof/>
              </w:rPr>
              <w:fldChar w:fldCharType="separate"/>
            </w:r>
            <w:r>
              <w:rPr>
                <w:b/>
                <w:noProof/>
                <w:sz w:val="22"/>
              </w:rPr>
              <w:t>3</w:t>
            </w:r>
            <w:r>
              <w:rPr>
                <w:b/>
                <w:noProof/>
              </w:rPr>
              <w:fldChar w:fldCharType="end"/>
            </w:r>
            <w:r>
              <w:rPr>
                <w:b/>
                <w:noProof/>
                <w:sz w:val="22"/>
              </w:rPr>
              <w:t>. Option scores on overall effectiveness when different weights are applied</w:t>
            </w:r>
          </w:p>
        </w:tc>
        <w:tc>
          <w:tcPr>
            <w:tcW w:w="4388" w:type="dxa"/>
            <w:vMerge w:val="restart"/>
          </w:tcPr>
          <w:p w:rsidR="00333A1A" w:rsidRDefault="003D29C9">
            <w:pPr>
              <w:pStyle w:val="Text1"/>
              <w:spacing w:after="0"/>
              <w:ind w:left="0"/>
              <w:rPr>
                <w:noProof/>
              </w:rPr>
            </w:pPr>
            <w:r>
              <w:rPr>
                <w:noProof/>
              </w:rPr>
              <w:t>When assessing the robustness of the results by testing different weighting for the policy objectives (as exemplified in</w:t>
            </w:r>
            <w:r>
              <w:rPr>
                <w:noProof/>
              </w:rPr>
              <w:t xml:space="preserve"> graph 3.3) the gap between option 5, 3 and 4 is further closed. The alternative weights proposed here reflect the current budget allocation to the different policy objectives, and can be seen as revealed preference. So depending on the importance of the d</w:t>
            </w:r>
            <w:r>
              <w:rPr>
                <w:noProof/>
              </w:rPr>
              <w:t xml:space="preserve">ifferent policy objectives pursued, the mix of policy instruments should be different. </w:t>
            </w:r>
          </w:p>
        </w:tc>
      </w:tr>
      <w:tr w:rsidR="00333A1A">
        <w:tc>
          <w:tcPr>
            <w:tcW w:w="4446" w:type="dxa"/>
          </w:tcPr>
          <w:p w:rsidR="00333A1A" w:rsidRDefault="003D29C9">
            <w:pPr>
              <w:pStyle w:val="Text1"/>
              <w:spacing w:after="0"/>
              <w:ind w:left="0"/>
              <w:rPr>
                <w:noProof/>
              </w:rPr>
            </w:pPr>
            <w:r>
              <w:rPr>
                <w:noProof/>
              </w:rPr>
              <w:drawing>
                <wp:inline distT="0" distB="0" distL="0" distR="0" wp14:anchorId="029AC6F7" wp14:editId="06CFB5EB">
                  <wp:extent cx="2647950" cy="1666875"/>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388" w:type="dxa"/>
            <w:vMerge/>
          </w:tcPr>
          <w:p w:rsidR="00333A1A" w:rsidRDefault="00333A1A">
            <w:pPr>
              <w:pStyle w:val="Text1"/>
              <w:ind w:left="0"/>
              <w:rPr>
                <w:noProof/>
              </w:rPr>
            </w:pPr>
          </w:p>
        </w:tc>
      </w:tr>
    </w:tbl>
    <w:p w:rsidR="00333A1A" w:rsidRDefault="00333A1A">
      <w:pPr>
        <w:pStyle w:val="Text1"/>
        <w:ind w:left="0"/>
        <w:rPr>
          <w:noProof/>
        </w:rPr>
      </w:pPr>
    </w:p>
    <w:p w:rsidR="00333A1A" w:rsidRDefault="003D29C9">
      <w:pPr>
        <w:pStyle w:val="Heading3"/>
        <w:spacing w:before="360"/>
        <w:ind w:left="1922"/>
        <w:rPr>
          <w:noProof/>
        </w:rPr>
      </w:pPr>
      <w:bookmarkStart w:id="53" w:name="_Toc508286108"/>
      <w:r>
        <w:rPr>
          <w:noProof/>
        </w:rPr>
        <w:t>Economic Policy Objective: Fostering a smart and resilient agricultural sector ensuring food security</w:t>
      </w:r>
      <w:bookmarkEnd w:id="53"/>
      <w:r>
        <w:rPr>
          <w:noProof/>
        </w:rPr>
        <w:t xml:space="preserve">  </w:t>
      </w:r>
    </w:p>
    <w:p w:rsidR="00333A1A" w:rsidRDefault="003D29C9">
      <w:pPr>
        <w:pStyle w:val="Text1"/>
        <w:spacing w:after="0"/>
        <w:ind w:left="0"/>
        <w:rPr>
          <w:noProof/>
        </w:rPr>
      </w:pPr>
      <w:r>
        <w:rPr>
          <w:noProof/>
        </w:rPr>
        <w:t>As stipulated in the Treaty, supporting farmers in attaining a fair standard of living is one of the cornerstones of the CAP. The way this support is distributed among farmers is often criticised, since 80% of support goes to 20% of the farmers, as mention</w:t>
      </w:r>
      <w:r>
        <w:rPr>
          <w:noProof/>
        </w:rPr>
        <w:t>ed in the Communication. The options test different designs for distributing support, with changes in emphasis on minimum requirements, redistribution, capping and targeting complemented with different budget allocations for RD instruments such as the comp</w:t>
      </w:r>
      <w:r>
        <w:rPr>
          <w:noProof/>
        </w:rPr>
        <w:t>etitiveness or cooperation measure or the EIP budget. Option 3a, with its eco-scheme, starts from low basic payments combined with an increased budget for risk management and an incentive scheme geared towards environmental ambition. Option 4 tests jointne</w:t>
      </w:r>
      <w:r>
        <w:rPr>
          <w:noProof/>
        </w:rPr>
        <w:t xml:space="preserve">ss by coupling direct income support with extra environmental requirements. It also redistributes towards permanent grassland, which is associated with lower incomes. Option 5 targets small and medium size farms. </w:t>
      </w:r>
    </w:p>
    <w:p w:rsidR="00333A1A" w:rsidRDefault="00333A1A">
      <w:pPr>
        <w:pStyle w:val="Text1"/>
        <w:spacing w:after="0"/>
        <w:rPr>
          <w:noProof/>
        </w:rPr>
      </w:pPr>
    </w:p>
    <w:p w:rsidR="00333A1A" w:rsidRDefault="003D29C9">
      <w:pPr>
        <w:pStyle w:val="Text1"/>
        <w:spacing w:after="0"/>
        <w:ind w:left="0"/>
        <w:rPr>
          <w:noProof/>
        </w:rPr>
      </w:pPr>
      <w:r>
        <w:rPr>
          <w:noProof/>
        </w:rPr>
        <w:t xml:space="preserve">Graph 3.1 shows that none of the options </w:t>
      </w:r>
      <w:r>
        <w:rPr>
          <w:noProof/>
        </w:rPr>
        <w:t xml:space="preserve">attains a high score. This indicates that none of the options has a set of instruments which is clearly preferred over the others. While some (combinations of) instruments might contribute more to one economic objective, they are less fit for another. The </w:t>
      </w:r>
      <w:r>
        <w:rPr>
          <w:noProof/>
        </w:rPr>
        <w:t xml:space="preserve">lower score also reflects the tension between instruments geared towards supporting income directly versus instruments which improve the productivity and competitiveness of farming and hence increase income indirectly. </w:t>
      </w:r>
    </w:p>
    <w:p w:rsidR="00333A1A" w:rsidRDefault="00333A1A">
      <w:pPr>
        <w:pStyle w:val="Text1"/>
        <w:spacing w:after="0"/>
        <w:ind w:left="0"/>
        <w:rPr>
          <w:noProof/>
        </w:rPr>
      </w:pPr>
    </w:p>
    <w:p w:rsidR="00333A1A" w:rsidRDefault="003D29C9">
      <w:pPr>
        <w:pStyle w:val="Text1"/>
        <w:spacing w:after="0"/>
        <w:ind w:left="0"/>
        <w:rPr>
          <w:noProof/>
        </w:rPr>
      </w:pPr>
      <w:r>
        <w:rPr>
          <w:noProof/>
        </w:rPr>
        <w:t>A second observation relates to the</w:t>
      </w:r>
      <w:r>
        <w:rPr>
          <w:noProof/>
        </w:rPr>
        <w:t xml:space="preserve"> large uncertainty surrounding options 3 and 4, as reflected by the scores of the respective sub-options a and b. A delivery model based on increased subsidiarity will perform significantly better when additional </w:t>
      </w:r>
      <w:r>
        <w:rPr>
          <w:b/>
          <w:noProof/>
        </w:rPr>
        <w:t>safeguards</w:t>
      </w:r>
      <w:r>
        <w:rPr>
          <w:noProof/>
        </w:rPr>
        <w:t xml:space="preserve"> are in place. In relation to thi</w:t>
      </w:r>
      <w:r>
        <w:rPr>
          <w:noProof/>
        </w:rPr>
        <w:t>s, options 3 and 4 have a similar overall score, but variation is much wider between 3a and 3b compared to 4a and 4b. So for the economic objective one could consider option 4 to be the preferred in absence of a clearer idea whether MS choices in the new d</w:t>
      </w:r>
      <w:r>
        <w:rPr>
          <w:noProof/>
        </w:rPr>
        <w:t xml:space="preserve">elivery model will be more ambitious or conservative. </w:t>
      </w:r>
    </w:p>
    <w:p w:rsidR="00333A1A" w:rsidRDefault="00333A1A">
      <w:pPr>
        <w:pStyle w:val="Text1"/>
        <w:spacing w:after="0"/>
        <w:rPr>
          <w:noProof/>
        </w:rPr>
      </w:pPr>
    </w:p>
    <w:p w:rsidR="00333A1A" w:rsidRDefault="003D29C9">
      <w:pPr>
        <w:pStyle w:val="Text1"/>
        <w:spacing w:after="0"/>
        <w:ind w:left="0"/>
        <w:rPr>
          <w:noProof/>
        </w:rPr>
      </w:pPr>
      <w:r>
        <w:rPr>
          <w:noProof/>
        </w:rPr>
        <w:t>Remarkable is also that option 4b is preferred over option 4a (as opposed to 3a versus 3b). Option 4b is less environmentally demanding and hence associated with higher economic performance. Both mode</w:t>
      </w:r>
      <w:r>
        <w:rPr>
          <w:noProof/>
        </w:rPr>
        <w:t>l results and experts seem to judge the trade-off between the economic and environmental objective to be stronger compared to potential synergies. The opposite is true for option 3a, but for a different reason. Many experts believe that a reduction in dire</w:t>
      </w:r>
      <w:r>
        <w:rPr>
          <w:noProof/>
        </w:rPr>
        <w:t xml:space="preserve">ct support, which is strongest in option 3a, will trigger faster structural change, where only more efficient and productive farms will survive, resulting in a more economically performant agricultural sector. This off course comes at the detriment of the </w:t>
      </w:r>
      <w:r>
        <w:rPr>
          <w:noProof/>
        </w:rPr>
        <w:t>social (and potentially environmental) dimension. The low score of option 5 can also be interpreted in the same way. Its strong focus on small farms is hampering structural change and so limiting possible economies of scale. As shown in Graph 3.4, to reach</w:t>
      </w:r>
      <w:r>
        <w:rPr>
          <w:noProof/>
        </w:rPr>
        <w:t xml:space="preserve"> the main economic objective the baseline with budget cuts is assumed the least appealing policy option. Main reasons for the low scores of the baseline with cut are the lack of targeting, strong VCS and low EIP spending, as well as the low budget for aid </w:t>
      </w:r>
      <w:r>
        <w:rPr>
          <w:noProof/>
        </w:rPr>
        <w:t xml:space="preserve">to producer organisations.     </w:t>
      </w:r>
    </w:p>
    <w:p w:rsidR="00333A1A" w:rsidRDefault="00333A1A">
      <w:pPr>
        <w:pStyle w:val="Text1"/>
        <w:spacing w:after="0"/>
        <w:rPr>
          <w:noProof/>
        </w:rPr>
      </w:pPr>
    </w:p>
    <w:p w:rsidR="00333A1A" w:rsidRDefault="003D29C9">
      <w:pPr>
        <w:pStyle w:val="Text1"/>
        <w:spacing w:after="0"/>
        <w:ind w:left="0"/>
        <w:rPr>
          <w:noProof/>
        </w:rPr>
      </w:pPr>
      <w:r>
        <w:rPr>
          <w:noProof/>
        </w:rPr>
        <w:t>For the main economic objective, 3 Specific Objectives (SO) are identified:</w:t>
      </w:r>
    </w:p>
    <w:p w:rsidR="00333A1A" w:rsidRDefault="00333A1A">
      <w:pPr>
        <w:pStyle w:val="Text1"/>
        <w:spacing w:after="0"/>
        <w:ind w:left="0"/>
        <w:rPr>
          <w:noProof/>
        </w:rPr>
      </w:pPr>
    </w:p>
    <w:p w:rsidR="00333A1A" w:rsidRDefault="003D29C9">
      <w:pPr>
        <w:pStyle w:val="Text1"/>
        <w:numPr>
          <w:ilvl w:val="0"/>
          <w:numId w:val="5"/>
        </w:numPr>
        <w:spacing w:after="0"/>
        <w:ind w:left="0" w:firstLine="284"/>
        <w:rPr>
          <w:noProof/>
        </w:rPr>
      </w:pPr>
      <w:r>
        <w:rPr>
          <w:noProof/>
        </w:rPr>
        <w:t xml:space="preserve">SO1: Supporting a viable farm income and resilience throughout the territory </w:t>
      </w:r>
    </w:p>
    <w:p w:rsidR="00333A1A" w:rsidRDefault="003D29C9">
      <w:pPr>
        <w:pStyle w:val="Text1"/>
        <w:numPr>
          <w:ilvl w:val="0"/>
          <w:numId w:val="5"/>
        </w:numPr>
        <w:spacing w:after="0"/>
        <w:ind w:left="0" w:firstLine="284"/>
        <w:rPr>
          <w:noProof/>
        </w:rPr>
      </w:pPr>
      <w:r>
        <w:rPr>
          <w:noProof/>
        </w:rPr>
        <w:t xml:space="preserve">SO2: Enhance competitiveness and market orientation </w:t>
      </w:r>
    </w:p>
    <w:p w:rsidR="00333A1A" w:rsidRDefault="003D29C9">
      <w:pPr>
        <w:pStyle w:val="Text1"/>
        <w:numPr>
          <w:ilvl w:val="0"/>
          <w:numId w:val="5"/>
        </w:numPr>
        <w:spacing w:after="200"/>
        <w:ind w:left="0" w:firstLine="284"/>
        <w:rPr>
          <w:noProof/>
        </w:rPr>
      </w:pPr>
      <w:r>
        <w:rPr>
          <w:noProof/>
        </w:rPr>
        <w:t xml:space="preserve">SO3: Improve farmers’ position in the value chain </w:t>
      </w:r>
    </w:p>
    <w:p w:rsidR="00333A1A" w:rsidRDefault="003D29C9">
      <w:pPr>
        <w:pStyle w:val="Text1"/>
        <w:ind w:left="0"/>
        <w:rPr>
          <w:noProof/>
        </w:rPr>
      </w:pPr>
      <w:r>
        <w:rPr>
          <w:noProof/>
        </w:rPr>
        <w:t>In the group weighting exercise, SO1 received a weight of 33%, indicating that in order to reach the main economic objective, 33% of the weight should be put on this SO. SO2 is assessed to be the most impo</w:t>
      </w:r>
      <w:r>
        <w:rPr>
          <w:noProof/>
        </w:rPr>
        <w:t>rtant (weight of 43.5%) and SO3 the least (23.5%). The distribution of expert weights is fairly homogenous, with one part of experts more in favour of the direct effect of policy support on income via SO1, while other experts see more virtue in policy supp</w:t>
      </w:r>
      <w:r>
        <w:rPr>
          <w:noProof/>
        </w:rPr>
        <w:t>ort to enhance farmers' competitiveness, with knock-on effects on income.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3810"/>
      </w:tblGrid>
      <w:tr w:rsidR="00333A1A">
        <w:trPr>
          <w:cantSplit/>
        </w:trPr>
        <w:tc>
          <w:tcPr>
            <w:tcW w:w="5024" w:type="dxa"/>
          </w:tcPr>
          <w:p w:rsidR="00333A1A" w:rsidRDefault="003D29C9">
            <w:pPr>
              <w:rPr>
                <w:b/>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1</w:t>
            </w:r>
            <w:r>
              <w:rPr>
                <w:b/>
                <w:noProof/>
              </w:rPr>
              <w:fldChar w:fldCharType="end"/>
            </w:r>
            <w:r>
              <w:rPr>
                <w:b/>
                <w:noProof/>
              </w:rPr>
              <w:t>. Option scores for main economic objective and the 3 specific objectives</w:t>
            </w:r>
          </w:p>
        </w:tc>
        <w:tc>
          <w:tcPr>
            <w:tcW w:w="3810" w:type="dxa"/>
          </w:tcPr>
          <w:p w:rsidR="00333A1A" w:rsidRDefault="003D29C9">
            <w:pPr>
              <w:rPr>
                <w:b/>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Graph \* ARABIC \s 1 </w:instrText>
            </w:r>
            <w:r>
              <w:rPr>
                <w:b/>
                <w:noProof/>
              </w:rPr>
              <w:fldChar w:fldCharType="separate"/>
            </w:r>
            <w:r>
              <w:rPr>
                <w:b/>
                <w:noProof/>
              </w:rPr>
              <w:t>4</w:t>
            </w:r>
            <w:r>
              <w:rPr>
                <w:b/>
                <w:noProof/>
              </w:rPr>
              <w:fldChar w:fldCharType="end"/>
            </w:r>
            <w:r>
              <w:rPr>
                <w:b/>
                <w:noProof/>
              </w:rPr>
              <w:t>. Option scores on main economic objective (100=maximum)</w:t>
            </w:r>
          </w:p>
        </w:tc>
      </w:tr>
      <w:tr w:rsidR="00333A1A">
        <w:trPr>
          <w:cantSplit/>
          <w:trHeight w:val="3706"/>
        </w:trPr>
        <w:tc>
          <w:tcPr>
            <w:tcW w:w="5024" w:type="dxa"/>
          </w:tcPr>
          <w:tbl>
            <w:tblPr>
              <w:tblStyle w:val="MediumShading1"/>
              <w:tblW w:w="4788" w:type="dxa"/>
              <w:tblLook w:val="04A0" w:firstRow="1" w:lastRow="0" w:firstColumn="1" w:lastColumn="0" w:noHBand="0" w:noVBand="1"/>
            </w:tblPr>
            <w:tblGrid>
              <w:gridCol w:w="518"/>
              <w:gridCol w:w="88"/>
              <w:gridCol w:w="496"/>
              <w:gridCol w:w="993"/>
              <w:gridCol w:w="992"/>
              <w:gridCol w:w="851"/>
              <w:gridCol w:w="85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dxa"/>
                  <w:gridSpan w:val="3"/>
                  <w:noWrap/>
                  <w:hideMark/>
                </w:tcPr>
                <w:p w:rsidR="00333A1A" w:rsidRDefault="003D29C9">
                  <w:pPr>
                    <w:rPr>
                      <w:rFonts w:ascii="Times New Roman" w:hAnsi="Times New Roman" w:cs="Times New Roman"/>
                      <w:noProof/>
                      <w:sz w:val="20"/>
                    </w:rPr>
                  </w:pPr>
                  <w:r>
                    <w:rPr>
                      <w:rFonts w:ascii="Times New Roman" w:hAnsi="Times New Roman" w:cs="Times New Roman"/>
                      <w:noProof/>
                      <w:sz w:val="20"/>
                    </w:rPr>
                    <w:t>Options</w:t>
                  </w:r>
                </w:p>
              </w:tc>
              <w:tc>
                <w:tcPr>
                  <w:tcW w:w="993" w:type="dxa"/>
                  <w:noWrap/>
                  <w:hideMark/>
                </w:tcPr>
                <w:p w:rsidR="00333A1A" w:rsidRDefault="003D29C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MO</w:t>
                  </w:r>
                </w:p>
              </w:tc>
              <w:tc>
                <w:tcPr>
                  <w:tcW w:w="992" w:type="dxa"/>
                  <w:noWrap/>
                  <w:hideMark/>
                </w:tcPr>
                <w:p w:rsidR="00333A1A" w:rsidRDefault="003D29C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SO1</w:t>
                  </w:r>
                </w:p>
              </w:tc>
              <w:tc>
                <w:tcPr>
                  <w:tcW w:w="851" w:type="dxa"/>
                  <w:noWrap/>
                  <w:hideMark/>
                </w:tcPr>
                <w:p w:rsidR="00333A1A" w:rsidRDefault="003D29C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SO2</w:t>
                  </w:r>
                </w:p>
              </w:tc>
              <w:tc>
                <w:tcPr>
                  <w:tcW w:w="850" w:type="dxa"/>
                  <w:noWrap/>
                  <w:hideMark/>
                </w:tcPr>
                <w:p w:rsidR="00333A1A" w:rsidRDefault="003D29C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SO3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dxa"/>
                  <w:gridSpan w:val="2"/>
                  <w:noWrap/>
                </w:tcPr>
                <w:p w:rsidR="00333A1A" w:rsidRDefault="003D29C9">
                  <w:pPr>
                    <w:rPr>
                      <w:rFonts w:ascii="Times New Roman" w:hAnsi="Times New Roman" w:cs="Times New Roman"/>
                      <w:b w:val="0"/>
                      <w:bCs w:val="0"/>
                      <w:noProof/>
                      <w:sz w:val="20"/>
                    </w:rPr>
                  </w:pPr>
                  <w:r>
                    <w:rPr>
                      <w:rFonts w:ascii="Times New Roman" w:hAnsi="Times New Roman" w:cs="Times New Roman"/>
                      <w:noProof/>
                      <w:sz w:val="20"/>
                    </w:rPr>
                    <w:t>BAS</w:t>
                  </w:r>
                </w:p>
              </w:tc>
              <w:tc>
                <w:tcPr>
                  <w:tcW w:w="496" w:type="dxa"/>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p>
              </w:tc>
              <w:tc>
                <w:tcPr>
                  <w:tcW w:w="993"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42</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60</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24</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hideMark/>
                </w:tcPr>
                <w:p w:rsidR="00333A1A" w:rsidRDefault="003D29C9">
                  <w:pPr>
                    <w:rPr>
                      <w:rFonts w:ascii="Times New Roman" w:hAnsi="Times New Roman" w:cs="Times New Roman"/>
                      <w:noProof/>
                      <w:sz w:val="20"/>
                    </w:rPr>
                  </w:pPr>
                  <w:r>
                    <w:rPr>
                      <w:rFonts w:ascii="Times New Roman" w:hAnsi="Times New Roman" w:cs="Times New Roman"/>
                      <w:noProof/>
                      <w:sz w:val="20"/>
                    </w:rPr>
                    <w:t>1</w:t>
                  </w:r>
                </w:p>
              </w:tc>
              <w:tc>
                <w:tcPr>
                  <w:tcW w:w="584" w:type="dxa"/>
                  <w:gridSpan w:val="2"/>
                  <w:noWrap/>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22</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33</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25</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hideMark/>
                </w:tcPr>
                <w:p w:rsidR="00333A1A" w:rsidRDefault="003D29C9">
                  <w:pPr>
                    <w:rPr>
                      <w:rFonts w:ascii="Times New Roman" w:hAnsi="Times New Roman" w:cs="Times New Roman"/>
                      <w:noProof/>
                      <w:sz w:val="20"/>
                    </w:rPr>
                  </w:pPr>
                  <w:r>
                    <w:rPr>
                      <w:rFonts w:ascii="Times New Roman" w:hAnsi="Times New Roman" w:cs="Times New Roman"/>
                      <w:noProof/>
                      <w:sz w:val="20"/>
                    </w:rPr>
                    <w:t>3</w:t>
                  </w:r>
                </w:p>
              </w:tc>
              <w:tc>
                <w:tcPr>
                  <w:tcW w:w="584" w:type="dxa"/>
                  <w:gridSpan w:val="2"/>
                  <w:noWrap/>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p>
              </w:tc>
              <w:tc>
                <w:tcPr>
                  <w:tcW w:w="99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60</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59</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52</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76</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shd w:val="clear" w:color="auto" w:fill="BFBFBF" w:themeFill="background1" w:themeFillShade="BF"/>
                  <w:noWrap/>
                  <w:hideMark/>
                </w:tcPr>
                <w:p w:rsidR="00333A1A" w:rsidRDefault="00333A1A">
                  <w:pPr>
                    <w:rPr>
                      <w:rFonts w:ascii="Times New Roman" w:hAnsi="Times New Roman" w:cs="Times New Roman"/>
                      <w:noProof/>
                      <w:sz w:val="20"/>
                    </w:rPr>
                  </w:pPr>
                </w:p>
              </w:tc>
              <w:tc>
                <w:tcPr>
                  <w:tcW w:w="584" w:type="dxa"/>
                  <w:gridSpan w:val="2"/>
                  <w:shd w:val="clear" w:color="auto" w:fill="BFBFBF" w:themeFill="background1" w:themeFillShade="BF"/>
                  <w:noWrap/>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3a</w:t>
                  </w:r>
                </w:p>
              </w:tc>
              <w:tc>
                <w:tcPr>
                  <w:tcW w:w="993"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c>
                <w:tcPr>
                  <w:tcW w:w="992"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c>
                <w:tcPr>
                  <w:tcW w:w="85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c>
                <w:tcPr>
                  <w:tcW w:w="850"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hideMark/>
                </w:tcPr>
                <w:p w:rsidR="00333A1A" w:rsidRDefault="00333A1A">
                  <w:pPr>
                    <w:rPr>
                      <w:rFonts w:ascii="Times New Roman" w:hAnsi="Times New Roman" w:cs="Times New Roman"/>
                      <w:noProof/>
                      <w:sz w:val="20"/>
                    </w:rPr>
                  </w:pPr>
                </w:p>
              </w:tc>
              <w:tc>
                <w:tcPr>
                  <w:tcW w:w="584" w:type="dxa"/>
                  <w:gridSpan w:val="2"/>
                  <w:noWrap/>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3b</w:t>
                  </w:r>
                </w:p>
              </w:tc>
              <w:tc>
                <w:tcPr>
                  <w:tcW w:w="99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51</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56</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42</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hideMark/>
                </w:tcPr>
                <w:p w:rsidR="00333A1A" w:rsidRDefault="003D29C9">
                  <w:pPr>
                    <w:rPr>
                      <w:rFonts w:ascii="Times New Roman" w:hAnsi="Times New Roman" w:cs="Times New Roman"/>
                      <w:noProof/>
                      <w:sz w:val="20"/>
                    </w:rPr>
                  </w:pPr>
                  <w:r>
                    <w:rPr>
                      <w:rFonts w:ascii="Times New Roman" w:hAnsi="Times New Roman" w:cs="Times New Roman"/>
                      <w:noProof/>
                      <w:sz w:val="20"/>
                    </w:rPr>
                    <w:t>4</w:t>
                  </w:r>
                </w:p>
              </w:tc>
              <w:tc>
                <w:tcPr>
                  <w:tcW w:w="584" w:type="dxa"/>
                  <w:gridSpan w:val="2"/>
                  <w:noWrap/>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rPr>
                  </w:pP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59</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57</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shd w:val="clear" w:color="auto" w:fill="FFFFFF" w:themeFill="background1"/>
                  <w:noWrap/>
                  <w:hideMark/>
                </w:tcPr>
                <w:p w:rsidR="00333A1A" w:rsidRDefault="00333A1A">
                  <w:pPr>
                    <w:rPr>
                      <w:rFonts w:ascii="Times New Roman" w:hAnsi="Times New Roman" w:cs="Times New Roman"/>
                      <w:noProof/>
                      <w:sz w:val="20"/>
                    </w:rPr>
                  </w:pPr>
                </w:p>
              </w:tc>
              <w:tc>
                <w:tcPr>
                  <w:tcW w:w="584" w:type="dxa"/>
                  <w:gridSpan w:val="2"/>
                  <w:shd w:val="clear" w:color="auto" w:fill="FFFFFF" w:themeFill="background1"/>
                  <w:noWrap/>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4a</w:t>
                  </w:r>
                </w:p>
              </w:tc>
              <w:tc>
                <w:tcPr>
                  <w:tcW w:w="993"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c>
                <w:tcPr>
                  <w:tcW w:w="992"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55</w:t>
                  </w:r>
                </w:p>
              </w:tc>
              <w:tc>
                <w:tcPr>
                  <w:tcW w:w="85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c>
                <w:tcPr>
                  <w:tcW w:w="850"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hideMark/>
                </w:tcPr>
                <w:p w:rsidR="00333A1A" w:rsidRDefault="00333A1A">
                  <w:pPr>
                    <w:rPr>
                      <w:rFonts w:ascii="Times New Roman" w:hAnsi="Times New Roman" w:cs="Times New Roman"/>
                      <w:noProof/>
                      <w:sz w:val="20"/>
                    </w:rPr>
                  </w:pPr>
                </w:p>
              </w:tc>
              <w:tc>
                <w:tcPr>
                  <w:tcW w:w="584" w:type="dxa"/>
                  <w:gridSpan w:val="2"/>
                  <w:noWrap/>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4b</w:t>
                  </w: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63</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59</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71</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hideMark/>
                </w:tcPr>
                <w:p w:rsidR="00333A1A" w:rsidRDefault="003D29C9">
                  <w:pPr>
                    <w:rPr>
                      <w:rFonts w:ascii="Times New Roman" w:hAnsi="Times New Roman" w:cs="Times New Roman"/>
                      <w:noProof/>
                      <w:sz w:val="20"/>
                    </w:rPr>
                  </w:pPr>
                  <w:r>
                    <w:rPr>
                      <w:rFonts w:ascii="Times New Roman" w:hAnsi="Times New Roman" w:cs="Times New Roman"/>
                      <w:noProof/>
                      <w:sz w:val="20"/>
                    </w:rPr>
                    <w:t>5</w:t>
                  </w:r>
                </w:p>
              </w:tc>
              <w:tc>
                <w:tcPr>
                  <w:tcW w:w="584" w:type="dxa"/>
                  <w:gridSpan w:val="2"/>
                  <w:noWrap/>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p>
              </w:tc>
              <w:tc>
                <w:tcPr>
                  <w:tcW w:w="99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43</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25</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40</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73</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dxa"/>
                  <w:gridSpan w:val="3"/>
                  <w:noWrap/>
                  <w:hideMark/>
                </w:tcPr>
                <w:p w:rsidR="00333A1A" w:rsidRDefault="003D29C9">
                  <w:pPr>
                    <w:rPr>
                      <w:rFonts w:ascii="Times New Roman" w:hAnsi="Times New Roman" w:cs="Times New Roman"/>
                      <w:noProof/>
                      <w:sz w:val="20"/>
                    </w:rPr>
                  </w:pPr>
                  <w:r>
                    <w:rPr>
                      <w:rFonts w:ascii="Times New Roman" w:hAnsi="Times New Roman" w:cs="Times New Roman"/>
                      <w:noProof/>
                      <w:sz w:val="20"/>
                    </w:rPr>
                    <w:t>Weights</w:t>
                  </w:r>
                  <w:r>
                    <w:rPr>
                      <w:rStyle w:val="FootnoteReference"/>
                      <w:rFonts w:ascii="Times New Roman" w:hAnsi="Times New Roman" w:cs="Times New Roman"/>
                      <w:noProof/>
                      <w:sz w:val="20"/>
                    </w:rPr>
                    <w:footnoteReference w:id="43"/>
                  </w: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1</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0.33</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0.43</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0.23</w:t>
                  </w:r>
                </w:p>
              </w:tc>
            </w:tr>
          </w:tbl>
          <w:p w:rsidR="00333A1A" w:rsidRDefault="00333A1A">
            <w:pPr>
              <w:rPr>
                <w:noProof/>
              </w:rPr>
            </w:pPr>
          </w:p>
        </w:tc>
        <w:tc>
          <w:tcPr>
            <w:tcW w:w="3810" w:type="dxa"/>
          </w:tcPr>
          <w:p w:rsidR="00333A1A" w:rsidRDefault="003D29C9">
            <w:pPr>
              <w:rPr>
                <w:noProof/>
              </w:rPr>
            </w:pPr>
            <w:r>
              <w:rPr>
                <w:noProof/>
              </w:rPr>
              <w:drawing>
                <wp:inline distT="0" distB="0" distL="0" distR="0" wp14:anchorId="6982B716" wp14:editId="56B6B919">
                  <wp:extent cx="2162175" cy="228600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333A1A" w:rsidRDefault="003D29C9">
      <w:pPr>
        <w:pStyle w:val="Text1"/>
        <w:spacing w:before="200"/>
        <w:ind w:left="0"/>
        <w:rPr>
          <w:noProof/>
        </w:rPr>
      </w:pPr>
      <w:r>
        <w:rPr>
          <w:noProof/>
        </w:rPr>
        <w:t>Taking into account the scores on the SOs, the baseline with cut has especially a low score for SO3, as all other options have a higher budget allocation to improve the uptake of PO's. Option 5 is especially outperformed on SO1 and 2, due to its lack of sp</w:t>
      </w:r>
      <w:r>
        <w:rPr>
          <w:noProof/>
        </w:rPr>
        <w:t>ending on risk management and the main focus on small farms which are, overall, deemed less efficient. Options 3 and 4 have fairly homogenous scores across SOs, with 3 preferred over 4 for SO3 as the strong structural change it brings will stimulate farmer</w:t>
      </w:r>
      <w:r>
        <w:rPr>
          <w:noProof/>
        </w:rPr>
        <w:t xml:space="preserve">s to get better organized, while the maintenance of a strong direct payment in option 4 brings merits to SO1 and especially 2, as it allows farmers to invest in productivity enhancing investments while not distorting market signals.   </w:t>
      </w:r>
    </w:p>
    <w:p w:rsidR="00333A1A" w:rsidRDefault="003D29C9">
      <w:pPr>
        <w:pStyle w:val="Heading4"/>
        <w:rPr>
          <w:noProof/>
        </w:rPr>
      </w:pPr>
      <w:r>
        <w:rPr>
          <w:noProof/>
        </w:rPr>
        <w:t xml:space="preserve"> SO1: Support viable</w:t>
      </w:r>
      <w:r>
        <w:rPr>
          <w:noProof/>
        </w:rPr>
        <w:t xml:space="preserve"> farm income and resilience throughout the territory</w:t>
      </w:r>
    </w:p>
    <w:p w:rsidR="00333A1A" w:rsidRDefault="003D29C9">
      <w:pPr>
        <w:pStyle w:val="Text1"/>
        <w:spacing w:after="0"/>
        <w:ind w:left="0"/>
        <w:rPr>
          <w:noProof/>
        </w:rPr>
      </w:pPr>
      <w:r>
        <w:rPr>
          <w:noProof/>
        </w:rPr>
        <w:t>This SO focuses on the income level and variation and hence considers the following 3 OOs:</w:t>
      </w:r>
    </w:p>
    <w:p w:rsidR="00333A1A" w:rsidRDefault="00333A1A">
      <w:pPr>
        <w:pStyle w:val="Text1"/>
        <w:spacing w:after="0"/>
        <w:ind w:left="0"/>
        <w:rPr>
          <w:noProof/>
        </w:rPr>
      </w:pPr>
    </w:p>
    <w:p w:rsidR="00333A1A" w:rsidRDefault="003D29C9">
      <w:pPr>
        <w:pStyle w:val="Text1"/>
        <w:numPr>
          <w:ilvl w:val="0"/>
          <w:numId w:val="5"/>
        </w:numPr>
        <w:spacing w:after="0"/>
        <w:ind w:left="284" w:firstLine="0"/>
        <w:rPr>
          <w:noProof/>
        </w:rPr>
      </w:pPr>
      <w:r>
        <w:rPr>
          <w:noProof/>
        </w:rPr>
        <w:t>OO1.1: Provide income support in a targeted way</w:t>
      </w:r>
    </w:p>
    <w:p w:rsidR="00333A1A" w:rsidRDefault="003D29C9">
      <w:pPr>
        <w:pStyle w:val="Text1"/>
        <w:numPr>
          <w:ilvl w:val="0"/>
          <w:numId w:val="5"/>
        </w:numPr>
        <w:spacing w:after="0"/>
        <w:ind w:left="284" w:firstLine="0"/>
        <w:rPr>
          <w:noProof/>
        </w:rPr>
      </w:pPr>
      <w:r>
        <w:rPr>
          <w:noProof/>
        </w:rPr>
        <w:t>OO1.2: Cope with price volatility</w:t>
      </w:r>
    </w:p>
    <w:p w:rsidR="00333A1A" w:rsidRDefault="003D29C9">
      <w:pPr>
        <w:pStyle w:val="Text1"/>
        <w:numPr>
          <w:ilvl w:val="0"/>
          <w:numId w:val="5"/>
        </w:numPr>
        <w:spacing w:after="0"/>
        <w:ind w:left="284" w:firstLine="0"/>
        <w:rPr>
          <w:noProof/>
        </w:rPr>
      </w:pPr>
      <w:r>
        <w:rPr>
          <w:noProof/>
        </w:rPr>
        <w:t xml:space="preserve">OO1.3: Improve risk </w:t>
      </w:r>
      <w:r>
        <w:rPr>
          <w:noProof/>
        </w:rPr>
        <w:t>management</w:t>
      </w:r>
    </w:p>
    <w:p w:rsidR="00333A1A" w:rsidRDefault="00333A1A">
      <w:pPr>
        <w:pStyle w:val="Text1"/>
        <w:spacing w:after="0"/>
        <w:ind w:left="0"/>
        <w:rPr>
          <w:noProof/>
        </w:rPr>
      </w:pPr>
    </w:p>
    <w:p w:rsidR="00333A1A" w:rsidRDefault="003D29C9">
      <w:pPr>
        <w:pStyle w:val="Text1"/>
        <w:spacing w:after="0"/>
        <w:ind w:left="0"/>
        <w:rPr>
          <w:noProof/>
        </w:rPr>
      </w:pPr>
      <w:r>
        <w:rPr>
          <w:noProof/>
        </w:rPr>
        <w:t xml:space="preserve">The direct effect of the policy on the </w:t>
      </w:r>
      <w:r>
        <w:rPr>
          <w:b/>
          <w:noProof/>
        </w:rPr>
        <w:t>income level and its targeting</w:t>
      </w:r>
      <w:r>
        <w:rPr>
          <w:noProof/>
        </w:rPr>
        <w:t xml:space="preserve"> is dealt with under OO1.1. One would expect a high weight for this OO given the importance of the direct payments in the overall CAP budget. This is only partially confirmed </w:t>
      </w:r>
      <w:r>
        <w:rPr>
          <w:noProof/>
        </w:rPr>
        <w:t>in the group weighting, as it receives 37% of the weights for this SO, but the SO itself only receives 33% of the weight of the Economic Policy Objective. The part on quantitative analysis (see section 2) already details the main messages. The relevant mod</w:t>
      </w:r>
      <w:r>
        <w:rPr>
          <w:noProof/>
        </w:rPr>
        <w:t>el outcomes are also integrated in the MCA, accompanied by the group scoring exercise. The following model indicators were considered in addition to the expert judgement (all equal weight for this OO):</w:t>
      </w:r>
    </w:p>
    <w:p w:rsidR="00333A1A" w:rsidRDefault="003D29C9">
      <w:pPr>
        <w:pStyle w:val="Text1"/>
        <w:numPr>
          <w:ilvl w:val="0"/>
          <w:numId w:val="5"/>
        </w:numPr>
        <w:spacing w:after="0"/>
        <w:ind w:left="284" w:firstLine="0"/>
        <w:rPr>
          <w:noProof/>
        </w:rPr>
      </w:pPr>
      <w:r>
        <w:rPr>
          <w:noProof/>
        </w:rPr>
        <w:t xml:space="preserve">Increase income level in agriculture </w:t>
      </w:r>
    </w:p>
    <w:p w:rsidR="00333A1A" w:rsidRDefault="003D29C9">
      <w:pPr>
        <w:pStyle w:val="Text1"/>
        <w:numPr>
          <w:ilvl w:val="0"/>
          <w:numId w:val="5"/>
        </w:numPr>
        <w:spacing w:after="0"/>
        <w:ind w:left="284" w:firstLine="0"/>
        <w:rPr>
          <w:noProof/>
        </w:rPr>
      </w:pPr>
      <w:r>
        <w:rPr>
          <w:noProof/>
        </w:rPr>
        <w:t>Targeting suppor</w:t>
      </w:r>
      <w:r>
        <w:rPr>
          <w:noProof/>
        </w:rPr>
        <w:t>t to farmers most in need (with low incomes)</w:t>
      </w:r>
    </w:p>
    <w:p w:rsidR="00333A1A" w:rsidRDefault="003D29C9">
      <w:pPr>
        <w:pStyle w:val="Text1"/>
        <w:numPr>
          <w:ilvl w:val="0"/>
          <w:numId w:val="5"/>
        </w:numPr>
        <w:spacing w:after="0"/>
        <w:ind w:left="284" w:firstLine="0"/>
        <w:rPr>
          <w:noProof/>
        </w:rPr>
      </w:pPr>
      <w:r>
        <w:rPr>
          <w:noProof/>
        </w:rPr>
        <w:t>Reducing share of farms with negative income</w:t>
      </w:r>
    </w:p>
    <w:p w:rsidR="00333A1A" w:rsidRDefault="003D29C9">
      <w:pPr>
        <w:pStyle w:val="Text1"/>
        <w:numPr>
          <w:ilvl w:val="0"/>
          <w:numId w:val="5"/>
        </w:numPr>
        <w:spacing w:after="0"/>
        <w:ind w:left="284" w:firstLine="0"/>
        <w:rPr>
          <w:noProof/>
        </w:rPr>
      </w:pPr>
      <w:r>
        <w:rPr>
          <w:noProof/>
        </w:rPr>
        <w:t xml:space="preserve">Targeting payments to small and medium economic size (ES) farms </w:t>
      </w:r>
    </w:p>
    <w:p w:rsidR="00333A1A" w:rsidRDefault="003D29C9">
      <w:pPr>
        <w:pStyle w:val="Text1"/>
        <w:spacing w:before="200" w:after="200"/>
        <w:ind w:left="0"/>
        <w:rPr>
          <w:noProof/>
        </w:rPr>
      </w:pPr>
      <w:r>
        <w:rPr>
          <w:noProof/>
        </w:rPr>
        <w:t xml:space="preserve">Graph 3.5 shows the virtue of combining both expert judgement and modelling results, when available. </w:t>
      </w:r>
      <w:r>
        <w:rPr>
          <w:noProof/>
        </w:rPr>
        <w:t>Although the modelling is not capable of capturing all intended policy effects, the experts seem to have underestimated the performance of the baseline and the baseline with cuts (option 1), while option 4 (a and b) were overrated. The high BP and the redi</w:t>
      </w:r>
      <w:r>
        <w:rPr>
          <w:noProof/>
        </w:rPr>
        <w:t>stribution to farmers with lower income in option 4 (via increase in the permanent grassland payment and VCS to extensive livestock) are apparently offset by the budget reduction, other budget allocations (e.g. towards EIP or risk management) and the addit</w:t>
      </w:r>
      <w:r>
        <w:rPr>
          <w:noProof/>
        </w:rPr>
        <w:t>ional environmental constraints. For the other options the scores are in line. While the baseline outperforms the other options (given the higher budget), also option 1 performs well, almost similar to option 4b. Option 5 performs best given the budget cut</w:t>
      </w:r>
      <w:r>
        <w:rPr>
          <w:noProof/>
        </w:rPr>
        <w:t>, especially on targeting economically small farms and reducing the share of farms with negative income, given its redistribution towards small farms and the ANC payments in pillar 1. Option 3a is outperformed as it is targeting environmental needs and has</w:t>
      </w:r>
      <w:r>
        <w:rPr>
          <w:noProof/>
        </w:rPr>
        <w:t xml:space="preserve"> a very low and flat basic payment.   </w:t>
      </w:r>
    </w:p>
    <w:p w:rsidR="00333A1A" w:rsidRDefault="003D29C9">
      <w:pPr>
        <w:pStyle w:val="Text1"/>
        <w:keepNext/>
        <w:spacing w:after="0"/>
        <w:ind w:left="0"/>
        <w:rPr>
          <w:noProof/>
        </w:rPr>
      </w:pPr>
      <w:r>
        <w:rPr>
          <w:b/>
          <w:noProof/>
          <w:sz w:val="22"/>
        </w:rPr>
        <w:t xml:space="preserve">Graph </w:t>
      </w:r>
      <w:r>
        <w:rPr>
          <w:b/>
          <w:noProof/>
          <w:sz w:val="22"/>
        </w:rPr>
        <w:fldChar w:fldCharType="begin"/>
      </w:r>
      <w:r>
        <w:rPr>
          <w:b/>
          <w:noProof/>
          <w:sz w:val="22"/>
        </w:rPr>
        <w:instrText xml:space="preserve"> STYLEREF 1 \s </w:instrText>
      </w:r>
      <w:r>
        <w:rPr>
          <w:b/>
          <w:noProof/>
          <w:sz w:val="22"/>
        </w:rPr>
        <w:fldChar w:fldCharType="separate"/>
      </w:r>
      <w:r>
        <w:rPr>
          <w:b/>
          <w:noProof/>
          <w:sz w:val="22"/>
        </w:rPr>
        <w:t>3</w:t>
      </w:r>
      <w:r>
        <w:rPr>
          <w:b/>
          <w:noProof/>
          <w:sz w:val="22"/>
        </w:rPr>
        <w:fldChar w:fldCharType="end"/>
      </w:r>
      <w:r>
        <w:rPr>
          <w:b/>
          <w:noProof/>
          <w:sz w:val="22"/>
        </w:rPr>
        <w:t>.</w:t>
      </w:r>
      <w:r>
        <w:rPr>
          <w:b/>
          <w:noProof/>
          <w:sz w:val="22"/>
        </w:rPr>
        <w:fldChar w:fldCharType="begin"/>
      </w:r>
      <w:r>
        <w:rPr>
          <w:b/>
          <w:noProof/>
          <w:sz w:val="22"/>
        </w:rPr>
        <w:instrText xml:space="preserve"> SEQ Graph \* ARABIC \s 1 </w:instrText>
      </w:r>
      <w:r>
        <w:rPr>
          <w:b/>
          <w:noProof/>
          <w:sz w:val="22"/>
        </w:rPr>
        <w:fldChar w:fldCharType="separate"/>
      </w:r>
      <w:r>
        <w:rPr>
          <w:b/>
          <w:noProof/>
          <w:sz w:val="22"/>
        </w:rPr>
        <w:t>5</w:t>
      </w:r>
      <w:r>
        <w:rPr>
          <w:b/>
          <w:noProof/>
          <w:sz w:val="22"/>
        </w:rPr>
        <w:fldChar w:fldCharType="end"/>
      </w:r>
      <w:r>
        <w:rPr>
          <w:b/>
          <w:noProof/>
          <w:sz w:val="22"/>
        </w:rPr>
        <w:t>. Option scores on indicators associated with OO1.1 Provision of income support in a targeted way</w:t>
      </w:r>
    </w:p>
    <w:p w:rsidR="00333A1A" w:rsidRDefault="003D29C9">
      <w:pPr>
        <w:pStyle w:val="Text1"/>
        <w:spacing w:after="200"/>
        <w:ind w:left="0"/>
        <w:rPr>
          <w:noProof/>
        </w:rPr>
      </w:pPr>
      <w:r>
        <w:rPr>
          <w:noProof/>
          <w:lang w:eastAsia="en-GB"/>
        </w:rPr>
        <w:drawing>
          <wp:inline distT="0" distB="0" distL="0" distR="0" wp14:anchorId="3AE7D723" wp14:editId="6B35387F">
            <wp:extent cx="5467350" cy="161925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33A1A" w:rsidRDefault="003D29C9">
      <w:pPr>
        <w:pStyle w:val="Text1"/>
        <w:ind w:left="0"/>
        <w:rPr>
          <w:noProof/>
        </w:rPr>
      </w:pPr>
      <w:r>
        <w:rPr>
          <w:noProof/>
        </w:rPr>
        <w:t xml:space="preserve">OO1.2 on coping with </w:t>
      </w:r>
      <w:r>
        <w:rPr>
          <w:b/>
          <w:noProof/>
        </w:rPr>
        <w:t>price volatility</w:t>
      </w:r>
      <w:r>
        <w:rPr>
          <w:noProof/>
        </w:rPr>
        <w:t xml:space="preserve"> links to the safety net</w:t>
      </w:r>
      <w:r>
        <w:rPr>
          <w:noProof/>
        </w:rPr>
        <w:t xml:space="preserve"> measures but also to other instruments such as futures markets and forward contracts. For these items there is not much distinction between the options. All options embed the agreed Agricultural Omnibus. Option 3a scores best as the reduction in DP will b</w:t>
      </w:r>
      <w:r>
        <w:rPr>
          <w:noProof/>
        </w:rPr>
        <w:t>enefit the more efficient farms and will stimulate the development of price risk management tools such as futures and contracts. The enhanced support for producer cooperation under 3a will also be beneficial as large cooperatives are the main users of thes</w:t>
      </w:r>
      <w:r>
        <w:rPr>
          <w:noProof/>
        </w:rPr>
        <w:t>e tools. VCS (considerable in option 3b and 5, small in 4) receives a negative marking given that it increases output and hence puts pressure on prices. Option 5 scores the least as it is not expected that small farms will become users of futures and the l</w:t>
      </w:r>
      <w:r>
        <w:rPr>
          <w:noProof/>
        </w:rPr>
        <w:t>ack of structure might generate occasional mismatches between supply and 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3700"/>
      </w:tblGrid>
      <w:tr w:rsidR="00333A1A">
        <w:trPr>
          <w:cantSplit/>
        </w:trPr>
        <w:tc>
          <w:tcPr>
            <w:tcW w:w="5134" w:type="dxa"/>
          </w:tcPr>
          <w:p w:rsidR="00333A1A" w:rsidRDefault="003D29C9">
            <w:pPr>
              <w:keepNext/>
              <w:rPr>
                <w:b/>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2</w:t>
            </w:r>
            <w:r>
              <w:rPr>
                <w:b/>
                <w:noProof/>
              </w:rPr>
              <w:fldChar w:fldCharType="end"/>
            </w:r>
            <w:r>
              <w:rPr>
                <w:b/>
                <w:noProof/>
              </w:rPr>
              <w:t>. Option scores for SO1 Supporting viable farm income and resilience and its 3 OOs</w:t>
            </w:r>
          </w:p>
        </w:tc>
        <w:tc>
          <w:tcPr>
            <w:tcW w:w="3700" w:type="dxa"/>
          </w:tcPr>
          <w:p w:rsidR="00333A1A" w:rsidRDefault="003D29C9">
            <w:pPr>
              <w:keepNext/>
              <w:rPr>
                <w:b/>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Graph</w:instrText>
            </w:r>
            <w:r>
              <w:rPr>
                <w:b/>
                <w:noProof/>
              </w:rPr>
              <w:instrText xml:space="preserve"> \* ARABIC \s 1 </w:instrText>
            </w:r>
            <w:r>
              <w:rPr>
                <w:b/>
                <w:noProof/>
              </w:rPr>
              <w:fldChar w:fldCharType="separate"/>
            </w:r>
            <w:r>
              <w:rPr>
                <w:b/>
                <w:noProof/>
              </w:rPr>
              <w:t>6</w:t>
            </w:r>
            <w:r>
              <w:rPr>
                <w:b/>
                <w:noProof/>
              </w:rPr>
              <w:fldChar w:fldCharType="end"/>
            </w:r>
            <w:r>
              <w:rPr>
                <w:b/>
                <w:noProof/>
              </w:rPr>
              <w:t xml:space="preserve">. Option scores on SO1 </w:t>
            </w:r>
          </w:p>
        </w:tc>
      </w:tr>
      <w:tr w:rsidR="00333A1A">
        <w:trPr>
          <w:cantSplit/>
        </w:trPr>
        <w:tc>
          <w:tcPr>
            <w:tcW w:w="5134" w:type="dxa"/>
          </w:tcPr>
          <w:tbl>
            <w:tblPr>
              <w:tblStyle w:val="MediumShading1"/>
              <w:tblW w:w="4898" w:type="dxa"/>
              <w:tblLook w:val="04A0" w:firstRow="1" w:lastRow="0" w:firstColumn="1" w:lastColumn="0" w:noHBand="0" w:noVBand="1"/>
            </w:tblPr>
            <w:tblGrid>
              <w:gridCol w:w="606"/>
              <w:gridCol w:w="38"/>
              <w:gridCol w:w="480"/>
              <w:gridCol w:w="1081"/>
              <w:gridCol w:w="992"/>
              <w:gridCol w:w="851"/>
              <w:gridCol w:w="85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Options</w:t>
                  </w:r>
                </w:p>
              </w:tc>
              <w:tc>
                <w:tcPr>
                  <w:tcW w:w="108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SO1</w:t>
                  </w:r>
                </w:p>
              </w:tc>
              <w:tc>
                <w:tcPr>
                  <w:tcW w:w="992"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OO1.1</w:t>
                  </w:r>
                </w:p>
              </w:tc>
              <w:tc>
                <w:tcPr>
                  <w:tcW w:w="85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OO1.2</w:t>
                  </w:r>
                </w:p>
              </w:tc>
              <w:tc>
                <w:tcPr>
                  <w:tcW w:w="850"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dxa"/>
                  <w:noWrap/>
                  <w:vAlign w:val="center"/>
                </w:tcPr>
                <w:p w:rsidR="00333A1A" w:rsidRDefault="003D29C9">
                  <w:pPr>
                    <w:rPr>
                      <w:rFonts w:ascii="Times New Roman" w:hAnsi="Times New Roman" w:cs="Times New Roman"/>
                      <w:b w:val="0"/>
                      <w:bCs w:val="0"/>
                      <w:noProof/>
                      <w:sz w:val="20"/>
                      <w:szCs w:val="20"/>
                    </w:rPr>
                  </w:pPr>
                  <w:r>
                    <w:rPr>
                      <w:rFonts w:ascii="Times New Roman" w:hAnsi="Times New Roman" w:cs="Times New Roman"/>
                      <w:noProof/>
                      <w:sz w:val="20"/>
                      <w:szCs w:val="20"/>
                    </w:rPr>
                    <w:t>BAS</w:t>
                  </w:r>
                </w:p>
              </w:tc>
              <w:tc>
                <w:tcPr>
                  <w:tcW w:w="518" w:type="dxa"/>
                  <w:gridSpan w:val="2"/>
                  <w:vAlign w:val="center"/>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60</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83</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50</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1</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33</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51</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25</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3</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59</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19</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88</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BFBFBF" w:themeFill="background1" w:themeFillShade="BF"/>
                  <w:noWrap/>
                  <w:vAlign w:val="center"/>
                  <w:hideMark/>
                </w:tcPr>
                <w:p w:rsidR="00333A1A" w:rsidRDefault="00333A1A">
                  <w:pPr>
                    <w:rPr>
                      <w:rFonts w:ascii="Times New Roman" w:hAnsi="Times New Roman" w:cs="Times New Roman"/>
                      <w:noProof/>
                      <w:sz w:val="20"/>
                      <w:szCs w:val="20"/>
                    </w:rPr>
                  </w:pPr>
                </w:p>
              </w:tc>
              <w:tc>
                <w:tcPr>
                  <w:tcW w:w="480" w:type="dxa"/>
                  <w:shd w:val="clear" w:color="auto" w:fill="BFBFBF" w:themeFill="background1" w:themeFillShade="BF"/>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3a</w:t>
                  </w:r>
                </w:p>
              </w:tc>
              <w:tc>
                <w:tcPr>
                  <w:tcW w:w="108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62</w:t>
                  </w:r>
                </w:p>
              </w:tc>
              <w:tc>
                <w:tcPr>
                  <w:tcW w:w="992"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0</w:t>
                  </w:r>
                </w:p>
              </w:tc>
              <w:tc>
                <w:tcPr>
                  <w:tcW w:w="85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c>
                <w:tcPr>
                  <w:tcW w:w="850"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3b</w:t>
                  </w: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56</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38</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75</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4</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57</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44</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50</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FFFFFF" w:themeFill="background1"/>
                  <w:noWrap/>
                  <w:vAlign w:val="center"/>
                  <w:hideMark/>
                </w:tcPr>
                <w:p w:rsidR="00333A1A" w:rsidRDefault="00333A1A">
                  <w:pPr>
                    <w:rPr>
                      <w:rFonts w:ascii="Times New Roman" w:hAnsi="Times New Roman" w:cs="Times New Roman"/>
                      <w:noProof/>
                      <w:sz w:val="20"/>
                      <w:szCs w:val="20"/>
                    </w:rPr>
                  </w:pPr>
                </w:p>
              </w:tc>
              <w:tc>
                <w:tcPr>
                  <w:tcW w:w="480" w:type="dxa"/>
                  <w:shd w:val="clear" w:color="auto" w:fill="FFFFFF" w:themeFill="background1"/>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4a</w:t>
                  </w:r>
                </w:p>
              </w:tc>
              <w:tc>
                <w:tcPr>
                  <w:tcW w:w="108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55</w:t>
                  </w:r>
                </w:p>
              </w:tc>
              <w:tc>
                <w:tcPr>
                  <w:tcW w:w="992"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38</w:t>
                  </w:r>
                </w:p>
              </w:tc>
              <w:tc>
                <w:tcPr>
                  <w:tcW w:w="85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50</w:t>
                  </w:r>
                </w:p>
              </w:tc>
              <w:tc>
                <w:tcPr>
                  <w:tcW w:w="850"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4b</w:t>
                  </w: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59</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50</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50</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5</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25</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65</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Weights</w:t>
                  </w:r>
                </w:p>
              </w:tc>
              <w:tc>
                <w:tcPr>
                  <w:tcW w:w="108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w:t>
                  </w:r>
                </w:p>
              </w:tc>
              <w:tc>
                <w:tcPr>
                  <w:tcW w:w="992"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0.38</w:t>
                  </w:r>
                </w:p>
              </w:tc>
              <w:tc>
                <w:tcPr>
                  <w:tcW w:w="85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0.31</w:t>
                  </w:r>
                </w:p>
              </w:tc>
              <w:tc>
                <w:tcPr>
                  <w:tcW w:w="850"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0.31</w:t>
                  </w:r>
                </w:p>
              </w:tc>
            </w:tr>
          </w:tbl>
          <w:p w:rsidR="00333A1A" w:rsidRDefault="00333A1A">
            <w:pPr>
              <w:rPr>
                <w:noProof/>
              </w:rPr>
            </w:pPr>
          </w:p>
        </w:tc>
        <w:tc>
          <w:tcPr>
            <w:tcW w:w="3700" w:type="dxa"/>
          </w:tcPr>
          <w:p w:rsidR="00333A1A" w:rsidRDefault="003D29C9">
            <w:pPr>
              <w:rPr>
                <w:noProof/>
              </w:rPr>
            </w:pPr>
            <w:r>
              <w:rPr>
                <w:noProof/>
              </w:rPr>
              <w:drawing>
                <wp:inline distT="0" distB="0" distL="0" distR="0" wp14:anchorId="73C557B8" wp14:editId="74C32A26">
                  <wp:extent cx="2159635" cy="2159635"/>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333A1A" w:rsidRDefault="003D29C9">
      <w:pPr>
        <w:pStyle w:val="Text1"/>
        <w:spacing w:before="200"/>
        <w:ind w:left="0"/>
        <w:rPr>
          <w:noProof/>
        </w:rPr>
      </w:pPr>
      <w:r>
        <w:rPr>
          <w:noProof/>
        </w:rPr>
        <w:t xml:space="preserve">OO1.3 on </w:t>
      </w:r>
      <w:r>
        <w:rPr>
          <w:b/>
          <w:noProof/>
        </w:rPr>
        <w:t>risk management</w:t>
      </w:r>
      <w:r>
        <w:rPr>
          <w:noProof/>
        </w:rPr>
        <w:t xml:space="preserve"> (RM) complements the previous objective in addressing volatility (of production and income). The group expert judgement should be set against the observations made in the modelling section, among others on the high budgetary expens</w:t>
      </w:r>
      <w:r>
        <w:rPr>
          <w:noProof/>
        </w:rPr>
        <w:t>e for sector-wide ISTs and the low uptake of RM tools. The group experts confirm the latter and link it to the income buffer provided by DP. In an environment with lower DP, RM tools would become more popular. The experts also stress the importance of coop</w:t>
      </w:r>
      <w:r>
        <w:rPr>
          <w:noProof/>
        </w:rPr>
        <w:t>eration (and tools stimulating this) to facilitate risk management uptake. The group exercise puts option 3a on top as the reduced levels of DP and the absence of VCS together with a high budget for RM and cooperation will stimulate the interest in IST. Pa</w:t>
      </w:r>
      <w:r>
        <w:rPr>
          <w:noProof/>
        </w:rPr>
        <w:t xml:space="preserve">rt of the experts sees more virtue in option 4 with higher DP. Option 5 is considered worst as there are no specific measures to tackle risk management while the focus on small farmers might trigger a further need.      </w:t>
      </w:r>
    </w:p>
    <w:p w:rsidR="00333A1A" w:rsidRDefault="003D29C9">
      <w:pPr>
        <w:pStyle w:val="Heading4"/>
        <w:rPr>
          <w:noProof/>
        </w:rPr>
      </w:pPr>
      <w:r>
        <w:rPr>
          <w:noProof/>
        </w:rPr>
        <w:t xml:space="preserve"> SO2: Enhance competitiveness and m</w:t>
      </w:r>
      <w:r>
        <w:rPr>
          <w:noProof/>
        </w:rPr>
        <w:t>arket orientation</w:t>
      </w:r>
    </w:p>
    <w:p w:rsidR="00333A1A" w:rsidRDefault="003D29C9">
      <w:pPr>
        <w:pStyle w:val="Text1"/>
        <w:spacing w:after="0"/>
        <w:ind w:left="0"/>
        <w:rPr>
          <w:noProof/>
        </w:rPr>
      </w:pPr>
      <w:r>
        <w:rPr>
          <w:noProof/>
        </w:rPr>
        <w:t>The successive CAP reforms have improved the market orientation of EU farms. This is important for the competitiveness of the sector, also in the light of international agreements, and for matching EU consumer demands with respect to pric</w:t>
      </w:r>
      <w:r>
        <w:rPr>
          <w:noProof/>
        </w:rPr>
        <w:t>e and non-price product attributes. This SO can be broken down in 3 OOs:</w:t>
      </w:r>
    </w:p>
    <w:p w:rsidR="00333A1A" w:rsidRDefault="00333A1A">
      <w:pPr>
        <w:pStyle w:val="Text1"/>
        <w:spacing w:after="0"/>
        <w:ind w:left="0"/>
        <w:rPr>
          <w:noProof/>
        </w:rPr>
      </w:pPr>
    </w:p>
    <w:p w:rsidR="00333A1A" w:rsidRDefault="003D29C9">
      <w:pPr>
        <w:pStyle w:val="Text1"/>
        <w:numPr>
          <w:ilvl w:val="0"/>
          <w:numId w:val="5"/>
        </w:numPr>
        <w:spacing w:after="0"/>
        <w:ind w:left="284" w:firstLine="0"/>
        <w:rPr>
          <w:noProof/>
        </w:rPr>
      </w:pPr>
      <w:r>
        <w:rPr>
          <w:noProof/>
        </w:rPr>
        <w:t xml:space="preserve">OO2.1: Productivity and efficiency gains </w:t>
      </w:r>
    </w:p>
    <w:p w:rsidR="00333A1A" w:rsidRDefault="003D29C9">
      <w:pPr>
        <w:pStyle w:val="Text1"/>
        <w:numPr>
          <w:ilvl w:val="0"/>
          <w:numId w:val="5"/>
        </w:numPr>
        <w:spacing w:after="0"/>
        <w:ind w:left="284" w:firstLine="0"/>
        <w:rPr>
          <w:noProof/>
        </w:rPr>
      </w:pPr>
      <w:r>
        <w:rPr>
          <w:noProof/>
        </w:rPr>
        <w:t xml:space="preserve">OO2.2: Demand driven production models </w:t>
      </w:r>
    </w:p>
    <w:p w:rsidR="00333A1A" w:rsidRDefault="003D29C9">
      <w:pPr>
        <w:pStyle w:val="Text1"/>
        <w:numPr>
          <w:ilvl w:val="0"/>
          <w:numId w:val="5"/>
        </w:numPr>
        <w:spacing w:after="200"/>
        <w:ind w:left="284" w:firstLine="0"/>
        <w:rPr>
          <w:noProof/>
        </w:rPr>
      </w:pPr>
      <w:r>
        <w:rPr>
          <w:noProof/>
        </w:rPr>
        <w:t xml:space="preserve">OO2.3: Add value to agricultural products </w:t>
      </w:r>
    </w:p>
    <w:p w:rsidR="00333A1A" w:rsidRDefault="00333A1A">
      <w:pPr>
        <w:pStyle w:val="Text1"/>
        <w:spacing w:after="200"/>
        <w:rPr>
          <w:noProof/>
        </w:rPr>
      </w:pPr>
    </w:p>
    <w:p w:rsidR="00333A1A" w:rsidRDefault="00333A1A">
      <w:pPr>
        <w:pStyle w:val="Text1"/>
        <w:spacing w:after="200"/>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3700"/>
      </w:tblGrid>
      <w:tr w:rsidR="00333A1A">
        <w:trPr>
          <w:cantSplit/>
        </w:trPr>
        <w:tc>
          <w:tcPr>
            <w:tcW w:w="5134" w:type="dxa"/>
          </w:tcPr>
          <w:p w:rsidR="00333A1A" w:rsidRDefault="003D29C9">
            <w:pPr>
              <w:rPr>
                <w:b/>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3</w:t>
            </w:r>
            <w:r>
              <w:rPr>
                <w:b/>
                <w:noProof/>
              </w:rPr>
              <w:fldChar w:fldCharType="end"/>
            </w:r>
            <w:r>
              <w:rPr>
                <w:b/>
                <w:noProof/>
              </w:rPr>
              <w:t>. Option scores for SO2 Enhance competitiveness and its 3 OOs</w:t>
            </w:r>
          </w:p>
        </w:tc>
        <w:tc>
          <w:tcPr>
            <w:tcW w:w="3700" w:type="dxa"/>
          </w:tcPr>
          <w:p w:rsidR="00333A1A" w:rsidRDefault="003D29C9">
            <w:pPr>
              <w:rPr>
                <w:b/>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Graph \* ARABIC \s 1 </w:instrText>
            </w:r>
            <w:r>
              <w:rPr>
                <w:b/>
                <w:noProof/>
              </w:rPr>
              <w:fldChar w:fldCharType="separate"/>
            </w:r>
            <w:r>
              <w:rPr>
                <w:b/>
                <w:noProof/>
              </w:rPr>
              <w:t>7</w:t>
            </w:r>
            <w:r>
              <w:rPr>
                <w:b/>
                <w:noProof/>
              </w:rPr>
              <w:fldChar w:fldCharType="end"/>
            </w:r>
            <w:r>
              <w:rPr>
                <w:b/>
                <w:noProof/>
              </w:rPr>
              <w:t xml:space="preserve">. Option scores on SO2 </w:t>
            </w:r>
          </w:p>
        </w:tc>
      </w:tr>
      <w:tr w:rsidR="00333A1A">
        <w:trPr>
          <w:cantSplit/>
        </w:trPr>
        <w:tc>
          <w:tcPr>
            <w:tcW w:w="5134" w:type="dxa"/>
          </w:tcPr>
          <w:tbl>
            <w:tblPr>
              <w:tblStyle w:val="MediumShading1"/>
              <w:tblW w:w="4898" w:type="dxa"/>
              <w:tblLook w:val="04A0" w:firstRow="1" w:lastRow="0" w:firstColumn="1" w:lastColumn="0" w:noHBand="0" w:noVBand="1"/>
            </w:tblPr>
            <w:tblGrid>
              <w:gridCol w:w="606"/>
              <w:gridCol w:w="38"/>
              <w:gridCol w:w="480"/>
              <w:gridCol w:w="1081"/>
              <w:gridCol w:w="992"/>
              <w:gridCol w:w="851"/>
              <w:gridCol w:w="85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Options</w:t>
                  </w:r>
                </w:p>
              </w:tc>
              <w:tc>
                <w:tcPr>
                  <w:tcW w:w="108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SO2</w:t>
                  </w:r>
                </w:p>
              </w:tc>
              <w:tc>
                <w:tcPr>
                  <w:tcW w:w="992"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OO2.1</w:t>
                  </w:r>
                </w:p>
              </w:tc>
              <w:tc>
                <w:tcPr>
                  <w:tcW w:w="85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OO2.2</w:t>
                  </w:r>
                </w:p>
              </w:tc>
              <w:tc>
                <w:tcPr>
                  <w:tcW w:w="850"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OO2.3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dxa"/>
                  <w:noWrap/>
                  <w:vAlign w:val="center"/>
                </w:tcPr>
                <w:p w:rsidR="00333A1A" w:rsidRDefault="003D29C9">
                  <w:pPr>
                    <w:rPr>
                      <w:rFonts w:ascii="Times New Roman" w:hAnsi="Times New Roman" w:cs="Times New Roman"/>
                      <w:b w:val="0"/>
                      <w:bCs w:val="0"/>
                      <w:noProof/>
                      <w:sz w:val="20"/>
                      <w:szCs w:val="20"/>
                    </w:rPr>
                  </w:pPr>
                  <w:r>
                    <w:rPr>
                      <w:rFonts w:ascii="Times New Roman" w:hAnsi="Times New Roman" w:cs="Times New Roman"/>
                      <w:noProof/>
                      <w:sz w:val="20"/>
                      <w:szCs w:val="20"/>
                    </w:rPr>
                    <w:t>BAS</w:t>
                  </w:r>
                </w:p>
              </w:tc>
              <w:tc>
                <w:tcPr>
                  <w:tcW w:w="518" w:type="dxa"/>
                  <w:gridSpan w:val="2"/>
                  <w:vAlign w:val="center"/>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36</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65</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15</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1</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25</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14</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67</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3</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52</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57</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36</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BFBFBF" w:themeFill="background1" w:themeFillShade="BF"/>
                  <w:noWrap/>
                  <w:vAlign w:val="center"/>
                  <w:hideMark/>
                </w:tcPr>
                <w:p w:rsidR="00333A1A" w:rsidRDefault="00333A1A">
                  <w:pPr>
                    <w:rPr>
                      <w:rFonts w:ascii="Times New Roman" w:hAnsi="Times New Roman" w:cs="Times New Roman"/>
                      <w:noProof/>
                      <w:sz w:val="20"/>
                      <w:szCs w:val="20"/>
                    </w:rPr>
                  </w:pPr>
                </w:p>
              </w:tc>
              <w:tc>
                <w:tcPr>
                  <w:tcW w:w="480" w:type="dxa"/>
                  <w:shd w:val="clear" w:color="auto" w:fill="BFBFBF" w:themeFill="background1" w:themeFillShade="BF"/>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3a</w:t>
                  </w:r>
                </w:p>
              </w:tc>
              <w:tc>
                <w:tcPr>
                  <w:tcW w:w="108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c>
                <w:tcPr>
                  <w:tcW w:w="992"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64</w:t>
                  </w:r>
                </w:p>
              </w:tc>
              <w:tc>
                <w:tcPr>
                  <w:tcW w:w="85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47</w:t>
                  </w:r>
                </w:p>
              </w:tc>
              <w:tc>
                <w:tcPr>
                  <w:tcW w:w="850"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3b</w:t>
                  </w: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42</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50</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24</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46</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4</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93</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56</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31</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FFFFFF" w:themeFill="background1"/>
                  <w:noWrap/>
                  <w:vAlign w:val="center"/>
                  <w:hideMark/>
                </w:tcPr>
                <w:p w:rsidR="00333A1A" w:rsidRDefault="00333A1A">
                  <w:pPr>
                    <w:rPr>
                      <w:rFonts w:ascii="Times New Roman" w:hAnsi="Times New Roman" w:cs="Times New Roman"/>
                      <w:noProof/>
                      <w:sz w:val="20"/>
                      <w:szCs w:val="20"/>
                    </w:rPr>
                  </w:pPr>
                </w:p>
              </w:tc>
              <w:tc>
                <w:tcPr>
                  <w:tcW w:w="480" w:type="dxa"/>
                  <w:shd w:val="clear" w:color="auto" w:fill="FFFFFF" w:themeFill="background1"/>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4a</w:t>
                  </w:r>
                </w:p>
              </w:tc>
              <w:tc>
                <w:tcPr>
                  <w:tcW w:w="108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c>
                <w:tcPr>
                  <w:tcW w:w="992"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86</w:t>
                  </w:r>
                </w:p>
              </w:tc>
              <w:tc>
                <w:tcPr>
                  <w:tcW w:w="85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35</w:t>
                  </w:r>
                </w:p>
              </w:tc>
              <w:tc>
                <w:tcPr>
                  <w:tcW w:w="850"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31</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4b</w:t>
                  </w: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71</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77</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31</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5</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40</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27</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Weights</w:t>
                  </w:r>
                </w:p>
              </w:tc>
              <w:tc>
                <w:tcPr>
                  <w:tcW w:w="108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w:t>
                  </w:r>
                </w:p>
              </w:tc>
              <w:tc>
                <w:tcPr>
                  <w:tcW w:w="992"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0.40</w:t>
                  </w:r>
                </w:p>
              </w:tc>
              <w:tc>
                <w:tcPr>
                  <w:tcW w:w="85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0.28</w:t>
                  </w:r>
                </w:p>
              </w:tc>
              <w:tc>
                <w:tcPr>
                  <w:tcW w:w="850"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0.32</w:t>
                  </w:r>
                </w:p>
              </w:tc>
            </w:tr>
          </w:tbl>
          <w:p w:rsidR="00333A1A" w:rsidRDefault="00333A1A">
            <w:pPr>
              <w:rPr>
                <w:noProof/>
              </w:rPr>
            </w:pPr>
          </w:p>
        </w:tc>
        <w:tc>
          <w:tcPr>
            <w:tcW w:w="3700" w:type="dxa"/>
          </w:tcPr>
          <w:p w:rsidR="00333A1A" w:rsidRDefault="003D29C9">
            <w:pPr>
              <w:rPr>
                <w:noProof/>
              </w:rPr>
            </w:pPr>
            <w:r>
              <w:rPr>
                <w:noProof/>
              </w:rPr>
              <w:drawing>
                <wp:inline distT="0" distB="0" distL="0" distR="0" wp14:anchorId="7E34DAD4" wp14:editId="4CBBEDED">
                  <wp:extent cx="2159635" cy="215963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333A1A" w:rsidRDefault="003D29C9">
      <w:pPr>
        <w:pStyle w:val="Text1"/>
        <w:spacing w:before="200"/>
        <w:ind w:left="0"/>
        <w:rPr>
          <w:noProof/>
        </w:rPr>
      </w:pPr>
      <w:r>
        <w:rPr>
          <w:noProof/>
        </w:rPr>
        <w:t xml:space="preserve">Reaching the first OO on </w:t>
      </w:r>
      <w:r>
        <w:rPr>
          <w:b/>
          <w:noProof/>
        </w:rPr>
        <w:t>productivity and efficiency gains</w:t>
      </w:r>
      <w:r>
        <w:rPr>
          <w:noProof/>
        </w:rPr>
        <w:t xml:space="preserve"> is judged by the experts to be the most important in contributing to the overall Economic Policy Objective (with a weight of 17% overall or within this SO of 40%). Productivity is only growing at a low pace in the EU, and its spread is uneven. The effect </w:t>
      </w:r>
      <w:r>
        <w:rPr>
          <w:noProof/>
        </w:rPr>
        <w:t>of DP on productivity is not unilateral. While the recent World Bank study</w:t>
      </w:r>
      <w:r>
        <w:rPr>
          <w:rStyle w:val="FootnoteReference"/>
          <w:noProof/>
        </w:rPr>
        <w:footnoteReference w:id="44"/>
      </w:r>
      <w:r>
        <w:rPr>
          <w:noProof/>
        </w:rPr>
        <w:t xml:space="preserve"> shows a strong and positive overall effect, DP are also associated with a slowdown in structural change as they allow less efficient farms to survive. DP are also partly capitalise</w:t>
      </w:r>
      <w:r>
        <w:rPr>
          <w:noProof/>
        </w:rPr>
        <w:t>d in land prices, but as stable source of revenue they allow investments and can be used as collateral with banks. The positive effect of VCS is more contested as it draws away support from more to less productive sectors. For sectors in need VCS could act</w:t>
      </w:r>
      <w:r>
        <w:rPr>
          <w:noProof/>
        </w:rPr>
        <w:t xml:space="preserve"> as a stimulus to enhance competitiveness. However, experts see the need for accompanying measures and a time limit to not distort competition in the single market. Other important measures are Producer Organisations (POs) as well as support for investment</w:t>
      </w:r>
      <w:r>
        <w:rPr>
          <w:noProof/>
        </w:rPr>
        <w:t xml:space="preserve"> in physical assets and in human capital (knowledge and advice). Option 4 is judged best as it combines a high level of targeted DP with a high budget for competitiveness and EIP, while keeping VCS low. 4b is preferred as it is less environmentally demandi</w:t>
      </w:r>
      <w:r>
        <w:rPr>
          <w:noProof/>
        </w:rPr>
        <w:t>ng compared to 4a. 3a also scores well given that the low level of DP will trigger a restructuring in the sector. Absence of VCS and a high EIP budget are also judged beneficial. The baseline attains a fairly low ranking, despite the higher overall budget.</w:t>
      </w:r>
      <w:r>
        <w:rPr>
          <w:noProof/>
        </w:rPr>
        <w:t xml:space="preserve"> Option 5 is judged worst as the focus on small farms makes reaching economies of scale more difficult.</w:t>
      </w:r>
    </w:p>
    <w:p w:rsidR="00333A1A" w:rsidRDefault="003D29C9">
      <w:pPr>
        <w:pStyle w:val="Text1"/>
        <w:spacing w:before="200"/>
        <w:ind w:left="0"/>
        <w:rPr>
          <w:noProof/>
        </w:rPr>
      </w:pPr>
      <w:r>
        <w:rPr>
          <w:noProof/>
        </w:rPr>
        <w:t xml:space="preserve">Stimulating </w:t>
      </w:r>
      <w:r>
        <w:rPr>
          <w:b/>
          <w:noProof/>
        </w:rPr>
        <w:t>demand driven production models</w:t>
      </w:r>
      <w:r>
        <w:rPr>
          <w:noProof/>
        </w:rPr>
        <w:t xml:space="preserve"> (OO2.2) is also seen as important (overall weight of 12% or 28% for this SO). EU consumers are by far the mo</w:t>
      </w:r>
      <w:r>
        <w:rPr>
          <w:noProof/>
        </w:rPr>
        <w:t>st important buyers of EU agricultural products. To meet their evolving demands both price and non-price attributes need to be aligned with consumer expectations. While OO2.3 focuses on adding value to agricultural products (the non-price attributes), this</w:t>
      </w:r>
      <w:r>
        <w:rPr>
          <w:noProof/>
        </w:rPr>
        <w:t xml:space="preserve"> OO focuses on the price and trade component. EU prices in tune with world prices and a positive trade balance are indicative for a competitive EU farming sector. Group experts stress the importance of the capacity to adapt to changing market conditions an</w:t>
      </w:r>
      <w:r>
        <w:rPr>
          <w:noProof/>
        </w:rPr>
        <w:t>d consumer preferences. Decoupled payments, as opposed to coupled payments, are seen as beneficial for market orientation, but, as in the previous section, they are assumed to slow down structural change. Higher environmental requirements are expected to p</w:t>
      </w:r>
      <w:r>
        <w:rPr>
          <w:noProof/>
        </w:rPr>
        <w:t>ut constraints on the production potential, with only limited pay-back from the market (see OO2.3). Strong support for competitiveness is positively associated with this OO. According to experts, option 4b scores best, as it combines a high level of DP and</w:t>
      </w:r>
      <w:r>
        <w:rPr>
          <w:noProof/>
        </w:rPr>
        <w:t xml:space="preserve"> EIP with low environmental constraints and low VCS. 3a also scores well, but here mainly because the reduced DPs and absence of VCS together with the high EIP and Competitiveness budget (which contains support for quality schemes, setting up of POs and in</w:t>
      </w:r>
      <w:r>
        <w:rPr>
          <w:noProof/>
        </w:rPr>
        <w:t>vestments under the RD pillar) will allow restructuring and hence more market orientation. For this OO, option 1 is judged better than the baseline, due to the lower DPs and VCS triggering market orientation. Option 5 is judged worst given high VCS and the</w:t>
      </w:r>
      <w:r>
        <w:rPr>
          <w:noProof/>
        </w:rPr>
        <w:t xml:space="preserve"> focus on small farms which will not allow being price competitive. The modelling results on net trade on the other hand favour the baseline and baseline with cuts, while also option 5 scores better. This might indicate that the experts underrated the effe</w:t>
      </w:r>
      <w:r>
        <w:rPr>
          <w:noProof/>
        </w:rPr>
        <w:t>cts of the budget cut and the more stringent environmental requirements (Graph 3.8), as the baseline and option 1 perform much better while especially 3a and 4a much worse. The reduced budget and the environmental requirements result in production contract</w:t>
      </w:r>
      <w:r>
        <w:rPr>
          <w:noProof/>
        </w:rPr>
        <w:t>ion, affecting the EU's export potential while increasing the imports. On the other hand, the CAPRI model is not capable of capturing the effect of all tested instruments simultaneously, e.g. redistribution towards smaller farms, showing the virtue of comb</w:t>
      </w:r>
      <w:r>
        <w:rPr>
          <w:noProof/>
        </w:rPr>
        <w:t xml:space="preserve">ining both quantitative and qualitative assessment. </w:t>
      </w:r>
    </w:p>
    <w:p w:rsidR="00333A1A" w:rsidRDefault="003D29C9">
      <w:pPr>
        <w:pStyle w:val="Text1"/>
        <w:spacing w:after="0"/>
        <w:ind w:left="0"/>
        <w:rPr>
          <w:noProof/>
        </w:rPr>
      </w:pPr>
      <w:r>
        <w:rPr>
          <w:b/>
          <w:noProof/>
          <w:sz w:val="22"/>
        </w:rPr>
        <w:t xml:space="preserve">Graph </w:t>
      </w:r>
      <w:r>
        <w:rPr>
          <w:b/>
          <w:noProof/>
          <w:sz w:val="22"/>
        </w:rPr>
        <w:fldChar w:fldCharType="begin"/>
      </w:r>
      <w:r>
        <w:rPr>
          <w:b/>
          <w:noProof/>
          <w:sz w:val="22"/>
        </w:rPr>
        <w:instrText xml:space="preserve"> STYLEREF 1 \s </w:instrText>
      </w:r>
      <w:r>
        <w:rPr>
          <w:b/>
          <w:noProof/>
          <w:sz w:val="22"/>
        </w:rPr>
        <w:fldChar w:fldCharType="separate"/>
      </w:r>
      <w:r>
        <w:rPr>
          <w:b/>
          <w:noProof/>
          <w:sz w:val="22"/>
        </w:rPr>
        <w:t>3</w:t>
      </w:r>
      <w:r>
        <w:rPr>
          <w:b/>
          <w:noProof/>
          <w:sz w:val="22"/>
        </w:rPr>
        <w:fldChar w:fldCharType="end"/>
      </w:r>
      <w:r>
        <w:rPr>
          <w:b/>
          <w:noProof/>
          <w:sz w:val="22"/>
        </w:rPr>
        <w:t>.</w:t>
      </w:r>
      <w:r>
        <w:rPr>
          <w:b/>
          <w:noProof/>
          <w:sz w:val="22"/>
        </w:rPr>
        <w:fldChar w:fldCharType="begin"/>
      </w:r>
      <w:r>
        <w:rPr>
          <w:b/>
          <w:noProof/>
          <w:sz w:val="22"/>
        </w:rPr>
        <w:instrText xml:space="preserve"> SEQ Graph \* ARABIC \s 1 </w:instrText>
      </w:r>
      <w:r>
        <w:rPr>
          <w:b/>
          <w:noProof/>
          <w:sz w:val="22"/>
        </w:rPr>
        <w:fldChar w:fldCharType="separate"/>
      </w:r>
      <w:r>
        <w:rPr>
          <w:b/>
          <w:noProof/>
          <w:sz w:val="22"/>
        </w:rPr>
        <w:t>8</w:t>
      </w:r>
      <w:r>
        <w:rPr>
          <w:b/>
          <w:noProof/>
          <w:sz w:val="22"/>
        </w:rPr>
        <w:fldChar w:fldCharType="end"/>
      </w:r>
      <w:r>
        <w:rPr>
          <w:b/>
          <w:noProof/>
          <w:sz w:val="22"/>
        </w:rPr>
        <w:t>. Option scores for OO2.2 combining expert judgement and modelling results on net trade</w:t>
      </w:r>
    </w:p>
    <w:p w:rsidR="00333A1A" w:rsidRDefault="003D29C9">
      <w:pPr>
        <w:pStyle w:val="Text1"/>
        <w:ind w:left="0"/>
        <w:rPr>
          <w:noProof/>
        </w:rPr>
      </w:pPr>
      <w:r>
        <w:rPr>
          <w:noProof/>
          <w:lang w:eastAsia="en-GB"/>
        </w:rPr>
        <w:drawing>
          <wp:inline distT="0" distB="0" distL="0" distR="0" wp14:anchorId="60A38120" wp14:editId="7B9D9545">
            <wp:extent cx="4572000" cy="17716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33A1A" w:rsidRDefault="003D29C9">
      <w:pPr>
        <w:pStyle w:val="Text1"/>
        <w:ind w:left="0"/>
        <w:rPr>
          <w:noProof/>
        </w:rPr>
      </w:pPr>
      <w:r>
        <w:rPr>
          <w:noProof/>
        </w:rPr>
        <w:t xml:space="preserve">The third OO on </w:t>
      </w:r>
      <w:r>
        <w:rPr>
          <w:b/>
          <w:noProof/>
        </w:rPr>
        <w:t>Adding value to agricultural products</w:t>
      </w:r>
      <w:r>
        <w:rPr>
          <w:noProof/>
        </w:rPr>
        <w:t xml:space="preserve"> (overall weight of 14% or 32% for this SO) is also seen as important in helping farmers to better respond to market demands and to retain more added value in the agricultural sector. Quality schemes, organic farming, Geographical Indications (GIs) and mor</w:t>
      </w:r>
      <w:r>
        <w:rPr>
          <w:noProof/>
        </w:rPr>
        <w:t>e integration in the bioeconomy</w:t>
      </w:r>
      <w:r>
        <w:rPr>
          <w:rStyle w:val="FootnoteReference"/>
          <w:noProof/>
        </w:rPr>
        <w:footnoteReference w:id="45"/>
      </w:r>
      <w:r>
        <w:rPr>
          <w:noProof/>
        </w:rPr>
        <w:t xml:space="preserve"> are all associated with this OO. Both organic and GIs profit from support for quality schemes under RD, while GIs also benefit from the Promotion policy and organic farming is exempted from environmental obligations (such a</w:t>
      </w:r>
      <w:r>
        <w:rPr>
          <w:noProof/>
        </w:rPr>
        <w:t xml:space="preserve">s greening under the current CAP). Several measures are currently promoting the integration in the bioeconomy, most notably Focus area 5c under RD and Leader. Group experts associate higher DPs with a lower incentive to convert to organic or to seek other </w:t>
      </w:r>
      <w:r>
        <w:rPr>
          <w:noProof/>
        </w:rPr>
        <w:t>ways of adding value. Massive conversion to organic could saturate the market, but with only 6.5% of the total UAA being organic, there is still ample room for growth. Option 5 is judged best given the top-up for organic, high expenditure on Leader, strong</w:t>
      </w:r>
      <w:r>
        <w:rPr>
          <w:noProof/>
        </w:rPr>
        <w:t xml:space="preserve"> RD support for adding value and for the development of short supply chains. 3a follows as the low income support, together with an increased EIP and cooperation budget, will force farmers to seek alternative ways to add value. Option 1 is judged worst.   </w:t>
      </w:r>
      <w:r>
        <w:rPr>
          <w:noProof/>
        </w:rPr>
        <w:t xml:space="preserve">      </w:t>
      </w:r>
    </w:p>
    <w:p w:rsidR="00333A1A" w:rsidRDefault="003D29C9">
      <w:pPr>
        <w:pStyle w:val="Heading4"/>
        <w:rPr>
          <w:noProof/>
        </w:rPr>
      </w:pPr>
      <w:r>
        <w:rPr>
          <w:noProof/>
        </w:rPr>
        <w:t xml:space="preserve"> SO3: Improve farmers’ position in the value chain</w:t>
      </w:r>
    </w:p>
    <w:p w:rsidR="00333A1A" w:rsidRDefault="003D29C9">
      <w:pPr>
        <w:pStyle w:val="Text1"/>
        <w:ind w:left="0"/>
        <w:rPr>
          <w:noProof/>
        </w:rPr>
      </w:pPr>
      <w:r>
        <w:rPr>
          <w:noProof/>
        </w:rPr>
        <w:t>Important changes to the provisions for farmers to get organized were agreed within the Agricultural Omnibus. The options do not assume changes to these provisions, but assume a different budget allocation for the setting up of POs and short supply chains.</w:t>
      </w:r>
      <w:r>
        <w:rPr>
          <w:noProof/>
        </w:rPr>
        <w:t xml:space="preserve"> Some indirect effects from other policy instruments are also expected to influence farmers' position in the chain.  </w:t>
      </w:r>
    </w:p>
    <w:p w:rsidR="00333A1A" w:rsidRDefault="003D29C9">
      <w:pPr>
        <w:pStyle w:val="Text1"/>
        <w:spacing w:after="0"/>
        <w:ind w:left="0"/>
        <w:rPr>
          <w:noProof/>
        </w:rPr>
      </w:pPr>
      <w:r>
        <w:rPr>
          <w:noProof/>
        </w:rPr>
        <w:t>For this SO, 3 OOs were defined:</w:t>
      </w:r>
    </w:p>
    <w:p w:rsidR="00333A1A" w:rsidRDefault="00333A1A">
      <w:pPr>
        <w:pStyle w:val="Text1"/>
        <w:spacing w:after="0"/>
        <w:rPr>
          <w:noProof/>
        </w:rPr>
      </w:pPr>
    </w:p>
    <w:p w:rsidR="00333A1A" w:rsidRDefault="003D29C9">
      <w:pPr>
        <w:pStyle w:val="Text1"/>
        <w:numPr>
          <w:ilvl w:val="0"/>
          <w:numId w:val="5"/>
        </w:numPr>
        <w:spacing w:after="0"/>
        <w:ind w:left="284" w:firstLine="0"/>
        <w:rPr>
          <w:noProof/>
        </w:rPr>
      </w:pPr>
      <w:r>
        <w:rPr>
          <w:noProof/>
        </w:rPr>
        <w:t xml:space="preserve">OO3.1: Strengthening cooperation amongst farmers (horizontally) </w:t>
      </w:r>
    </w:p>
    <w:p w:rsidR="00333A1A" w:rsidRDefault="003D29C9">
      <w:pPr>
        <w:pStyle w:val="Text1"/>
        <w:numPr>
          <w:ilvl w:val="0"/>
          <w:numId w:val="5"/>
        </w:numPr>
        <w:spacing w:after="0"/>
        <w:ind w:left="284" w:firstLine="0"/>
        <w:rPr>
          <w:noProof/>
        </w:rPr>
      </w:pPr>
      <w:r>
        <w:rPr>
          <w:noProof/>
        </w:rPr>
        <w:t>OO3.2: Enhance synergies within value c</w:t>
      </w:r>
      <w:r>
        <w:rPr>
          <w:noProof/>
        </w:rPr>
        <w:t xml:space="preserve">hain (vertically) </w:t>
      </w:r>
    </w:p>
    <w:p w:rsidR="00333A1A" w:rsidRDefault="003D29C9">
      <w:pPr>
        <w:pStyle w:val="Text1"/>
        <w:numPr>
          <w:ilvl w:val="0"/>
          <w:numId w:val="5"/>
        </w:numPr>
        <w:spacing w:after="200"/>
        <w:ind w:left="284" w:firstLine="0"/>
        <w:rPr>
          <w:noProof/>
        </w:rPr>
      </w:pPr>
      <w:r>
        <w:rPr>
          <w:noProof/>
        </w:rPr>
        <w:t xml:space="preserve">OO3.3: Support the development of local markets and short supply chain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3887"/>
      </w:tblGrid>
      <w:tr w:rsidR="00333A1A">
        <w:tc>
          <w:tcPr>
            <w:tcW w:w="4947" w:type="dxa"/>
          </w:tcPr>
          <w:p w:rsidR="00333A1A" w:rsidRDefault="003D29C9">
            <w:pPr>
              <w:keepNext/>
              <w:rPr>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4</w:t>
            </w:r>
            <w:r>
              <w:rPr>
                <w:b/>
                <w:noProof/>
              </w:rPr>
              <w:fldChar w:fldCharType="end"/>
            </w:r>
            <w:r>
              <w:rPr>
                <w:b/>
                <w:noProof/>
              </w:rPr>
              <w:t>. Option scores for SO3 on farmers' position in the value chain and its 3 OOs</w:t>
            </w:r>
          </w:p>
        </w:tc>
        <w:tc>
          <w:tcPr>
            <w:tcW w:w="3887" w:type="dxa"/>
          </w:tcPr>
          <w:p w:rsidR="00333A1A" w:rsidRDefault="003D29C9">
            <w:pPr>
              <w:keepNext/>
              <w:rPr>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w:instrText>
            </w:r>
            <w:r>
              <w:rPr>
                <w:b/>
                <w:noProof/>
              </w:rPr>
              <w:instrText xml:space="preserve">Graph \* ARABIC \s 1 </w:instrText>
            </w:r>
            <w:r>
              <w:rPr>
                <w:b/>
                <w:noProof/>
              </w:rPr>
              <w:fldChar w:fldCharType="separate"/>
            </w:r>
            <w:r>
              <w:rPr>
                <w:b/>
                <w:noProof/>
              </w:rPr>
              <w:t>9</w:t>
            </w:r>
            <w:r>
              <w:rPr>
                <w:b/>
                <w:noProof/>
              </w:rPr>
              <w:fldChar w:fldCharType="end"/>
            </w:r>
            <w:r>
              <w:rPr>
                <w:b/>
                <w:noProof/>
              </w:rPr>
              <w:t>. Option scores on SO3 (100=maximum)</w:t>
            </w:r>
          </w:p>
        </w:tc>
      </w:tr>
      <w:tr w:rsidR="00333A1A">
        <w:trPr>
          <w:trHeight w:val="3662"/>
        </w:trPr>
        <w:tc>
          <w:tcPr>
            <w:tcW w:w="4947" w:type="dxa"/>
          </w:tcPr>
          <w:tbl>
            <w:tblPr>
              <w:tblStyle w:val="MediumShading1"/>
              <w:tblW w:w="4678" w:type="dxa"/>
              <w:tblLook w:val="04A0" w:firstRow="1" w:lastRow="0" w:firstColumn="1" w:lastColumn="0" w:noHBand="0" w:noVBand="1"/>
            </w:tblPr>
            <w:tblGrid>
              <w:gridCol w:w="424"/>
              <w:gridCol w:w="568"/>
              <w:gridCol w:w="993"/>
              <w:gridCol w:w="992"/>
              <w:gridCol w:w="851"/>
              <w:gridCol w:w="85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gridSpan w:val="2"/>
                  <w:noWrap/>
                  <w:hideMark/>
                </w:tcPr>
                <w:p w:rsidR="00333A1A" w:rsidRDefault="003D29C9">
                  <w:pP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Options</w:t>
                  </w:r>
                </w:p>
              </w:tc>
              <w:tc>
                <w:tcPr>
                  <w:tcW w:w="993" w:type="dxa"/>
                  <w:noWrap/>
                  <w:hideMark/>
                </w:tcPr>
                <w:p w:rsidR="00333A1A" w:rsidRDefault="003D29C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SO3</w:t>
                  </w:r>
                </w:p>
              </w:tc>
              <w:tc>
                <w:tcPr>
                  <w:tcW w:w="992" w:type="dxa"/>
                  <w:noWrap/>
                  <w:hideMark/>
                </w:tcPr>
                <w:p w:rsidR="00333A1A" w:rsidRDefault="003D29C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OO3.1</w:t>
                  </w:r>
                </w:p>
              </w:tc>
              <w:tc>
                <w:tcPr>
                  <w:tcW w:w="851" w:type="dxa"/>
                  <w:noWrap/>
                  <w:hideMark/>
                </w:tcPr>
                <w:p w:rsidR="00333A1A" w:rsidRDefault="003D29C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OO3.2</w:t>
                  </w:r>
                </w:p>
              </w:tc>
              <w:tc>
                <w:tcPr>
                  <w:tcW w:w="850" w:type="dxa"/>
                  <w:noWrap/>
                  <w:hideMark/>
                </w:tcPr>
                <w:p w:rsidR="00333A1A" w:rsidRDefault="003D29C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OO3.3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gridSpan w:val="2"/>
                  <w:noWrap/>
                  <w:vAlign w:val="center"/>
                </w:tcPr>
                <w:p w:rsidR="00333A1A" w:rsidRDefault="003D29C9">
                  <w:pPr>
                    <w:rPr>
                      <w:rFonts w:ascii="Times New Roman" w:eastAsia="Times New Roman" w:hAnsi="Times New Roman" w:cs="Times New Roman"/>
                      <w:noProof/>
                      <w:color w:val="FFFFFF" w:themeColor="background1"/>
                      <w:sz w:val="20"/>
                      <w:lang w:eastAsia="en-GB"/>
                    </w:rPr>
                  </w:pPr>
                  <w:r>
                    <w:rPr>
                      <w:rFonts w:ascii="Times New Roman" w:eastAsia="Times New Roman" w:hAnsi="Times New Roman" w:cs="Times New Roman"/>
                      <w:noProof/>
                      <w:sz w:val="20"/>
                      <w:lang w:eastAsia="en-GB"/>
                    </w:rPr>
                    <w:t>BAS</w:t>
                  </w:r>
                </w:p>
              </w:tc>
              <w:tc>
                <w:tcPr>
                  <w:tcW w:w="993"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24</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25</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23</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22</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 w:type="dxa"/>
                  <w:noWrap/>
                  <w:vAlign w:val="center"/>
                  <w:hideMark/>
                </w:tcPr>
                <w:p w:rsidR="00333A1A" w:rsidRDefault="003D29C9">
                  <w:pP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w:t>
                  </w:r>
                </w:p>
              </w:tc>
              <w:tc>
                <w:tcPr>
                  <w:tcW w:w="568"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FFFFFF" w:themeColor="background1"/>
                      <w:sz w:val="20"/>
                      <w:lang w:eastAsia="en-GB"/>
                    </w:rPr>
                  </w:pP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 w:type="dxa"/>
                  <w:noWrap/>
                  <w:vAlign w:val="center"/>
                  <w:hideMark/>
                </w:tcPr>
                <w:p w:rsidR="00333A1A" w:rsidRDefault="003D29C9">
                  <w:pP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3</w:t>
                  </w:r>
                </w:p>
              </w:tc>
              <w:tc>
                <w:tcPr>
                  <w:tcW w:w="568"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lang w:eastAsia="en-GB"/>
                    </w:rPr>
                  </w:pPr>
                </w:p>
              </w:tc>
              <w:tc>
                <w:tcPr>
                  <w:tcW w:w="99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76</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79</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81</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67</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 w:type="dxa"/>
                  <w:shd w:val="clear" w:color="auto" w:fill="BFBFBF" w:themeFill="background1" w:themeFillShade="BF"/>
                  <w:noWrap/>
                  <w:vAlign w:val="center"/>
                  <w:hideMark/>
                </w:tcPr>
                <w:p w:rsidR="00333A1A" w:rsidRDefault="00333A1A">
                  <w:pPr>
                    <w:rPr>
                      <w:rFonts w:ascii="Times New Roman" w:eastAsia="Times New Roman" w:hAnsi="Times New Roman" w:cs="Times New Roman"/>
                      <w:noProof/>
                      <w:sz w:val="20"/>
                      <w:lang w:eastAsia="en-GB"/>
                    </w:rPr>
                  </w:pPr>
                </w:p>
              </w:tc>
              <w:tc>
                <w:tcPr>
                  <w:tcW w:w="568" w:type="dxa"/>
                  <w:shd w:val="clear" w:color="auto" w:fill="BFBFBF" w:themeFill="background1" w:themeFillShade="BF"/>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3a</w:t>
                  </w:r>
                </w:p>
              </w:tc>
              <w:tc>
                <w:tcPr>
                  <w:tcW w:w="993"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90</w:t>
                  </w:r>
                </w:p>
              </w:tc>
              <w:tc>
                <w:tcPr>
                  <w:tcW w:w="992"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w:t>
                  </w:r>
                </w:p>
              </w:tc>
              <w:tc>
                <w:tcPr>
                  <w:tcW w:w="85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w:t>
                  </w:r>
                </w:p>
              </w:tc>
              <w:tc>
                <w:tcPr>
                  <w:tcW w:w="850"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67</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 w:type="dxa"/>
                  <w:noWrap/>
                  <w:vAlign w:val="center"/>
                  <w:hideMark/>
                </w:tcPr>
                <w:p w:rsidR="00333A1A" w:rsidRDefault="00333A1A">
                  <w:pPr>
                    <w:rPr>
                      <w:rFonts w:ascii="Times New Roman" w:eastAsia="Times New Roman" w:hAnsi="Times New Roman" w:cs="Times New Roman"/>
                      <w:noProof/>
                      <w:sz w:val="20"/>
                      <w:lang w:eastAsia="en-GB"/>
                    </w:rPr>
                  </w:pPr>
                </w:p>
              </w:tc>
              <w:tc>
                <w:tcPr>
                  <w:tcW w:w="568" w:type="dxa"/>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3b</w:t>
                  </w:r>
                </w:p>
              </w:tc>
              <w:tc>
                <w:tcPr>
                  <w:tcW w:w="99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62</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58</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62</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67</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 w:type="dxa"/>
                  <w:noWrap/>
                  <w:vAlign w:val="center"/>
                  <w:hideMark/>
                </w:tcPr>
                <w:p w:rsidR="00333A1A" w:rsidRDefault="003D29C9">
                  <w:pP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4</w:t>
                  </w:r>
                </w:p>
              </w:tc>
              <w:tc>
                <w:tcPr>
                  <w:tcW w:w="568"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noProof/>
                      <w:color w:val="FFFFFF" w:themeColor="background1"/>
                      <w:sz w:val="20"/>
                      <w:lang w:eastAsia="en-GB"/>
                    </w:rPr>
                  </w:pP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54</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42</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85</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 w:type="dxa"/>
                  <w:shd w:val="clear" w:color="auto" w:fill="FFFFFF" w:themeFill="background1"/>
                  <w:noWrap/>
                  <w:vAlign w:val="center"/>
                  <w:hideMark/>
                </w:tcPr>
                <w:p w:rsidR="00333A1A" w:rsidRDefault="00333A1A">
                  <w:pPr>
                    <w:rPr>
                      <w:rFonts w:ascii="Times New Roman" w:eastAsia="Times New Roman" w:hAnsi="Times New Roman" w:cs="Times New Roman"/>
                      <w:noProof/>
                      <w:sz w:val="20"/>
                      <w:lang w:eastAsia="en-GB"/>
                    </w:rPr>
                  </w:pPr>
                </w:p>
              </w:tc>
              <w:tc>
                <w:tcPr>
                  <w:tcW w:w="568" w:type="dxa"/>
                  <w:shd w:val="clear" w:color="auto" w:fill="FFFFFF" w:themeFill="background1"/>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4a</w:t>
                  </w:r>
                </w:p>
              </w:tc>
              <w:tc>
                <w:tcPr>
                  <w:tcW w:w="993"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54</w:t>
                  </w:r>
                </w:p>
              </w:tc>
              <w:tc>
                <w:tcPr>
                  <w:tcW w:w="992"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42</w:t>
                  </w:r>
                </w:p>
              </w:tc>
              <w:tc>
                <w:tcPr>
                  <w:tcW w:w="85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85</w:t>
                  </w:r>
                </w:p>
              </w:tc>
              <w:tc>
                <w:tcPr>
                  <w:tcW w:w="850"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44</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 w:type="dxa"/>
                  <w:noWrap/>
                  <w:vAlign w:val="center"/>
                  <w:hideMark/>
                </w:tcPr>
                <w:p w:rsidR="00333A1A" w:rsidRDefault="00333A1A">
                  <w:pPr>
                    <w:rPr>
                      <w:rFonts w:ascii="Times New Roman" w:eastAsia="Times New Roman" w:hAnsi="Times New Roman" w:cs="Times New Roman"/>
                      <w:noProof/>
                      <w:sz w:val="20"/>
                      <w:lang w:eastAsia="en-GB"/>
                    </w:rPr>
                  </w:pPr>
                </w:p>
              </w:tc>
              <w:tc>
                <w:tcPr>
                  <w:tcW w:w="568" w:type="dxa"/>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4b</w:t>
                  </w: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54</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42</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85</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 w:type="dxa"/>
                  <w:noWrap/>
                  <w:vAlign w:val="center"/>
                  <w:hideMark/>
                </w:tcPr>
                <w:p w:rsidR="00333A1A" w:rsidRDefault="003D29C9">
                  <w:pP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c>
                <w:tcPr>
                  <w:tcW w:w="568"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lang w:eastAsia="en-GB"/>
                    </w:rPr>
                  </w:pPr>
                </w:p>
              </w:tc>
              <w:tc>
                <w:tcPr>
                  <w:tcW w:w="99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72</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75</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38</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w:t>
                  </w:r>
                </w:p>
              </w:tc>
            </w:tr>
            <w:tr w:rsidR="00333A1A" w:rsidTr="00333A1A">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92" w:type="dxa"/>
                  <w:gridSpan w:val="2"/>
                  <w:noWrap/>
                  <w:hideMark/>
                </w:tcPr>
                <w:p w:rsidR="00333A1A" w:rsidRDefault="003D29C9">
                  <w:pP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Weights</w:t>
                  </w: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0.45</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0.27</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0.29</w:t>
                  </w:r>
                </w:p>
              </w:tc>
            </w:tr>
          </w:tbl>
          <w:p w:rsidR="00333A1A" w:rsidRDefault="00333A1A">
            <w:pPr>
              <w:rPr>
                <w:noProof/>
              </w:rPr>
            </w:pPr>
          </w:p>
        </w:tc>
        <w:tc>
          <w:tcPr>
            <w:tcW w:w="3887" w:type="dxa"/>
          </w:tcPr>
          <w:p w:rsidR="00333A1A" w:rsidRDefault="003D29C9">
            <w:pPr>
              <w:rPr>
                <w:noProof/>
              </w:rPr>
            </w:pPr>
            <w:r>
              <w:rPr>
                <w:noProof/>
              </w:rPr>
              <w:drawing>
                <wp:inline distT="0" distB="0" distL="0" distR="0" wp14:anchorId="67746070" wp14:editId="76A4A9F0">
                  <wp:extent cx="2159635" cy="215963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333A1A" w:rsidRDefault="003D29C9">
      <w:pPr>
        <w:pStyle w:val="Text1"/>
        <w:ind w:left="0"/>
        <w:rPr>
          <w:noProof/>
        </w:rPr>
      </w:pPr>
      <w:r>
        <w:rPr>
          <w:noProof/>
        </w:rPr>
        <w:t>Overall, the baseline with post-Brexit cut is the least preferred, as it is a status quo compared to the current situation with additional budget cuts which will bear on the farmers' ability to get organized. Option 4 is also less favoured, as not many add</w:t>
      </w:r>
      <w:r>
        <w:rPr>
          <w:noProof/>
        </w:rPr>
        <w:t>itional actions are proposed to get farmers organized. Experts also do not see differences between 4a and 4b for this SO. Option 5 scores better, starting from the premise that small farms have more incentives to get organized compared to large farms, as w</w:t>
      </w:r>
      <w:r>
        <w:rPr>
          <w:noProof/>
        </w:rPr>
        <w:t>ell as an increased budget for the set-up of short supply chains, also associated mainly with small farms. Option 3 is assessed best, mainly due to the reduction in direct payments, together with a higher budget for risk management, which will stimulate co</w:t>
      </w:r>
      <w:r>
        <w:rPr>
          <w:noProof/>
        </w:rPr>
        <w:t xml:space="preserve">operation among farmers, as they will have to become more efficient to gain more from the market.  </w:t>
      </w:r>
    </w:p>
    <w:p w:rsidR="00333A1A" w:rsidRDefault="003D29C9">
      <w:pPr>
        <w:pStyle w:val="Text1"/>
        <w:spacing w:before="200"/>
        <w:ind w:left="0"/>
        <w:rPr>
          <w:noProof/>
        </w:rPr>
      </w:pPr>
      <w:r>
        <w:rPr>
          <w:noProof/>
        </w:rPr>
        <w:t>To reach this SO, the OO3.1 focusing on the organization of farmers within POs, is expected to be most important (weight of 45%). The assumption across opti</w:t>
      </w:r>
      <w:r>
        <w:rPr>
          <w:noProof/>
        </w:rPr>
        <w:t>ons that multiannual sectoral programs are brought under the CAP planning process is seen as beneficial for farmers getting organized. Option 3a is preferred as it combines stimulating measures under rural development for the setting up of POs (under the C</w:t>
      </w:r>
      <w:r>
        <w:rPr>
          <w:noProof/>
        </w:rPr>
        <w:t xml:space="preserve">ooperation measure) with a high budget for EIP and lowest budget cuts on Competitiveness. As said, lower DPs and enhanced risk management are also expected to contribute to farmers' cooperation. Option 5 also receive a high score given the assumption that </w:t>
      </w:r>
      <w:r>
        <w:rPr>
          <w:noProof/>
        </w:rPr>
        <w:t>(part of) small farms have more incentives to join POs given their low bargaining power, together with high spending for setting up of POs and EIP. In option 4 there is strong focus on innovation, but no specific focus on producer cooperation and competiti</w:t>
      </w:r>
      <w:r>
        <w:rPr>
          <w:noProof/>
        </w:rPr>
        <w:t xml:space="preserve">veness. </w:t>
      </w:r>
    </w:p>
    <w:p w:rsidR="00333A1A" w:rsidRDefault="003D29C9">
      <w:pPr>
        <w:pStyle w:val="Text1"/>
        <w:ind w:left="0"/>
        <w:rPr>
          <w:noProof/>
        </w:rPr>
      </w:pPr>
      <w:r>
        <w:rPr>
          <w:noProof/>
        </w:rPr>
        <w:t>OO3.2 on enhancing synergies in the value chain is associated with better price transparency and increasing added value creation in the food chain. This OO receives a weight of 27%. The experts assume that less income support would lead to disappe</w:t>
      </w:r>
      <w:r>
        <w:rPr>
          <w:noProof/>
        </w:rPr>
        <w:t>arance of small and less efficient farms. The resulting increase in concentration would make it easier to bargain for the farming sector. There was also general agreement that VCS blurs market signals. Option 3a scores best given the low DP, which is an in</w:t>
      </w:r>
      <w:r>
        <w:rPr>
          <w:noProof/>
        </w:rPr>
        <w:t>centive towards cooperation, and more innovation. Option 4 also receives a high score given the high budget for innovation, low VCS and DP not distorting market signals. Favourable for 5 is the support for more basic services and the high EIP budget, while</w:t>
      </w:r>
      <w:r>
        <w:rPr>
          <w:noProof/>
        </w:rPr>
        <w:t xml:space="preserve"> the strong VCS and vertical integration being harder to achieve for small farms are judged less effective.</w:t>
      </w:r>
    </w:p>
    <w:p w:rsidR="00333A1A" w:rsidRDefault="003D29C9">
      <w:pPr>
        <w:pStyle w:val="Text1"/>
        <w:ind w:left="0"/>
        <w:rPr>
          <w:noProof/>
        </w:rPr>
      </w:pPr>
      <w:r>
        <w:rPr>
          <w:noProof/>
        </w:rPr>
        <w:t>For OO3.3 on local markets and short supply chains, with a weight of 29%, option 5 outperforms the other options as the redistribution towards small</w:t>
      </w:r>
      <w:r>
        <w:rPr>
          <w:noProof/>
        </w:rPr>
        <w:t xml:space="preserve"> farms and the top-up for organic farms are also seen as positive for the development of alternative market channels. This is further stimulated by increasing the support towards short supply chains in RD and a higher budget for LEADER. The lower DP in opt</w:t>
      </w:r>
      <w:r>
        <w:rPr>
          <w:noProof/>
        </w:rPr>
        <w:t>ion 3 will trigger (some) farmers to cope with market shocks by diversifying towards other market channels such as the short supply chains, so this is judged positive. The maintenance of high levels of DP together with lower budget for LEADER are seen as l</w:t>
      </w:r>
      <w:r>
        <w:rPr>
          <w:noProof/>
        </w:rPr>
        <w:t xml:space="preserve">ess positive for option 4.    </w:t>
      </w:r>
    </w:p>
    <w:p w:rsidR="00333A1A" w:rsidRDefault="003D29C9">
      <w:pPr>
        <w:pStyle w:val="Heading3"/>
        <w:rPr>
          <w:noProof/>
        </w:rPr>
      </w:pPr>
      <w:bookmarkStart w:id="54" w:name="_Toc508286109"/>
      <w:r>
        <w:rPr>
          <w:noProof/>
        </w:rPr>
        <w:t>Main Socio-Economic objective: Strengthen the socio-economic fabric of rural areas</w:t>
      </w:r>
      <w:bookmarkEnd w:id="54"/>
    </w:p>
    <w:p w:rsidR="00333A1A" w:rsidRDefault="003D29C9">
      <w:pPr>
        <w:pStyle w:val="Text1"/>
        <w:spacing w:after="0"/>
        <w:ind w:left="0"/>
        <w:rPr>
          <w:noProof/>
        </w:rPr>
      </w:pPr>
      <w:r>
        <w:rPr>
          <w:noProof/>
        </w:rPr>
        <w:t>The social dimension of the CAP is typically more difficult to measure and assess as many other policies and forces are at play as well. Rural</w:t>
      </w:r>
      <w:r>
        <w:rPr>
          <w:noProof/>
        </w:rPr>
        <w:t xml:space="preserve"> dwellers other than farmers can profit from support under the second pillar, but with many challenges and a lower budget compared to the 1</w:t>
      </w:r>
      <w:r>
        <w:rPr>
          <w:noProof/>
          <w:vertAlign w:val="superscript"/>
        </w:rPr>
        <w:t>st</w:t>
      </w:r>
      <w:r>
        <w:rPr>
          <w:noProof/>
        </w:rPr>
        <w:t xml:space="preserve"> pillar, the CAP's impact there remains limited. </w:t>
      </w:r>
    </w:p>
    <w:p w:rsidR="00333A1A" w:rsidRDefault="003D29C9">
      <w:pPr>
        <w:pStyle w:val="Text1"/>
        <w:spacing w:after="0"/>
        <w:rPr>
          <w:noProof/>
        </w:rPr>
      </w:pPr>
      <w:r>
        <w:rPr>
          <w:noProof/>
        </w:rPr>
        <w:t xml:space="preserve"> </w:t>
      </w:r>
    </w:p>
    <w:p w:rsidR="00333A1A" w:rsidRDefault="003D29C9">
      <w:pPr>
        <w:pStyle w:val="Text1"/>
        <w:spacing w:after="0"/>
        <w:ind w:left="0"/>
        <w:rPr>
          <w:noProof/>
        </w:rPr>
      </w:pPr>
      <w:r>
        <w:rPr>
          <w:noProof/>
        </w:rPr>
        <w:t>For the main socio-economic objective, 3 Specific Objectives (S</w:t>
      </w:r>
      <w:r>
        <w:rPr>
          <w:noProof/>
        </w:rPr>
        <w:t>O) are identified:</w:t>
      </w:r>
    </w:p>
    <w:p w:rsidR="00333A1A" w:rsidRDefault="00333A1A">
      <w:pPr>
        <w:pStyle w:val="Text1"/>
        <w:spacing w:after="0"/>
        <w:ind w:left="0"/>
        <w:rPr>
          <w:noProof/>
        </w:rPr>
      </w:pPr>
    </w:p>
    <w:p w:rsidR="00333A1A" w:rsidRDefault="003D29C9">
      <w:pPr>
        <w:pStyle w:val="Text1"/>
        <w:numPr>
          <w:ilvl w:val="0"/>
          <w:numId w:val="5"/>
        </w:numPr>
        <w:spacing w:after="0"/>
        <w:ind w:left="720" w:hanging="436"/>
        <w:rPr>
          <w:noProof/>
        </w:rPr>
      </w:pPr>
      <w:r>
        <w:rPr>
          <w:noProof/>
        </w:rPr>
        <w:t xml:space="preserve">SO1: Attract new farmers and facilitate business development, as well as generational renewal </w:t>
      </w:r>
    </w:p>
    <w:p w:rsidR="00333A1A" w:rsidRDefault="003D29C9">
      <w:pPr>
        <w:pStyle w:val="Text1"/>
        <w:numPr>
          <w:ilvl w:val="0"/>
          <w:numId w:val="5"/>
        </w:numPr>
        <w:spacing w:after="0"/>
        <w:ind w:left="284" w:firstLine="0"/>
        <w:rPr>
          <w:noProof/>
        </w:rPr>
      </w:pPr>
      <w:r>
        <w:rPr>
          <w:noProof/>
        </w:rPr>
        <w:t xml:space="preserve">SO2: Promote employment, growth and local development in rural areas </w:t>
      </w:r>
    </w:p>
    <w:p w:rsidR="00333A1A" w:rsidRDefault="003D29C9">
      <w:pPr>
        <w:pStyle w:val="Text1"/>
        <w:numPr>
          <w:ilvl w:val="0"/>
          <w:numId w:val="5"/>
        </w:numPr>
        <w:spacing w:after="200"/>
        <w:ind w:left="284" w:firstLine="0"/>
        <w:rPr>
          <w:noProof/>
        </w:rPr>
      </w:pPr>
      <w:r>
        <w:rPr>
          <w:noProof/>
        </w:rPr>
        <w:t>SO3: Address territorial imbalances, rural poverty and social inclusion</w:t>
      </w:r>
      <w:r>
        <w:rPr>
          <w:noProof/>
        </w:rPr>
        <w:t xml:space="preserve"> </w:t>
      </w:r>
    </w:p>
    <w:p w:rsidR="00333A1A" w:rsidRDefault="003D29C9">
      <w:pPr>
        <w:pStyle w:val="Text1"/>
        <w:ind w:left="0"/>
        <w:rPr>
          <w:noProof/>
        </w:rPr>
      </w:pPr>
      <w:r>
        <w:rPr>
          <w:noProof/>
        </w:rPr>
        <w:t>In the group weighting exercise, SO1 received a weight of 23%, indicating that generational renewal is considered an important part of the socio-economic objective. SO2 is assessed to be the most important (weight of 42%) and SO3 the 2</w:t>
      </w:r>
      <w:r>
        <w:rPr>
          <w:noProof/>
          <w:vertAlign w:val="superscript"/>
        </w:rPr>
        <w:t>nd</w:t>
      </w:r>
      <w:r>
        <w:rPr>
          <w:noProof/>
        </w:rPr>
        <w:t xml:space="preserve"> (35%). The distr</w:t>
      </w:r>
      <w:r>
        <w:rPr>
          <w:noProof/>
        </w:rPr>
        <w:t>ibution of expert weights is fairly homogenous.</w:t>
      </w:r>
    </w:p>
    <w:p w:rsidR="00333A1A" w:rsidRDefault="003D29C9">
      <w:pPr>
        <w:pStyle w:val="Text1"/>
        <w:ind w:left="0"/>
        <w:rPr>
          <w:noProof/>
        </w:rPr>
      </w:pPr>
      <w:r>
        <w:rPr>
          <w:noProof/>
        </w:rPr>
        <w:t>As the table shows, the baseline with cuts (option 1) is considered the least appealing, followed by option 4. It receives an overall mediocre score as it performs poorly on the first SO of generational renew</w:t>
      </w:r>
      <w:r>
        <w:rPr>
          <w:noProof/>
        </w:rPr>
        <w:t>al, given that there is no increase in support for young farmers, no additional expenditure on basic services and Leader while a high level of DPs is retained which incentivises older farmers to remain in business. Also on the 2</w:t>
      </w:r>
      <w:r>
        <w:rPr>
          <w:noProof/>
          <w:vertAlign w:val="superscript"/>
        </w:rPr>
        <w:t>nd</w:t>
      </w:r>
      <w:r>
        <w:rPr>
          <w:noProof/>
        </w:rPr>
        <w:t xml:space="preserve"> SO it receives a fairly l</w:t>
      </w:r>
      <w:r>
        <w:rPr>
          <w:noProof/>
        </w:rPr>
        <w:t xml:space="preserve">ow score as it is expected to neither create much additional employment in rural areas nor give a stimulus to more provision of rural services and infrastructure. Option 3 scores better than the baseline and option 4 given more incentives for generational </w:t>
      </w:r>
      <w:r>
        <w:rPr>
          <w:noProof/>
        </w:rPr>
        <w:t>renewal (esp. 3a), rural employment and growth, while imbalances between territories and groups are better addressed (in 3b). Option 5 outperforms the rest as it is built around redistribution towards small and medium farms, not containing extra minimum re</w:t>
      </w:r>
      <w:r>
        <w:rPr>
          <w:noProof/>
        </w:rPr>
        <w:t>quirements. It also offers VCS, ANC payment, top-ups for organic and young farmers, high EIP, high AECH, high Leader and high basic services. One could say that this option was geared around the social pillar. In the group discussion the topic of short ver</w:t>
      </w:r>
      <w:r>
        <w:rPr>
          <w:noProof/>
        </w:rPr>
        <w:t xml:space="preserve">sus long run effects emerged as important. Social gains in the short run can be offset in the long run due to the erosion of the EU agriculture's competitive position and the creation of a "culture of dependency" to subsidies.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3810"/>
      </w:tblGrid>
      <w:tr w:rsidR="00333A1A">
        <w:trPr>
          <w:cantSplit/>
        </w:trPr>
        <w:tc>
          <w:tcPr>
            <w:tcW w:w="4947" w:type="dxa"/>
          </w:tcPr>
          <w:p w:rsidR="00333A1A" w:rsidRDefault="003D29C9">
            <w:pPr>
              <w:keepNext/>
              <w:rPr>
                <w:b/>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5</w:t>
            </w:r>
            <w:r>
              <w:rPr>
                <w:b/>
                <w:noProof/>
              </w:rPr>
              <w:fldChar w:fldCharType="end"/>
            </w:r>
            <w:r>
              <w:rPr>
                <w:b/>
                <w:noProof/>
              </w:rPr>
              <w:t>. Option scores for main socio-economic objective and the 3 specific objectives</w:t>
            </w:r>
          </w:p>
        </w:tc>
        <w:tc>
          <w:tcPr>
            <w:tcW w:w="3887" w:type="dxa"/>
          </w:tcPr>
          <w:p w:rsidR="00333A1A" w:rsidRDefault="003D29C9">
            <w:pPr>
              <w:keepNext/>
              <w:rPr>
                <w:b/>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Graph \* ARABIC \s 1 </w:instrText>
            </w:r>
            <w:r>
              <w:rPr>
                <w:b/>
                <w:noProof/>
              </w:rPr>
              <w:fldChar w:fldCharType="separate"/>
            </w:r>
            <w:r>
              <w:rPr>
                <w:b/>
                <w:noProof/>
              </w:rPr>
              <w:t>10</w:t>
            </w:r>
            <w:r>
              <w:rPr>
                <w:b/>
                <w:noProof/>
              </w:rPr>
              <w:fldChar w:fldCharType="end"/>
            </w:r>
            <w:r>
              <w:rPr>
                <w:b/>
                <w:noProof/>
              </w:rPr>
              <w:t xml:space="preserve">. Option scores on main socio-economic objective </w:t>
            </w:r>
          </w:p>
        </w:tc>
      </w:tr>
      <w:tr w:rsidR="00333A1A">
        <w:trPr>
          <w:cantSplit/>
          <w:trHeight w:val="3700"/>
        </w:trPr>
        <w:tc>
          <w:tcPr>
            <w:tcW w:w="4947" w:type="dxa"/>
          </w:tcPr>
          <w:tbl>
            <w:tblPr>
              <w:tblStyle w:val="MediumShading1"/>
              <w:tblW w:w="4788" w:type="dxa"/>
              <w:tblLook w:val="04A0" w:firstRow="1" w:lastRow="0" w:firstColumn="1" w:lastColumn="0" w:noHBand="0" w:noVBand="1"/>
            </w:tblPr>
            <w:tblGrid>
              <w:gridCol w:w="518"/>
              <w:gridCol w:w="88"/>
              <w:gridCol w:w="496"/>
              <w:gridCol w:w="993"/>
              <w:gridCol w:w="992"/>
              <w:gridCol w:w="851"/>
              <w:gridCol w:w="85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dxa"/>
                  <w:gridSpan w:val="3"/>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Options</w:t>
                  </w:r>
                </w:p>
              </w:tc>
              <w:tc>
                <w:tcPr>
                  <w:tcW w:w="993"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MO</w:t>
                  </w:r>
                </w:p>
              </w:tc>
              <w:tc>
                <w:tcPr>
                  <w:tcW w:w="992"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SO1</w:t>
                  </w:r>
                </w:p>
              </w:tc>
              <w:tc>
                <w:tcPr>
                  <w:tcW w:w="851"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SO2</w:t>
                  </w:r>
                </w:p>
              </w:tc>
              <w:tc>
                <w:tcPr>
                  <w:tcW w:w="850"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SO3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dxa"/>
                  <w:gridSpan w:val="2"/>
                  <w:noWrap/>
                  <w:vAlign w:val="center"/>
                </w:tcPr>
                <w:p w:rsidR="00333A1A" w:rsidRDefault="003D29C9">
                  <w:pPr>
                    <w:rPr>
                      <w:rFonts w:ascii="Times New Roman" w:hAnsi="Times New Roman" w:cs="Times New Roman"/>
                      <w:b w:val="0"/>
                      <w:bCs w:val="0"/>
                      <w:noProof/>
                      <w:sz w:val="20"/>
                    </w:rPr>
                  </w:pPr>
                  <w:r>
                    <w:rPr>
                      <w:rFonts w:ascii="Times New Roman" w:hAnsi="Times New Roman" w:cs="Times New Roman"/>
                      <w:noProof/>
                      <w:sz w:val="20"/>
                    </w:rPr>
                    <w:t>BAS</w:t>
                  </w:r>
                </w:p>
              </w:tc>
              <w:tc>
                <w:tcPr>
                  <w:tcW w:w="496" w:type="dxa"/>
                  <w:vAlign w:val="center"/>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p>
              </w:tc>
              <w:tc>
                <w:tcPr>
                  <w:tcW w:w="993"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47</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52</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sz w:val="20"/>
                    </w:rPr>
                    <w:t>33</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1</w:t>
                  </w:r>
                </w:p>
              </w:tc>
              <w:tc>
                <w:tcPr>
                  <w:tcW w:w="584" w:type="dxa"/>
                  <w:gridSpan w:val="2"/>
                  <w:noWrap/>
                  <w:vAlign w:val="center"/>
                  <w:hideMark/>
                </w:tcPr>
                <w:p w:rsidR="00333A1A" w:rsidRDefault="00333A1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11</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19</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sz w:val="20"/>
                    </w:rPr>
                    <w:t>7</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3</w:t>
                  </w:r>
                </w:p>
              </w:tc>
              <w:tc>
                <w:tcPr>
                  <w:tcW w:w="584" w:type="dxa"/>
                  <w:gridSpan w:val="2"/>
                  <w:noWrap/>
                  <w:vAlign w:val="center"/>
                  <w:hideMark/>
                </w:tcPr>
                <w:p w:rsidR="00333A1A" w:rsidRDefault="00333A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p>
              </w:tc>
              <w:tc>
                <w:tcPr>
                  <w:tcW w:w="99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59</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65</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50</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sz w:val="20"/>
                    </w:rPr>
                    <w:t>58</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shd w:val="clear" w:color="auto" w:fill="auto"/>
                  <w:noWrap/>
                  <w:vAlign w:val="center"/>
                  <w:hideMark/>
                </w:tcPr>
                <w:p w:rsidR="00333A1A" w:rsidRDefault="00333A1A">
                  <w:pPr>
                    <w:jc w:val="center"/>
                    <w:rPr>
                      <w:rFonts w:ascii="Times New Roman" w:hAnsi="Times New Roman" w:cs="Times New Roman"/>
                      <w:noProof/>
                      <w:sz w:val="20"/>
                    </w:rPr>
                  </w:pPr>
                </w:p>
              </w:tc>
              <w:tc>
                <w:tcPr>
                  <w:tcW w:w="584" w:type="dxa"/>
                  <w:gridSpan w:val="2"/>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3a</w:t>
                  </w:r>
                </w:p>
              </w:tc>
              <w:tc>
                <w:tcPr>
                  <w:tcW w:w="993" w:type="dxa"/>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55</w:t>
                  </w:r>
                </w:p>
              </w:tc>
              <w:tc>
                <w:tcPr>
                  <w:tcW w:w="992" w:type="dxa"/>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85</w:t>
                  </w:r>
                </w:p>
              </w:tc>
              <w:tc>
                <w:tcPr>
                  <w:tcW w:w="851" w:type="dxa"/>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31</w:t>
                  </w:r>
                </w:p>
              </w:tc>
              <w:tc>
                <w:tcPr>
                  <w:tcW w:w="850" w:type="dxa"/>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sz w:val="20"/>
                    </w:rPr>
                    <w:t>63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vAlign w:val="center"/>
                  <w:hideMark/>
                </w:tcPr>
                <w:p w:rsidR="00333A1A" w:rsidRDefault="00333A1A">
                  <w:pPr>
                    <w:jc w:val="center"/>
                    <w:rPr>
                      <w:rFonts w:ascii="Times New Roman" w:hAnsi="Times New Roman" w:cs="Times New Roman"/>
                      <w:noProof/>
                      <w:sz w:val="20"/>
                    </w:rPr>
                  </w:pPr>
                </w:p>
              </w:tc>
              <w:tc>
                <w:tcPr>
                  <w:tcW w:w="584" w:type="dxa"/>
                  <w:gridSpan w:val="2"/>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3b</w:t>
                  </w:r>
                </w:p>
              </w:tc>
              <w:tc>
                <w:tcPr>
                  <w:tcW w:w="99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64</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46</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sz w:val="20"/>
                    </w:rPr>
                    <w:t>71</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4</w:t>
                  </w:r>
                </w:p>
              </w:tc>
              <w:tc>
                <w:tcPr>
                  <w:tcW w:w="584" w:type="dxa"/>
                  <w:gridSpan w:val="2"/>
                  <w:noWrap/>
                  <w:vAlign w:val="center"/>
                  <w:hideMark/>
                </w:tcPr>
                <w:p w:rsidR="00333A1A" w:rsidRDefault="00333A1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rPr>
                  </w:pP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42</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23</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41</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sz w:val="20"/>
                    </w:rPr>
                    <w:t>38</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shd w:val="clear" w:color="auto" w:fill="BFBFBF" w:themeFill="background1" w:themeFillShade="BF"/>
                  <w:noWrap/>
                  <w:vAlign w:val="center"/>
                  <w:hideMark/>
                </w:tcPr>
                <w:p w:rsidR="00333A1A" w:rsidRDefault="00333A1A">
                  <w:pPr>
                    <w:jc w:val="center"/>
                    <w:rPr>
                      <w:rFonts w:ascii="Times New Roman" w:hAnsi="Times New Roman" w:cs="Times New Roman"/>
                      <w:noProof/>
                      <w:sz w:val="20"/>
                    </w:rPr>
                  </w:pPr>
                </w:p>
              </w:tc>
              <w:tc>
                <w:tcPr>
                  <w:tcW w:w="584" w:type="dxa"/>
                  <w:gridSpan w:val="2"/>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4a</w:t>
                  </w:r>
                </w:p>
              </w:tc>
              <w:tc>
                <w:tcPr>
                  <w:tcW w:w="993" w:type="dxa"/>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c>
                <w:tcPr>
                  <w:tcW w:w="992" w:type="dxa"/>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15</w:t>
                  </w:r>
                </w:p>
              </w:tc>
              <w:tc>
                <w:tcPr>
                  <w:tcW w:w="851" w:type="dxa"/>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34</w:t>
                  </w:r>
                </w:p>
              </w:tc>
              <w:tc>
                <w:tcPr>
                  <w:tcW w:w="850" w:type="dxa"/>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sz w:val="20"/>
                    </w:rPr>
                    <w:t>58</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vAlign w:val="center"/>
                  <w:hideMark/>
                </w:tcPr>
                <w:p w:rsidR="00333A1A" w:rsidRDefault="00333A1A">
                  <w:pPr>
                    <w:jc w:val="center"/>
                    <w:rPr>
                      <w:rFonts w:ascii="Times New Roman" w:hAnsi="Times New Roman" w:cs="Times New Roman"/>
                      <w:noProof/>
                      <w:sz w:val="20"/>
                    </w:rPr>
                  </w:pPr>
                </w:p>
              </w:tc>
              <w:tc>
                <w:tcPr>
                  <w:tcW w:w="584" w:type="dxa"/>
                  <w:gridSpan w:val="2"/>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4b</w:t>
                  </w: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46</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31</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47</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sz w:val="20"/>
                    </w:rPr>
                    <w:t>54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5</w:t>
                  </w:r>
                </w:p>
              </w:tc>
              <w:tc>
                <w:tcPr>
                  <w:tcW w:w="584" w:type="dxa"/>
                  <w:gridSpan w:val="2"/>
                  <w:noWrap/>
                  <w:vAlign w:val="center"/>
                  <w:hideMark/>
                </w:tcPr>
                <w:p w:rsidR="00333A1A" w:rsidRDefault="00333A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p>
              </w:tc>
              <w:tc>
                <w:tcPr>
                  <w:tcW w:w="99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91</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83</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sz w:val="20"/>
                    </w:rPr>
                    <w:t>95</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dxa"/>
                  <w:gridSpan w:val="3"/>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Weights</w:t>
                  </w:r>
                </w:p>
              </w:tc>
              <w:tc>
                <w:tcPr>
                  <w:tcW w:w="99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1</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0.23</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0.42</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0.35</w:t>
                  </w:r>
                </w:p>
              </w:tc>
            </w:tr>
          </w:tbl>
          <w:p w:rsidR="00333A1A" w:rsidRDefault="00333A1A">
            <w:pPr>
              <w:rPr>
                <w:noProof/>
              </w:rPr>
            </w:pPr>
          </w:p>
        </w:tc>
        <w:tc>
          <w:tcPr>
            <w:tcW w:w="3887" w:type="dxa"/>
          </w:tcPr>
          <w:p w:rsidR="00333A1A" w:rsidRDefault="003D29C9">
            <w:pPr>
              <w:rPr>
                <w:noProof/>
              </w:rPr>
            </w:pPr>
            <w:r>
              <w:rPr>
                <w:noProof/>
              </w:rPr>
              <w:drawing>
                <wp:inline distT="0" distB="0" distL="0" distR="0" wp14:anchorId="261842B1" wp14:editId="0BC3465D">
                  <wp:extent cx="2159635" cy="215963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333A1A" w:rsidRDefault="003D29C9">
      <w:pPr>
        <w:pStyle w:val="Heading4"/>
        <w:rPr>
          <w:noProof/>
        </w:rPr>
      </w:pPr>
      <w:r>
        <w:rPr>
          <w:noProof/>
        </w:rPr>
        <w:t xml:space="preserve"> SO1: Attract new farmers and facilitate business development, as well as generational renewal</w:t>
      </w:r>
    </w:p>
    <w:p w:rsidR="00333A1A" w:rsidRDefault="003D29C9">
      <w:pPr>
        <w:pStyle w:val="Text1"/>
        <w:ind w:left="0"/>
        <w:rPr>
          <w:noProof/>
        </w:rPr>
      </w:pPr>
      <w:r>
        <w:rPr>
          <w:noProof/>
        </w:rPr>
        <w:t>Only one OO, Fostering generational renewal in rural areas, is associated with this SO. Young farmers on average have larger farms, with more rented land. They r</w:t>
      </w:r>
      <w:r>
        <w:rPr>
          <w:noProof/>
        </w:rPr>
        <w:t>elatively invest more and find access to land and credit constraining. Their income is about average. They are also more often engaged in organic farming. Main uncertainty during the group discussion related to the positive or negative effect of DP on gene</w:t>
      </w:r>
      <w:r>
        <w:rPr>
          <w:noProof/>
        </w:rPr>
        <w:t>rational renewal. With higher DP, older farmers are more reluctant to leave the sector, while part of the payments are also absorbed into land prices, making access more difficult (even if it was stressed that land capitalisation depends heavily on MS land</w:t>
      </w:r>
      <w:r>
        <w:rPr>
          <w:noProof/>
        </w:rPr>
        <w:t xml:space="preserve"> regulation). On the other hand, as collateral DP can facilitate access to credit and they offer a stable source of income.</w:t>
      </w:r>
    </w:p>
    <w:p w:rsidR="00333A1A" w:rsidRDefault="003D29C9">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3887"/>
      </w:tblGrid>
      <w:tr w:rsidR="00333A1A">
        <w:trPr>
          <w:cantSplit/>
        </w:trPr>
        <w:tc>
          <w:tcPr>
            <w:tcW w:w="4947" w:type="dxa"/>
            <w:vMerge w:val="restart"/>
          </w:tcPr>
          <w:p w:rsidR="00333A1A" w:rsidRDefault="003D29C9">
            <w:pPr>
              <w:jc w:val="both"/>
              <w:rPr>
                <w:noProof/>
              </w:rPr>
            </w:pPr>
            <w:r>
              <w:rPr>
                <w:noProof/>
                <w:sz w:val="24"/>
              </w:rPr>
              <w:t xml:space="preserve">Option 5 ranks highest because of the high Young Farmer (YF) top-up under DP, the support to organic, more budget for Leader, for </w:t>
            </w:r>
            <w:r>
              <w:rPr>
                <w:noProof/>
                <w:sz w:val="24"/>
              </w:rPr>
              <w:t>infrastructure and services, EIP, cooperation etc. 3a also scores well, given the high top-up for YF, and a high budget for Competitiveness, good for young farmers who want to invest, and the low DP which will force some farmers out of the sector. Given it</w:t>
            </w:r>
            <w:r>
              <w:rPr>
                <w:noProof/>
                <w:sz w:val="24"/>
              </w:rPr>
              <w:t>s higher budget, the baseline also scores well. 3b has less budget for YF and lower spending on EIP, but high budget for competitiveness and for basic services. 4 scores less as there is no elevated YF payment and lower budget for basic services and Leader</w:t>
            </w:r>
            <w:r>
              <w:rPr>
                <w:noProof/>
                <w:sz w:val="24"/>
              </w:rPr>
              <w:t xml:space="preserve">, while the high DP keep older farmers in business.   </w:t>
            </w:r>
          </w:p>
        </w:tc>
        <w:tc>
          <w:tcPr>
            <w:tcW w:w="3887" w:type="dxa"/>
          </w:tcPr>
          <w:p w:rsidR="00333A1A" w:rsidRDefault="003D29C9">
            <w:pPr>
              <w:rPr>
                <w:b/>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Graph \* ARABIC \s 1 </w:instrText>
            </w:r>
            <w:r>
              <w:rPr>
                <w:b/>
                <w:noProof/>
              </w:rPr>
              <w:fldChar w:fldCharType="separate"/>
            </w:r>
            <w:r>
              <w:rPr>
                <w:b/>
                <w:noProof/>
              </w:rPr>
              <w:t>11</w:t>
            </w:r>
            <w:r>
              <w:rPr>
                <w:b/>
                <w:noProof/>
              </w:rPr>
              <w:fldChar w:fldCharType="end"/>
            </w:r>
            <w:r>
              <w:rPr>
                <w:b/>
                <w:noProof/>
              </w:rPr>
              <w:t xml:space="preserve">. Option scores on OO1.1 Generational renewal </w:t>
            </w:r>
          </w:p>
        </w:tc>
      </w:tr>
      <w:tr w:rsidR="00333A1A">
        <w:trPr>
          <w:cantSplit/>
        </w:trPr>
        <w:tc>
          <w:tcPr>
            <w:tcW w:w="4947" w:type="dxa"/>
            <w:vMerge/>
          </w:tcPr>
          <w:p w:rsidR="00333A1A" w:rsidRDefault="00333A1A">
            <w:pPr>
              <w:rPr>
                <w:noProof/>
              </w:rPr>
            </w:pPr>
          </w:p>
        </w:tc>
        <w:tc>
          <w:tcPr>
            <w:tcW w:w="3887" w:type="dxa"/>
          </w:tcPr>
          <w:p w:rsidR="00333A1A" w:rsidRDefault="003D29C9">
            <w:pPr>
              <w:rPr>
                <w:noProof/>
              </w:rPr>
            </w:pPr>
            <w:r>
              <w:rPr>
                <w:noProof/>
              </w:rPr>
              <w:drawing>
                <wp:inline distT="0" distB="0" distL="0" distR="0" wp14:anchorId="5D6F0AE4" wp14:editId="0801B402">
                  <wp:extent cx="2159635" cy="215963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333A1A" w:rsidRDefault="003D29C9">
      <w:pPr>
        <w:pStyle w:val="Heading4"/>
        <w:spacing w:before="240"/>
        <w:ind w:left="1922"/>
        <w:rPr>
          <w:noProof/>
        </w:rPr>
      </w:pPr>
      <w:r>
        <w:rPr>
          <w:noProof/>
        </w:rPr>
        <w:t xml:space="preserve"> SO2: Promote employment, growth and local development in rural areas</w:t>
      </w:r>
    </w:p>
    <w:p w:rsidR="00333A1A" w:rsidRDefault="003D29C9">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This SO2 brings together 4 OOs: </w:t>
      </w:r>
    </w:p>
    <w:p w:rsidR="00333A1A" w:rsidRDefault="003D29C9">
      <w:pPr>
        <w:pStyle w:val="Text1"/>
        <w:numPr>
          <w:ilvl w:val="0"/>
          <w:numId w:val="5"/>
        </w:numPr>
        <w:spacing w:after="0"/>
        <w:ind w:left="284" w:firstLine="0"/>
        <w:rPr>
          <w:noProof/>
        </w:rPr>
      </w:pPr>
      <w:r>
        <w:rPr>
          <w:noProof/>
        </w:rPr>
        <w:t xml:space="preserve">OO2.1: Foster employment in rural areas </w:t>
      </w:r>
    </w:p>
    <w:p w:rsidR="00333A1A" w:rsidRDefault="003D29C9">
      <w:pPr>
        <w:pStyle w:val="Text1"/>
        <w:numPr>
          <w:ilvl w:val="0"/>
          <w:numId w:val="5"/>
        </w:numPr>
        <w:spacing w:after="0"/>
        <w:ind w:left="284" w:firstLine="0"/>
        <w:rPr>
          <w:noProof/>
        </w:rPr>
      </w:pPr>
      <w:r>
        <w:rPr>
          <w:noProof/>
        </w:rPr>
        <w:t xml:space="preserve">OO2.2: Foster income and value added (VA) in rural areas </w:t>
      </w:r>
    </w:p>
    <w:p w:rsidR="00333A1A" w:rsidRDefault="003D29C9">
      <w:pPr>
        <w:pStyle w:val="Text1"/>
        <w:numPr>
          <w:ilvl w:val="0"/>
          <w:numId w:val="5"/>
        </w:numPr>
        <w:spacing w:after="0"/>
        <w:ind w:left="284" w:firstLine="0"/>
        <w:rPr>
          <w:noProof/>
        </w:rPr>
      </w:pPr>
      <w:r>
        <w:rPr>
          <w:noProof/>
        </w:rPr>
        <w:t xml:space="preserve">OO2.3: Foster inclusive growth in rural areas </w:t>
      </w:r>
    </w:p>
    <w:p w:rsidR="00333A1A" w:rsidRDefault="003D29C9">
      <w:pPr>
        <w:pStyle w:val="Text1"/>
        <w:numPr>
          <w:ilvl w:val="0"/>
          <w:numId w:val="5"/>
        </w:numPr>
        <w:spacing w:after="120"/>
        <w:ind w:left="284" w:firstLine="0"/>
        <w:rPr>
          <w:noProof/>
        </w:rPr>
      </w:pPr>
      <w:r>
        <w:rPr>
          <w:noProof/>
        </w:rPr>
        <w:t xml:space="preserve">OO2.4: Improve access to infrastructure and services in rural areas </w:t>
      </w:r>
    </w:p>
    <w:p w:rsidR="00333A1A" w:rsidRDefault="003D29C9">
      <w:pPr>
        <w:pStyle w:val="Text1"/>
        <w:ind w:left="0"/>
        <w:rPr>
          <w:noProof/>
        </w:rPr>
      </w:pPr>
      <w:r>
        <w:rPr>
          <w:noProof/>
        </w:rPr>
        <w:t xml:space="preserve">The OO on income and VA creation (with weight of 32%) is considered most important, followed by access to infrastructure and services (29%). </w:t>
      </w:r>
    </w:p>
    <w:p w:rsidR="00333A1A" w:rsidRDefault="003D29C9">
      <w:pPr>
        <w:pStyle w:val="Text1"/>
        <w:ind w:left="0"/>
        <w:rPr>
          <w:noProof/>
        </w:rPr>
      </w:pPr>
      <w:r>
        <w:rPr>
          <w:noProof/>
        </w:rPr>
        <w:t xml:space="preserve">The OO on </w:t>
      </w:r>
      <w:r>
        <w:rPr>
          <w:b/>
          <w:noProof/>
        </w:rPr>
        <w:t>fostering employment</w:t>
      </w:r>
      <w:r>
        <w:rPr>
          <w:noProof/>
        </w:rPr>
        <w:t xml:space="preserve"> covers both agricultural and non-agricultural sectors in rural areas, with the CAP </w:t>
      </w:r>
      <w:r>
        <w:rPr>
          <w:noProof/>
        </w:rPr>
        <w:t xml:space="preserve">being only one of the factors having effect on it. It considers both the creation and the maintenance of jobs in rural areas. Farmers only cover 12% of employment in rural areas. During the group discussion many uncertainties emerged. One relates to small </w:t>
      </w:r>
      <w:r>
        <w:rPr>
          <w:noProof/>
        </w:rPr>
        <w:t>farms, which are often occupied by part-time older farmers, to complement their pension. Incentivising these can be seen as socially desirable but not economically. Further, DP are less directly associated with the creation of jobs but they are more with t</w:t>
      </w:r>
      <w:r>
        <w:rPr>
          <w:noProof/>
        </w:rPr>
        <w:t>he maintenance of jobs, while RD measures are more associated with the creation of jobs. The quality of jobs is also an important element, while low quality jobs in agriculture can be found in both big and small farms. A negative correlation between knowle</w:t>
      </w:r>
      <w:r>
        <w:rPr>
          <w:noProof/>
        </w:rPr>
        <w:t>dge and innovation and employment is assumed, as it has the potential to replace labour by less costly inputs. Higher environmental demands may have a link with increased labour intensity but they also affect the available budget for other measures. Also V</w:t>
      </w:r>
      <w:r>
        <w:rPr>
          <w:noProof/>
        </w:rPr>
        <w:t>CS has pros and cons as it keeps people in otherwise less viable sectors but with long term negative prospects and additional pressure on sectors/regions where VCS is not applied. With respect to option scoring, option 5 is considered best as it directs su</w:t>
      </w:r>
      <w:r>
        <w:rPr>
          <w:noProof/>
        </w:rPr>
        <w:t>pport to more labour intensive farms (small, organic), it offers VCS, it has a high budget for Leader and Basic services and infrastructure, it promotes Cooperation and Diversification. 3b follows as it has highest Leader and Basic services, supporting off</w:t>
      </w:r>
      <w:r>
        <w:rPr>
          <w:noProof/>
        </w:rPr>
        <w:t>-farm employment, as well as VCS. The baseline is ranked third due to its higher overall budget for RD measures. The lower score under 3a is explained by the lower DP outbalanced by higher expenditure for Leader and Competitiveness. Option 4 is ranked lowe</w:t>
      </w:r>
      <w:r>
        <w:rPr>
          <w:noProof/>
        </w:rPr>
        <w:t>r given the lower expenditure for the relevant RD measures.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339"/>
      </w:tblGrid>
      <w:tr w:rsidR="00333A1A">
        <w:trPr>
          <w:cantSplit/>
        </w:trPr>
        <w:tc>
          <w:tcPr>
            <w:tcW w:w="5495" w:type="dxa"/>
          </w:tcPr>
          <w:p w:rsidR="00333A1A" w:rsidRDefault="003D29C9">
            <w:pPr>
              <w:keepNext/>
              <w:rPr>
                <w:b/>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6</w:t>
            </w:r>
            <w:r>
              <w:rPr>
                <w:b/>
                <w:noProof/>
              </w:rPr>
              <w:fldChar w:fldCharType="end"/>
            </w:r>
            <w:r>
              <w:rPr>
                <w:b/>
                <w:noProof/>
              </w:rPr>
              <w:t>. Option scores for SO2 on employment and growth in rural areas and its 4 OOs</w:t>
            </w:r>
          </w:p>
        </w:tc>
        <w:tc>
          <w:tcPr>
            <w:tcW w:w="3339" w:type="dxa"/>
          </w:tcPr>
          <w:p w:rsidR="00333A1A" w:rsidRDefault="003D29C9">
            <w:pPr>
              <w:keepNext/>
              <w:rPr>
                <w:b/>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Graph \* ARABIC \s 1 </w:instrText>
            </w:r>
            <w:r>
              <w:rPr>
                <w:b/>
                <w:noProof/>
              </w:rPr>
              <w:fldChar w:fldCharType="separate"/>
            </w:r>
            <w:r>
              <w:rPr>
                <w:b/>
                <w:noProof/>
              </w:rPr>
              <w:t>12</w:t>
            </w:r>
            <w:r>
              <w:rPr>
                <w:b/>
                <w:noProof/>
              </w:rPr>
              <w:fldChar w:fldCharType="end"/>
            </w:r>
            <w:r>
              <w:rPr>
                <w:b/>
                <w:noProof/>
              </w:rPr>
              <w:t>. Opt</w:t>
            </w:r>
            <w:r>
              <w:rPr>
                <w:b/>
                <w:noProof/>
              </w:rPr>
              <w:t xml:space="preserve">ion scores on SO2 </w:t>
            </w:r>
          </w:p>
        </w:tc>
      </w:tr>
      <w:tr w:rsidR="00333A1A">
        <w:trPr>
          <w:cantSplit/>
          <w:trHeight w:val="3692"/>
        </w:trPr>
        <w:tc>
          <w:tcPr>
            <w:tcW w:w="5495" w:type="dxa"/>
          </w:tcPr>
          <w:tbl>
            <w:tblPr>
              <w:tblStyle w:val="MediumShading1"/>
              <w:tblW w:w="5225" w:type="dxa"/>
              <w:tblLayout w:type="fixed"/>
              <w:tblLook w:val="04A0" w:firstRow="1" w:lastRow="0" w:firstColumn="1" w:lastColumn="0" w:noHBand="0" w:noVBand="1"/>
            </w:tblPr>
            <w:tblGrid>
              <w:gridCol w:w="409"/>
              <w:gridCol w:w="543"/>
              <w:gridCol w:w="937"/>
              <w:gridCol w:w="936"/>
              <w:gridCol w:w="805"/>
              <w:gridCol w:w="805"/>
              <w:gridCol w:w="79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Options</w:t>
                  </w:r>
                </w:p>
              </w:tc>
              <w:tc>
                <w:tcPr>
                  <w:tcW w:w="937"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SO2</w:t>
                  </w:r>
                </w:p>
              </w:tc>
              <w:tc>
                <w:tcPr>
                  <w:tcW w:w="936"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OO2.1</w:t>
                  </w:r>
                </w:p>
              </w:tc>
              <w:tc>
                <w:tcPr>
                  <w:tcW w:w="805"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OO2.2</w:t>
                  </w:r>
                </w:p>
              </w:tc>
              <w:tc>
                <w:tcPr>
                  <w:tcW w:w="805"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OO2.3</w:t>
                  </w:r>
                </w:p>
              </w:tc>
              <w:tc>
                <w:tcPr>
                  <w:tcW w:w="790" w:type="dxa"/>
                  <w:vAlign w:val="center"/>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OO2.4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tcPr>
                <w:p w:rsidR="00333A1A" w:rsidRDefault="003D29C9">
                  <w:pPr>
                    <w:rPr>
                      <w:rFonts w:ascii="Times New Roman" w:hAnsi="Times New Roman" w:cs="Times New Roman"/>
                      <w:noProof/>
                      <w:sz w:val="20"/>
                    </w:rPr>
                  </w:pPr>
                  <w:r>
                    <w:rPr>
                      <w:rFonts w:ascii="Times New Roman" w:hAnsi="Times New Roman" w:cs="Times New Roman"/>
                      <w:noProof/>
                      <w:sz w:val="20"/>
                    </w:rPr>
                    <w:t>BAS</w:t>
                  </w:r>
                </w:p>
              </w:tc>
              <w:tc>
                <w:tcPr>
                  <w:tcW w:w="937"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52</w:t>
                  </w:r>
                </w:p>
              </w:tc>
              <w:tc>
                <w:tcPr>
                  <w:tcW w:w="936"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c>
                <w:tcPr>
                  <w:tcW w:w="80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c>
                <w:tcPr>
                  <w:tcW w:w="80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70</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22</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1</w:t>
                  </w:r>
                </w:p>
              </w:tc>
              <w:tc>
                <w:tcPr>
                  <w:tcW w:w="543" w:type="dxa"/>
                  <w:noWrap/>
                  <w:vAlign w:val="center"/>
                  <w:hideMark/>
                </w:tcPr>
                <w:p w:rsidR="00333A1A" w:rsidRDefault="00333A1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19</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40</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36</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3</w:t>
                  </w:r>
                </w:p>
              </w:tc>
              <w:tc>
                <w:tcPr>
                  <w:tcW w:w="543" w:type="dxa"/>
                  <w:noWrap/>
                  <w:vAlign w:val="center"/>
                  <w:hideMark/>
                </w:tcPr>
                <w:p w:rsidR="00333A1A" w:rsidRDefault="00333A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p>
              </w:tc>
              <w:tc>
                <w:tcPr>
                  <w:tcW w:w="937"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50</w:t>
                  </w:r>
                </w:p>
              </w:tc>
              <w:tc>
                <w:tcPr>
                  <w:tcW w:w="936"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65</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36</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61</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noWrap/>
                  <w:vAlign w:val="center"/>
                  <w:hideMark/>
                </w:tcPr>
                <w:p w:rsidR="00333A1A" w:rsidRDefault="00333A1A">
                  <w:pPr>
                    <w:jc w:val="center"/>
                    <w:rPr>
                      <w:rFonts w:ascii="Times New Roman" w:hAnsi="Times New Roman" w:cs="Times New Roman"/>
                      <w:noProof/>
                      <w:sz w:val="20"/>
                    </w:rPr>
                  </w:pPr>
                </w:p>
              </w:tc>
              <w:tc>
                <w:tcPr>
                  <w:tcW w:w="543" w:type="dxa"/>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3a</w:t>
                  </w:r>
                </w:p>
              </w:tc>
              <w:tc>
                <w:tcPr>
                  <w:tcW w:w="937" w:type="dxa"/>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31</w:t>
                  </w:r>
                </w:p>
              </w:tc>
              <w:tc>
                <w:tcPr>
                  <w:tcW w:w="936" w:type="dxa"/>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46</w:t>
                  </w:r>
                </w:p>
              </w:tc>
              <w:tc>
                <w:tcPr>
                  <w:tcW w:w="805" w:type="dxa"/>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19</w:t>
                  </w:r>
                </w:p>
              </w:tc>
              <w:tc>
                <w:tcPr>
                  <w:tcW w:w="805" w:type="dxa"/>
                  <w:shd w:val="clear" w:color="auto" w:fill="auto"/>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33A1A">
                  <w:pPr>
                    <w:jc w:val="center"/>
                    <w:rPr>
                      <w:rFonts w:ascii="Times New Roman" w:hAnsi="Times New Roman" w:cs="Times New Roman"/>
                      <w:noProof/>
                      <w:sz w:val="20"/>
                    </w:rPr>
                  </w:pPr>
                </w:p>
              </w:tc>
              <w:tc>
                <w:tcPr>
                  <w:tcW w:w="54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3b</w:t>
                  </w:r>
                </w:p>
              </w:tc>
              <w:tc>
                <w:tcPr>
                  <w:tcW w:w="937"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c>
                <w:tcPr>
                  <w:tcW w:w="936"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85</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52</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66</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78</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4</w:t>
                  </w:r>
                </w:p>
              </w:tc>
              <w:tc>
                <w:tcPr>
                  <w:tcW w:w="543" w:type="dxa"/>
                  <w:noWrap/>
                  <w:vAlign w:val="center"/>
                  <w:hideMark/>
                </w:tcPr>
                <w:p w:rsidR="00333A1A" w:rsidRDefault="00333A1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rPr>
                  </w:pP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41</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23</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64</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50</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22</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shd w:val="clear" w:color="auto" w:fill="BFBFBF" w:themeFill="background1" w:themeFillShade="BF"/>
                  <w:noWrap/>
                  <w:vAlign w:val="center"/>
                  <w:hideMark/>
                </w:tcPr>
                <w:p w:rsidR="00333A1A" w:rsidRDefault="00333A1A">
                  <w:pPr>
                    <w:jc w:val="center"/>
                    <w:rPr>
                      <w:rFonts w:ascii="Times New Roman" w:hAnsi="Times New Roman" w:cs="Times New Roman"/>
                      <w:noProof/>
                      <w:sz w:val="20"/>
                    </w:rPr>
                  </w:pPr>
                </w:p>
              </w:tc>
              <w:tc>
                <w:tcPr>
                  <w:tcW w:w="543" w:type="dxa"/>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4a</w:t>
                  </w:r>
                </w:p>
              </w:tc>
              <w:tc>
                <w:tcPr>
                  <w:tcW w:w="937" w:type="dxa"/>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34</w:t>
                  </w:r>
                </w:p>
              </w:tc>
              <w:tc>
                <w:tcPr>
                  <w:tcW w:w="936" w:type="dxa"/>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15</w:t>
                  </w:r>
                </w:p>
              </w:tc>
              <w:tc>
                <w:tcPr>
                  <w:tcW w:w="805" w:type="dxa"/>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52</w:t>
                  </w:r>
                </w:p>
              </w:tc>
              <w:tc>
                <w:tcPr>
                  <w:tcW w:w="805" w:type="dxa"/>
                  <w:shd w:val="clear" w:color="auto" w:fill="BFBFBF" w:themeFill="background1" w:themeFillShade="BF"/>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42</w:t>
                  </w:r>
                </w:p>
              </w:tc>
              <w:tc>
                <w:tcPr>
                  <w:tcW w:w="790" w:type="dxa"/>
                  <w:shd w:val="clear" w:color="auto" w:fill="BFBFBF" w:themeFill="background1" w:themeFillShade="BF"/>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22</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33A1A">
                  <w:pPr>
                    <w:jc w:val="center"/>
                    <w:rPr>
                      <w:rFonts w:ascii="Times New Roman" w:hAnsi="Times New Roman" w:cs="Times New Roman"/>
                      <w:noProof/>
                      <w:sz w:val="20"/>
                    </w:rPr>
                  </w:pPr>
                </w:p>
              </w:tc>
              <w:tc>
                <w:tcPr>
                  <w:tcW w:w="54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4b</w:t>
                  </w: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47</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31</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75</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59</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22</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5</w:t>
                  </w:r>
                </w:p>
              </w:tc>
              <w:tc>
                <w:tcPr>
                  <w:tcW w:w="543" w:type="dxa"/>
                  <w:noWrap/>
                  <w:vAlign w:val="center"/>
                  <w:hideMark/>
                </w:tcPr>
                <w:p w:rsidR="00333A1A" w:rsidRDefault="00333A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p>
              </w:tc>
              <w:tc>
                <w:tcPr>
                  <w:tcW w:w="937"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83</w:t>
                  </w:r>
                </w:p>
              </w:tc>
              <w:tc>
                <w:tcPr>
                  <w:tcW w:w="936"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60</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76</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333A1A" w:rsidRDefault="003D29C9">
                  <w:pPr>
                    <w:jc w:val="center"/>
                    <w:rPr>
                      <w:rFonts w:ascii="Times New Roman" w:hAnsi="Times New Roman" w:cs="Times New Roman"/>
                      <w:noProof/>
                      <w:sz w:val="20"/>
                    </w:rPr>
                  </w:pPr>
                  <w:r>
                    <w:rPr>
                      <w:rFonts w:ascii="Times New Roman" w:hAnsi="Times New Roman" w:cs="Times New Roman"/>
                      <w:noProof/>
                      <w:sz w:val="20"/>
                    </w:rPr>
                    <w:t>Weights</w:t>
                  </w: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1</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0.22</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0.33</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0.16</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0.29</w:t>
                  </w:r>
                </w:p>
              </w:tc>
            </w:tr>
          </w:tbl>
          <w:p w:rsidR="00333A1A" w:rsidRDefault="00333A1A">
            <w:pPr>
              <w:rPr>
                <w:noProof/>
              </w:rPr>
            </w:pPr>
          </w:p>
        </w:tc>
        <w:tc>
          <w:tcPr>
            <w:tcW w:w="3339" w:type="dxa"/>
          </w:tcPr>
          <w:p w:rsidR="00333A1A" w:rsidRDefault="003D29C9">
            <w:pPr>
              <w:rPr>
                <w:noProof/>
              </w:rPr>
            </w:pPr>
            <w:r>
              <w:rPr>
                <w:noProof/>
              </w:rPr>
              <w:drawing>
                <wp:inline distT="0" distB="0" distL="0" distR="0" wp14:anchorId="446368C6" wp14:editId="34B748AD">
                  <wp:extent cx="2159635" cy="215963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333A1A" w:rsidRDefault="003D29C9">
      <w:pPr>
        <w:pStyle w:val="Text1"/>
        <w:spacing w:before="200"/>
        <w:ind w:left="0"/>
        <w:rPr>
          <w:noProof/>
        </w:rPr>
      </w:pPr>
      <w:r>
        <w:rPr>
          <w:noProof/>
        </w:rPr>
        <w:t xml:space="preserve">For OO2.2 on </w:t>
      </w:r>
      <w:r>
        <w:rPr>
          <w:b/>
          <w:noProof/>
        </w:rPr>
        <w:t>fostering income and VA</w:t>
      </w:r>
      <w:r>
        <w:rPr>
          <w:noProof/>
        </w:rPr>
        <w:t>, focus rests on the competitiveness of rural areas, while fairness is considered in other OOs. EIP is seen as particularly important as it can push economic development. Although there were different opinions among participants, option 4 was ranked highes</w:t>
      </w:r>
      <w:r>
        <w:rPr>
          <w:noProof/>
        </w:rPr>
        <w:t>t, as it has the highest BP and lower VCS, which is associated negatively with competitiveness. Budget for EIP is also high. Financial instruments to compensate for the reduction in the Competitiveness budget were also perceived as beneficial, as opposed t</w:t>
      </w:r>
      <w:r>
        <w:rPr>
          <w:noProof/>
        </w:rPr>
        <w:t>o the lower budget for Leader and Basic services. 4b ranked first as it is less environmentally demanding compared to 4a. There was strong disagreement about option 5's ranking, as some see it as the least efficient in the long run, while others see the vi</w:t>
      </w:r>
      <w:r>
        <w:rPr>
          <w:noProof/>
        </w:rPr>
        <w:t>rtue of measures such as organic, short supply chains, diversification, basic services to boost competitiveness. As a consensus the option was ranked after option 4. Option 3b follows, given its lower budget for EIP, but high Leader. Option 3a has high EIP</w:t>
      </w:r>
      <w:r>
        <w:rPr>
          <w:noProof/>
        </w:rPr>
        <w:t>, but also high environmental requirements, explaining its lower ranking. The baseline is not preferred as it has a lower budget on EIP and some other RD measures, while the option 1 receives the lowest score given the budget CAP on top of that. While farm</w:t>
      </w:r>
      <w:r>
        <w:rPr>
          <w:noProof/>
        </w:rPr>
        <w:t xml:space="preserve"> income development is only indicative for general income development in rural areas, it is worthwhile including it to complement the expert judgement. As already discussed in paragraph 3.2.2.1, the modelling (Graph 3.13) shows that the experts have somewh</w:t>
      </w:r>
      <w:r>
        <w:rPr>
          <w:noProof/>
        </w:rPr>
        <w:t>at underrated the effect of the budget cut, the redistribution and the higher environmental requirements in the new options, which are bearing on farmers' income. Including modelling results pushes up the scores for the baseline and option 1, while especia</w:t>
      </w:r>
      <w:r>
        <w:rPr>
          <w:noProof/>
        </w:rPr>
        <w:t xml:space="preserve">lly option 3a and 4 have to be revised downward.  </w:t>
      </w:r>
    </w:p>
    <w:p w:rsidR="00333A1A" w:rsidRDefault="003D29C9">
      <w:pPr>
        <w:pStyle w:val="Text1"/>
        <w:keepNext/>
        <w:spacing w:after="0"/>
        <w:ind w:left="0"/>
        <w:rPr>
          <w:noProof/>
        </w:rPr>
      </w:pPr>
      <w:r>
        <w:rPr>
          <w:b/>
          <w:noProof/>
          <w:sz w:val="22"/>
        </w:rPr>
        <w:t xml:space="preserve">Graph </w:t>
      </w:r>
      <w:r>
        <w:rPr>
          <w:b/>
          <w:noProof/>
          <w:sz w:val="22"/>
        </w:rPr>
        <w:fldChar w:fldCharType="begin"/>
      </w:r>
      <w:r>
        <w:rPr>
          <w:b/>
          <w:noProof/>
          <w:sz w:val="22"/>
        </w:rPr>
        <w:instrText xml:space="preserve"> STYLEREF 1 \s </w:instrText>
      </w:r>
      <w:r>
        <w:rPr>
          <w:b/>
          <w:noProof/>
          <w:sz w:val="22"/>
        </w:rPr>
        <w:fldChar w:fldCharType="separate"/>
      </w:r>
      <w:r>
        <w:rPr>
          <w:b/>
          <w:noProof/>
          <w:sz w:val="22"/>
        </w:rPr>
        <w:t>3</w:t>
      </w:r>
      <w:r>
        <w:rPr>
          <w:b/>
          <w:noProof/>
          <w:sz w:val="22"/>
        </w:rPr>
        <w:fldChar w:fldCharType="end"/>
      </w:r>
      <w:r>
        <w:rPr>
          <w:b/>
          <w:noProof/>
          <w:sz w:val="22"/>
        </w:rPr>
        <w:t>.</w:t>
      </w:r>
      <w:r>
        <w:rPr>
          <w:b/>
          <w:noProof/>
          <w:sz w:val="22"/>
        </w:rPr>
        <w:fldChar w:fldCharType="begin"/>
      </w:r>
      <w:r>
        <w:rPr>
          <w:b/>
          <w:noProof/>
          <w:sz w:val="22"/>
        </w:rPr>
        <w:instrText xml:space="preserve"> SEQ Graph \* ARABIC \s 1 </w:instrText>
      </w:r>
      <w:r>
        <w:rPr>
          <w:b/>
          <w:noProof/>
          <w:sz w:val="22"/>
        </w:rPr>
        <w:fldChar w:fldCharType="separate"/>
      </w:r>
      <w:r>
        <w:rPr>
          <w:b/>
          <w:noProof/>
          <w:sz w:val="22"/>
        </w:rPr>
        <w:t>13</w:t>
      </w:r>
      <w:r>
        <w:rPr>
          <w:b/>
          <w:noProof/>
          <w:sz w:val="22"/>
        </w:rPr>
        <w:fldChar w:fldCharType="end"/>
      </w:r>
      <w:r>
        <w:rPr>
          <w:b/>
          <w:noProof/>
          <w:sz w:val="22"/>
        </w:rPr>
        <w:t>. Option scores for OO2.2 combining expert judgement and modelling results on EU28 farm income</w:t>
      </w:r>
    </w:p>
    <w:p w:rsidR="00333A1A" w:rsidRDefault="003D29C9">
      <w:pPr>
        <w:pStyle w:val="Text1"/>
        <w:ind w:left="0"/>
        <w:rPr>
          <w:noProof/>
        </w:rPr>
      </w:pPr>
      <w:r>
        <w:rPr>
          <w:noProof/>
          <w:lang w:eastAsia="en-GB"/>
        </w:rPr>
        <w:drawing>
          <wp:inline distT="0" distB="0" distL="0" distR="0" wp14:anchorId="766BD908" wp14:editId="2271ECFD">
            <wp:extent cx="4572000" cy="17716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t xml:space="preserve">       </w:t>
      </w:r>
    </w:p>
    <w:p w:rsidR="00333A1A" w:rsidRDefault="003D29C9">
      <w:pPr>
        <w:pStyle w:val="Text1"/>
        <w:ind w:left="0"/>
        <w:rPr>
          <w:noProof/>
        </w:rPr>
      </w:pPr>
      <w:r>
        <w:rPr>
          <w:noProof/>
        </w:rPr>
        <w:t xml:space="preserve">For OO2.3 on </w:t>
      </w:r>
      <w:r>
        <w:rPr>
          <w:b/>
          <w:noProof/>
        </w:rPr>
        <w:t>inclusive growth</w:t>
      </w:r>
      <w:r>
        <w:rPr>
          <w:noProof/>
        </w:rPr>
        <w:t>, the group dis</w:t>
      </w:r>
      <w:r>
        <w:rPr>
          <w:noProof/>
        </w:rPr>
        <w:t xml:space="preserve">cussion revealed the importance of covering both 'inclusiveness' and 'growth'. Important instrument are Leader, public services, minimum requirements, salaries correction for capping, ANC-top ups and budget for diversification as it can give an impetus to </w:t>
      </w:r>
      <w:r>
        <w:rPr>
          <w:noProof/>
        </w:rPr>
        <w:t>small businesses. According to experts, option 5 is ranked highest, as it has low minimum requirements, a strong redistribution to small, ANC-top ups, VCS and high RD-budgets. 3b follows given its high budget for Leader. 3a is judged low given the flat and</w:t>
      </w:r>
      <w:r>
        <w:rPr>
          <w:noProof/>
        </w:rPr>
        <w:t xml:space="preserve"> low basic payment and no redistribution. This last point is confirmed when including modelling results on the gini-coefficient of income. Based on modelling results, the baseline and option 1 perform much better compared to the experts' expectations while</w:t>
      </w:r>
      <w:r>
        <w:rPr>
          <w:noProof/>
        </w:rPr>
        <w:t xml:space="preserve"> 4a and especially 5 attain a lower score. This might indicate that the budget cut but also the additional requirements on environment are not compensated by the effects of a more targeted redistribution.</w:t>
      </w:r>
    </w:p>
    <w:p w:rsidR="00333A1A" w:rsidRDefault="003D29C9">
      <w:pPr>
        <w:pStyle w:val="Text1"/>
        <w:spacing w:after="0"/>
        <w:ind w:left="0"/>
        <w:rPr>
          <w:noProof/>
        </w:rPr>
      </w:pPr>
      <w:r>
        <w:rPr>
          <w:b/>
          <w:noProof/>
          <w:sz w:val="22"/>
        </w:rPr>
        <w:t xml:space="preserve">Graph </w:t>
      </w:r>
      <w:r>
        <w:rPr>
          <w:b/>
          <w:noProof/>
          <w:sz w:val="22"/>
        </w:rPr>
        <w:fldChar w:fldCharType="begin"/>
      </w:r>
      <w:r>
        <w:rPr>
          <w:b/>
          <w:noProof/>
          <w:sz w:val="22"/>
        </w:rPr>
        <w:instrText xml:space="preserve"> STYLEREF 1 \s </w:instrText>
      </w:r>
      <w:r>
        <w:rPr>
          <w:b/>
          <w:noProof/>
          <w:sz w:val="22"/>
        </w:rPr>
        <w:fldChar w:fldCharType="separate"/>
      </w:r>
      <w:r>
        <w:rPr>
          <w:b/>
          <w:noProof/>
          <w:sz w:val="22"/>
        </w:rPr>
        <w:t>3</w:t>
      </w:r>
      <w:r>
        <w:rPr>
          <w:b/>
          <w:noProof/>
          <w:sz w:val="22"/>
        </w:rPr>
        <w:fldChar w:fldCharType="end"/>
      </w:r>
      <w:r>
        <w:rPr>
          <w:b/>
          <w:noProof/>
          <w:sz w:val="22"/>
        </w:rPr>
        <w:t>.</w:t>
      </w:r>
      <w:r>
        <w:rPr>
          <w:b/>
          <w:noProof/>
          <w:sz w:val="22"/>
        </w:rPr>
        <w:fldChar w:fldCharType="begin"/>
      </w:r>
      <w:r>
        <w:rPr>
          <w:b/>
          <w:noProof/>
          <w:sz w:val="22"/>
        </w:rPr>
        <w:instrText xml:space="preserve"> SEQ Graph \* ARABIC \s 1</w:instrText>
      </w:r>
      <w:r>
        <w:rPr>
          <w:b/>
          <w:noProof/>
          <w:sz w:val="22"/>
        </w:rPr>
        <w:instrText xml:space="preserve"> </w:instrText>
      </w:r>
      <w:r>
        <w:rPr>
          <w:b/>
          <w:noProof/>
          <w:sz w:val="22"/>
        </w:rPr>
        <w:fldChar w:fldCharType="separate"/>
      </w:r>
      <w:r>
        <w:rPr>
          <w:b/>
          <w:noProof/>
          <w:sz w:val="22"/>
        </w:rPr>
        <w:t>14</w:t>
      </w:r>
      <w:r>
        <w:rPr>
          <w:b/>
          <w:noProof/>
          <w:sz w:val="22"/>
        </w:rPr>
        <w:fldChar w:fldCharType="end"/>
      </w:r>
      <w:r>
        <w:rPr>
          <w:b/>
          <w:noProof/>
          <w:sz w:val="22"/>
        </w:rPr>
        <w:t>. Option scores for OO2.3 combining expert judgement and modelling results on the Gini-coefficient for EU28 farm income</w:t>
      </w:r>
    </w:p>
    <w:p w:rsidR="00333A1A" w:rsidRDefault="003D29C9">
      <w:pPr>
        <w:pStyle w:val="Text1"/>
        <w:ind w:left="0"/>
        <w:rPr>
          <w:noProof/>
        </w:rPr>
      </w:pPr>
      <w:r>
        <w:rPr>
          <w:noProof/>
          <w:lang w:eastAsia="en-GB"/>
        </w:rPr>
        <w:drawing>
          <wp:inline distT="0" distB="0" distL="0" distR="0" wp14:anchorId="079D5ABD" wp14:editId="3AAEBA4F">
            <wp:extent cx="4572000" cy="17716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33A1A" w:rsidRDefault="003D29C9">
      <w:pPr>
        <w:pStyle w:val="Text1"/>
        <w:ind w:left="0"/>
        <w:rPr>
          <w:noProof/>
        </w:rPr>
      </w:pPr>
      <w:r>
        <w:rPr>
          <w:noProof/>
        </w:rPr>
        <w:t xml:space="preserve">For the OO2.4 on </w:t>
      </w:r>
      <w:r>
        <w:rPr>
          <w:b/>
          <w:noProof/>
        </w:rPr>
        <w:t xml:space="preserve">access to basic services and infrastructure </w:t>
      </w:r>
      <w:r>
        <w:rPr>
          <w:noProof/>
        </w:rPr>
        <w:t>(that according to the experts should not only be limited to broadb</w:t>
      </w:r>
      <w:r>
        <w:rPr>
          <w:noProof/>
        </w:rPr>
        <w:t>and), the assessment was straightforward given the specific RD measure devoted to this. Also Leader was taken into account. 5 scores best as it has the highest budget for basic services and Leader, followed by 3b. 4 scores similar to the baseline as the bu</w:t>
      </w:r>
      <w:r>
        <w:rPr>
          <w:noProof/>
        </w:rPr>
        <w:t>dgets for Basic services and Leader remain status quo.</w:t>
      </w:r>
    </w:p>
    <w:p w:rsidR="00333A1A" w:rsidRDefault="003D29C9">
      <w:pPr>
        <w:pStyle w:val="Heading4"/>
        <w:rPr>
          <w:noProof/>
        </w:rPr>
      </w:pPr>
      <w:r>
        <w:rPr>
          <w:noProof/>
        </w:rPr>
        <w:t xml:space="preserve"> SO3 Addressing territorial imbalances, rural poverty and social inclusion</w:t>
      </w:r>
    </w:p>
    <w:p w:rsidR="00333A1A" w:rsidRDefault="003D29C9">
      <w:pPr>
        <w:pStyle w:val="Text1"/>
        <w:spacing w:after="200"/>
        <w:ind w:left="0"/>
        <w:rPr>
          <w:noProof/>
        </w:rPr>
      </w:pPr>
      <w:r>
        <w:rPr>
          <w:noProof/>
        </w:rPr>
        <w:t>This SO focuses on the 'fairness or equity part' of the policy, in addition to the OO on Providing income support in a targete</w:t>
      </w:r>
      <w:r>
        <w:rPr>
          <w:noProof/>
        </w:rPr>
        <w:t>d way, by investigating whether the distribution of support is able to close gaps between territories, including rural versus urban, and different groups, such as youth or women, within these territories. The modelling tools do not provide much insight, as</w:t>
      </w:r>
      <w:r>
        <w:rPr>
          <w:noProof/>
        </w:rPr>
        <w:t xml:space="preserve"> they still lack necessary data and have difficulties to depict the effects of RD measures well. A recent study of the World Bank shows the beneficial effects of the current CAP towards poverty reduction, with a main role played by the direct decoupled sup</w:t>
      </w:r>
      <w:r>
        <w:rPr>
          <w:noProof/>
        </w:rPr>
        <w:t>port complemented by the RD payments. Similar to the previous SO, option 5 is generally perceived as the most fair, with its redistribution towards small farms, YF top up, ANC payments in pillar 1, and high budgets for Leader and basic infrastructure and s</w:t>
      </w:r>
      <w:r>
        <w:rPr>
          <w:noProof/>
        </w:rPr>
        <w:t xml:space="preserve">ervices. Option 3b follows by a distance. </w:t>
      </w:r>
    </w:p>
    <w:p w:rsidR="00333A1A" w:rsidRDefault="003D29C9">
      <w:pPr>
        <w:pStyle w:val="Text1"/>
        <w:spacing w:after="0"/>
        <w:ind w:left="0"/>
        <w:rPr>
          <w:noProof/>
        </w:rPr>
      </w:pPr>
      <w:r>
        <w:rPr>
          <w:noProof/>
        </w:rPr>
        <w:t>Following OOs are part of this SO:</w:t>
      </w:r>
    </w:p>
    <w:p w:rsidR="00333A1A" w:rsidRDefault="003D29C9">
      <w:pPr>
        <w:pStyle w:val="Text1"/>
        <w:numPr>
          <w:ilvl w:val="0"/>
          <w:numId w:val="5"/>
        </w:numPr>
        <w:spacing w:after="0"/>
        <w:ind w:left="284" w:firstLine="0"/>
        <w:rPr>
          <w:noProof/>
        </w:rPr>
      </w:pPr>
      <w:r>
        <w:rPr>
          <w:noProof/>
        </w:rPr>
        <w:t>OO3.1: Reduce inequalities between territories</w:t>
      </w:r>
    </w:p>
    <w:p w:rsidR="00333A1A" w:rsidRDefault="003D29C9">
      <w:pPr>
        <w:pStyle w:val="Text1"/>
        <w:numPr>
          <w:ilvl w:val="0"/>
          <w:numId w:val="5"/>
        </w:numPr>
        <w:spacing w:after="0"/>
        <w:ind w:left="284" w:firstLine="0"/>
        <w:rPr>
          <w:noProof/>
        </w:rPr>
      </w:pPr>
      <w:r>
        <w:rPr>
          <w:noProof/>
        </w:rPr>
        <w:t>OO3.2: Reduce inequalities between groups</w:t>
      </w:r>
    </w:p>
    <w:p w:rsidR="00333A1A" w:rsidRDefault="003D29C9">
      <w:pPr>
        <w:pStyle w:val="Text1"/>
        <w:numPr>
          <w:ilvl w:val="0"/>
          <w:numId w:val="5"/>
        </w:numPr>
        <w:spacing w:after="0"/>
        <w:ind w:left="284" w:firstLine="0"/>
        <w:rPr>
          <w:noProof/>
        </w:rPr>
      </w:pPr>
      <w:r>
        <w:rPr>
          <w:noProof/>
        </w:rPr>
        <w:t>OO3.3: Improve social capital and networks</w:t>
      </w:r>
    </w:p>
    <w:p w:rsidR="00333A1A" w:rsidRDefault="003D29C9">
      <w:pPr>
        <w:pStyle w:val="Text1"/>
        <w:numPr>
          <w:ilvl w:val="0"/>
          <w:numId w:val="5"/>
        </w:numPr>
        <w:spacing w:after="0"/>
        <w:ind w:left="284" w:firstLine="0"/>
        <w:rPr>
          <w:noProof/>
        </w:rPr>
      </w:pPr>
      <w:r>
        <w:rPr>
          <w:noProof/>
        </w:rPr>
        <w:t>OO3.4: Contribute to healthier lifestyles</w:t>
      </w:r>
    </w:p>
    <w:p w:rsidR="00333A1A" w:rsidRDefault="00333A1A">
      <w:pPr>
        <w:pStyle w:val="Text1"/>
        <w:spacing w:after="0"/>
        <w:rPr>
          <w:noProof/>
        </w:rPr>
      </w:pPr>
    </w:p>
    <w:p w:rsidR="00333A1A" w:rsidRDefault="003D29C9">
      <w:pPr>
        <w:pStyle w:val="Text1"/>
        <w:ind w:left="0"/>
        <w:rPr>
          <w:noProof/>
        </w:rPr>
      </w:pPr>
      <w:r>
        <w:rPr>
          <w:noProof/>
        </w:rPr>
        <w:t>This last OO contributes to the cross-cutting objective of addressing societal expectations on food and health and does not only relate to rural areas. With a weight of 34% towards this SO it is perceived as most important. The other 3 OOs have a similar w</w:t>
      </w:r>
      <w:r>
        <w:rPr>
          <w:noProof/>
        </w:rPr>
        <w:t xml:space="preserve">eight of around 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339"/>
      </w:tblGrid>
      <w:tr w:rsidR="00333A1A">
        <w:trPr>
          <w:cantSplit/>
        </w:trPr>
        <w:tc>
          <w:tcPr>
            <w:tcW w:w="5495" w:type="dxa"/>
          </w:tcPr>
          <w:p w:rsidR="00333A1A" w:rsidRDefault="003D29C9">
            <w:pPr>
              <w:rPr>
                <w:b/>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7</w:t>
            </w:r>
            <w:r>
              <w:rPr>
                <w:b/>
                <w:noProof/>
              </w:rPr>
              <w:fldChar w:fldCharType="end"/>
            </w:r>
            <w:r>
              <w:rPr>
                <w:b/>
                <w:noProof/>
              </w:rPr>
              <w:t>. Option scores for SO3 on territorial imbalances and rural poverty and its 4 OOs</w:t>
            </w:r>
          </w:p>
        </w:tc>
        <w:tc>
          <w:tcPr>
            <w:tcW w:w="3339" w:type="dxa"/>
          </w:tcPr>
          <w:p w:rsidR="00333A1A" w:rsidRDefault="003D29C9">
            <w:pPr>
              <w:rPr>
                <w:b/>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Graph \* ARABIC \s 1 </w:instrText>
            </w:r>
            <w:r>
              <w:rPr>
                <w:b/>
                <w:noProof/>
              </w:rPr>
              <w:fldChar w:fldCharType="separate"/>
            </w:r>
            <w:r>
              <w:rPr>
                <w:b/>
                <w:noProof/>
              </w:rPr>
              <w:t>15</w:t>
            </w:r>
            <w:r>
              <w:rPr>
                <w:b/>
                <w:noProof/>
              </w:rPr>
              <w:fldChar w:fldCharType="end"/>
            </w:r>
            <w:r>
              <w:rPr>
                <w:b/>
                <w:noProof/>
              </w:rPr>
              <w:t xml:space="preserve">. Option scores on SO3 </w:t>
            </w:r>
          </w:p>
        </w:tc>
      </w:tr>
      <w:tr w:rsidR="00333A1A">
        <w:trPr>
          <w:cantSplit/>
          <w:trHeight w:val="3692"/>
        </w:trPr>
        <w:tc>
          <w:tcPr>
            <w:tcW w:w="5495" w:type="dxa"/>
          </w:tcPr>
          <w:tbl>
            <w:tblPr>
              <w:tblStyle w:val="MediumShading1"/>
              <w:tblW w:w="5225" w:type="dxa"/>
              <w:tblLayout w:type="fixed"/>
              <w:tblLook w:val="04A0" w:firstRow="1" w:lastRow="0" w:firstColumn="1" w:lastColumn="0" w:noHBand="0" w:noVBand="1"/>
            </w:tblPr>
            <w:tblGrid>
              <w:gridCol w:w="409"/>
              <w:gridCol w:w="290"/>
              <w:gridCol w:w="253"/>
              <w:gridCol w:w="937"/>
              <w:gridCol w:w="936"/>
              <w:gridCol w:w="805"/>
              <w:gridCol w:w="805"/>
              <w:gridCol w:w="79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gridSpan w:val="3"/>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Options</w:t>
                  </w:r>
                </w:p>
              </w:tc>
              <w:tc>
                <w:tcPr>
                  <w:tcW w:w="937"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SO3</w:t>
                  </w:r>
                </w:p>
              </w:tc>
              <w:tc>
                <w:tcPr>
                  <w:tcW w:w="936"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OO3.1</w:t>
                  </w:r>
                </w:p>
              </w:tc>
              <w:tc>
                <w:tcPr>
                  <w:tcW w:w="805"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OO3.2</w:t>
                  </w:r>
                </w:p>
              </w:tc>
              <w:tc>
                <w:tcPr>
                  <w:tcW w:w="805"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OO3.3</w:t>
                  </w:r>
                </w:p>
              </w:tc>
              <w:tc>
                <w:tcPr>
                  <w:tcW w:w="790" w:type="dxa"/>
                  <w:vAlign w:val="center"/>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OO3.4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dxa"/>
                  <w:gridSpan w:val="2"/>
                  <w:noWrap/>
                  <w:vAlign w:val="center"/>
                </w:tcPr>
                <w:p w:rsidR="00333A1A" w:rsidRDefault="003D29C9">
                  <w:pPr>
                    <w:rPr>
                      <w:rFonts w:ascii="Times New Roman" w:hAnsi="Times New Roman" w:cs="Times New Roman"/>
                      <w:b w:val="0"/>
                      <w:bCs w:val="0"/>
                      <w:noProof/>
                      <w:sz w:val="20"/>
                      <w:szCs w:val="20"/>
                    </w:rPr>
                  </w:pPr>
                  <w:r>
                    <w:rPr>
                      <w:rFonts w:ascii="Times New Roman" w:hAnsi="Times New Roman" w:cs="Times New Roman"/>
                      <w:noProof/>
                      <w:sz w:val="20"/>
                      <w:szCs w:val="20"/>
                    </w:rPr>
                    <w:t>BAS</w:t>
                  </w:r>
                </w:p>
              </w:tc>
              <w:tc>
                <w:tcPr>
                  <w:tcW w:w="253" w:type="dxa"/>
                  <w:vAlign w:val="center"/>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937"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33</w:t>
                  </w:r>
                </w:p>
              </w:tc>
              <w:tc>
                <w:tcPr>
                  <w:tcW w:w="936"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55</w:t>
                  </w:r>
                </w:p>
              </w:tc>
              <w:tc>
                <w:tcPr>
                  <w:tcW w:w="80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25</w:t>
                  </w:r>
                </w:p>
              </w:tc>
              <w:tc>
                <w:tcPr>
                  <w:tcW w:w="80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23</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27</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543" w:type="dxa"/>
                  <w:gridSpan w:val="2"/>
                  <w:noWrap/>
                  <w:vAlign w:val="center"/>
                  <w:hideMark/>
                </w:tcPr>
                <w:p w:rsidR="00333A1A" w:rsidRDefault="00333A1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7</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29</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543" w:type="dxa"/>
                  <w:gridSpan w:val="2"/>
                  <w:noWrap/>
                  <w:vAlign w:val="center"/>
                  <w:hideMark/>
                </w:tcPr>
                <w:p w:rsidR="00333A1A" w:rsidRDefault="00333A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p>
              </w:tc>
              <w:tc>
                <w:tcPr>
                  <w:tcW w:w="937"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67</w:t>
                  </w:r>
                </w:p>
              </w:tc>
              <w:tc>
                <w:tcPr>
                  <w:tcW w:w="936"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35</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80</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82</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61</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shd w:val="clear" w:color="auto" w:fill="BFBFBF" w:themeFill="background1" w:themeFillShade="BF"/>
                  <w:noWrap/>
                  <w:vAlign w:val="center"/>
                  <w:hideMark/>
                </w:tcPr>
                <w:p w:rsidR="00333A1A" w:rsidRDefault="00333A1A">
                  <w:pPr>
                    <w:jc w:val="center"/>
                    <w:rPr>
                      <w:rFonts w:ascii="Times New Roman" w:hAnsi="Times New Roman" w:cs="Times New Roman"/>
                      <w:noProof/>
                      <w:sz w:val="20"/>
                      <w:szCs w:val="20"/>
                    </w:rPr>
                  </w:pPr>
                </w:p>
              </w:tc>
              <w:tc>
                <w:tcPr>
                  <w:tcW w:w="543" w:type="dxa"/>
                  <w:gridSpan w:val="2"/>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3a</w:t>
                  </w:r>
                </w:p>
              </w:tc>
              <w:tc>
                <w:tcPr>
                  <w:tcW w:w="937"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63</w:t>
                  </w:r>
                </w:p>
              </w:tc>
              <w:tc>
                <w:tcPr>
                  <w:tcW w:w="936"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20</w:t>
                  </w:r>
                </w:p>
              </w:tc>
              <w:tc>
                <w:tcPr>
                  <w:tcW w:w="805"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87</w:t>
                  </w:r>
                </w:p>
              </w:tc>
              <w:tc>
                <w:tcPr>
                  <w:tcW w:w="805"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82</w:t>
                  </w:r>
                </w:p>
              </w:tc>
              <w:tc>
                <w:tcPr>
                  <w:tcW w:w="790" w:type="dxa"/>
                  <w:shd w:val="clear" w:color="auto" w:fill="BFBFBF" w:themeFill="background1" w:themeFillShade="BF"/>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33A1A">
                  <w:pPr>
                    <w:jc w:val="center"/>
                    <w:rPr>
                      <w:rFonts w:ascii="Times New Roman" w:hAnsi="Times New Roman" w:cs="Times New Roman"/>
                      <w:noProof/>
                      <w:sz w:val="20"/>
                      <w:szCs w:val="20"/>
                    </w:rPr>
                  </w:pPr>
                </w:p>
              </w:tc>
              <w:tc>
                <w:tcPr>
                  <w:tcW w:w="543" w:type="dxa"/>
                  <w:gridSpan w:val="2"/>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3b</w:t>
                  </w:r>
                </w:p>
              </w:tc>
              <w:tc>
                <w:tcPr>
                  <w:tcW w:w="937"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71</w:t>
                  </w:r>
                </w:p>
              </w:tc>
              <w:tc>
                <w:tcPr>
                  <w:tcW w:w="936"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50</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73</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82</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78</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543" w:type="dxa"/>
                  <w:gridSpan w:val="2"/>
                  <w:noWrap/>
                  <w:vAlign w:val="center"/>
                  <w:hideMark/>
                </w:tcPr>
                <w:p w:rsidR="00333A1A" w:rsidRDefault="00333A1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56</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70</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53</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55</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22</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shd w:val="clear" w:color="auto" w:fill="FFFFFF" w:themeFill="background1"/>
                  <w:noWrap/>
                  <w:vAlign w:val="center"/>
                  <w:hideMark/>
                </w:tcPr>
                <w:p w:rsidR="00333A1A" w:rsidRDefault="00333A1A">
                  <w:pPr>
                    <w:jc w:val="center"/>
                    <w:rPr>
                      <w:rFonts w:ascii="Times New Roman" w:hAnsi="Times New Roman" w:cs="Times New Roman"/>
                      <w:noProof/>
                      <w:sz w:val="20"/>
                      <w:szCs w:val="20"/>
                    </w:rPr>
                  </w:pPr>
                </w:p>
              </w:tc>
              <w:tc>
                <w:tcPr>
                  <w:tcW w:w="543" w:type="dxa"/>
                  <w:gridSpan w:val="2"/>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4a</w:t>
                  </w:r>
                </w:p>
              </w:tc>
              <w:tc>
                <w:tcPr>
                  <w:tcW w:w="937"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58</w:t>
                  </w:r>
                </w:p>
              </w:tc>
              <w:tc>
                <w:tcPr>
                  <w:tcW w:w="936"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71</w:t>
                  </w:r>
                </w:p>
              </w:tc>
              <w:tc>
                <w:tcPr>
                  <w:tcW w:w="805"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47</w:t>
                  </w:r>
                </w:p>
              </w:tc>
              <w:tc>
                <w:tcPr>
                  <w:tcW w:w="805"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64</w:t>
                  </w:r>
                </w:p>
              </w:tc>
              <w:tc>
                <w:tcPr>
                  <w:tcW w:w="790" w:type="dxa"/>
                  <w:shd w:val="clear" w:color="auto" w:fill="FFFFFF" w:themeFill="background1"/>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22</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33A1A">
                  <w:pPr>
                    <w:jc w:val="center"/>
                    <w:rPr>
                      <w:rFonts w:ascii="Times New Roman" w:hAnsi="Times New Roman" w:cs="Times New Roman"/>
                      <w:noProof/>
                      <w:sz w:val="20"/>
                      <w:szCs w:val="20"/>
                    </w:rPr>
                  </w:pPr>
                </w:p>
              </w:tc>
              <w:tc>
                <w:tcPr>
                  <w:tcW w:w="543" w:type="dxa"/>
                  <w:gridSpan w:val="2"/>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4b</w:t>
                  </w: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54</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70</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60</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45</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22</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5</w:t>
                  </w:r>
                </w:p>
              </w:tc>
              <w:tc>
                <w:tcPr>
                  <w:tcW w:w="543" w:type="dxa"/>
                  <w:gridSpan w:val="2"/>
                  <w:noWrap/>
                  <w:vAlign w:val="center"/>
                  <w:hideMark/>
                </w:tcPr>
                <w:p w:rsidR="00333A1A" w:rsidRDefault="00333A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p>
              </w:tc>
              <w:tc>
                <w:tcPr>
                  <w:tcW w:w="937"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95</w:t>
                  </w:r>
                </w:p>
              </w:tc>
              <w:tc>
                <w:tcPr>
                  <w:tcW w:w="936"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rPr>
                    <w:t>82</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gridSpan w:val="3"/>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Weights</w:t>
                  </w: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0.25</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0.19</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0.22</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0.34</w:t>
                  </w:r>
                </w:p>
              </w:tc>
            </w:tr>
          </w:tbl>
          <w:p w:rsidR="00333A1A" w:rsidRDefault="00333A1A">
            <w:pPr>
              <w:rPr>
                <w:noProof/>
              </w:rPr>
            </w:pPr>
          </w:p>
        </w:tc>
        <w:tc>
          <w:tcPr>
            <w:tcW w:w="3339" w:type="dxa"/>
          </w:tcPr>
          <w:p w:rsidR="00333A1A" w:rsidRDefault="003D29C9">
            <w:pPr>
              <w:rPr>
                <w:noProof/>
              </w:rPr>
            </w:pPr>
            <w:r>
              <w:rPr>
                <w:noProof/>
              </w:rPr>
              <w:drawing>
                <wp:inline distT="0" distB="0" distL="0" distR="0" wp14:anchorId="5C2E44A3" wp14:editId="760BF62E">
                  <wp:extent cx="2159635" cy="215963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333A1A" w:rsidRDefault="003D29C9">
      <w:pPr>
        <w:pStyle w:val="Text1"/>
        <w:spacing w:before="200"/>
        <w:ind w:left="0"/>
        <w:rPr>
          <w:noProof/>
        </w:rPr>
      </w:pPr>
      <w:r>
        <w:rPr>
          <w:noProof/>
        </w:rPr>
        <w:t xml:space="preserve">Regarding </w:t>
      </w:r>
      <w:r>
        <w:rPr>
          <w:b/>
          <w:noProof/>
        </w:rPr>
        <w:t xml:space="preserve">reducing </w:t>
      </w:r>
      <w:r>
        <w:rPr>
          <w:b/>
          <w:noProof/>
        </w:rPr>
        <w:t>inequalities between territories</w:t>
      </w:r>
      <w:r>
        <w:rPr>
          <w:noProof/>
        </w:rPr>
        <w:t xml:space="preserve"> (OO3.1), no exact figures are available regarding the rural versus urban divide. From the modelling exercise we however know that farmers' income in general is deteriorating compared to the baseline, given the budget cut, t</w:t>
      </w:r>
      <w:r>
        <w:rPr>
          <w:noProof/>
        </w:rPr>
        <w:t>he redistribution and increased environmental and climate ambition in the options. As a consequence, the current gap between farmers' income and the average wage in the economy is not expected to close further, on the contrary. Between territories in rural</w:t>
      </w:r>
      <w:r>
        <w:rPr>
          <w:noProof/>
        </w:rPr>
        <w:t xml:space="preserve"> areas, the section on Less Favoured Areas (LFA currently named Areas with Natural Constraints – ANC) in the modelling part is informative. The expert judgement is complemented with modelling results on farmers' income in LFA and the ratio between income i</w:t>
      </w:r>
      <w:r>
        <w:rPr>
          <w:noProof/>
        </w:rPr>
        <w:t xml:space="preserve">n LFA versus non-LFA (equal weight, see graph 3.16). The experts acknowledge the important role of basic services and Leader to help rural areas to catch up, with Leader working better in dynamic areas. They also share a concern that a delivery model with </w:t>
      </w:r>
      <w:r>
        <w:rPr>
          <w:noProof/>
        </w:rPr>
        <w:t>more flexibility for MS might lead to increasing disparities between MS territories as some MS might notably decide to further enforce some specific interventions in some regions while others may not. Concerns related to the probable absence of minimum reg</w:t>
      </w:r>
      <w:r>
        <w:rPr>
          <w:noProof/>
        </w:rPr>
        <w:t>ulatory spending were also been expressed; according to the experts, without such an obligation, MS would devote the biggest part of their budget to agriculture and not to rural services and other rural actions. Experts rank option 4 first as it contains r</w:t>
      </w:r>
      <w:r>
        <w:rPr>
          <w:noProof/>
        </w:rPr>
        <w:t>edistribution towards permanent grassland (associated with lowest income) and VCS for extensive livestock (idem). Option 5 follows with the redistribution towards small, ANC for mountainous areas in pillar 1, the top-up for permanent grassland, VCS, enhanc</w:t>
      </w:r>
      <w:r>
        <w:rPr>
          <w:noProof/>
        </w:rPr>
        <w:t>ed support for basic services and Leader. The experts would rank the baseline with its higher budget higher, as it helps to close the rural-urban divide, but it lacks targeting compared to the other options. 3a ranks lowest as it does not distinguish betwe</w:t>
      </w:r>
      <w:r>
        <w:rPr>
          <w:noProof/>
        </w:rPr>
        <w:t>en territories with a flat rate and no VCS. The expert judgement is largely in line with the modelling results, except for option 4 where the experts were too positive. Option 5 scores best on the ratio between income in LFA compared to non-LFA, so it's cl</w:t>
      </w:r>
      <w:r>
        <w:rPr>
          <w:noProof/>
        </w:rPr>
        <w:t xml:space="preserve">osing the relative income gap most, while the baseline has the highest income level in LFA, but it is still much lower compared to non-LFA.   </w:t>
      </w:r>
    </w:p>
    <w:p w:rsidR="00333A1A" w:rsidRDefault="003D29C9">
      <w:pPr>
        <w:pStyle w:val="Text1"/>
        <w:spacing w:after="0"/>
        <w:ind w:left="0"/>
        <w:rPr>
          <w:noProof/>
        </w:rPr>
      </w:pPr>
      <w:r>
        <w:rPr>
          <w:b/>
          <w:noProof/>
          <w:sz w:val="22"/>
        </w:rPr>
        <w:t xml:space="preserve">Graph </w:t>
      </w:r>
      <w:r>
        <w:rPr>
          <w:b/>
          <w:noProof/>
          <w:sz w:val="22"/>
        </w:rPr>
        <w:fldChar w:fldCharType="begin"/>
      </w:r>
      <w:r>
        <w:rPr>
          <w:b/>
          <w:noProof/>
          <w:sz w:val="22"/>
        </w:rPr>
        <w:instrText xml:space="preserve"> STYLEREF 1 \s </w:instrText>
      </w:r>
      <w:r>
        <w:rPr>
          <w:b/>
          <w:noProof/>
          <w:sz w:val="22"/>
        </w:rPr>
        <w:fldChar w:fldCharType="separate"/>
      </w:r>
      <w:r>
        <w:rPr>
          <w:b/>
          <w:noProof/>
          <w:sz w:val="22"/>
        </w:rPr>
        <w:t>3</w:t>
      </w:r>
      <w:r>
        <w:rPr>
          <w:b/>
          <w:noProof/>
          <w:sz w:val="22"/>
        </w:rPr>
        <w:fldChar w:fldCharType="end"/>
      </w:r>
      <w:r>
        <w:rPr>
          <w:b/>
          <w:noProof/>
          <w:sz w:val="22"/>
        </w:rPr>
        <w:t>.</w:t>
      </w:r>
      <w:r>
        <w:rPr>
          <w:b/>
          <w:noProof/>
          <w:sz w:val="22"/>
        </w:rPr>
        <w:fldChar w:fldCharType="begin"/>
      </w:r>
      <w:r>
        <w:rPr>
          <w:b/>
          <w:noProof/>
          <w:sz w:val="22"/>
        </w:rPr>
        <w:instrText xml:space="preserve"> SEQ Graph \* ARABIC \s 1 </w:instrText>
      </w:r>
      <w:r>
        <w:rPr>
          <w:b/>
          <w:noProof/>
          <w:sz w:val="22"/>
        </w:rPr>
        <w:fldChar w:fldCharType="separate"/>
      </w:r>
      <w:r>
        <w:rPr>
          <w:b/>
          <w:noProof/>
          <w:sz w:val="22"/>
        </w:rPr>
        <w:t>16</w:t>
      </w:r>
      <w:r>
        <w:rPr>
          <w:b/>
          <w:noProof/>
          <w:sz w:val="22"/>
        </w:rPr>
        <w:fldChar w:fldCharType="end"/>
      </w:r>
      <w:r>
        <w:rPr>
          <w:b/>
          <w:noProof/>
          <w:sz w:val="22"/>
        </w:rPr>
        <w:t>. Option scores on indicators associated with OO3.1 Redu</w:t>
      </w:r>
      <w:r>
        <w:rPr>
          <w:b/>
          <w:noProof/>
          <w:sz w:val="22"/>
        </w:rPr>
        <w:t>cing inequalities between territories</w:t>
      </w:r>
    </w:p>
    <w:p w:rsidR="00333A1A" w:rsidRDefault="003D29C9">
      <w:pPr>
        <w:pStyle w:val="Text1"/>
        <w:ind w:left="0"/>
        <w:rPr>
          <w:noProof/>
        </w:rPr>
      </w:pPr>
      <w:r>
        <w:rPr>
          <w:noProof/>
          <w:lang w:eastAsia="en-GB"/>
        </w:rPr>
        <w:drawing>
          <wp:inline distT="0" distB="0" distL="0" distR="0" wp14:anchorId="43F0422A" wp14:editId="73271E0C">
            <wp:extent cx="5443537" cy="2009775"/>
            <wp:effectExtent l="0" t="0" r="508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33A1A" w:rsidRDefault="003D29C9">
      <w:pPr>
        <w:pStyle w:val="Text1"/>
        <w:ind w:left="0"/>
        <w:rPr>
          <w:noProof/>
        </w:rPr>
      </w:pPr>
      <w:r>
        <w:rPr>
          <w:noProof/>
        </w:rPr>
        <w:t xml:space="preserve">For </w:t>
      </w:r>
      <w:r>
        <w:rPr>
          <w:b/>
          <w:noProof/>
        </w:rPr>
        <w:t>reducing inequalities between groups</w:t>
      </w:r>
      <w:r>
        <w:rPr>
          <w:noProof/>
        </w:rPr>
        <w:t xml:space="preserve"> (OO3.2), following vulnerable groups are distinguished: youth, women, elderly people, Roma people and migrants. While several tools in the 1</w:t>
      </w:r>
      <w:r>
        <w:rPr>
          <w:noProof/>
          <w:vertAlign w:val="superscript"/>
        </w:rPr>
        <w:t>st</w:t>
      </w:r>
      <w:r>
        <w:rPr>
          <w:noProof/>
        </w:rPr>
        <w:t xml:space="preserve"> pillar target inequalities among farmers (such as redistributive payment, risk management tools, POs, support for young farmers, investment support), for rural dwellers in general only 2</w:t>
      </w:r>
      <w:r>
        <w:rPr>
          <w:noProof/>
          <w:vertAlign w:val="superscript"/>
        </w:rPr>
        <w:t>nd</w:t>
      </w:r>
      <w:r>
        <w:rPr>
          <w:noProof/>
        </w:rPr>
        <w:t xml:space="preserve"> pillar payments are relevant (such as support for basic services, </w:t>
      </w:r>
      <w:r>
        <w:rPr>
          <w:noProof/>
        </w:rPr>
        <w:t>diversification, SMEs, Leader, ANC, knowledge development). Leader is the only instrument which currently can specifically target the most vulnerable groups cited above (with exception of young farmers' payment). Option 5 gains the highest ranking with the</w:t>
      </w:r>
      <w:r>
        <w:rPr>
          <w:noProof/>
        </w:rPr>
        <w:t xml:space="preserve"> low minimum requirements, the targeting of small farmers, ANC in the 1</w:t>
      </w:r>
      <w:r>
        <w:rPr>
          <w:noProof/>
          <w:vertAlign w:val="superscript"/>
        </w:rPr>
        <w:t>st</w:t>
      </w:r>
      <w:r>
        <w:rPr>
          <w:noProof/>
        </w:rPr>
        <w:t xml:space="preserve"> pillar, high expenditure for Leader and basic services, high EIP, YF payment, VCS etc. It is followed by 3b which also has a high expenditure for Leader and VCS as well as redistribution. Option 4 receives a lower score as expenditure on Leader is lower. </w:t>
      </w:r>
      <w:r>
        <w:rPr>
          <w:noProof/>
        </w:rPr>
        <w:t xml:space="preserve">Positive for 4 is the targeting towards extensive livestock farms, which tend to have lower incomes. The baseline and option 1 are ranked last given lower targeting and budget for Leader.    </w:t>
      </w:r>
    </w:p>
    <w:p w:rsidR="00333A1A" w:rsidRDefault="003D29C9">
      <w:pPr>
        <w:pStyle w:val="Text1"/>
        <w:ind w:left="0"/>
        <w:rPr>
          <w:noProof/>
        </w:rPr>
      </w:pPr>
      <w:r>
        <w:rPr>
          <w:noProof/>
        </w:rPr>
        <w:t xml:space="preserve">The following OO3.3, </w:t>
      </w:r>
      <w:r>
        <w:rPr>
          <w:b/>
          <w:noProof/>
        </w:rPr>
        <w:t xml:space="preserve">improving social capital and governance in </w:t>
      </w:r>
      <w:r>
        <w:rPr>
          <w:b/>
          <w:noProof/>
        </w:rPr>
        <w:t>rural areas</w:t>
      </w:r>
      <w:r>
        <w:rPr>
          <w:noProof/>
        </w:rPr>
        <w:t>, focuses on the virtues brought by stronger ties between rural dwellers but also between rural and urban citizens, as this stimulates the rural attractiveness and improves the social resilience. Local governance is also seen as positive, leadin</w:t>
      </w:r>
      <w:r>
        <w:rPr>
          <w:noProof/>
        </w:rPr>
        <w:t>g to stronger ties and trust between decision makers and beneficiaries. The main contributions from the CAP come from the investment in knowledge transfer and cooperation (under RD measure 1, 2 and 16), Leader, POs and networks such as the National rural N</w:t>
      </w:r>
      <w:r>
        <w:rPr>
          <w:noProof/>
        </w:rPr>
        <w:t>etworks and EIPs. Regarding governance, a delivery model which is more geared towards addressing local needs is expected to enhance acceptability and trust by the end beneficiaries. Option 5 is ranked highest as the focus on small, together with higher EIP</w:t>
      </w:r>
      <w:r>
        <w:rPr>
          <w:noProof/>
        </w:rPr>
        <w:t xml:space="preserve"> and Leader, will stimulate cooperation. Option 3a also ranks high with high spending on EIP, cooperation and innovation. The rest of the options are less favourable in stimulating networking. </w:t>
      </w:r>
    </w:p>
    <w:p w:rsidR="00333A1A" w:rsidRDefault="003D29C9">
      <w:pPr>
        <w:pStyle w:val="Text1"/>
        <w:ind w:left="0"/>
        <w:rPr>
          <w:noProof/>
        </w:rPr>
      </w:pPr>
      <w:r>
        <w:rPr>
          <w:noProof/>
        </w:rPr>
        <w:t>Agriculture is the first link in the food chain and an importa</w:t>
      </w:r>
      <w:r>
        <w:rPr>
          <w:noProof/>
        </w:rPr>
        <w:t xml:space="preserve">nt contributor to health through the nutritional quality of food and its adequate supply. Regarding OO3.4 on contributing to </w:t>
      </w:r>
      <w:r>
        <w:rPr>
          <w:b/>
          <w:noProof/>
        </w:rPr>
        <w:t>healthier lifestyles</w:t>
      </w:r>
      <w:r>
        <w:rPr>
          <w:noProof/>
        </w:rPr>
        <w:t>, the experts stressed the importance of basic services for public health. They also see innovation as importan</w:t>
      </w:r>
      <w:r>
        <w:rPr>
          <w:noProof/>
        </w:rPr>
        <w:t>t to produce healthier products. Environmental aspects can also have an impact on health, as illustrated by AECH measures on antimicrobial resistance. VCS could be targeted to support healthier products and quality schemes instead of to vulnerable sectors.</w:t>
      </w:r>
      <w:r>
        <w:rPr>
          <w:noProof/>
        </w:rPr>
        <w:t xml:space="preserve"> The experts do not see a clear link between farm size and product quality. Lastly, research on the link between organic products and health is also still inconclusive. Option 5 is ranked best given the large budget for AECH, basic services, the support fo</w:t>
      </w:r>
      <w:r>
        <w:rPr>
          <w:noProof/>
        </w:rPr>
        <w:t xml:space="preserve">r direct sales and the top-ups for organic. 3b also scores high given the high support for basic services and competitiveness, as well as Leader, although with lower EIP. 3a receives an equal score, given high EIP and Eco-scheme.                         </w:t>
      </w:r>
    </w:p>
    <w:p w:rsidR="00333A1A" w:rsidRDefault="003D29C9">
      <w:pPr>
        <w:pStyle w:val="Heading3"/>
        <w:rPr>
          <w:noProof/>
        </w:rPr>
      </w:pPr>
      <w:bookmarkStart w:id="55" w:name="_Toc508286110"/>
      <w:r>
        <w:rPr>
          <w:noProof/>
        </w:rPr>
        <w:t>E</w:t>
      </w:r>
      <w:r>
        <w:rPr>
          <w:noProof/>
        </w:rPr>
        <w:t>nvironmental and Climate Policy Objective: Bolstering environmental care and climate action and contribute to the environmental and climate objectives of the EU</w:t>
      </w:r>
      <w:bookmarkEnd w:id="55"/>
    </w:p>
    <w:p w:rsidR="00333A1A" w:rsidRDefault="003D29C9">
      <w:pPr>
        <w:pStyle w:val="Text1"/>
        <w:ind w:left="0"/>
        <w:rPr>
          <w:noProof/>
        </w:rPr>
      </w:pPr>
      <w:r>
        <w:rPr>
          <w:noProof/>
        </w:rPr>
        <w:t xml:space="preserve">The environmental policy objective combines efforts towards mitigating and adapting to climate </w:t>
      </w:r>
      <w:r>
        <w:rPr>
          <w:noProof/>
        </w:rPr>
        <w:t>change with those contributing to care for soil, water, air and biodiversity, as well as valued landscapes. All options are geared towards improving the contribution towards the environmental and climate objective, with basic conditionality going beyond th</w:t>
      </w:r>
      <w:r>
        <w:rPr>
          <w:noProof/>
        </w:rPr>
        <w:t>e current GAEC and cross compliance, complemented with additional environmental requirements. This is also reflected in the MCA-scores where the options outperform the baseline and the baseline with cuts (graph 3.17). Option 5 sets aside 30% of direct paym</w:t>
      </w:r>
      <w:r>
        <w:rPr>
          <w:noProof/>
        </w:rPr>
        <w:t>ent envelopes for environmental top-up payments (in relation to organic farming, permanent grassland, landscape features and ANCs). It complements this with an increased budget for AECH. Options 3a and 4a test subsidiarity and start from the premise that M</w:t>
      </w:r>
      <w:r>
        <w:rPr>
          <w:noProof/>
        </w:rPr>
        <w:t>S are willing to step up their environmental ambition, while options 3b and 4b reflect more conservative choices by MS. Option 3 tests the approach of an eco-scheme under pillar 1, which is an incentive based approach where farmers can engage on a voluntar</w:t>
      </w:r>
      <w:r>
        <w:rPr>
          <w:noProof/>
        </w:rPr>
        <w:t>y basis. Option 4 on the contrary tests a conditional approach, with environmental requirements an integral part of the requirements to receive direct payments. Both approaches start from a needs assessment at MS or even regional level to identify the most</w:t>
      </w:r>
      <w:r>
        <w:rPr>
          <w:noProof/>
        </w:rPr>
        <w:t xml:space="preserve"> appropriate measures.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3700"/>
      </w:tblGrid>
      <w:tr w:rsidR="00333A1A">
        <w:trPr>
          <w:cantSplit/>
        </w:trPr>
        <w:tc>
          <w:tcPr>
            <w:tcW w:w="5134" w:type="dxa"/>
          </w:tcPr>
          <w:p w:rsidR="00333A1A" w:rsidRDefault="003D29C9">
            <w:pPr>
              <w:rPr>
                <w:b/>
                <w:noProof/>
              </w:rPr>
            </w:pPr>
            <w:r>
              <w:rPr>
                <w:noProof/>
              </w:rPr>
              <w:t xml:space="preserve"> </w:t>
            </w: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8</w:t>
            </w:r>
            <w:r>
              <w:rPr>
                <w:b/>
                <w:noProof/>
              </w:rPr>
              <w:fldChar w:fldCharType="end"/>
            </w:r>
            <w:r>
              <w:rPr>
                <w:b/>
                <w:noProof/>
              </w:rPr>
              <w:t>. Option scores for the Environmental Policy Objective and its 3 SOs</w:t>
            </w:r>
          </w:p>
        </w:tc>
        <w:tc>
          <w:tcPr>
            <w:tcW w:w="3700" w:type="dxa"/>
          </w:tcPr>
          <w:p w:rsidR="00333A1A" w:rsidRDefault="003D29C9">
            <w:pPr>
              <w:rPr>
                <w:b/>
                <w:noProof/>
                <w:lang w:val="fr-FR"/>
              </w:rPr>
            </w:pPr>
            <w:r>
              <w:rPr>
                <w:b/>
                <w:noProof/>
                <w:lang w:val="fr-FR"/>
              </w:rPr>
              <w:t xml:space="preserve">Graph </w:t>
            </w:r>
            <w:r>
              <w:rPr>
                <w:b/>
                <w:noProof/>
              </w:rPr>
              <w:fldChar w:fldCharType="begin"/>
            </w:r>
            <w:r>
              <w:rPr>
                <w:b/>
                <w:noProof/>
                <w:lang w:val="fr-FR"/>
              </w:rPr>
              <w:instrText xml:space="preserve"> STYLEREF 1 \s </w:instrText>
            </w:r>
            <w:r>
              <w:rPr>
                <w:b/>
                <w:noProof/>
              </w:rPr>
              <w:fldChar w:fldCharType="separate"/>
            </w:r>
            <w:r>
              <w:rPr>
                <w:b/>
                <w:noProof/>
                <w:lang w:val="fr-FR"/>
              </w:rPr>
              <w:t>3</w:t>
            </w:r>
            <w:r>
              <w:rPr>
                <w:b/>
                <w:noProof/>
              </w:rPr>
              <w:fldChar w:fldCharType="end"/>
            </w:r>
            <w:r>
              <w:rPr>
                <w:b/>
                <w:noProof/>
                <w:lang w:val="fr-FR"/>
              </w:rPr>
              <w:t>.</w:t>
            </w:r>
            <w:r>
              <w:rPr>
                <w:b/>
                <w:noProof/>
              </w:rPr>
              <w:fldChar w:fldCharType="begin"/>
            </w:r>
            <w:r>
              <w:rPr>
                <w:b/>
                <w:noProof/>
                <w:lang w:val="fr-FR"/>
              </w:rPr>
              <w:instrText xml:space="preserve"> SEQ Graph \* ARABIC \s 1 </w:instrText>
            </w:r>
            <w:r>
              <w:rPr>
                <w:b/>
                <w:noProof/>
              </w:rPr>
              <w:fldChar w:fldCharType="separate"/>
            </w:r>
            <w:r>
              <w:rPr>
                <w:b/>
                <w:noProof/>
                <w:lang w:val="fr-FR"/>
              </w:rPr>
              <w:t>17</w:t>
            </w:r>
            <w:r>
              <w:rPr>
                <w:b/>
                <w:noProof/>
              </w:rPr>
              <w:fldChar w:fldCharType="end"/>
            </w:r>
            <w:r>
              <w:rPr>
                <w:b/>
                <w:noProof/>
                <w:lang w:val="fr-FR"/>
              </w:rPr>
              <w:t xml:space="preserve">. Option scores on Environmental Policy Objective </w:t>
            </w:r>
          </w:p>
        </w:tc>
      </w:tr>
      <w:tr w:rsidR="00333A1A">
        <w:trPr>
          <w:cantSplit/>
          <w:trHeight w:val="3645"/>
        </w:trPr>
        <w:tc>
          <w:tcPr>
            <w:tcW w:w="5134" w:type="dxa"/>
          </w:tcPr>
          <w:tbl>
            <w:tblPr>
              <w:tblStyle w:val="MediumShading1"/>
              <w:tblW w:w="4898" w:type="dxa"/>
              <w:tblLook w:val="04A0" w:firstRow="1" w:lastRow="0" w:firstColumn="1" w:lastColumn="0" w:noHBand="0" w:noVBand="1"/>
            </w:tblPr>
            <w:tblGrid>
              <w:gridCol w:w="606"/>
              <w:gridCol w:w="38"/>
              <w:gridCol w:w="480"/>
              <w:gridCol w:w="1081"/>
              <w:gridCol w:w="992"/>
              <w:gridCol w:w="851"/>
              <w:gridCol w:w="85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Options</w:t>
                  </w:r>
                </w:p>
              </w:tc>
              <w:tc>
                <w:tcPr>
                  <w:tcW w:w="108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MO</w:t>
                  </w:r>
                </w:p>
              </w:tc>
              <w:tc>
                <w:tcPr>
                  <w:tcW w:w="992"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SO1</w:t>
                  </w:r>
                </w:p>
              </w:tc>
              <w:tc>
                <w:tcPr>
                  <w:tcW w:w="85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SO2</w:t>
                  </w:r>
                </w:p>
              </w:tc>
              <w:tc>
                <w:tcPr>
                  <w:tcW w:w="850"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SO3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dxa"/>
                  <w:noWrap/>
                  <w:vAlign w:val="center"/>
                </w:tcPr>
                <w:p w:rsidR="00333A1A" w:rsidRDefault="003D29C9">
                  <w:pPr>
                    <w:rPr>
                      <w:rFonts w:ascii="Times New Roman" w:hAnsi="Times New Roman" w:cs="Times New Roman"/>
                      <w:b w:val="0"/>
                      <w:bCs w:val="0"/>
                      <w:noProof/>
                      <w:sz w:val="20"/>
                      <w:szCs w:val="20"/>
                    </w:rPr>
                  </w:pPr>
                  <w:r>
                    <w:rPr>
                      <w:rFonts w:ascii="Times New Roman" w:hAnsi="Times New Roman" w:cs="Times New Roman"/>
                      <w:noProof/>
                      <w:sz w:val="20"/>
                      <w:szCs w:val="20"/>
                    </w:rPr>
                    <w:t>BAS</w:t>
                  </w:r>
                </w:p>
              </w:tc>
              <w:tc>
                <w:tcPr>
                  <w:tcW w:w="518" w:type="dxa"/>
                  <w:gridSpan w:val="2"/>
                  <w:vAlign w:val="center"/>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19</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19</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23</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1</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3</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65</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63</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64</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69</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BFBFBF" w:themeFill="background1" w:themeFillShade="BF"/>
                  <w:noWrap/>
                  <w:vAlign w:val="center"/>
                  <w:hideMark/>
                </w:tcPr>
                <w:p w:rsidR="00333A1A" w:rsidRDefault="00333A1A">
                  <w:pPr>
                    <w:rPr>
                      <w:rFonts w:ascii="Times New Roman" w:hAnsi="Times New Roman" w:cs="Times New Roman"/>
                      <w:noProof/>
                      <w:sz w:val="20"/>
                      <w:szCs w:val="20"/>
                    </w:rPr>
                  </w:pPr>
                </w:p>
              </w:tc>
              <w:tc>
                <w:tcPr>
                  <w:tcW w:w="480" w:type="dxa"/>
                  <w:shd w:val="clear" w:color="auto" w:fill="BFBFBF" w:themeFill="background1" w:themeFillShade="BF"/>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3a</w:t>
                  </w:r>
                </w:p>
              </w:tc>
              <w:tc>
                <w:tcPr>
                  <w:tcW w:w="108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88</w:t>
                  </w:r>
                </w:p>
              </w:tc>
              <w:tc>
                <w:tcPr>
                  <w:tcW w:w="992"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81</w:t>
                  </w:r>
                </w:p>
              </w:tc>
              <w:tc>
                <w:tcPr>
                  <w:tcW w:w="85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87</w:t>
                  </w:r>
                </w:p>
              </w:tc>
              <w:tc>
                <w:tcPr>
                  <w:tcW w:w="850"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3b</w:t>
                  </w: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42</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45</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42</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38</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4</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67</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67</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68</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65</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FFFFFF" w:themeFill="background1"/>
                  <w:noWrap/>
                  <w:vAlign w:val="center"/>
                  <w:hideMark/>
                </w:tcPr>
                <w:p w:rsidR="00333A1A" w:rsidRDefault="00333A1A">
                  <w:pPr>
                    <w:rPr>
                      <w:rFonts w:ascii="Times New Roman" w:hAnsi="Times New Roman" w:cs="Times New Roman"/>
                      <w:noProof/>
                      <w:sz w:val="20"/>
                      <w:szCs w:val="20"/>
                    </w:rPr>
                  </w:pPr>
                </w:p>
              </w:tc>
              <w:tc>
                <w:tcPr>
                  <w:tcW w:w="480" w:type="dxa"/>
                  <w:shd w:val="clear" w:color="auto" w:fill="FFFFFF" w:themeFill="background1"/>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4a</w:t>
                  </w:r>
                </w:p>
              </w:tc>
              <w:tc>
                <w:tcPr>
                  <w:tcW w:w="108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84</w:t>
                  </w:r>
                </w:p>
              </w:tc>
              <w:tc>
                <w:tcPr>
                  <w:tcW w:w="992"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88</w:t>
                  </w:r>
                </w:p>
              </w:tc>
              <w:tc>
                <w:tcPr>
                  <w:tcW w:w="85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86</w:t>
                  </w:r>
                </w:p>
              </w:tc>
              <w:tc>
                <w:tcPr>
                  <w:tcW w:w="850"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75</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4b</w:t>
                  </w: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50</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47</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51</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5</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79</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83</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75</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79</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Weights</w:t>
                  </w:r>
                </w:p>
              </w:tc>
              <w:tc>
                <w:tcPr>
                  <w:tcW w:w="108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w:t>
                  </w:r>
                </w:p>
              </w:tc>
              <w:tc>
                <w:tcPr>
                  <w:tcW w:w="992"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0.32</w:t>
                  </w:r>
                </w:p>
              </w:tc>
              <w:tc>
                <w:tcPr>
                  <w:tcW w:w="85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0.43</w:t>
                  </w:r>
                </w:p>
              </w:tc>
              <w:tc>
                <w:tcPr>
                  <w:tcW w:w="850"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0.25</w:t>
                  </w:r>
                </w:p>
              </w:tc>
            </w:tr>
          </w:tbl>
          <w:p w:rsidR="00333A1A" w:rsidRDefault="00333A1A">
            <w:pPr>
              <w:rPr>
                <w:noProof/>
              </w:rPr>
            </w:pPr>
          </w:p>
        </w:tc>
        <w:tc>
          <w:tcPr>
            <w:tcW w:w="3700" w:type="dxa"/>
          </w:tcPr>
          <w:p w:rsidR="00333A1A" w:rsidRDefault="003D29C9">
            <w:pPr>
              <w:rPr>
                <w:noProof/>
              </w:rPr>
            </w:pPr>
            <w:r>
              <w:rPr>
                <w:noProof/>
              </w:rPr>
              <w:drawing>
                <wp:inline distT="0" distB="0" distL="0" distR="0" wp14:anchorId="3EB89591" wp14:editId="4A4EA208">
                  <wp:extent cx="2159635" cy="215963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333A1A" w:rsidRDefault="003D29C9">
      <w:pPr>
        <w:pStyle w:val="Text1"/>
        <w:ind w:left="0"/>
        <w:rPr>
          <w:noProof/>
        </w:rPr>
      </w:pPr>
      <w:r>
        <w:rPr>
          <w:noProof/>
        </w:rPr>
        <w:t>As table 3.8 shows, options 3a and 4a are judged best</w:t>
      </w:r>
      <w:r>
        <w:rPr>
          <w:noProof/>
        </w:rPr>
        <w:t xml:space="preserve"> and gain a comparable score, while option 5 follows at a short distance. However, as there is considerable uncertainty regarding the level of ambition of MS, a strong fall back can be noted when considering the more conservative versions (options 3b and 4</w:t>
      </w:r>
      <w:r>
        <w:rPr>
          <w:noProof/>
        </w:rPr>
        <w:t>b) of these options. This is more amplified for option 3 compared to option 4. Under uncertainty of MS choices, an approach based on conditionality seems to be more effective, as it assures engagements of all farmers, is easier to control and avoids budget</w:t>
      </w:r>
      <w:r>
        <w:rPr>
          <w:noProof/>
        </w:rPr>
        <w:t xml:space="preserve"> swings and a mismatch between farmers' efforts and the granted incentive. Typically under an eco-scheme those already performing well will sign up, while the laggards will refrain from engaging, unless the provided incentive is high enough (but this will </w:t>
      </w:r>
      <w:r>
        <w:rPr>
          <w:noProof/>
        </w:rPr>
        <w:t>cause budget overshoot). In order to avoid conservative choices by MS, additional safeguards, in the form of target setting, EU requirements or possible budget earmarking, will have to be pursued.</w:t>
      </w:r>
    </w:p>
    <w:p w:rsidR="00333A1A" w:rsidRDefault="003D29C9">
      <w:pPr>
        <w:pStyle w:val="Text1"/>
        <w:ind w:left="0"/>
        <w:rPr>
          <w:noProof/>
        </w:rPr>
      </w:pPr>
      <w:r>
        <w:rPr>
          <w:noProof/>
        </w:rPr>
        <w:t>A second important observation relates to the focus of eco-</w:t>
      </w:r>
      <w:r>
        <w:rPr>
          <w:noProof/>
        </w:rPr>
        <w:t>schemes versus enhanced conditionality. Experts judge an eco-scheme to be more effective in the case of hot spot problems, while enhanced conditionality could perform better if there is no strong regulation in place (e.g. for soil) or if the issue is of wi</w:t>
      </w:r>
      <w:r>
        <w:rPr>
          <w:noProof/>
        </w:rPr>
        <w:t>despread concern (e.g. climate change). As enhanced conditionality needs to apply to all farmers concerned, it will be necessarily less demanding/targeted compared to the eco-scheme.</w:t>
      </w:r>
    </w:p>
    <w:p w:rsidR="00333A1A" w:rsidRDefault="003D29C9">
      <w:pPr>
        <w:pStyle w:val="Heading4"/>
        <w:rPr>
          <w:noProof/>
        </w:rPr>
      </w:pPr>
      <w:r>
        <w:rPr>
          <w:noProof/>
        </w:rPr>
        <w:t xml:space="preserve"> </w:t>
      </w:r>
      <w:bookmarkStart w:id="56" w:name="_Ref509414906"/>
      <w:r>
        <w:rPr>
          <w:noProof/>
        </w:rPr>
        <w:t>SO1: Contribute to climate change mitigation and adaptation</w:t>
      </w:r>
      <w:bookmarkEnd w:id="56"/>
    </w:p>
    <w:p w:rsidR="00333A1A" w:rsidRDefault="003D29C9">
      <w:pPr>
        <w:pStyle w:val="Text1"/>
        <w:ind w:left="0"/>
        <w:rPr>
          <w:noProof/>
        </w:rPr>
      </w:pPr>
      <w:r>
        <w:rPr>
          <w:noProof/>
        </w:rPr>
        <w:t>Climate chan</w:t>
      </w:r>
      <w:r>
        <w:rPr>
          <w:noProof/>
        </w:rPr>
        <w:t>ge is an important EU priority and the CAP is expected to contribute to the EU climate objectives by directing the farming community towards greater efforts for both mitigation and adaptation. The MCA analysis shows that the mix of policy instruments propo</w:t>
      </w:r>
      <w:r>
        <w:rPr>
          <w:noProof/>
        </w:rPr>
        <w:t>sed in option 5 performs best to contribute to mitigation and adaptation. This mix includes among others a top-up for permanent grassland and organic farming, a large budget for AECH, VCS for extensive livestock only and high spending on EIP. Option 4 is s</w:t>
      </w:r>
      <w:r>
        <w:rPr>
          <w:noProof/>
        </w:rPr>
        <w:t>lightly preferred over option 3, indicating that conditionality, applying to all farmers, is preferred over a voluntary eco-scheme. Main reasoning is that climate change is not location-specific and affects all, so joint measures are necessary. The experts</w:t>
      </w:r>
      <w:r>
        <w:rPr>
          <w:noProof/>
        </w:rPr>
        <w:t xml:space="preserve"> judge the variation between the sub-options a and b quite large. In fact, option 4a with its enhanced eco-conditionality scheme is the preferred option. But, as can be seen from the considerably lower score of option 4b, experts question whether a deliver</w:t>
      </w:r>
      <w:r>
        <w:rPr>
          <w:noProof/>
        </w:rPr>
        <w:t>y model with increased subsidiarity needs additional safeguards to guarantee high ambition from MS. In a similar sense, option 3a with its voluntary and ambitious eco-scheme also performs well, as opposed to 3b. All options outperform the baseline with cut</w:t>
      </w:r>
      <w:r>
        <w:rPr>
          <w:noProof/>
        </w:rPr>
        <w:t xml:space="preserve">s. </w:t>
      </w:r>
    </w:p>
    <w:p w:rsidR="00333A1A" w:rsidRDefault="003D29C9">
      <w:pPr>
        <w:pStyle w:val="Text1"/>
        <w:spacing w:after="0"/>
        <w:ind w:left="0"/>
        <w:rPr>
          <w:noProof/>
        </w:rPr>
      </w:pPr>
      <w:r>
        <w:rPr>
          <w:noProof/>
        </w:rPr>
        <w:t>To make this SO more concrete, 3 OOs were identified:</w:t>
      </w:r>
    </w:p>
    <w:p w:rsidR="00333A1A" w:rsidRDefault="00333A1A">
      <w:pPr>
        <w:pStyle w:val="Text1"/>
        <w:spacing w:after="0"/>
        <w:ind w:left="0"/>
        <w:rPr>
          <w:noProof/>
        </w:rPr>
      </w:pPr>
    </w:p>
    <w:p w:rsidR="00333A1A" w:rsidRDefault="003D29C9">
      <w:pPr>
        <w:pStyle w:val="Text1"/>
        <w:numPr>
          <w:ilvl w:val="0"/>
          <w:numId w:val="5"/>
        </w:numPr>
        <w:spacing w:after="0"/>
        <w:ind w:left="284" w:firstLine="0"/>
        <w:rPr>
          <w:noProof/>
        </w:rPr>
      </w:pPr>
      <w:r>
        <w:rPr>
          <w:noProof/>
        </w:rPr>
        <w:t>OO1.1: Prevent/reduce greenhouse gas (GHG) emissions</w:t>
      </w:r>
    </w:p>
    <w:p w:rsidR="00333A1A" w:rsidRDefault="003D29C9">
      <w:pPr>
        <w:pStyle w:val="Text1"/>
        <w:numPr>
          <w:ilvl w:val="0"/>
          <w:numId w:val="5"/>
        </w:numPr>
        <w:spacing w:after="0"/>
        <w:ind w:left="284" w:firstLine="0"/>
        <w:rPr>
          <w:noProof/>
        </w:rPr>
      </w:pPr>
      <w:r>
        <w:rPr>
          <w:noProof/>
        </w:rPr>
        <w:t>OO1.2: Increase carbon storage</w:t>
      </w:r>
    </w:p>
    <w:p w:rsidR="00333A1A" w:rsidRDefault="003D29C9">
      <w:pPr>
        <w:pStyle w:val="Text1"/>
        <w:numPr>
          <w:ilvl w:val="0"/>
          <w:numId w:val="5"/>
        </w:numPr>
        <w:spacing w:after="0"/>
        <w:ind w:left="284" w:firstLine="0"/>
        <w:rPr>
          <w:noProof/>
        </w:rPr>
      </w:pPr>
      <w:r>
        <w:rPr>
          <w:noProof/>
        </w:rPr>
        <w:t>OO1.3: Enhance farms adaptation capacity</w:t>
      </w:r>
    </w:p>
    <w:p w:rsidR="00333A1A" w:rsidRDefault="003D29C9">
      <w:pPr>
        <w:pStyle w:val="Text1"/>
        <w:ind w:left="0"/>
        <w:rPr>
          <w:noProof/>
        </w:rPr>
      </w:pPr>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3700"/>
      </w:tblGrid>
      <w:tr w:rsidR="00333A1A">
        <w:trPr>
          <w:cantSplit/>
        </w:trPr>
        <w:tc>
          <w:tcPr>
            <w:tcW w:w="5134" w:type="dxa"/>
          </w:tcPr>
          <w:p w:rsidR="00333A1A" w:rsidRDefault="003D29C9">
            <w:pPr>
              <w:rPr>
                <w:b/>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9</w:t>
            </w:r>
            <w:r>
              <w:rPr>
                <w:b/>
                <w:noProof/>
              </w:rPr>
              <w:fldChar w:fldCharType="end"/>
            </w:r>
            <w:r>
              <w:rPr>
                <w:b/>
                <w:noProof/>
              </w:rPr>
              <w:t xml:space="preserve">. Option </w:t>
            </w:r>
            <w:r>
              <w:rPr>
                <w:b/>
                <w:noProof/>
              </w:rPr>
              <w:t>scores for SO1 on climate change adaptation and mitigation and its 3 OOs</w:t>
            </w:r>
          </w:p>
        </w:tc>
        <w:tc>
          <w:tcPr>
            <w:tcW w:w="3700" w:type="dxa"/>
          </w:tcPr>
          <w:p w:rsidR="00333A1A" w:rsidRDefault="003D29C9">
            <w:pPr>
              <w:rPr>
                <w:b/>
                <w:noProof/>
                <w:lang w:val="fr-FR"/>
              </w:rPr>
            </w:pPr>
            <w:r>
              <w:rPr>
                <w:b/>
                <w:noProof/>
                <w:lang w:val="fr-FR"/>
              </w:rPr>
              <w:t xml:space="preserve">Graph </w:t>
            </w:r>
            <w:r>
              <w:rPr>
                <w:b/>
                <w:noProof/>
              </w:rPr>
              <w:fldChar w:fldCharType="begin"/>
            </w:r>
            <w:r>
              <w:rPr>
                <w:b/>
                <w:noProof/>
                <w:lang w:val="fr-FR"/>
              </w:rPr>
              <w:instrText xml:space="preserve"> STYLEREF 1 \s </w:instrText>
            </w:r>
            <w:r>
              <w:rPr>
                <w:b/>
                <w:noProof/>
              </w:rPr>
              <w:fldChar w:fldCharType="separate"/>
            </w:r>
            <w:r>
              <w:rPr>
                <w:b/>
                <w:noProof/>
                <w:lang w:val="fr-FR"/>
              </w:rPr>
              <w:t>3</w:t>
            </w:r>
            <w:r>
              <w:rPr>
                <w:b/>
                <w:noProof/>
              </w:rPr>
              <w:fldChar w:fldCharType="end"/>
            </w:r>
            <w:r>
              <w:rPr>
                <w:b/>
                <w:noProof/>
                <w:lang w:val="fr-FR"/>
              </w:rPr>
              <w:t>.</w:t>
            </w:r>
            <w:r>
              <w:rPr>
                <w:b/>
                <w:noProof/>
              </w:rPr>
              <w:fldChar w:fldCharType="begin"/>
            </w:r>
            <w:r>
              <w:rPr>
                <w:b/>
                <w:noProof/>
                <w:lang w:val="fr-FR"/>
              </w:rPr>
              <w:instrText xml:space="preserve"> SEQ Graph \* ARABIC \s 1 </w:instrText>
            </w:r>
            <w:r>
              <w:rPr>
                <w:b/>
                <w:noProof/>
              </w:rPr>
              <w:fldChar w:fldCharType="separate"/>
            </w:r>
            <w:r>
              <w:rPr>
                <w:b/>
                <w:noProof/>
                <w:lang w:val="fr-FR"/>
              </w:rPr>
              <w:t>18</w:t>
            </w:r>
            <w:r>
              <w:rPr>
                <w:b/>
                <w:noProof/>
              </w:rPr>
              <w:fldChar w:fldCharType="end"/>
            </w:r>
            <w:r>
              <w:rPr>
                <w:b/>
                <w:noProof/>
                <w:lang w:val="fr-FR"/>
              </w:rPr>
              <w:t xml:space="preserve">. Option scores on SO1 </w:t>
            </w:r>
          </w:p>
        </w:tc>
      </w:tr>
      <w:tr w:rsidR="00333A1A">
        <w:trPr>
          <w:cantSplit/>
          <w:trHeight w:val="3645"/>
        </w:trPr>
        <w:tc>
          <w:tcPr>
            <w:tcW w:w="5134" w:type="dxa"/>
          </w:tcPr>
          <w:tbl>
            <w:tblPr>
              <w:tblStyle w:val="MediumShading1"/>
              <w:tblW w:w="4898" w:type="dxa"/>
              <w:tblLook w:val="04A0" w:firstRow="1" w:lastRow="0" w:firstColumn="1" w:lastColumn="0" w:noHBand="0" w:noVBand="1"/>
            </w:tblPr>
            <w:tblGrid>
              <w:gridCol w:w="606"/>
              <w:gridCol w:w="38"/>
              <w:gridCol w:w="480"/>
              <w:gridCol w:w="1081"/>
              <w:gridCol w:w="992"/>
              <w:gridCol w:w="851"/>
              <w:gridCol w:w="85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Options</w:t>
                  </w:r>
                </w:p>
              </w:tc>
              <w:tc>
                <w:tcPr>
                  <w:tcW w:w="108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SO1</w:t>
                  </w:r>
                </w:p>
              </w:tc>
              <w:tc>
                <w:tcPr>
                  <w:tcW w:w="992"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OO1.1</w:t>
                  </w:r>
                </w:p>
              </w:tc>
              <w:tc>
                <w:tcPr>
                  <w:tcW w:w="85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OO1.2</w:t>
                  </w:r>
                </w:p>
              </w:tc>
              <w:tc>
                <w:tcPr>
                  <w:tcW w:w="850"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dxa"/>
                  <w:noWrap/>
                  <w:vAlign w:val="center"/>
                </w:tcPr>
                <w:p w:rsidR="00333A1A" w:rsidRDefault="003D29C9">
                  <w:pPr>
                    <w:rPr>
                      <w:rFonts w:ascii="Times New Roman" w:hAnsi="Times New Roman" w:cs="Times New Roman"/>
                      <w:b w:val="0"/>
                      <w:bCs w:val="0"/>
                      <w:noProof/>
                      <w:sz w:val="20"/>
                      <w:szCs w:val="20"/>
                    </w:rPr>
                  </w:pPr>
                  <w:r>
                    <w:rPr>
                      <w:rFonts w:ascii="Times New Roman" w:hAnsi="Times New Roman" w:cs="Times New Roman"/>
                      <w:noProof/>
                      <w:sz w:val="20"/>
                      <w:szCs w:val="20"/>
                    </w:rPr>
                    <w:t>BAS</w:t>
                  </w:r>
                </w:p>
              </w:tc>
              <w:tc>
                <w:tcPr>
                  <w:tcW w:w="518" w:type="dxa"/>
                  <w:gridSpan w:val="2"/>
                  <w:vAlign w:val="center"/>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19</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23</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21</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1</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9</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3</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63</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72</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54</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68</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BFBFBF" w:themeFill="background1" w:themeFillShade="BF"/>
                  <w:noWrap/>
                  <w:vAlign w:val="center"/>
                  <w:hideMark/>
                </w:tcPr>
                <w:p w:rsidR="00333A1A" w:rsidRDefault="00333A1A">
                  <w:pPr>
                    <w:rPr>
                      <w:rFonts w:ascii="Times New Roman" w:hAnsi="Times New Roman" w:cs="Times New Roman"/>
                      <w:noProof/>
                      <w:sz w:val="20"/>
                      <w:szCs w:val="20"/>
                    </w:rPr>
                  </w:pPr>
                </w:p>
              </w:tc>
              <w:tc>
                <w:tcPr>
                  <w:tcW w:w="480" w:type="dxa"/>
                  <w:shd w:val="clear" w:color="auto" w:fill="BFBFBF" w:themeFill="background1" w:themeFillShade="BF"/>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3a</w:t>
                  </w:r>
                </w:p>
              </w:tc>
              <w:tc>
                <w:tcPr>
                  <w:tcW w:w="108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81</w:t>
                  </w:r>
                </w:p>
              </w:tc>
              <w:tc>
                <w:tcPr>
                  <w:tcW w:w="992"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82</w:t>
                  </w:r>
                </w:p>
              </w:tc>
              <w:tc>
                <w:tcPr>
                  <w:tcW w:w="85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69</w:t>
                  </w:r>
                </w:p>
              </w:tc>
              <w:tc>
                <w:tcPr>
                  <w:tcW w:w="850"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3b</w:t>
                  </w: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45</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62</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38</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36</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4</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67</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62</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77</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57</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FFFFFF" w:themeFill="background1"/>
                  <w:noWrap/>
                  <w:vAlign w:val="center"/>
                  <w:hideMark/>
                </w:tcPr>
                <w:p w:rsidR="00333A1A" w:rsidRDefault="00333A1A">
                  <w:pPr>
                    <w:rPr>
                      <w:rFonts w:ascii="Times New Roman" w:hAnsi="Times New Roman" w:cs="Times New Roman"/>
                      <w:noProof/>
                      <w:sz w:val="20"/>
                      <w:szCs w:val="20"/>
                    </w:rPr>
                  </w:pPr>
                </w:p>
              </w:tc>
              <w:tc>
                <w:tcPr>
                  <w:tcW w:w="480" w:type="dxa"/>
                  <w:shd w:val="clear" w:color="auto" w:fill="FFFFFF" w:themeFill="background1"/>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4a</w:t>
                  </w:r>
                </w:p>
              </w:tc>
              <w:tc>
                <w:tcPr>
                  <w:tcW w:w="108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88</w:t>
                  </w:r>
                </w:p>
              </w:tc>
              <w:tc>
                <w:tcPr>
                  <w:tcW w:w="992"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90</w:t>
                  </w:r>
                </w:p>
              </w:tc>
              <w:tc>
                <w:tcPr>
                  <w:tcW w:w="85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c>
                <w:tcPr>
                  <w:tcW w:w="850"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64</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4b</w:t>
                  </w: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47</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34</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54</w:t>
                  </w:r>
                </w:p>
              </w:tc>
              <w:tc>
                <w:tcPr>
                  <w:tcW w:w="850"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5</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83</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80</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85</w:t>
                  </w:r>
                </w:p>
              </w:tc>
              <w:tc>
                <w:tcPr>
                  <w:tcW w:w="850"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86</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Weights</w:t>
                  </w:r>
                </w:p>
              </w:tc>
              <w:tc>
                <w:tcPr>
                  <w:tcW w:w="108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w:t>
                  </w:r>
                </w:p>
              </w:tc>
              <w:tc>
                <w:tcPr>
                  <w:tcW w:w="992"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0.31</w:t>
                  </w:r>
                </w:p>
              </w:tc>
              <w:tc>
                <w:tcPr>
                  <w:tcW w:w="85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0.43</w:t>
                  </w:r>
                </w:p>
              </w:tc>
              <w:tc>
                <w:tcPr>
                  <w:tcW w:w="850"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0.26</w:t>
                  </w:r>
                </w:p>
              </w:tc>
            </w:tr>
          </w:tbl>
          <w:p w:rsidR="00333A1A" w:rsidRDefault="00333A1A">
            <w:pPr>
              <w:rPr>
                <w:noProof/>
              </w:rPr>
            </w:pPr>
          </w:p>
        </w:tc>
        <w:tc>
          <w:tcPr>
            <w:tcW w:w="3700" w:type="dxa"/>
          </w:tcPr>
          <w:p w:rsidR="00333A1A" w:rsidRDefault="003D29C9">
            <w:pPr>
              <w:rPr>
                <w:noProof/>
              </w:rPr>
            </w:pPr>
            <w:r>
              <w:rPr>
                <w:noProof/>
              </w:rPr>
              <w:drawing>
                <wp:inline distT="0" distB="0" distL="0" distR="0" wp14:anchorId="45AAFC40" wp14:editId="4B9BF9F1">
                  <wp:extent cx="2159635" cy="215963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333A1A" w:rsidRDefault="003D29C9">
      <w:pPr>
        <w:pStyle w:val="Text1"/>
        <w:spacing w:before="200"/>
        <w:ind w:left="0"/>
        <w:rPr>
          <w:noProof/>
        </w:rPr>
      </w:pPr>
      <w:r>
        <w:rPr>
          <w:noProof/>
        </w:rPr>
        <w:t xml:space="preserve">In 2015 agricultural </w:t>
      </w:r>
      <w:r>
        <w:rPr>
          <w:b/>
          <w:noProof/>
        </w:rPr>
        <w:t xml:space="preserve">GHG emissions </w:t>
      </w:r>
      <w:r>
        <w:rPr>
          <w:noProof/>
        </w:rPr>
        <w:t>(OO1.1) in the EU-28 amounted to 437 million tonnes of CO</w:t>
      </w:r>
      <w:r>
        <w:rPr>
          <w:noProof/>
          <w:vertAlign w:val="subscript"/>
        </w:rPr>
        <w:t>2</w:t>
      </w:r>
      <w:r>
        <w:rPr>
          <w:noProof/>
        </w:rPr>
        <w:t xml:space="preserve"> equivalents, 10.1% of total emissions for that year. The long term trend of GHG emissions shows that emissions decreased, with a slowdown in the last years. Main sources of GHG emissions are enteric fermentation of ruminants, manure management, rice culti</w:t>
      </w:r>
      <w:r>
        <w:rPr>
          <w:noProof/>
        </w:rPr>
        <w:t>vation and agricultural soil management. Cropland is generally considered a source of GHG emission, while grassland is considered on average a sink for CO</w:t>
      </w:r>
      <w:r>
        <w:rPr>
          <w:noProof/>
          <w:vertAlign w:val="subscript"/>
        </w:rPr>
        <w:t>2</w:t>
      </w:r>
      <w:r>
        <w:rPr>
          <w:noProof/>
        </w:rPr>
        <w:t>. To compare the options, the number of livestock and the fertiliser use are leading factors. For thi</w:t>
      </w:r>
      <w:r>
        <w:rPr>
          <w:noProof/>
        </w:rPr>
        <w:t>s OO, experts rank 3a first, as the large envelope for eco-schemes allows granting incentives targeting emission reductions and with VCS absent, no additional production stimuli are given to sectors which contribute to GHG emissions (especially cattle). 4a</w:t>
      </w:r>
      <w:r>
        <w:rPr>
          <w:noProof/>
        </w:rPr>
        <w:t xml:space="preserve"> and 5 follow as the beneficial measures there are more relevant for soil carbon storage. 4b scores lower as the environmental ambition is considerably lower. On top of its low environmental ambition, option 3b allows granting VCS to all cattle, explaining</w:t>
      </w:r>
      <w:r>
        <w:rPr>
          <w:noProof/>
        </w:rPr>
        <w:t xml:space="preserve"> its low score. The CAPRI modelling results were also accounted for in the MCA to complement the expert judgement (with an equal weight, see graph 3.19). The expert judgements and model results are fully in tune for options 3b, 4 and 5, while for option 3a</w:t>
      </w:r>
      <w:r>
        <w:rPr>
          <w:noProof/>
        </w:rPr>
        <w:t xml:space="preserve"> experts were more positive compared to the modelling as they did not fully account for emission leakage higher in option 3a than in option 4a. Emissions leakage is due to higher beef imports to compensate for the decline in beef herd linked to the suppres</w:t>
      </w:r>
      <w:r>
        <w:rPr>
          <w:noProof/>
        </w:rPr>
        <w:t xml:space="preserve">sion of VCS.  </w:t>
      </w:r>
    </w:p>
    <w:p w:rsidR="00333A1A" w:rsidRDefault="003D29C9">
      <w:pPr>
        <w:pStyle w:val="Text1"/>
        <w:spacing w:after="0"/>
        <w:ind w:left="0"/>
        <w:rPr>
          <w:noProof/>
        </w:rPr>
      </w:pPr>
      <w:r>
        <w:rPr>
          <w:b/>
          <w:noProof/>
          <w:sz w:val="22"/>
        </w:rPr>
        <w:t xml:space="preserve">Graph </w:t>
      </w:r>
      <w:r>
        <w:rPr>
          <w:b/>
          <w:noProof/>
          <w:sz w:val="22"/>
        </w:rPr>
        <w:fldChar w:fldCharType="begin"/>
      </w:r>
      <w:r>
        <w:rPr>
          <w:b/>
          <w:noProof/>
          <w:sz w:val="22"/>
        </w:rPr>
        <w:instrText xml:space="preserve"> STYLEREF 1 \s </w:instrText>
      </w:r>
      <w:r>
        <w:rPr>
          <w:b/>
          <w:noProof/>
          <w:sz w:val="22"/>
        </w:rPr>
        <w:fldChar w:fldCharType="separate"/>
      </w:r>
      <w:r>
        <w:rPr>
          <w:b/>
          <w:noProof/>
          <w:sz w:val="22"/>
        </w:rPr>
        <w:t>3</w:t>
      </w:r>
      <w:r>
        <w:rPr>
          <w:b/>
          <w:noProof/>
          <w:sz w:val="22"/>
        </w:rPr>
        <w:fldChar w:fldCharType="end"/>
      </w:r>
      <w:r>
        <w:rPr>
          <w:b/>
          <w:noProof/>
          <w:sz w:val="22"/>
        </w:rPr>
        <w:t>.</w:t>
      </w:r>
      <w:r>
        <w:rPr>
          <w:b/>
          <w:noProof/>
          <w:sz w:val="22"/>
        </w:rPr>
        <w:fldChar w:fldCharType="begin"/>
      </w:r>
      <w:r>
        <w:rPr>
          <w:b/>
          <w:noProof/>
          <w:sz w:val="22"/>
        </w:rPr>
        <w:instrText xml:space="preserve"> SEQ Graph \* ARABIC \s 1 </w:instrText>
      </w:r>
      <w:r>
        <w:rPr>
          <w:b/>
          <w:noProof/>
          <w:sz w:val="22"/>
        </w:rPr>
        <w:fldChar w:fldCharType="separate"/>
      </w:r>
      <w:r>
        <w:rPr>
          <w:b/>
          <w:noProof/>
          <w:sz w:val="22"/>
        </w:rPr>
        <w:t>19</w:t>
      </w:r>
      <w:r>
        <w:rPr>
          <w:b/>
          <w:noProof/>
          <w:sz w:val="22"/>
        </w:rPr>
        <w:fldChar w:fldCharType="end"/>
      </w:r>
      <w:r>
        <w:rPr>
          <w:b/>
          <w:noProof/>
          <w:sz w:val="22"/>
        </w:rPr>
        <w:t>. Option scores on indicators associated with OO1.1 Greenhouse Gas Emissions</w:t>
      </w:r>
    </w:p>
    <w:p w:rsidR="00333A1A" w:rsidRDefault="003D29C9">
      <w:pPr>
        <w:pStyle w:val="Text1"/>
        <w:ind w:left="0"/>
        <w:rPr>
          <w:noProof/>
        </w:rPr>
      </w:pPr>
      <w:r>
        <w:rPr>
          <w:noProof/>
          <w:lang w:eastAsia="en-GB"/>
        </w:rPr>
        <w:drawing>
          <wp:inline distT="0" distB="0" distL="0" distR="0" wp14:anchorId="39D07276" wp14:editId="0CC3DF87">
            <wp:extent cx="4572000" cy="18954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33A1A" w:rsidRDefault="003D29C9">
      <w:pPr>
        <w:pStyle w:val="Text1"/>
        <w:ind w:left="0"/>
        <w:rPr>
          <w:noProof/>
        </w:rPr>
      </w:pPr>
      <w:r>
        <w:rPr>
          <w:noProof/>
        </w:rPr>
        <w:t xml:space="preserve">Regarding </w:t>
      </w:r>
      <w:r>
        <w:rPr>
          <w:b/>
          <w:noProof/>
        </w:rPr>
        <w:t xml:space="preserve">soil carbon storage </w:t>
      </w:r>
      <w:r>
        <w:rPr>
          <w:noProof/>
        </w:rPr>
        <w:t>(OO1.2), CO</w:t>
      </w:r>
      <w:r>
        <w:rPr>
          <w:noProof/>
          <w:vertAlign w:val="subscript"/>
        </w:rPr>
        <w:t>2</w:t>
      </w:r>
      <w:r>
        <w:rPr>
          <w:noProof/>
        </w:rPr>
        <w:t xml:space="preserve"> emissions from the conversion or the implementation of certain</w:t>
      </w:r>
      <w:r>
        <w:rPr>
          <w:noProof/>
        </w:rPr>
        <w:t xml:space="preserve"> farming practices are declining but represent still                  60Mt CO</w:t>
      </w:r>
      <w:r>
        <w:rPr>
          <w:noProof/>
          <w:vertAlign w:val="subscript"/>
        </w:rPr>
        <w:t>2</w:t>
      </w:r>
      <w:r>
        <w:rPr>
          <w:noProof/>
        </w:rPr>
        <w:t>/year</w:t>
      </w:r>
      <w:r>
        <w:rPr>
          <w:rStyle w:val="FootnoteReference"/>
          <w:noProof/>
        </w:rPr>
        <w:footnoteReference w:id="46"/>
      </w:r>
      <w:r>
        <w:rPr>
          <w:noProof/>
        </w:rPr>
        <w:t>. The main cause is the conversion from grassland to cropland, leading to a decline in soil organic carbon. The group experts have a preference for option 4a given the redi</w:t>
      </w:r>
      <w:r>
        <w:rPr>
          <w:noProof/>
        </w:rPr>
        <w:t>stribution of DP in favour of permanent grassland, which is associated positively with carbon storage, and other measures such as winter soil cover. Option 5 also scores high as it contains top-ups for permanent grassland, landscape features and organic fa</w:t>
      </w:r>
      <w:r>
        <w:rPr>
          <w:noProof/>
        </w:rPr>
        <w:t>rming. Option 3a follows, among others due to the beneficial effects of the eco-scheme measure of winter soil cover on arable land. Option 4b also receives a positive score given the redistribution of DP towards permanent grassland. The basic conditionalit</w:t>
      </w:r>
      <w:r>
        <w:rPr>
          <w:noProof/>
        </w:rPr>
        <w:t>y in the options imposes a ban on ploughing of wet and peatlands, which is favourable for retaining carbon in the soil. The baseline and option 1 are hence seen as overall less ambitious towards increasing soil carbon storage.</w:t>
      </w:r>
    </w:p>
    <w:p w:rsidR="00333A1A" w:rsidRDefault="003D29C9">
      <w:pPr>
        <w:pStyle w:val="Text1"/>
        <w:ind w:left="0"/>
        <w:rPr>
          <w:noProof/>
        </w:rPr>
      </w:pPr>
      <w:r>
        <w:rPr>
          <w:noProof/>
        </w:rPr>
        <w:t>Agriculture is highly vulnera</w:t>
      </w:r>
      <w:r>
        <w:rPr>
          <w:noProof/>
        </w:rPr>
        <w:t xml:space="preserve">ble to climate change, so </w:t>
      </w:r>
      <w:r>
        <w:rPr>
          <w:b/>
          <w:noProof/>
        </w:rPr>
        <w:t>climate change adaptation</w:t>
      </w:r>
      <w:r>
        <w:rPr>
          <w:noProof/>
        </w:rPr>
        <w:t xml:space="preserve"> (OO1.3) is considered an important priority. Impacts are highly place and crop specific. Option 3a is preferred as it contains the eco-scheme, worth 60% of DP, which allows targeted interventions and it h</w:t>
      </w:r>
      <w:r>
        <w:rPr>
          <w:noProof/>
        </w:rPr>
        <w:t>as a high budget for risk management (10% of DP). Option 5 also scores high given the largest budget for AECH while also landscape features, for which a top-up to the DP is granted, help to build up resilience. 4a also scores reasonable well as the enhance</w:t>
      </w:r>
      <w:r>
        <w:rPr>
          <w:noProof/>
        </w:rPr>
        <w:t xml:space="preserve">d conditionality improves resilience, but the cut in RD payments for competitiveness is seen as negative.    </w:t>
      </w:r>
    </w:p>
    <w:p w:rsidR="00333A1A" w:rsidRDefault="003D29C9">
      <w:pPr>
        <w:pStyle w:val="Heading4"/>
        <w:rPr>
          <w:noProof/>
        </w:rPr>
      </w:pPr>
      <w:r>
        <w:rPr>
          <w:noProof/>
        </w:rPr>
        <w:t xml:space="preserve"> SO2: Foster sustainable and efficient management of resources</w:t>
      </w:r>
    </w:p>
    <w:p w:rsidR="00333A1A" w:rsidRDefault="003D29C9">
      <w:pPr>
        <w:pStyle w:val="Text1"/>
        <w:ind w:left="0"/>
        <w:rPr>
          <w:noProof/>
        </w:rPr>
      </w:pPr>
      <w:r>
        <w:rPr>
          <w:noProof/>
        </w:rPr>
        <w:t>This second environmental specific objective groups the bulk of environmental objectives of the CAP – including elements related to soil, water, air, pesticides and antibiotics, and agricultural genetic resources. Option 5 targets 30% of the DP envelope to</w:t>
      </w:r>
      <w:r>
        <w:rPr>
          <w:noProof/>
        </w:rPr>
        <w:t xml:space="preserve"> top ups for permanent grassland, organic farming, ANC in mountainous areas and landscape elements. Option 5 also contains a large budget for AECH. Under the assumption of ambitious environmental choices by MS, option 3a and 4a outperform option 5 on this </w:t>
      </w:r>
      <w:r>
        <w:rPr>
          <w:noProof/>
        </w:rPr>
        <w:t>SO. When MS take a more conservative stance (option 3b and 4b), the environmental performance drops back significantly. But, given the increased basic conditionality, among others with simple crop rotation and non-productive areas, all options outperform t</w:t>
      </w:r>
      <w:r>
        <w:rPr>
          <w:noProof/>
        </w:rPr>
        <w:t xml:space="preserve">he baseline and the baseline with cuts.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2630"/>
      </w:tblGrid>
      <w:tr w:rsidR="00333A1A">
        <w:trPr>
          <w:cantSplit/>
        </w:trPr>
        <w:tc>
          <w:tcPr>
            <w:tcW w:w="6204" w:type="dxa"/>
          </w:tcPr>
          <w:p w:rsidR="00333A1A" w:rsidRDefault="003D29C9">
            <w:pPr>
              <w:rPr>
                <w:b/>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10</w:t>
            </w:r>
            <w:r>
              <w:rPr>
                <w:b/>
                <w:noProof/>
              </w:rPr>
              <w:fldChar w:fldCharType="end"/>
            </w:r>
            <w:r>
              <w:rPr>
                <w:b/>
                <w:noProof/>
              </w:rPr>
              <w:t>. Option scores for SO2 on sustainable management of resources and its 4 OOs</w:t>
            </w:r>
          </w:p>
        </w:tc>
        <w:tc>
          <w:tcPr>
            <w:tcW w:w="2630" w:type="dxa"/>
          </w:tcPr>
          <w:p w:rsidR="00333A1A" w:rsidRDefault="003D29C9">
            <w:pPr>
              <w:rPr>
                <w:b/>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Graph \* ARABIC \s 1 </w:instrText>
            </w:r>
            <w:r>
              <w:rPr>
                <w:b/>
                <w:noProof/>
              </w:rPr>
              <w:fldChar w:fldCharType="separate"/>
            </w:r>
            <w:r>
              <w:rPr>
                <w:b/>
                <w:noProof/>
              </w:rPr>
              <w:t>20</w:t>
            </w:r>
            <w:r>
              <w:rPr>
                <w:b/>
                <w:noProof/>
              </w:rPr>
              <w:fldChar w:fldCharType="end"/>
            </w:r>
            <w:r>
              <w:rPr>
                <w:b/>
                <w:noProof/>
              </w:rPr>
              <w:t>. Option scores on S</w:t>
            </w:r>
            <w:r>
              <w:rPr>
                <w:b/>
                <w:noProof/>
              </w:rPr>
              <w:t xml:space="preserve">O2 </w:t>
            </w:r>
          </w:p>
        </w:tc>
      </w:tr>
      <w:tr w:rsidR="00333A1A">
        <w:trPr>
          <w:cantSplit/>
          <w:trHeight w:val="3692"/>
        </w:trPr>
        <w:tc>
          <w:tcPr>
            <w:tcW w:w="6204" w:type="dxa"/>
          </w:tcPr>
          <w:tbl>
            <w:tblPr>
              <w:tblStyle w:val="MediumShading1"/>
              <w:tblW w:w="6015" w:type="dxa"/>
              <w:tblLayout w:type="fixed"/>
              <w:tblLook w:val="04A0" w:firstRow="1" w:lastRow="0" w:firstColumn="1" w:lastColumn="0" w:noHBand="0" w:noVBand="1"/>
            </w:tblPr>
            <w:tblGrid>
              <w:gridCol w:w="409"/>
              <w:gridCol w:w="543"/>
              <w:gridCol w:w="937"/>
              <w:gridCol w:w="936"/>
              <w:gridCol w:w="805"/>
              <w:gridCol w:w="805"/>
              <w:gridCol w:w="790"/>
              <w:gridCol w:w="79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Options</w:t>
                  </w:r>
                </w:p>
              </w:tc>
              <w:tc>
                <w:tcPr>
                  <w:tcW w:w="937"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SO2</w:t>
                  </w:r>
                </w:p>
              </w:tc>
              <w:tc>
                <w:tcPr>
                  <w:tcW w:w="936"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OO2.1</w:t>
                  </w:r>
                </w:p>
              </w:tc>
              <w:tc>
                <w:tcPr>
                  <w:tcW w:w="805"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OO2.2</w:t>
                  </w:r>
                </w:p>
              </w:tc>
              <w:tc>
                <w:tcPr>
                  <w:tcW w:w="805" w:type="dxa"/>
                  <w:noWrap/>
                  <w:vAlign w:val="center"/>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OO2.3</w:t>
                  </w:r>
                </w:p>
              </w:tc>
              <w:tc>
                <w:tcPr>
                  <w:tcW w:w="790" w:type="dxa"/>
                  <w:vAlign w:val="center"/>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OO2.4</w:t>
                  </w:r>
                </w:p>
              </w:tc>
              <w:tc>
                <w:tcPr>
                  <w:tcW w:w="790" w:type="dxa"/>
                  <w:vAlign w:val="center"/>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OO2.5</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BAS</w:t>
                  </w:r>
                </w:p>
              </w:tc>
              <w:tc>
                <w:tcPr>
                  <w:tcW w:w="937"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19</w:t>
                  </w:r>
                </w:p>
              </w:tc>
              <w:tc>
                <w:tcPr>
                  <w:tcW w:w="936"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18</w:t>
                  </w:r>
                </w:p>
              </w:tc>
              <w:tc>
                <w:tcPr>
                  <w:tcW w:w="80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12</w:t>
                  </w:r>
                </w:p>
              </w:tc>
              <w:tc>
                <w:tcPr>
                  <w:tcW w:w="80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14</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27</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25</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543" w:type="dxa"/>
                  <w:noWrap/>
                  <w:vAlign w:val="center"/>
                  <w:hideMark/>
                </w:tcPr>
                <w:p w:rsidR="00333A1A" w:rsidRDefault="00333A1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9</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543" w:type="dxa"/>
                  <w:noWrap/>
                  <w:vAlign w:val="center"/>
                  <w:hideMark/>
                </w:tcPr>
                <w:p w:rsidR="00333A1A" w:rsidRDefault="00333A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p>
              </w:tc>
              <w:tc>
                <w:tcPr>
                  <w:tcW w:w="937"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64</w:t>
                  </w:r>
                </w:p>
              </w:tc>
              <w:tc>
                <w:tcPr>
                  <w:tcW w:w="936"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59</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74</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71</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73</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31</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shd w:val="clear" w:color="auto" w:fill="BFBFBF" w:themeFill="background1" w:themeFillShade="BF"/>
                  <w:noWrap/>
                  <w:vAlign w:val="center"/>
                  <w:hideMark/>
                </w:tcPr>
                <w:p w:rsidR="00333A1A" w:rsidRDefault="00333A1A">
                  <w:pPr>
                    <w:jc w:val="center"/>
                    <w:rPr>
                      <w:rFonts w:ascii="Times New Roman" w:hAnsi="Times New Roman" w:cs="Times New Roman"/>
                      <w:noProof/>
                      <w:sz w:val="20"/>
                      <w:szCs w:val="20"/>
                    </w:rPr>
                  </w:pPr>
                </w:p>
              </w:tc>
              <w:tc>
                <w:tcPr>
                  <w:tcW w:w="543"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3a</w:t>
                  </w:r>
                </w:p>
              </w:tc>
              <w:tc>
                <w:tcPr>
                  <w:tcW w:w="937"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87</w:t>
                  </w:r>
                </w:p>
              </w:tc>
              <w:tc>
                <w:tcPr>
                  <w:tcW w:w="936"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82</w:t>
                  </w:r>
                </w:p>
              </w:tc>
              <w:tc>
                <w:tcPr>
                  <w:tcW w:w="805"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c>
                <w:tcPr>
                  <w:tcW w:w="805"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c>
                <w:tcPr>
                  <w:tcW w:w="790" w:type="dxa"/>
                  <w:shd w:val="clear" w:color="auto" w:fill="BFBFBF" w:themeFill="background1" w:themeFillShade="BF"/>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c>
                <w:tcPr>
                  <w:tcW w:w="790" w:type="dxa"/>
                  <w:shd w:val="clear" w:color="auto" w:fill="BFBFBF" w:themeFill="background1" w:themeFillShade="BF"/>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25</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33A1A">
                  <w:pPr>
                    <w:jc w:val="center"/>
                    <w:rPr>
                      <w:rFonts w:ascii="Times New Roman" w:hAnsi="Times New Roman" w:cs="Times New Roman"/>
                      <w:noProof/>
                      <w:sz w:val="20"/>
                      <w:szCs w:val="20"/>
                    </w:rPr>
                  </w:pPr>
                </w:p>
              </w:tc>
              <w:tc>
                <w:tcPr>
                  <w:tcW w:w="543"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3b</w:t>
                  </w:r>
                </w:p>
              </w:tc>
              <w:tc>
                <w:tcPr>
                  <w:tcW w:w="937"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42</w:t>
                  </w:r>
                </w:p>
              </w:tc>
              <w:tc>
                <w:tcPr>
                  <w:tcW w:w="936"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36</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48</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42</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45</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38</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543" w:type="dxa"/>
                  <w:noWrap/>
                  <w:vAlign w:val="center"/>
                  <w:hideMark/>
                </w:tcPr>
                <w:p w:rsidR="00333A1A" w:rsidRDefault="00333A1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color w:val="000000"/>
                      <w:sz w:val="20"/>
                      <w:szCs w:val="20"/>
                    </w:rPr>
                  </w:pP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68</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77</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59</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64</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73</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shd w:val="clear" w:color="auto" w:fill="FFFFFF" w:themeFill="background1"/>
                  <w:noWrap/>
                  <w:vAlign w:val="center"/>
                  <w:hideMark/>
                </w:tcPr>
                <w:p w:rsidR="00333A1A" w:rsidRDefault="00333A1A">
                  <w:pPr>
                    <w:jc w:val="center"/>
                    <w:rPr>
                      <w:rFonts w:ascii="Times New Roman" w:hAnsi="Times New Roman" w:cs="Times New Roman"/>
                      <w:noProof/>
                      <w:sz w:val="20"/>
                      <w:szCs w:val="20"/>
                    </w:rPr>
                  </w:pPr>
                </w:p>
              </w:tc>
              <w:tc>
                <w:tcPr>
                  <w:tcW w:w="543"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4a</w:t>
                  </w:r>
                </w:p>
              </w:tc>
              <w:tc>
                <w:tcPr>
                  <w:tcW w:w="937"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86</w:t>
                  </w:r>
                </w:p>
              </w:tc>
              <w:tc>
                <w:tcPr>
                  <w:tcW w:w="936"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c>
                <w:tcPr>
                  <w:tcW w:w="805"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77</w:t>
                  </w:r>
                </w:p>
              </w:tc>
              <w:tc>
                <w:tcPr>
                  <w:tcW w:w="805"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91</w:t>
                  </w:r>
                </w:p>
              </w:tc>
              <w:tc>
                <w:tcPr>
                  <w:tcW w:w="790" w:type="dxa"/>
                  <w:shd w:val="clear" w:color="auto" w:fill="FFFFFF" w:themeFill="background1"/>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82</w:t>
                  </w:r>
                </w:p>
              </w:tc>
              <w:tc>
                <w:tcPr>
                  <w:tcW w:w="790" w:type="dxa"/>
                  <w:shd w:val="clear" w:color="auto" w:fill="FFFFFF" w:themeFill="background1"/>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63</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33A1A">
                  <w:pPr>
                    <w:jc w:val="center"/>
                    <w:rPr>
                      <w:rFonts w:ascii="Times New Roman" w:hAnsi="Times New Roman" w:cs="Times New Roman"/>
                      <w:noProof/>
                      <w:sz w:val="20"/>
                      <w:szCs w:val="20"/>
                    </w:rPr>
                  </w:pPr>
                </w:p>
              </w:tc>
              <w:tc>
                <w:tcPr>
                  <w:tcW w:w="543"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4b</w:t>
                  </w: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51</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55</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42</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38</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64</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dxa"/>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5</w:t>
                  </w:r>
                </w:p>
              </w:tc>
              <w:tc>
                <w:tcPr>
                  <w:tcW w:w="543" w:type="dxa"/>
                  <w:noWrap/>
                  <w:vAlign w:val="center"/>
                  <w:hideMark/>
                </w:tcPr>
                <w:p w:rsidR="00333A1A" w:rsidRDefault="00333A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p>
              </w:tc>
              <w:tc>
                <w:tcPr>
                  <w:tcW w:w="937"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75</w:t>
                  </w:r>
                </w:p>
              </w:tc>
              <w:tc>
                <w:tcPr>
                  <w:tcW w:w="936"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82</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58</w:t>
                  </w:r>
                </w:p>
              </w:tc>
              <w:tc>
                <w:tcPr>
                  <w:tcW w:w="805"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49</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c>
                <w:tcPr>
                  <w:tcW w:w="790"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333A1A" w:rsidRDefault="003D29C9">
                  <w:pPr>
                    <w:jc w:val="center"/>
                    <w:rPr>
                      <w:rFonts w:ascii="Times New Roman" w:hAnsi="Times New Roman" w:cs="Times New Roman"/>
                      <w:noProof/>
                      <w:sz w:val="20"/>
                      <w:szCs w:val="20"/>
                    </w:rPr>
                  </w:pPr>
                  <w:r>
                    <w:rPr>
                      <w:rFonts w:ascii="Times New Roman" w:hAnsi="Times New Roman" w:cs="Times New Roman"/>
                      <w:noProof/>
                      <w:sz w:val="20"/>
                      <w:szCs w:val="20"/>
                    </w:rPr>
                    <w:t>Weights</w:t>
                  </w:r>
                </w:p>
              </w:tc>
              <w:tc>
                <w:tcPr>
                  <w:tcW w:w="937"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p>
              </w:tc>
              <w:tc>
                <w:tcPr>
                  <w:tcW w:w="936"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0.25</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0.14</w:t>
                  </w:r>
                </w:p>
              </w:tc>
              <w:tc>
                <w:tcPr>
                  <w:tcW w:w="805"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0.29</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0.21</w:t>
                  </w:r>
                </w:p>
              </w:tc>
              <w:tc>
                <w:tcPr>
                  <w:tcW w:w="790"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0.11</w:t>
                  </w:r>
                </w:p>
              </w:tc>
            </w:tr>
          </w:tbl>
          <w:p w:rsidR="00333A1A" w:rsidRDefault="00333A1A">
            <w:pPr>
              <w:rPr>
                <w:noProof/>
              </w:rPr>
            </w:pPr>
          </w:p>
        </w:tc>
        <w:tc>
          <w:tcPr>
            <w:tcW w:w="2630" w:type="dxa"/>
          </w:tcPr>
          <w:p w:rsidR="00333A1A" w:rsidRDefault="003D29C9">
            <w:pPr>
              <w:rPr>
                <w:noProof/>
              </w:rPr>
            </w:pPr>
            <w:r>
              <w:rPr>
                <w:noProof/>
              </w:rPr>
              <w:drawing>
                <wp:inline distT="0" distB="0" distL="0" distR="0" wp14:anchorId="5162FC88" wp14:editId="5D7ED9FA">
                  <wp:extent cx="1502410" cy="2159635"/>
                  <wp:effectExtent l="0" t="0" r="254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333A1A" w:rsidRDefault="003D29C9">
      <w:pPr>
        <w:pStyle w:val="Text1"/>
        <w:spacing w:before="200"/>
        <w:ind w:left="0"/>
        <w:rPr>
          <w:noProof/>
        </w:rPr>
      </w:pPr>
      <w:r>
        <w:rPr>
          <w:noProof/>
        </w:rPr>
        <w:t xml:space="preserve">For </w:t>
      </w:r>
      <w:r>
        <w:rPr>
          <w:b/>
          <w:noProof/>
        </w:rPr>
        <w:t>improving soil condition</w:t>
      </w:r>
      <w:r>
        <w:rPr>
          <w:noProof/>
        </w:rPr>
        <w:t xml:space="preserve"> (OO2.1) both measures to increase the soil organic content and to reduce soil erosion are important. Some measures are already part of the current GAEC. In absence of an EU wide soil legislation, the experts see more virtue in a policy with enhanced condi</w:t>
      </w:r>
      <w:r>
        <w:rPr>
          <w:noProof/>
        </w:rPr>
        <w:t>tionality, as it puts a lower boundary for all and assures large coverage, compared to a policy which targets hot spots via an incentive based eco-scheme. This enhanced conditionality could for example include winter cover crops and permanent cover. Becaus</w:t>
      </w:r>
      <w:r>
        <w:rPr>
          <w:noProof/>
        </w:rPr>
        <w:t>e of this, but also because of the support for permanent grassland and extensive livestock, option 4a is preferred, followed by both 3a and 5. Option 5 has a large AECH budget and a top-up for permanent grassland. 3a allows targeting the real hot spots. Th</w:t>
      </w:r>
      <w:r>
        <w:rPr>
          <w:noProof/>
        </w:rPr>
        <w:t>e rest of the options have lower environmental ambition.</w:t>
      </w:r>
    </w:p>
    <w:p w:rsidR="00333A1A" w:rsidRDefault="003D29C9">
      <w:pPr>
        <w:pStyle w:val="Text1"/>
        <w:spacing w:before="200"/>
        <w:ind w:left="0"/>
        <w:rPr>
          <w:noProof/>
        </w:rPr>
      </w:pPr>
      <w:r>
        <w:rPr>
          <w:noProof/>
        </w:rPr>
        <w:t xml:space="preserve">For </w:t>
      </w:r>
      <w:r>
        <w:rPr>
          <w:b/>
          <w:noProof/>
        </w:rPr>
        <w:t>reducing air pollution</w:t>
      </w:r>
      <w:r>
        <w:rPr>
          <w:noProof/>
        </w:rPr>
        <w:t xml:space="preserve"> (OO2.2), ammonia emissions are the biggest concern. Agricultural activities in the EU-28 resulted in the emission of 3.7 million tonnes of ammonia in 2014 (EEA) or 94% of total ammonia emissions. The number of livestock animals is one of the main drivers </w:t>
      </w:r>
      <w:r>
        <w:rPr>
          <w:noProof/>
        </w:rPr>
        <w:t>of ammonia emissions, which originate from animal feed and manure. In addition, ammonia emissions may also occur from urea and ammonia based fertilizer application.  Measures with impact on emissions are manure injection/animal feeding strategies, better s</w:t>
      </w:r>
      <w:r>
        <w:rPr>
          <w:noProof/>
        </w:rPr>
        <w:t xml:space="preserve">tables and nitrogen use improvement. Unlike GHG, for ammonia it matters where emissions originate: reduction of intensive to extensive is important. Experts note that directing more support to permanent grassland (Option 4 and 5) can give indirect support </w:t>
      </w:r>
      <w:r>
        <w:rPr>
          <w:noProof/>
        </w:rPr>
        <w:t>to the livestock sector, increasing emissions. Also important is that for pig and poultry farmers there is little impact of DP, for them pillar II measures are more relevant. The ammonia emissions for the different options could be obtained from the modell</w:t>
      </w:r>
      <w:r>
        <w:rPr>
          <w:noProof/>
        </w:rPr>
        <w:t>ing exercise. The resulting scoring (see graph 3.21) is very similar to the one obtained from the group expert judgement. 3a is the preferred option as the eco-scheme allows targeting the hotspots, while there is no VCS. 4a scores 2</w:t>
      </w:r>
      <w:r>
        <w:rPr>
          <w:noProof/>
          <w:vertAlign w:val="superscript"/>
        </w:rPr>
        <w:t>nd</w:t>
      </w:r>
      <w:r>
        <w:rPr>
          <w:noProof/>
        </w:rPr>
        <w:t xml:space="preserve">, due to the enhanced </w:t>
      </w:r>
      <w:r>
        <w:rPr>
          <w:noProof/>
        </w:rPr>
        <w:t>conditionality, although the redistribution to permanent grassland might give an incentive to livestock production. Option 5 also scores well, with its large AECH budget and the top-up for organic farms (which have better nitrogen balances), although the f</w:t>
      </w:r>
      <w:r>
        <w:rPr>
          <w:noProof/>
        </w:rPr>
        <w:t>ocus on small farms, which have fewer means to invest in different housing conditions (important for ammonia emissions), counts negatively. 4b scores better than 3b because of higher EIP.</w:t>
      </w:r>
    </w:p>
    <w:p w:rsidR="00333A1A" w:rsidRDefault="003D29C9">
      <w:pPr>
        <w:pStyle w:val="Text1"/>
        <w:keepNext/>
        <w:spacing w:after="0"/>
        <w:ind w:left="0"/>
        <w:rPr>
          <w:noProof/>
        </w:rPr>
      </w:pPr>
      <w:r>
        <w:rPr>
          <w:b/>
          <w:noProof/>
          <w:sz w:val="22"/>
        </w:rPr>
        <w:t xml:space="preserve">Graph </w:t>
      </w:r>
      <w:r>
        <w:rPr>
          <w:b/>
          <w:noProof/>
          <w:sz w:val="22"/>
        </w:rPr>
        <w:fldChar w:fldCharType="begin"/>
      </w:r>
      <w:r>
        <w:rPr>
          <w:b/>
          <w:noProof/>
          <w:sz w:val="22"/>
        </w:rPr>
        <w:instrText xml:space="preserve"> STYLEREF 1 \s </w:instrText>
      </w:r>
      <w:r>
        <w:rPr>
          <w:b/>
          <w:noProof/>
          <w:sz w:val="22"/>
        </w:rPr>
        <w:fldChar w:fldCharType="separate"/>
      </w:r>
      <w:r>
        <w:rPr>
          <w:b/>
          <w:noProof/>
          <w:sz w:val="22"/>
        </w:rPr>
        <w:t>3</w:t>
      </w:r>
      <w:r>
        <w:rPr>
          <w:b/>
          <w:noProof/>
          <w:sz w:val="22"/>
        </w:rPr>
        <w:fldChar w:fldCharType="end"/>
      </w:r>
      <w:r>
        <w:rPr>
          <w:b/>
          <w:noProof/>
          <w:sz w:val="22"/>
        </w:rPr>
        <w:t>.</w:t>
      </w:r>
      <w:r>
        <w:rPr>
          <w:b/>
          <w:noProof/>
          <w:sz w:val="22"/>
        </w:rPr>
        <w:fldChar w:fldCharType="begin"/>
      </w:r>
      <w:r>
        <w:rPr>
          <w:b/>
          <w:noProof/>
          <w:sz w:val="22"/>
        </w:rPr>
        <w:instrText xml:space="preserve"> SEQ Graph \* ARABIC \s 1 </w:instrText>
      </w:r>
      <w:r>
        <w:rPr>
          <w:b/>
          <w:noProof/>
          <w:sz w:val="22"/>
        </w:rPr>
        <w:fldChar w:fldCharType="separate"/>
      </w:r>
      <w:r>
        <w:rPr>
          <w:b/>
          <w:noProof/>
          <w:sz w:val="22"/>
        </w:rPr>
        <w:t>21</w:t>
      </w:r>
      <w:r>
        <w:rPr>
          <w:b/>
          <w:noProof/>
          <w:sz w:val="22"/>
        </w:rPr>
        <w:fldChar w:fldCharType="end"/>
      </w:r>
      <w:r>
        <w:rPr>
          <w:b/>
          <w:noProof/>
          <w:sz w:val="22"/>
        </w:rPr>
        <w:t>. Option sc</w:t>
      </w:r>
      <w:r>
        <w:rPr>
          <w:b/>
          <w:noProof/>
          <w:sz w:val="22"/>
        </w:rPr>
        <w:t>ores on indicators associated with OO2.2 Reducing air pollution</w:t>
      </w:r>
    </w:p>
    <w:p w:rsidR="00333A1A" w:rsidRDefault="003D29C9">
      <w:pPr>
        <w:pStyle w:val="Text1"/>
        <w:ind w:left="0"/>
        <w:rPr>
          <w:noProof/>
        </w:rPr>
      </w:pPr>
      <w:r>
        <w:rPr>
          <w:noProof/>
          <w:lang w:eastAsia="en-GB"/>
        </w:rPr>
        <w:drawing>
          <wp:inline distT="0" distB="0" distL="0" distR="0" wp14:anchorId="667D2D3A" wp14:editId="6B3CE901">
            <wp:extent cx="4572000" cy="18954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33A1A" w:rsidRDefault="003D29C9">
      <w:pPr>
        <w:pStyle w:val="Text1"/>
        <w:spacing w:before="200"/>
        <w:ind w:left="0"/>
        <w:rPr>
          <w:noProof/>
        </w:rPr>
      </w:pPr>
      <w:r>
        <w:rPr>
          <w:noProof/>
        </w:rPr>
        <w:t xml:space="preserve">The third OO focuses on </w:t>
      </w:r>
      <w:r>
        <w:rPr>
          <w:b/>
          <w:noProof/>
        </w:rPr>
        <w:t>improving water quality and use</w:t>
      </w:r>
      <w:r>
        <w:rPr>
          <w:noProof/>
        </w:rPr>
        <w:t>. Water quality can be linked to the gross nutrient balance and pesticide use while water use mainly links to water exploitation by agr</w:t>
      </w:r>
      <w:r>
        <w:rPr>
          <w:noProof/>
        </w:rPr>
        <w:t>iculture compared to water availability, mainly through irrigation. The pressure from agriculture on water quality is decreasing, although not uniformly. In 2012, it was estimated that, despite reductions in agricultural inputs, diffuse pollution from agri</w:t>
      </w:r>
      <w:r>
        <w:rPr>
          <w:noProof/>
        </w:rPr>
        <w:t>culture is a significant pressure in more than 40% of rivers and coastal waters. The share of agriculture in EU water abstraction (24%) has wide variations (in Southern countries it is 65%), but water abstraction is generally declining. All options contain</w:t>
      </w:r>
      <w:r>
        <w:rPr>
          <w:noProof/>
        </w:rPr>
        <w:t xml:space="preserve"> a nutrient management plan (although how it will be implemented was not specified for the qualitative exercise). Water abstraction problems are mainly relevant for the South. According to experts, 3a receives the best ranking as it allows to targeting at </w:t>
      </w:r>
      <w:r>
        <w:rPr>
          <w:noProof/>
        </w:rPr>
        <w:t>river basin level, closely followed by 4a as it can assure agriculture wide coverage. 5 scores lower as pillar 1 measures are not specifically targeting water, although beneficial effects might be expected from top-ups targeting organic farms (e.g. limitin</w:t>
      </w:r>
      <w:r>
        <w:rPr>
          <w:noProof/>
        </w:rPr>
        <w:t>g pollution from pesticides) and landscape elements (e.g. limiting leaching). The high budget for AECH allows to also cover water related measures. 3b is ranked higher than 4b because the light eco-scheme might contain measures relevant for water. Measures</w:t>
      </w:r>
      <w:r>
        <w:rPr>
          <w:noProof/>
        </w:rPr>
        <w:t xml:space="preserve"> for nitrate leaching from the modelling are also accounted for in the MCA. Expert judgements on this OO and modelling results are closely in line (Graph 3.22).      </w:t>
      </w:r>
    </w:p>
    <w:p w:rsidR="00333A1A" w:rsidRDefault="003D29C9">
      <w:pPr>
        <w:pStyle w:val="Text1"/>
        <w:keepNext/>
        <w:spacing w:after="0"/>
        <w:ind w:left="0"/>
        <w:rPr>
          <w:noProof/>
        </w:rPr>
      </w:pPr>
      <w:r>
        <w:rPr>
          <w:b/>
          <w:noProof/>
          <w:sz w:val="22"/>
        </w:rPr>
        <w:t xml:space="preserve">Graph </w:t>
      </w:r>
      <w:r>
        <w:rPr>
          <w:b/>
          <w:noProof/>
          <w:sz w:val="22"/>
        </w:rPr>
        <w:fldChar w:fldCharType="begin"/>
      </w:r>
      <w:r>
        <w:rPr>
          <w:b/>
          <w:noProof/>
          <w:sz w:val="22"/>
        </w:rPr>
        <w:instrText xml:space="preserve"> STYLEREF 1 \s </w:instrText>
      </w:r>
      <w:r>
        <w:rPr>
          <w:b/>
          <w:noProof/>
          <w:sz w:val="22"/>
        </w:rPr>
        <w:fldChar w:fldCharType="separate"/>
      </w:r>
      <w:r>
        <w:rPr>
          <w:b/>
          <w:noProof/>
          <w:sz w:val="22"/>
        </w:rPr>
        <w:t>3</w:t>
      </w:r>
      <w:r>
        <w:rPr>
          <w:b/>
          <w:noProof/>
          <w:sz w:val="22"/>
        </w:rPr>
        <w:fldChar w:fldCharType="end"/>
      </w:r>
      <w:r>
        <w:rPr>
          <w:b/>
          <w:noProof/>
          <w:sz w:val="22"/>
        </w:rPr>
        <w:t>.</w:t>
      </w:r>
      <w:r>
        <w:rPr>
          <w:b/>
          <w:noProof/>
          <w:sz w:val="22"/>
        </w:rPr>
        <w:fldChar w:fldCharType="begin"/>
      </w:r>
      <w:r>
        <w:rPr>
          <w:b/>
          <w:noProof/>
          <w:sz w:val="22"/>
        </w:rPr>
        <w:instrText xml:space="preserve"> SEQ Graph \* ARABIC \s 1 </w:instrText>
      </w:r>
      <w:r>
        <w:rPr>
          <w:b/>
          <w:noProof/>
          <w:sz w:val="22"/>
        </w:rPr>
        <w:fldChar w:fldCharType="separate"/>
      </w:r>
      <w:r>
        <w:rPr>
          <w:b/>
          <w:noProof/>
          <w:sz w:val="22"/>
        </w:rPr>
        <w:t>22</w:t>
      </w:r>
      <w:r>
        <w:rPr>
          <w:b/>
          <w:noProof/>
          <w:sz w:val="22"/>
        </w:rPr>
        <w:fldChar w:fldCharType="end"/>
      </w:r>
      <w:r>
        <w:rPr>
          <w:b/>
          <w:noProof/>
          <w:sz w:val="22"/>
        </w:rPr>
        <w:t xml:space="preserve">. Option scores on indicators </w:t>
      </w:r>
      <w:r>
        <w:rPr>
          <w:b/>
          <w:noProof/>
          <w:sz w:val="22"/>
        </w:rPr>
        <w:t>associated with OO2.3 Improve water quality/use</w:t>
      </w:r>
    </w:p>
    <w:p w:rsidR="00333A1A" w:rsidRDefault="003D29C9">
      <w:pPr>
        <w:pStyle w:val="Text1"/>
        <w:ind w:left="0"/>
        <w:rPr>
          <w:noProof/>
        </w:rPr>
      </w:pPr>
      <w:r>
        <w:rPr>
          <w:noProof/>
          <w:lang w:eastAsia="en-GB"/>
        </w:rPr>
        <w:drawing>
          <wp:inline distT="0" distB="0" distL="0" distR="0" wp14:anchorId="1AC3AA86" wp14:editId="5F71A461">
            <wp:extent cx="4572000" cy="189547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33A1A" w:rsidRDefault="003D29C9">
      <w:pPr>
        <w:pStyle w:val="Text1"/>
        <w:ind w:left="0"/>
        <w:rPr>
          <w:noProof/>
        </w:rPr>
      </w:pPr>
      <w:r>
        <w:rPr>
          <w:noProof/>
        </w:rPr>
        <w:t xml:space="preserve">The </w:t>
      </w:r>
      <w:r>
        <w:rPr>
          <w:b/>
          <w:noProof/>
        </w:rPr>
        <w:t>sustainable use of pesticides and antibiotics</w:t>
      </w:r>
      <w:r>
        <w:rPr>
          <w:noProof/>
        </w:rPr>
        <w:t xml:space="preserve"> (OO2.4), an objective which also contributes to the cross-cutting objective of societal expectations on food and health, largely depends on legislations imp</w:t>
      </w:r>
      <w:r>
        <w:rPr>
          <w:noProof/>
        </w:rPr>
        <w:t>lemented independently from the CAP. Hence the core impact is the result of requirements imposed from legislations relating to health and environment. However it is clear that agriculture is a major user of pesticides and antimicrobials. The CAP has curren</w:t>
      </w:r>
      <w:r>
        <w:rPr>
          <w:noProof/>
        </w:rPr>
        <w:t>tly and in the envisaged future instruments relevant for improving the use of these substances. The group experts see an important role for training (FAS) and EIP. For Integrated Pest Management (IPM), a systems approach is desirable (including training, a</w:t>
      </w:r>
      <w:r>
        <w:rPr>
          <w:noProof/>
        </w:rPr>
        <w:t>dvice, forecasting etc.). Antimicrobial resistance (AMR) is mainly an issue for intensive farming. With pig and poultry farms hardly getting direct payments, targeting might work better through AECH compared to the eco-scheme under pillar 1. 3a and 5 are c</w:t>
      </w:r>
      <w:r>
        <w:rPr>
          <w:noProof/>
        </w:rPr>
        <w:t>onsidered the preferred options. 3a allows targeting and offers a layered approach with basic conditionality, an eco-scheme and AECH payments on top of that, while 5 has a large budget for AECH and a top-up for organic. In option 5 large intensive farms wh</w:t>
      </w:r>
      <w:r>
        <w:rPr>
          <w:noProof/>
        </w:rPr>
        <w:t xml:space="preserve">ere pesticides are potentially more an issue, might escape. In that sense option 4a with enhanced conditionality could perform better. 4b scores higher than 3b as it offers a larger budget for EIP.     </w:t>
      </w:r>
    </w:p>
    <w:p w:rsidR="00333A1A" w:rsidRDefault="003D29C9">
      <w:pPr>
        <w:pStyle w:val="Text1"/>
        <w:ind w:left="0"/>
        <w:rPr>
          <w:noProof/>
        </w:rPr>
      </w:pPr>
      <w:r>
        <w:rPr>
          <w:noProof/>
        </w:rPr>
        <w:t xml:space="preserve">For the </w:t>
      </w:r>
      <w:r>
        <w:rPr>
          <w:b/>
          <w:noProof/>
        </w:rPr>
        <w:t>preservation of agricultural genetic resource</w:t>
      </w:r>
      <w:r>
        <w:rPr>
          <w:b/>
          <w:noProof/>
        </w:rPr>
        <w:t>s</w:t>
      </w:r>
      <w:r>
        <w:rPr>
          <w:noProof/>
        </w:rPr>
        <w:t xml:space="preserve"> (OO2.5), AECH measures (currently submeasure M10.2 on conservation of genetic resources, M10.1 on rare breeds and M11 organic) are most relevant. Support connected to the EIP and the development of niche supply chains is also important. Experts make the </w:t>
      </w:r>
      <w:r>
        <w:rPr>
          <w:noProof/>
        </w:rPr>
        <w:t>assumption that the eco-scheme will probably not contain measures targeting this OO. Option 5 is ranked best thanks to its high budgets for AECH and EIP as well as its organic top-up. It is followed by option 4. Option 3 and the baseline have a similar sco</w:t>
      </w:r>
      <w:r>
        <w:rPr>
          <w:noProof/>
        </w:rPr>
        <w:t>re given EIP and AECH budget versus the budget cut.</w:t>
      </w:r>
    </w:p>
    <w:p w:rsidR="00333A1A" w:rsidRDefault="003D29C9">
      <w:pPr>
        <w:pStyle w:val="Heading4"/>
        <w:rPr>
          <w:noProof/>
        </w:rPr>
      </w:pPr>
      <w:r>
        <w:rPr>
          <w:noProof/>
        </w:rPr>
        <w:t xml:space="preserve"> SO3: Preserve nature and landscapes</w:t>
      </w:r>
    </w:p>
    <w:p w:rsidR="00333A1A" w:rsidRDefault="003D29C9">
      <w:pPr>
        <w:pStyle w:val="Text1"/>
        <w:ind w:left="0"/>
        <w:rPr>
          <w:noProof/>
        </w:rPr>
      </w:pPr>
      <w:r>
        <w:rPr>
          <w:noProof/>
        </w:rPr>
        <w:t>This SO focuses on improving farm and forest biodiversity (OO3.1) as well as maintaining/improving culturally valued landscapes (OO3.2). Option 3a outperforms the rest</w:t>
      </w:r>
      <w:r>
        <w:rPr>
          <w:noProof/>
        </w:rPr>
        <w:t xml:space="preserve">, but the spread with option 3b is wide again, so it will depend on MS ambition. Option 5 also performs well. </w:t>
      </w:r>
    </w:p>
    <w:p w:rsidR="00333A1A" w:rsidRDefault="003D29C9">
      <w:pPr>
        <w:pStyle w:val="Text1"/>
        <w:ind w:left="0"/>
        <w:rPr>
          <w:noProof/>
        </w:rPr>
      </w:pPr>
      <w:r>
        <w:rPr>
          <w:noProof/>
        </w:rPr>
        <w:t>Due to the millennia-long interaction between farming and the environment, specific habitats and species have developed that can only be maintain</w:t>
      </w:r>
      <w:r>
        <w:rPr>
          <w:noProof/>
        </w:rPr>
        <w:t>ed by the continuation of farming. Nearly half of the habitats linked to agricultural ecosystems are in an unfavourable conservation status (EEA, 2015).  Main threats to agricultural biodiversity-rich environments are land abandonment, which under European</w:t>
      </w:r>
      <w:r>
        <w:rPr>
          <w:noProof/>
        </w:rPr>
        <w:t xml:space="preserve"> conditions would mostly lead to shrub encroachment, and intensification, which leads to the simplification of plant and animal communities. For </w:t>
      </w:r>
      <w:r>
        <w:rPr>
          <w:b/>
          <w:noProof/>
        </w:rPr>
        <w:t>improving farm and forest biodiversity</w:t>
      </w:r>
      <w:r>
        <w:rPr>
          <w:noProof/>
        </w:rPr>
        <w:t xml:space="preserve"> option 3a ranks best according to the experts, due to the ambitious eco-</w:t>
      </w:r>
      <w:r>
        <w:rPr>
          <w:noProof/>
        </w:rPr>
        <w:t>scheme which allows including targeted measures for biodiversity. However, there was discussion whether for biodiversity improvement you need a more regional approach, which would favour enhanced conditionality (option 4a). Option 5 also scores high, as it</w:t>
      </w:r>
      <w:r>
        <w:rPr>
          <w:noProof/>
        </w:rPr>
        <w:t xml:space="preserve"> stimulates organic farming, permanent grassland and landscape features through top-ups, while also containing a high budget for AECH. 4b scores lower as it has only basic conditionality, although the redistribution towards permanent grassland and VCS for </w:t>
      </w:r>
      <w:r>
        <w:rPr>
          <w:noProof/>
        </w:rPr>
        <w:t>extensive livestock might contribute positively. 3b also scores lower with the smaller eco-scheme.</w:t>
      </w:r>
    </w:p>
    <w:p w:rsidR="00333A1A" w:rsidRDefault="003D29C9">
      <w:pPr>
        <w:pStyle w:val="Text1"/>
        <w:spacing w:before="200"/>
        <w:ind w:left="0"/>
        <w:rPr>
          <w:noProof/>
        </w:rPr>
      </w:pPr>
      <w:r>
        <w:rPr>
          <w:noProof/>
        </w:rPr>
        <w:t xml:space="preserve">For the </w:t>
      </w:r>
      <w:r>
        <w:rPr>
          <w:b/>
          <w:noProof/>
        </w:rPr>
        <w:t>maintenance/improvement of culturally valued landscapes</w:t>
      </w:r>
      <w:r>
        <w:rPr>
          <w:noProof/>
        </w:rPr>
        <w:t xml:space="preserve">, Natura 2000 legislation is important. Option 3a scores best according to the experts as the </w:t>
      </w:r>
      <w:r>
        <w:rPr>
          <w:noProof/>
        </w:rPr>
        <w:t xml:space="preserve">eco-scheme combines high ambition with the possibility to target aid to relevant measures. 4a also performs well due to the additional support for permanent grassland and VCS for extensive livestock, which are associated with culturally valued landscapes, </w:t>
      </w:r>
      <w:r>
        <w:rPr>
          <w:noProof/>
        </w:rPr>
        <w:t>on top of its enhanced conditionality. Option 5 ranks lower than 3a and 4a, as it concentrates support on areas where cultural landscapes already exist thus helping maintenance. However, accounting for the uncertainty in options 3 and 4 implementation, opt</w:t>
      </w:r>
      <w:r>
        <w:rPr>
          <w:noProof/>
        </w:rPr>
        <w:t>ion 5 scores as good as the average of these options. An additional risk, which was not accounted for by experts is the risk of further land consolidation in option 3a if not specific measures are implemented to keep/improve culturally valued landscapes.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3700"/>
      </w:tblGrid>
      <w:tr w:rsidR="00333A1A">
        <w:trPr>
          <w:cantSplit/>
        </w:trPr>
        <w:tc>
          <w:tcPr>
            <w:tcW w:w="5134" w:type="dxa"/>
          </w:tcPr>
          <w:p w:rsidR="00333A1A" w:rsidRDefault="003D29C9">
            <w:pPr>
              <w:keepNext/>
              <w:rPr>
                <w:b/>
                <w:noProof/>
              </w:rPr>
            </w:pPr>
            <w:r>
              <w:rPr>
                <w:b/>
                <w:noProof/>
              </w:rPr>
              <w:t>T</w:t>
            </w:r>
            <w:r>
              <w:rPr>
                <w:b/>
                <w:noProof/>
              </w:rPr>
              <w:t xml:space="preserve">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11</w:t>
            </w:r>
            <w:r>
              <w:rPr>
                <w:b/>
                <w:noProof/>
              </w:rPr>
              <w:fldChar w:fldCharType="end"/>
            </w:r>
            <w:r>
              <w:rPr>
                <w:b/>
                <w:noProof/>
              </w:rPr>
              <w:t>. Option scores for the SO3 on nature and landscape preservation and its 2 OOs</w:t>
            </w:r>
          </w:p>
        </w:tc>
        <w:tc>
          <w:tcPr>
            <w:tcW w:w="3700" w:type="dxa"/>
          </w:tcPr>
          <w:p w:rsidR="00333A1A" w:rsidRDefault="003D29C9">
            <w:pPr>
              <w:keepNext/>
              <w:rPr>
                <w:b/>
                <w:noProof/>
                <w:lang w:val="fr-FR"/>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w:instrText>
            </w:r>
            <w:r>
              <w:rPr>
                <w:b/>
                <w:noProof/>
                <w:lang w:val="fr-FR"/>
              </w:rPr>
              <w:instrText xml:space="preserve">EQ Graph \* ARABIC \s 1 </w:instrText>
            </w:r>
            <w:r>
              <w:rPr>
                <w:b/>
                <w:noProof/>
              </w:rPr>
              <w:fldChar w:fldCharType="separate"/>
            </w:r>
            <w:r>
              <w:rPr>
                <w:b/>
                <w:noProof/>
              </w:rPr>
              <w:t>23</w:t>
            </w:r>
            <w:r>
              <w:rPr>
                <w:b/>
                <w:noProof/>
              </w:rPr>
              <w:fldChar w:fldCharType="end"/>
            </w:r>
            <w:r>
              <w:rPr>
                <w:b/>
                <w:noProof/>
                <w:lang w:val="fr-FR"/>
              </w:rPr>
              <w:t xml:space="preserve">. Option scores on SO3 </w:t>
            </w:r>
          </w:p>
        </w:tc>
      </w:tr>
      <w:tr w:rsidR="00333A1A">
        <w:trPr>
          <w:cantSplit/>
          <w:trHeight w:val="3645"/>
        </w:trPr>
        <w:tc>
          <w:tcPr>
            <w:tcW w:w="5134" w:type="dxa"/>
          </w:tcPr>
          <w:tbl>
            <w:tblPr>
              <w:tblStyle w:val="MediumShading1"/>
              <w:tblW w:w="4048" w:type="dxa"/>
              <w:tblLook w:val="04A0" w:firstRow="1" w:lastRow="0" w:firstColumn="1" w:lastColumn="0" w:noHBand="0" w:noVBand="1"/>
            </w:tblPr>
            <w:tblGrid>
              <w:gridCol w:w="606"/>
              <w:gridCol w:w="38"/>
              <w:gridCol w:w="480"/>
              <w:gridCol w:w="1081"/>
              <w:gridCol w:w="992"/>
              <w:gridCol w:w="851"/>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Options</w:t>
                  </w:r>
                </w:p>
              </w:tc>
              <w:tc>
                <w:tcPr>
                  <w:tcW w:w="108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SO3</w:t>
                  </w:r>
                </w:p>
              </w:tc>
              <w:tc>
                <w:tcPr>
                  <w:tcW w:w="992"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OO3.1</w:t>
                  </w:r>
                </w:p>
              </w:tc>
              <w:tc>
                <w:tcPr>
                  <w:tcW w:w="85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OO3.2</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dxa"/>
                  <w:noWrap/>
                  <w:vAlign w:val="center"/>
                </w:tcPr>
                <w:p w:rsidR="00333A1A" w:rsidRDefault="003D29C9">
                  <w:pPr>
                    <w:rPr>
                      <w:rFonts w:ascii="Times New Roman" w:hAnsi="Times New Roman" w:cs="Times New Roman"/>
                      <w:b w:val="0"/>
                      <w:bCs w:val="0"/>
                      <w:noProof/>
                      <w:sz w:val="20"/>
                      <w:szCs w:val="20"/>
                    </w:rPr>
                  </w:pPr>
                  <w:r>
                    <w:rPr>
                      <w:rFonts w:ascii="Times New Roman" w:hAnsi="Times New Roman" w:cs="Times New Roman"/>
                      <w:noProof/>
                      <w:sz w:val="20"/>
                      <w:szCs w:val="20"/>
                    </w:rPr>
                    <w:t>BAS</w:t>
                  </w:r>
                </w:p>
              </w:tc>
              <w:tc>
                <w:tcPr>
                  <w:tcW w:w="518" w:type="dxa"/>
                  <w:gridSpan w:val="2"/>
                  <w:vAlign w:val="center"/>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23</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23</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23</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1</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3</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BFBFBF" w:themeFill="background1" w:themeFillShade="BF"/>
                  <w:noWrap/>
                  <w:vAlign w:val="center"/>
                  <w:hideMark/>
                </w:tcPr>
                <w:p w:rsidR="00333A1A" w:rsidRDefault="00333A1A">
                  <w:pPr>
                    <w:rPr>
                      <w:rFonts w:ascii="Times New Roman" w:hAnsi="Times New Roman" w:cs="Times New Roman"/>
                      <w:noProof/>
                      <w:sz w:val="20"/>
                      <w:szCs w:val="20"/>
                    </w:rPr>
                  </w:pPr>
                </w:p>
              </w:tc>
              <w:tc>
                <w:tcPr>
                  <w:tcW w:w="480" w:type="dxa"/>
                  <w:shd w:val="clear" w:color="auto" w:fill="BFBFBF" w:themeFill="background1" w:themeFillShade="BF"/>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3a</w:t>
                  </w:r>
                </w:p>
              </w:tc>
              <w:tc>
                <w:tcPr>
                  <w:tcW w:w="108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992"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5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3b</w:t>
                  </w: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4</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65</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62</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shd w:val="clear" w:color="auto" w:fill="FFFFFF" w:themeFill="background1"/>
                  <w:noWrap/>
                  <w:vAlign w:val="center"/>
                  <w:hideMark/>
                </w:tcPr>
                <w:p w:rsidR="00333A1A" w:rsidRDefault="00333A1A">
                  <w:pPr>
                    <w:rPr>
                      <w:rFonts w:ascii="Times New Roman" w:hAnsi="Times New Roman" w:cs="Times New Roman"/>
                      <w:noProof/>
                      <w:sz w:val="20"/>
                      <w:szCs w:val="20"/>
                    </w:rPr>
                  </w:pPr>
                </w:p>
              </w:tc>
              <w:tc>
                <w:tcPr>
                  <w:tcW w:w="480" w:type="dxa"/>
                  <w:shd w:val="clear" w:color="auto" w:fill="FFFFFF" w:themeFill="background1"/>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4a</w:t>
                  </w:r>
                </w:p>
              </w:tc>
              <w:tc>
                <w:tcPr>
                  <w:tcW w:w="108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75</w:t>
                  </w:r>
                </w:p>
              </w:tc>
              <w:tc>
                <w:tcPr>
                  <w:tcW w:w="992"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c>
                <w:tcPr>
                  <w:tcW w:w="85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85</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4b</w:t>
                  </w: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c>
                <w:tcPr>
                  <w:tcW w:w="992"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c>
                <w:tcPr>
                  <w:tcW w:w="85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5</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79</w:t>
                  </w:r>
                </w:p>
              </w:tc>
              <w:tc>
                <w:tcPr>
                  <w:tcW w:w="992"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85</w:t>
                  </w:r>
                </w:p>
              </w:tc>
              <w:tc>
                <w:tcPr>
                  <w:tcW w:w="85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3"/>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Weights</w:t>
                  </w:r>
                </w:p>
              </w:tc>
              <w:tc>
                <w:tcPr>
                  <w:tcW w:w="108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w:t>
                  </w:r>
                </w:p>
              </w:tc>
              <w:tc>
                <w:tcPr>
                  <w:tcW w:w="992"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0.61</w:t>
                  </w:r>
                </w:p>
              </w:tc>
              <w:tc>
                <w:tcPr>
                  <w:tcW w:w="85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0.39</w:t>
                  </w:r>
                </w:p>
              </w:tc>
            </w:tr>
          </w:tbl>
          <w:p w:rsidR="00333A1A" w:rsidRDefault="00333A1A">
            <w:pPr>
              <w:rPr>
                <w:noProof/>
              </w:rPr>
            </w:pPr>
          </w:p>
        </w:tc>
        <w:tc>
          <w:tcPr>
            <w:tcW w:w="3700" w:type="dxa"/>
          </w:tcPr>
          <w:p w:rsidR="00333A1A" w:rsidRDefault="003D29C9">
            <w:pPr>
              <w:rPr>
                <w:noProof/>
              </w:rPr>
            </w:pPr>
            <w:r>
              <w:rPr>
                <w:noProof/>
              </w:rPr>
              <w:drawing>
                <wp:inline distT="0" distB="0" distL="0" distR="0" wp14:anchorId="25BC04F1" wp14:editId="39165403">
                  <wp:extent cx="2159635" cy="215963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333A1A" w:rsidRDefault="00333A1A">
      <w:pPr>
        <w:pStyle w:val="Text1"/>
        <w:rPr>
          <w:noProof/>
        </w:rPr>
      </w:pPr>
    </w:p>
    <w:p w:rsidR="00333A1A" w:rsidRDefault="003D29C9">
      <w:pPr>
        <w:pStyle w:val="Heading2"/>
        <w:spacing w:before="360"/>
        <w:ind w:left="958"/>
        <w:rPr>
          <w:noProof/>
        </w:rPr>
      </w:pPr>
      <w:bookmarkStart w:id="57" w:name="_Toc508286111"/>
      <w:bookmarkStart w:id="58" w:name="_Toc508286217"/>
      <w:bookmarkStart w:id="59" w:name="_Toc513053264"/>
      <w:bookmarkStart w:id="60" w:name="_Toc513053480"/>
      <w:bookmarkStart w:id="61" w:name="_Toc514514611"/>
      <w:r>
        <w:rPr>
          <w:noProof/>
        </w:rPr>
        <w:t>Efficiency of the policy options: simplification</w:t>
      </w:r>
      <w:bookmarkEnd w:id="57"/>
      <w:bookmarkEnd w:id="58"/>
      <w:bookmarkEnd w:id="59"/>
      <w:bookmarkEnd w:id="60"/>
      <w:bookmarkEnd w:id="61"/>
    </w:p>
    <w:p w:rsidR="00333A1A" w:rsidRDefault="003D29C9">
      <w:pPr>
        <w:pStyle w:val="Text2"/>
        <w:ind w:left="0"/>
        <w:rPr>
          <w:noProof/>
        </w:rPr>
      </w:pPr>
      <w:r>
        <w:rPr>
          <w:noProof/>
        </w:rPr>
        <w:t xml:space="preserve">This section recapitulates the option scores derived from the group </w:t>
      </w:r>
      <w:r>
        <w:rPr>
          <w:noProof/>
        </w:rPr>
        <w:t>expert judgement on simplification. To get a full overview of the Simplification objective, it should be read in complement to the Annex on Simplification accompanying the IA report (see Annex 7). For the cross-cutting objective on simplification, a single</w:t>
      </w:r>
      <w:r>
        <w:rPr>
          <w:noProof/>
        </w:rPr>
        <w:t xml:space="preserve"> specific objective is identified.</w:t>
      </w:r>
    </w:p>
    <w:p w:rsidR="00333A1A" w:rsidRDefault="003D29C9">
      <w:pPr>
        <w:pStyle w:val="Heading3"/>
        <w:rPr>
          <w:noProof/>
        </w:rPr>
      </w:pPr>
      <w:bookmarkStart w:id="62" w:name="_Toc508286112"/>
      <w:r>
        <w:rPr>
          <w:noProof/>
        </w:rPr>
        <w:t>SO1: Streamline CAP design and delivery on relevant EU objectives, including simplification</w:t>
      </w:r>
      <w:bookmarkEnd w:id="62"/>
    </w:p>
    <w:p w:rsidR="00333A1A" w:rsidRDefault="003D29C9">
      <w:pPr>
        <w:pStyle w:val="Text1"/>
        <w:spacing w:after="0"/>
        <w:ind w:left="0"/>
        <w:rPr>
          <w:noProof/>
        </w:rPr>
      </w:pPr>
      <w:r>
        <w:rPr>
          <w:noProof/>
        </w:rPr>
        <w:t>As shown in Graph 3.24, the baseline and option 1 are seen as bringing little to no simplification. A significant gap occurs with</w:t>
      </w:r>
      <w:r>
        <w:rPr>
          <w:noProof/>
        </w:rPr>
        <w:t xml:space="preserve"> all other options, driven by the shift towards performance and the common potential administrative burden reduction stemming from the streamlined CAP plans. </w:t>
      </w:r>
    </w:p>
    <w:p w:rsidR="00333A1A" w:rsidRDefault="00333A1A">
      <w:pPr>
        <w:pStyle w:val="Text1"/>
        <w:spacing w:after="0"/>
        <w:ind w:left="0"/>
        <w:rPr>
          <w:noProof/>
        </w:rPr>
      </w:pPr>
    </w:p>
    <w:p w:rsidR="00333A1A" w:rsidRDefault="003D29C9">
      <w:pPr>
        <w:pStyle w:val="Text1"/>
        <w:spacing w:after="0"/>
        <w:ind w:left="0"/>
        <w:rPr>
          <w:noProof/>
        </w:rPr>
      </w:pPr>
      <w:r>
        <w:rPr>
          <w:noProof/>
        </w:rPr>
        <w:t>This SO considers the following 3 OOs:</w:t>
      </w:r>
    </w:p>
    <w:p w:rsidR="00333A1A" w:rsidRDefault="00333A1A">
      <w:pPr>
        <w:pStyle w:val="Text1"/>
        <w:spacing w:after="0"/>
        <w:ind w:left="0"/>
        <w:rPr>
          <w:noProof/>
        </w:rPr>
      </w:pPr>
    </w:p>
    <w:p w:rsidR="00333A1A" w:rsidRDefault="003D29C9">
      <w:pPr>
        <w:pStyle w:val="Text1"/>
        <w:numPr>
          <w:ilvl w:val="0"/>
          <w:numId w:val="5"/>
        </w:numPr>
        <w:spacing w:after="0"/>
        <w:ind w:left="284" w:firstLine="0"/>
        <w:rPr>
          <w:noProof/>
        </w:rPr>
      </w:pPr>
      <w:r>
        <w:rPr>
          <w:noProof/>
        </w:rPr>
        <w:t>OO1.1: Shift from compliance to performance</w:t>
      </w:r>
    </w:p>
    <w:p w:rsidR="00333A1A" w:rsidRDefault="003D29C9">
      <w:pPr>
        <w:pStyle w:val="Text1"/>
        <w:numPr>
          <w:ilvl w:val="0"/>
          <w:numId w:val="5"/>
        </w:numPr>
        <w:spacing w:after="0"/>
        <w:ind w:left="284" w:firstLine="0"/>
        <w:rPr>
          <w:noProof/>
        </w:rPr>
      </w:pPr>
      <w:r>
        <w:rPr>
          <w:noProof/>
        </w:rPr>
        <w:t xml:space="preserve">OO1.2: </w:t>
      </w:r>
      <w:r>
        <w:rPr>
          <w:noProof/>
        </w:rPr>
        <w:t>Reduce the administrative burden</w:t>
      </w:r>
    </w:p>
    <w:p w:rsidR="00333A1A" w:rsidRDefault="003D29C9">
      <w:pPr>
        <w:pStyle w:val="Text1"/>
        <w:numPr>
          <w:ilvl w:val="0"/>
          <w:numId w:val="5"/>
        </w:numPr>
        <w:spacing w:after="0"/>
        <w:ind w:left="284" w:firstLine="0"/>
        <w:rPr>
          <w:noProof/>
        </w:rPr>
      </w:pPr>
      <w:r>
        <w:rPr>
          <w:noProof/>
        </w:rPr>
        <w:t>OO1.3: Enhance the proportionality of administrative costs</w:t>
      </w:r>
    </w:p>
    <w:p w:rsidR="00333A1A" w:rsidRDefault="00333A1A">
      <w:pPr>
        <w:pStyle w:val="Text1"/>
        <w:spacing w:after="0"/>
        <w:ind w:left="0"/>
        <w:rPr>
          <w:noProof/>
        </w:rPr>
      </w:pPr>
    </w:p>
    <w:p w:rsidR="00333A1A" w:rsidRDefault="003D29C9">
      <w:pPr>
        <w:pStyle w:val="Text1"/>
        <w:ind w:left="0"/>
        <w:rPr>
          <w:noProof/>
        </w:rPr>
      </w:pPr>
      <w:r>
        <w:rPr>
          <w:noProof/>
        </w:rPr>
        <w:t xml:space="preserve">OO1.1 looks at whether the CAP design and delivery under the options facilitates and incentivises </w:t>
      </w:r>
      <w:r>
        <w:rPr>
          <w:b/>
          <w:noProof/>
        </w:rPr>
        <w:t>performance</w:t>
      </w:r>
      <w:r>
        <w:rPr>
          <w:noProof/>
        </w:rPr>
        <w:t xml:space="preserve">. The group weighting attributed a high importance to </w:t>
      </w:r>
      <w:r>
        <w:rPr>
          <w:noProof/>
        </w:rPr>
        <w:t>this OO with 45%. Alternative options to the baseline and option 1 are considered to trigger results more effectively. Key argument put forward is the flexibility given to Member States under the new delivery model to focus the CAP interventions on identif</w:t>
      </w:r>
      <w:r>
        <w:rPr>
          <w:noProof/>
        </w:rPr>
        <w:t>ied national and regional needs. Options 4a and 4b score best with more certainty on performance linked to the conditionality, while results under 3a and 3b are dependent on the uptake of the eco-scheme by farmers. The lower scores for options 3b and 5 are</w:t>
      </w:r>
      <w:r>
        <w:rPr>
          <w:noProof/>
        </w:rPr>
        <w:t xml:space="preserve"> explained by the limitations in the design to focus on needs, i.e. the use of entitlements under option 3b and prescriptive approach under option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3700"/>
      </w:tblGrid>
      <w:tr w:rsidR="00333A1A">
        <w:trPr>
          <w:cantSplit/>
        </w:trPr>
        <w:tc>
          <w:tcPr>
            <w:tcW w:w="5134" w:type="dxa"/>
          </w:tcPr>
          <w:p w:rsidR="00333A1A" w:rsidRDefault="003D29C9">
            <w:pPr>
              <w:keepNext/>
              <w:rPr>
                <w:b/>
                <w:noProof/>
              </w:rPr>
            </w:pPr>
            <w:r>
              <w:rPr>
                <w:b/>
                <w:noProof/>
              </w:rPr>
              <w:t xml:space="preserve">Table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12</w:t>
            </w:r>
            <w:r>
              <w:rPr>
                <w:b/>
                <w:noProof/>
              </w:rPr>
              <w:fldChar w:fldCharType="end"/>
            </w:r>
            <w:r>
              <w:rPr>
                <w:b/>
                <w:noProof/>
              </w:rPr>
              <w:t>. Option scores for Simplification and its 3 OOs</w:t>
            </w:r>
          </w:p>
        </w:tc>
        <w:tc>
          <w:tcPr>
            <w:tcW w:w="3700" w:type="dxa"/>
          </w:tcPr>
          <w:p w:rsidR="00333A1A" w:rsidRDefault="003D29C9">
            <w:pPr>
              <w:keepNext/>
              <w:rPr>
                <w:b/>
                <w:noProof/>
              </w:rPr>
            </w:pPr>
            <w:r>
              <w:rPr>
                <w:b/>
                <w:noProof/>
              </w:rPr>
              <w:t xml:space="preserve">Graph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Graph \* ARABIC \s 1 </w:instrText>
            </w:r>
            <w:r>
              <w:rPr>
                <w:b/>
                <w:noProof/>
              </w:rPr>
              <w:fldChar w:fldCharType="separate"/>
            </w:r>
            <w:r>
              <w:rPr>
                <w:b/>
                <w:noProof/>
              </w:rPr>
              <w:t>24</w:t>
            </w:r>
            <w:r>
              <w:rPr>
                <w:b/>
                <w:noProof/>
              </w:rPr>
              <w:fldChar w:fldCharType="end"/>
            </w:r>
            <w:r>
              <w:rPr>
                <w:b/>
                <w:noProof/>
              </w:rPr>
              <w:t xml:space="preserve">. Option scores on SO1 </w:t>
            </w:r>
          </w:p>
        </w:tc>
      </w:tr>
      <w:tr w:rsidR="00333A1A">
        <w:trPr>
          <w:cantSplit/>
          <w:trHeight w:val="3662"/>
        </w:trPr>
        <w:tc>
          <w:tcPr>
            <w:tcW w:w="5134" w:type="dxa"/>
          </w:tcPr>
          <w:tbl>
            <w:tblPr>
              <w:tblStyle w:val="MediumShading1"/>
              <w:tblW w:w="4898" w:type="dxa"/>
              <w:tblLook w:val="04A0" w:firstRow="1" w:lastRow="0" w:firstColumn="1" w:lastColumn="0" w:noHBand="0" w:noVBand="1"/>
            </w:tblPr>
            <w:tblGrid>
              <w:gridCol w:w="644"/>
              <w:gridCol w:w="480"/>
              <w:gridCol w:w="1081"/>
              <w:gridCol w:w="992"/>
              <w:gridCol w:w="851"/>
              <w:gridCol w:w="850"/>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Options</w:t>
                  </w:r>
                </w:p>
              </w:tc>
              <w:tc>
                <w:tcPr>
                  <w:tcW w:w="108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MO/SO1</w:t>
                  </w:r>
                </w:p>
              </w:tc>
              <w:tc>
                <w:tcPr>
                  <w:tcW w:w="992"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OO1.1</w:t>
                  </w:r>
                </w:p>
              </w:tc>
              <w:tc>
                <w:tcPr>
                  <w:tcW w:w="85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OO1.2</w:t>
                  </w:r>
                </w:p>
              </w:tc>
              <w:tc>
                <w:tcPr>
                  <w:tcW w:w="850"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OO1.3</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2"/>
                  <w:noWrap/>
                  <w:vAlign w:val="center"/>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BAS</w:t>
                  </w:r>
                </w:p>
              </w:tc>
              <w:tc>
                <w:tcPr>
                  <w:tcW w:w="108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19</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84</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1</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992"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5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50"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3</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67</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50</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97</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shd w:val="clear" w:color="auto" w:fill="BFBFBF" w:themeFill="background1" w:themeFillShade="BF"/>
                  <w:noWrap/>
                  <w:vAlign w:val="center"/>
                  <w:hideMark/>
                </w:tcPr>
                <w:p w:rsidR="00333A1A" w:rsidRDefault="00333A1A">
                  <w:pPr>
                    <w:rPr>
                      <w:rFonts w:ascii="Times New Roman" w:hAnsi="Times New Roman" w:cs="Times New Roman"/>
                      <w:noProof/>
                      <w:sz w:val="20"/>
                      <w:szCs w:val="20"/>
                    </w:rPr>
                  </w:pPr>
                </w:p>
              </w:tc>
              <w:tc>
                <w:tcPr>
                  <w:tcW w:w="480" w:type="dxa"/>
                  <w:shd w:val="clear" w:color="auto" w:fill="BFBFBF" w:themeFill="background1" w:themeFillShade="BF"/>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3a</w:t>
                  </w:r>
                </w:p>
              </w:tc>
              <w:tc>
                <w:tcPr>
                  <w:tcW w:w="108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84</w:t>
                  </w:r>
                </w:p>
              </w:tc>
              <w:tc>
                <w:tcPr>
                  <w:tcW w:w="992" w:type="dxa"/>
                  <w:shd w:val="clear" w:color="auto" w:fill="BFBFBF" w:themeFill="background1" w:themeFillShade="BF"/>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75</w:t>
                  </w:r>
                </w:p>
              </w:tc>
              <w:tc>
                <w:tcPr>
                  <w:tcW w:w="851" w:type="dxa"/>
                  <w:shd w:val="clear" w:color="auto" w:fill="BFBFBF" w:themeFill="background1" w:themeFillShade="BF"/>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85</w:t>
                  </w:r>
                </w:p>
              </w:tc>
              <w:tc>
                <w:tcPr>
                  <w:tcW w:w="850" w:type="dxa"/>
                  <w:shd w:val="clear" w:color="auto" w:fill="BFBFBF" w:themeFill="background1" w:themeFillShade="BF"/>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3b</w:t>
                  </w: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50</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25</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54</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94</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4</w:t>
                  </w:r>
                </w:p>
              </w:tc>
              <w:tc>
                <w:tcPr>
                  <w:tcW w:w="480"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94</w:t>
                  </w:r>
                </w:p>
              </w:tc>
              <w:tc>
                <w:tcPr>
                  <w:tcW w:w="992"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5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85</w:t>
                  </w:r>
                </w:p>
              </w:tc>
              <w:tc>
                <w:tcPr>
                  <w:tcW w:w="850"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95</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shd w:val="clear" w:color="auto" w:fill="FFFFFF" w:themeFill="background1"/>
                  <w:noWrap/>
                  <w:vAlign w:val="center"/>
                  <w:hideMark/>
                </w:tcPr>
                <w:p w:rsidR="00333A1A" w:rsidRDefault="00333A1A">
                  <w:pPr>
                    <w:rPr>
                      <w:rFonts w:ascii="Times New Roman" w:hAnsi="Times New Roman" w:cs="Times New Roman"/>
                      <w:noProof/>
                      <w:sz w:val="20"/>
                      <w:szCs w:val="20"/>
                    </w:rPr>
                  </w:pPr>
                </w:p>
              </w:tc>
              <w:tc>
                <w:tcPr>
                  <w:tcW w:w="480" w:type="dxa"/>
                  <w:shd w:val="clear" w:color="auto" w:fill="FFFFFF" w:themeFill="background1"/>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4a</w:t>
                  </w:r>
                </w:p>
              </w:tc>
              <w:tc>
                <w:tcPr>
                  <w:tcW w:w="108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89</w:t>
                  </w:r>
                </w:p>
              </w:tc>
              <w:tc>
                <w:tcPr>
                  <w:tcW w:w="992" w:type="dxa"/>
                  <w:shd w:val="clear" w:color="auto" w:fill="FFFFFF" w:themeFill="background1"/>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51" w:type="dxa"/>
                  <w:shd w:val="clear" w:color="auto" w:fill="FFFFFF" w:themeFill="background1"/>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69</w:t>
                  </w:r>
                </w:p>
              </w:tc>
              <w:tc>
                <w:tcPr>
                  <w:tcW w:w="850" w:type="dxa"/>
                  <w:shd w:val="clear" w:color="auto" w:fill="FFFFFF" w:themeFill="background1"/>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96</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vAlign w:val="center"/>
                  <w:hideMark/>
                </w:tcPr>
                <w:p w:rsidR="00333A1A" w:rsidRDefault="00333A1A">
                  <w:pPr>
                    <w:rPr>
                      <w:rFonts w:ascii="Times New Roman" w:hAnsi="Times New Roman" w:cs="Times New Roman"/>
                      <w:noProof/>
                      <w:sz w:val="20"/>
                      <w:szCs w:val="20"/>
                    </w:rPr>
                  </w:pPr>
                </w:p>
              </w:tc>
              <w:tc>
                <w:tcPr>
                  <w:tcW w:w="480" w:type="dxa"/>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4b</w:t>
                  </w:r>
                </w:p>
              </w:tc>
              <w:tc>
                <w:tcPr>
                  <w:tcW w:w="108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99</w:t>
                  </w:r>
                </w:p>
              </w:tc>
              <w:tc>
                <w:tcPr>
                  <w:tcW w:w="992"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5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50"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5</w:t>
                  </w:r>
                </w:p>
              </w:tc>
              <w:tc>
                <w:tcPr>
                  <w:tcW w:w="480"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8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58</w:t>
                  </w:r>
                </w:p>
              </w:tc>
              <w:tc>
                <w:tcPr>
                  <w:tcW w:w="992"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50</w:t>
                  </w:r>
                </w:p>
              </w:tc>
              <w:tc>
                <w:tcPr>
                  <w:tcW w:w="85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c>
                <w:tcPr>
                  <w:tcW w:w="850"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Weights</w:t>
                  </w:r>
                </w:p>
              </w:tc>
              <w:tc>
                <w:tcPr>
                  <w:tcW w:w="108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w:t>
                  </w:r>
                </w:p>
              </w:tc>
              <w:tc>
                <w:tcPr>
                  <w:tcW w:w="992"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0.45</w:t>
                  </w:r>
                </w:p>
              </w:tc>
              <w:tc>
                <w:tcPr>
                  <w:tcW w:w="85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0.32</w:t>
                  </w:r>
                </w:p>
              </w:tc>
              <w:tc>
                <w:tcPr>
                  <w:tcW w:w="850"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0.23</w:t>
                  </w:r>
                </w:p>
              </w:tc>
            </w:tr>
          </w:tbl>
          <w:p w:rsidR="00333A1A" w:rsidRDefault="00333A1A">
            <w:pPr>
              <w:rPr>
                <w:noProof/>
              </w:rPr>
            </w:pPr>
          </w:p>
        </w:tc>
        <w:tc>
          <w:tcPr>
            <w:tcW w:w="3700" w:type="dxa"/>
          </w:tcPr>
          <w:p w:rsidR="00333A1A" w:rsidRDefault="003D29C9">
            <w:pPr>
              <w:rPr>
                <w:noProof/>
              </w:rPr>
            </w:pPr>
            <w:r>
              <w:rPr>
                <w:noProof/>
              </w:rPr>
              <w:drawing>
                <wp:inline distT="0" distB="0" distL="0" distR="0" wp14:anchorId="28A1D55A" wp14:editId="6382A480">
                  <wp:extent cx="2159635" cy="215963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333A1A" w:rsidRDefault="003D29C9">
      <w:pPr>
        <w:pStyle w:val="Text1"/>
        <w:spacing w:before="240"/>
        <w:ind w:left="0"/>
        <w:rPr>
          <w:noProof/>
        </w:rPr>
      </w:pPr>
      <w:r>
        <w:rPr>
          <w:noProof/>
        </w:rPr>
        <w:t xml:space="preserve">The assessment of the potential </w:t>
      </w:r>
      <w:r>
        <w:rPr>
          <w:b/>
          <w:noProof/>
        </w:rPr>
        <w:t>administrative burden</w:t>
      </w:r>
      <w:r>
        <w:rPr>
          <w:noProof/>
        </w:rPr>
        <w:t xml:space="preserve"> reduction under OO1.2 revealed that administrative burden is closely linked to the complexity of the CAP design and delivery, in terms of variety in tools and choices of complex tools, as well as to the ambition. A more complex strategy will require more </w:t>
      </w:r>
      <w:r>
        <w:rPr>
          <w:noProof/>
        </w:rPr>
        <w:t>time for set-up and implementation by administrations and set higher burden on beneficiaries for payment applications and controls. More ambitious strategies in terms of environmental requirements likewise increase administrative burden. Under this mind se</w:t>
      </w:r>
      <w:r>
        <w:rPr>
          <w:noProof/>
        </w:rPr>
        <w:t>t, option 4b proposes a reasonable set of tools (basic payment and limited VCS) while remaining conservative on the conditionality. Option 4b is followed by option 3a (flat rate, no VCS, but with an eco-scheme) and option 4a (higher environmental requireme</w:t>
      </w:r>
      <w:r>
        <w:rPr>
          <w:noProof/>
        </w:rPr>
        <w:t xml:space="preserve">nts). The use of entitlements and multiple VCS are the reason behind the lower score for option 3b, while for option 5 it is the prescriptive approach and the variety of tools (VCS, redistributive payments). The baseline and option 1 score lowest as these </w:t>
      </w:r>
      <w:r>
        <w:rPr>
          <w:noProof/>
        </w:rPr>
        <w:t xml:space="preserve">options do not benefit from gains in administrative burden deriving from the streamlined CAP plans.  </w:t>
      </w:r>
    </w:p>
    <w:p w:rsidR="00333A1A" w:rsidRDefault="003D29C9">
      <w:pPr>
        <w:pStyle w:val="Text1"/>
        <w:ind w:left="0"/>
        <w:rPr>
          <w:noProof/>
        </w:rPr>
      </w:pPr>
      <w:r>
        <w:rPr>
          <w:noProof/>
        </w:rPr>
        <w:t xml:space="preserve">OO1.3 assesses the </w:t>
      </w:r>
      <w:r>
        <w:rPr>
          <w:b/>
          <w:noProof/>
        </w:rPr>
        <w:t>efficiency</w:t>
      </w:r>
      <w:r>
        <w:rPr>
          <w:noProof/>
        </w:rPr>
        <w:t xml:space="preserve"> or "value for money" of the options. It combines the assessment of the administrative burden with the results from the analy</w:t>
      </w:r>
      <w:r>
        <w:rPr>
          <w:noProof/>
        </w:rPr>
        <w:t>sis of the effectiveness of options. For option 5, the low score on OO1.2 on administrative burden is counterbalanced by the high effectiveness associated. It scores equally with option 3a, with lower score for effectiveness associated with lower administr</w:t>
      </w:r>
      <w:r>
        <w:rPr>
          <w:noProof/>
        </w:rPr>
        <w:t>ative burden. The baseline scores lower due to the higher administrative burden and the lower effectiveness, while option 1 scores the lowest as it combines the lowest effectiveness with proportionately higher administrative burden than the baseline (due t</w:t>
      </w:r>
      <w:r>
        <w:rPr>
          <w:noProof/>
        </w:rPr>
        <w:t>o the budget cut).</w:t>
      </w:r>
    </w:p>
    <w:p w:rsidR="00333A1A" w:rsidRDefault="003D29C9">
      <w:pPr>
        <w:pStyle w:val="Heading2"/>
        <w:rPr>
          <w:noProof/>
        </w:rPr>
      </w:pPr>
      <w:bookmarkStart w:id="63" w:name="_Toc508286113"/>
      <w:bookmarkStart w:id="64" w:name="_Toc508286218"/>
      <w:bookmarkStart w:id="65" w:name="_Toc513053265"/>
      <w:bookmarkStart w:id="66" w:name="_Toc513053481"/>
      <w:bookmarkStart w:id="67" w:name="_Toc514514612"/>
      <w:r>
        <w:rPr>
          <w:noProof/>
        </w:rPr>
        <w:t>Promoting knowledge and innovation in agriculture and rural areas</w:t>
      </w:r>
      <w:bookmarkEnd w:id="63"/>
      <w:bookmarkEnd w:id="64"/>
      <w:bookmarkEnd w:id="65"/>
      <w:bookmarkEnd w:id="66"/>
      <w:r>
        <w:rPr>
          <w:noProof/>
        </w:rPr>
        <w:t>: Modernisation</w:t>
      </w:r>
      <w:bookmarkEnd w:id="67"/>
    </w:p>
    <w:p w:rsidR="00333A1A" w:rsidRDefault="003D29C9">
      <w:pPr>
        <w:pStyle w:val="Text1"/>
        <w:ind w:left="0"/>
        <w:rPr>
          <w:noProof/>
        </w:rPr>
      </w:pPr>
      <w:r>
        <w:rPr>
          <w:noProof/>
        </w:rPr>
        <w:t xml:space="preserve">This section presents the option scores derived from the group expert judgement on modernisation. To get a full overview of the Modernisation objective, it </w:t>
      </w:r>
      <w:r>
        <w:rPr>
          <w:noProof/>
        </w:rPr>
        <w:t>should be read in complement to the Annex on Modernisation accompanying the IA report (see Annex 6). For the cross-cutting objective on modernisation, i.e. promote knowledge and innovation in agriculture and rural areas, a single specific objective is iden</w:t>
      </w:r>
      <w:r>
        <w:rPr>
          <w:noProof/>
        </w:rPr>
        <w:t xml:space="preserve">tified. </w:t>
      </w:r>
    </w:p>
    <w:p w:rsidR="00333A1A" w:rsidRDefault="003D29C9">
      <w:pPr>
        <w:pStyle w:val="Heading3"/>
        <w:rPr>
          <w:noProof/>
        </w:rPr>
      </w:pPr>
      <w:bookmarkStart w:id="68" w:name="_Toc508286114"/>
      <w:r>
        <w:rPr>
          <w:noProof/>
        </w:rPr>
        <w:t>SO1: Co-creating innovation and sharing knowledge, including across generations</w:t>
      </w:r>
      <w:bookmarkEnd w:id="68"/>
    </w:p>
    <w:p w:rsidR="00333A1A" w:rsidRDefault="003D29C9">
      <w:pPr>
        <w:pStyle w:val="Text1"/>
        <w:ind w:left="0"/>
        <w:rPr>
          <w:noProof/>
        </w:rPr>
      </w:pPr>
      <w:r>
        <w:rPr>
          <w:noProof/>
        </w:rPr>
        <w:t>As shown in Graph 3.25, all options score significantly better than the baseline and especially the baseline with cuts. Experts consider that most impact on this objec</w:t>
      </w:r>
      <w:r>
        <w:rPr>
          <w:noProof/>
        </w:rPr>
        <w:t xml:space="preserve">tive is to be expected from the EIP-budget, which is significantly increased in the alternative options. Other instruments will only have secondary effects. Option 3b scores lower as it is the option where the EIP-budget increases less.  </w:t>
      </w:r>
    </w:p>
    <w:p w:rsidR="00333A1A" w:rsidRDefault="003D29C9">
      <w:pPr>
        <w:pStyle w:val="Text1"/>
        <w:spacing w:after="0"/>
        <w:ind w:left="0"/>
        <w:rPr>
          <w:noProof/>
        </w:rPr>
      </w:pPr>
      <w:r>
        <w:rPr>
          <w:noProof/>
        </w:rPr>
        <w:t>This SO considers</w:t>
      </w:r>
      <w:r>
        <w:rPr>
          <w:noProof/>
        </w:rPr>
        <w:t xml:space="preserve"> the following 4 OOs:</w:t>
      </w:r>
    </w:p>
    <w:p w:rsidR="00333A1A" w:rsidRDefault="00333A1A">
      <w:pPr>
        <w:pStyle w:val="Text1"/>
        <w:spacing w:after="0"/>
        <w:ind w:left="0"/>
        <w:rPr>
          <w:noProof/>
        </w:rPr>
      </w:pPr>
    </w:p>
    <w:p w:rsidR="00333A1A" w:rsidRDefault="003D29C9">
      <w:pPr>
        <w:pStyle w:val="Text1"/>
        <w:numPr>
          <w:ilvl w:val="0"/>
          <w:numId w:val="5"/>
        </w:numPr>
        <w:spacing w:after="0"/>
        <w:ind w:left="720" w:hanging="436"/>
        <w:rPr>
          <w:noProof/>
        </w:rPr>
      </w:pPr>
      <w:r>
        <w:rPr>
          <w:noProof/>
        </w:rPr>
        <w:t xml:space="preserve">Enhancing Agricultural Knowledge and Innovation Systems (AKIS) and strengthening links with research </w:t>
      </w:r>
    </w:p>
    <w:p w:rsidR="00333A1A" w:rsidRDefault="003D29C9">
      <w:pPr>
        <w:pStyle w:val="Text1"/>
        <w:numPr>
          <w:ilvl w:val="0"/>
          <w:numId w:val="5"/>
        </w:numPr>
        <w:spacing w:after="0"/>
        <w:ind w:left="284" w:firstLine="0"/>
        <w:rPr>
          <w:noProof/>
        </w:rPr>
      </w:pPr>
      <w:r>
        <w:rPr>
          <w:noProof/>
        </w:rPr>
        <w:t xml:space="preserve">Strengthening of farm advisory services within the AKIS </w:t>
      </w:r>
    </w:p>
    <w:p w:rsidR="00333A1A" w:rsidRDefault="003D29C9">
      <w:pPr>
        <w:pStyle w:val="Text1"/>
        <w:numPr>
          <w:ilvl w:val="0"/>
          <w:numId w:val="5"/>
        </w:numPr>
        <w:spacing w:after="0"/>
        <w:ind w:left="284" w:firstLine="0"/>
        <w:rPr>
          <w:noProof/>
        </w:rPr>
      </w:pPr>
      <w:r>
        <w:rPr>
          <w:noProof/>
        </w:rPr>
        <w:t>Enhancing interactive innovation</w:t>
      </w:r>
    </w:p>
    <w:p w:rsidR="00333A1A" w:rsidRDefault="003D29C9">
      <w:pPr>
        <w:pStyle w:val="Text1"/>
        <w:numPr>
          <w:ilvl w:val="0"/>
          <w:numId w:val="5"/>
        </w:numPr>
        <w:spacing w:after="0"/>
        <w:ind w:left="284" w:firstLine="0"/>
        <w:rPr>
          <w:noProof/>
        </w:rPr>
      </w:pPr>
      <w:r>
        <w:rPr>
          <w:noProof/>
        </w:rPr>
        <w:t>Supporting digital transition in agricult</w:t>
      </w:r>
      <w:r>
        <w:rPr>
          <w:noProof/>
        </w:rPr>
        <w:t>ure</w:t>
      </w:r>
    </w:p>
    <w:p w:rsidR="00333A1A" w:rsidRDefault="003D29C9">
      <w:pPr>
        <w:pStyle w:val="Text1"/>
        <w:spacing w:before="200"/>
        <w:ind w:left="0"/>
        <w:rPr>
          <w:noProof/>
        </w:rPr>
      </w:pPr>
      <w:r>
        <w:rPr>
          <w:noProof/>
        </w:rPr>
        <w:t xml:space="preserve">Experts consider the first OO on </w:t>
      </w:r>
      <w:r>
        <w:rPr>
          <w:b/>
          <w:noProof/>
        </w:rPr>
        <w:t>enhancing AKIS</w:t>
      </w:r>
      <w:r>
        <w:rPr>
          <w:noProof/>
        </w:rPr>
        <w:t xml:space="preserve"> the most important in contributing to the SO with a weight of 36%. The budget allocated to knowledge and innovation is considered the main driving factor. Whether the option contributes to an enabling env</w:t>
      </w:r>
      <w:r>
        <w:rPr>
          <w:noProof/>
        </w:rPr>
        <w:t>ironment is also considered important. Uncertainties relate to small farms and young farmers. Small farms are associated with part-time farmers and those might be less interest to apply the latest innovations. Experts consider that young farmers are more p</w:t>
      </w:r>
      <w:r>
        <w:rPr>
          <w:noProof/>
        </w:rPr>
        <w:t>rone to engage in innovative activities. Older farmers, in absence of a successor for the farm, are less likely to invest in the latest technology. Young farmers are also more interested in adding value activities such as organics. Their farms are also not</w:t>
      </w:r>
      <w:r>
        <w:rPr>
          <w:noProof/>
        </w:rPr>
        <w:t xml:space="preserve"> necessarily smaller than those of older farmers. Options 3a and 5 attain the highest ranking as both have a high budget for knowledge and innovation and their strong focus on young farmers. Option 4 ranks a bit lower as there is less focus on young farmer</w:t>
      </w:r>
      <w:r>
        <w:rPr>
          <w:noProof/>
        </w:rPr>
        <w:t>s. Option 3 has a lower budget for knowledge and innovation (but still exceeding the baseline) and young farmers are not specifically targeted, so it ranks lower.</w:t>
      </w:r>
    </w:p>
    <w:p w:rsidR="00333A1A" w:rsidRDefault="003D29C9">
      <w:pPr>
        <w:pStyle w:val="Text1"/>
        <w:spacing w:before="200"/>
        <w:ind w:left="0"/>
        <w:rPr>
          <w:noProof/>
        </w:rPr>
      </w:pPr>
      <w:r>
        <w:rPr>
          <w:noProof/>
        </w:rPr>
        <w:t>The 2</w:t>
      </w:r>
      <w:r>
        <w:rPr>
          <w:noProof/>
          <w:vertAlign w:val="superscript"/>
        </w:rPr>
        <w:t>nd</w:t>
      </w:r>
      <w:r>
        <w:rPr>
          <w:noProof/>
        </w:rPr>
        <w:t xml:space="preserve"> OO focuses on </w:t>
      </w:r>
      <w:r>
        <w:rPr>
          <w:b/>
          <w:noProof/>
        </w:rPr>
        <w:t>strengthening of farm advisory services within the AKIS</w:t>
      </w:r>
      <w:r>
        <w:rPr>
          <w:noProof/>
        </w:rPr>
        <w:t>. The current le</w:t>
      </w:r>
      <w:r>
        <w:rPr>
          <w:noProof/>
        </w:rPr>
        <w:t>gal framework obliges MS to have a Farm Advisory System (FAS) in place. However, the use and uptake of the knowledge and advice measures remains limited in the current programming period. The efficiency and effectiveness of advisory services can best be up</w:t>
      </w:r>
      <w:r>
        <w:rPr>
          <w:noProof/>
        </w:rPr>
        <w:t xml:space="preserve">graded by improving their connections within the AKIS. Main elements to consider for this OO are the EIP budget, the competitiveness measures, the focus on young farmers and new entrants, LEADER and basic services. Another point is that more environmental </w:t>
      </w:r>
      <w:r>
        <w:rPr>
          <w:noProof/>
        </w:rPr>
        <w:t xml:space="preserve">ambition requires more advice services. There was consensus in the group that options 3a, 4 and 5 are considered equal, as all farmers need advice equally and the budget for knowledge and innovation is the same. 3b was therefore also judged lower.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2914"/>
      </w:tblGrid>
      <w:tr w:rsidR="00333A1A">
        <w:trPr>
          <w:cantSplit/>
        </w:trPr>
        <w:tc>
          <w:tcPr>
            <w:tcW w:w="5920" w:type="dxa"/>
          </w:tcPr>
          <w:p w:rsidR="00333A1A" w:rsidRDefault="003D29C9">
            <w:pPr>
              <w:keepNext/>
              <w:rPr>
                <w:b/>
                <w:noProof/>
              </w:rPr>
            </w:pPr>
            <w:r>
              <w:rPr>
                <w:b/>
                <w:noProof/>
              </w:rPr>
              <w:t>Ta</w:t>
            </w:r>
            <w:r>
              <w:rPr>
                <w:b/>
                <w:noProof/>
              </w:rPr>
              <w:t xml:space="preserve">ble </w:t>
            </w:r>
            <w:r>
              <w:rPr>
                <w:b/>
                <w:noProof/>
              </w:rPr>
              <w:fldChar w:fldCharType="begin"/>
            </w:r>
            <w:r>
              <w:rPr>
                <w:b/>
                <w:noProof/>
              </w:rPr>
              <w:instrText xml:space="preserve"> STYLEREF 1 \s </w:instrText>
            </w:r>
            <w:r>
              <w:rPr>
                <w:b/>
                <w:noProof/>
              </w:rPr>
              <w:fldChar w:fldCharType="separate"/>
            </w:r>
            <w:r>
              <w:rPr>
                <w:b/>
                <w:noProof/>
              </w:rPr>
              <w:t>3</w:t>
            </w:r>
            <w:r>
              <w:rPr>
                <w:b/>
                <w:noProof/>
              </w:rPr>
              <w:fldChar w:fldCharType="end"/>
            </w:r>
            <w:r>
              <w:rPr>
                <w:b/>
                <w:noProof/>
              </w:rPr>
              <w:t>.</w:t>
            </w:r>
            <w:r>
              <w:rPr>
                <w:b/>
                <w:noProof/>
              </w:rPr>
              <w:fldChar w:fldCharType="begin"/>
            </w:r>
            <w:r>
              <w:rPr>
                <w:b/>
                <w:noProof/>
              </w:rPr>
              <w:instrText xml:space="preserve"> SEQ Table \* ARABIC \s 1 </w:instrText>
            </w:r>
            <w:r>
              <w:rPr>
                <w:b/>
                <w:noProof/>
              </w:rPr>
              <w:fldChar w:fldCharType="separate"/>
            </w:r>
            <w:r>
              <w:rPr>
                <w:b/>
                <w:noProof/>
              </w:rPr>
              <w:t>13</w:t>
            </w:r>
            <w:r>
              <w:rPr>
                <w:b/>
                <w:noProof/>
              </w:rPr>
              <w:fldChar w:fldCharType="end"/>
            </w:r>
            <w:r>
              <w:rPr>
                <w:b/>
                <w:noProof/>
              </w:rPr>
              <w:t>. Option scores for Modernization and its 4 OOs</w:t>
            </w:r>
          </w:p>
        </w:tc>
        <w:tc>
          <w:tcPr>
            <w:tcW w:w="2914" w:type="dxa"/>
          </w:tcPr>
          <w:p w:rsidR="00333A1A" w:rsidRDefault="003D29C9">
            <w:pPr>
              <w:keepNext/>
              <w:rPr>
                <w:b/>
                <w:noProof/>
                <w:lang w:val="fr-FR"/>
              </w:rPr>
            </w:pPr>
            <w:r>
              <w:rPr>
                <w:b/>
                <w:noProof/>
                <w:lang w:val="fr-FR"/>
              </w:rPr>
              <w:t xml:space="preserve">Graph </w:t>
            </w:r>
            <w:r>
              <w:rPr>
                <w:b/>
                <w:noProof/>
              </w:rPr>
              <w:fldChar w:fldCharType="begin"/>
            </w:r>
            <w:r>
              <w:rPr>
                <w:b/>
                <w:noProof/>
                <w:lang w:val="fr-FR"/>
              </w:rPr>
              <w:instrText xml:space="preserve"> STYLEREF 1 \s </w:instrText>
            </w:r>
            <w:r>
              <w:rPr>
                <w:b/>
                <w:noProof/>
              </w:rPr>
              <w:fldChar w:fldCharType="separate"/>
            </w:r>
            <w:r>
              <w:rPr>
                <w:b/>
                <w:noProof/>
                <w:lang w:val="fr-FR"/>
              </w:rPr>
              <w:t>3</w:t>
            </w:r>
            <w:r>
              <w:rPr>
                <w:b/>
                <w:noProof/>
              </w:rPr>
              <w:fldChar w:fldCharType="end"/>
            </w:r>
            <w:r>
              <w:rPr>
                <w:b/>
                <w:noProof/>
                <w:lang w:val="fr-FR"/>
              </w:rPr>
              <w:t>.</w:t>
            </w:r>
            <w:r>
              <w:rPr>
                <w:b/>
                <w:noProof/>
              </w:rPr>
              <w:fldChar w:fldCharType="begin"/>
            </w:r>
            <w:r>
              <w:rPr>
                <w:b/>
                <w:noProof/>
                <w:lang w:val="fr-FR"/>
              </w:rPr>
              <w:instrText xml:space="preserve"> SEQ Graph \* ARABIC \s 1 </w:instrText>
            </w:r>
            <w:r>
              <w:rPr>
                <w:b/>
                <w:noProof/>
              </w:rPr>
              <w:fldChar w:fldCharType="separate"/>
            </w:r>
            <w:r>
              <w:rPr>
                <w:b/>
                <w:noProof/>
                <w:lang w:val="fr-FR"/>
              </w:rPr>
              <w:t>25</w:t>
            </w:r>
            <w:r>
              <w:rPr>
                <w:b/>
                <w:noProof/>
              </w:rPr>
              <w:fldChar w:fldCharType="end"/>
            </w:r>
            <w:r>
              <w:rPr>
                <w:b/>
                <w:noProof/>
                <w:lang w:val="fr-FR"/>
              </w:rPr>
              <w:t>. Option scores for Modernisation</w:t>
            </w:r>
          </w:p>
        </w:tc>
      </w:tr>
      <w:tr w:rsidR="00333A1A">
        <w:trPr>
          <w:cantSplit/>
          <w:trHeight w:val="3662"/>
        </w:trPr>
        <w:tc>
          <w:tcPr>
            <w:tcW w:w="5920" w:type="dxa"/>
          </w:tcPr>
          <w:tbl>
            <w:tblPr>
              <w:tblStyle w:val="MediumShading1"/>
              <w:tblW w:w="5660" w:type="dxa"/>
              <w:tblLayout w:type="fixed"/>
              <w:tblLook w:val="04A0" w:firstRow="1" w:lastRow="0" w:firstColumn="1" w:lastColumn="0" w:noHBand="0" w:noVBand="1"/>
            </w:tblPr>
            <w:tblGrid>
              <w:gridCol w:w="632"/>
              <w:gridCol w:w="474"/>
              <w:gridCol w:w="1061"/>
              <w:gridCol w:w="974"/>
              <w:gridCol w:w="836"/>
              <w:gridCol w:w="835"/>
              <w:gridCol w:w="848"/>
            </w:tblGrid>
            <w:tr w:rsidR="00333A1A" w:rsidTr="00333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6"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Options</w:t>
                  </w:r>
                </w:p>
              </w:tc>
              <w:tc>
                <w:tcPr>
                  <w:tcW w:w="1061"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MO/SO1</w:t>
                  </w:r>
                </w:p>
              </w:tc>
              <w:tc>
                <w:tcPr>
                  <w:tcW w:w="974"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OO1.1</w:t>
                  </w:r>
                </w:p>
              </w:tc>
              <w:tc>
                <w:tcPr>
                  <w:tcW w:w="836"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OO1.2</w:t>
                  </w:r>
                </w:p>
              </w:tc>
              <w:tc>
                <w:tcPr>
                  <w:tcW w:w="835" w:type="dxa"/>
                  <w:noWrap/>
                  <w:hideMark/>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OO1.3</w:t>
                  </w:r>
                </w:p>
              </w:tc>
              <w:tc>
                <w:tcPr>
                  <w:tcW w:w="848" w:type="dxa"/>
                </w:tcPr>
                <w:p w:rsidR="00333A1A" w:rsidRDefault="003D29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OO1.4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6" w:type="dxa"/>
                  <w:gridSpan w:val="2"/>
                  <w:noWrap/>
                  <w:vAlign w:val="center"/>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BAS</w:t>
                  </w:r>
                </w:p>
              </w:tc>
              <w:tc>
                <w:tcPr>
                  <w:tcW w:w="1061"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33</w:t>
                  </w:r>
                </w:p>
              </w:tc>
              <w:tc>
                <w:tcPr>
                  <w:tcW w:w="974"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33</w:t>
                  </w:r>
                </w:p>
              </w:tc>
              <w:tc>
                <w:tcPr>
                  <w:tcW w:w="836"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c>
                <w:tcPr>
                  <w:tcW w:w="83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38</w:t>
                  </w:r>
                </w:p>
              </w:tc>
              <w:tc>
                <w:tcPr>
                  <w:tcW w:w="848"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17</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1</w:t>
                  </w:r>
                </w:p>
              </w:tc>
              <w:tc>
                <w:tcPr>
                  <w:tcW w:w="474"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p>
              </w:tc>
              <w:tc>
                <w:tcPr>
                  <w:tcW w:w="106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974"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36"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35"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c>
                <w:tcPr>
                  <w:tcW w:w="848"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3</w:t>
                  </w:r>
                </w:p>
              </w:tc>
              <w:tc>
                <w:tcPr>
                  <w:tcW w:w="474"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6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78</w:t>
                  </w:r>
                </w:p>
              </w:tc>
              <w:tc>
                <w:tcPr>
                  <w:tcW w:w="974"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78</w:t>
                  </w:r>
                </w:p>
              </w:tc>
              <w:tc>
                <w:tcPr>
                  <w:tcW w:w="836"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81</w:t>
                  </w:r>
                </w:p>
              </w:tc>
              <w:tc>
                <w:tcPr>
                  <w:tcW w:w="83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81</w:t>
                  </w:r>
                </w:p>
              </w:tc>
              <w:tc>
                <w:tcPr>
                  <w:tcW w:w="848"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67</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shd w:val="clear" w:color="auto" w:fill="BFBFBF" w:themeFill="background1" w:themeFillShade="BF"/>
                  <w:noWrap/>
                  <w:vAlign w:val="center"/>
                  <w:hideMark/>
                </w:tcPr>
                <w:p w:rsidR="00333A1A" w:rsidRDefault="00333A1A">
                  <w:pPr>
                    <w:rPr>
                      <w:rFonts w:ascii="Times New Roman" w:hAnsi="Times New Roman" w:cs="Times New Roman"/>
                      <w:noProof/>
                      <w:sz w:val="20"/>
                      <w:szCs w:val="20"/>
                    </w:rPr>
                  </w:pPr>
                </w:p>
              </w:tc>
              <w:tc>
                <w:tcPr>
                  <w:tcW w:w="474" w:type="dxa"/>
                  <w:shd w:val="clear" w:color="auto" w:fill="BFBFBF" w:themeFill="background1" w:themeFillShade="BF"/>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3a</w:t>
                  </w:r>
                </w:p>
              </w:tc>
              <w:tc>
                <w:tcPr>
                  <w:tcW w:w="1061" w:type="dxa"/>
                  <w:shd w:val="clear" w:color="auto" w:fill="BFBFBF" w:themeFill="background1" w:themeFillShade="BF"/>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974" w:type="dxa"/>
                  <w:shd w:val="clear" w:color="auto" w:fill="BFBFBF" w:themeFill="background1" w:themeFillShade="BF"/>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36" w:type="dxa"/>
                  <w:shd w:val="clear" w:color="auto" w:fill="BFBFBF" w:themeFill="background1" w:themeFillShade="BF"/>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35" w:type="dxa"/>
                  <w:shd w:val="clear" w:color="auto" w:fill="BFBFBF" w:themeFill="background1" w:themeFillShade="BF"/>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48" w:type="dxa"/>
                  <w:shd w:val="clear" w:color="auto" w:fill="BFBFBF" w:themeFill="background1" w:themeFillShade="BF"/>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noWrap/>
                  <w:vAlign w:val="center"/>
                  <w:hideMark/>
                </w:tcPr>
                <w:p w:rsidR="00333A1A" w:rsidRDefault="00333A1A">
                  <w:pPr>
                    <w:rPr>
                      <w:rFonts w:ascii="Times New Roman" w:hAnsi="Times New Roman" w:cs="Times New Roman"/>
                      <w:noProof/>
                      <w:sz w:val="20"/>
                      <w:szCs w:val="20"/>
                    </w:rPr>
                  </w:pPr>
                </w:p>
              </w:tc>
              <w:tc>
                <w:tcPr>
                  <w:tcW w:w="474" w:type="dxa"/>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3b</w:t>
                  </w:r>
                </w:p>
              </w:tc>
              <w:tc>
                <w:tcPr>
                  <w:tcW w:w="106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56</w:t>
                  </w:r>
                </w:p>
              </w:tc>
              <w:tc>
                <w:tcPr>
                  <w:tcW w:w="974"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56</w:t>
                  </w:r>
                </w:p>
              </w:tc>
              <w:tc>
                <w:tcPr>
                  <w:tcW w:w="836"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63</w:t>
                  </w:r>
                </w:p>
              </w:tc>
              <w:tc>
                <w:tcPr>
                  <w:tcW w:w="83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63</w:t>
                  </w:r>
                </w:p>
              </w:tc>
              <w:tc>
                <w:tcPr>
                  <w:tcW w:w="848"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33</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4</w:t>
                  </w:r>
                </w:p>
              </w:tc>
              <w:tc>
                <w:tcPr>
                  <w:tcW w:w="474" w:type="dxa"/>
                  <w:noWrap/>
                  <w:vAlign w:val="center"/>
                  <w:hideMark/>
                </w:tcPr>
                <w:p w:rsidR="00333A1A" w:rsidRDefault="00333A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p>
              </w:tc>
              <w:tc>
                <w:tcPr>
                  <w:tcW w:w="106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91</w:t>
                  </w:r>
                </w:p>
              </w:tc>
              <w:tc>
                <w:tcPr>
                  <w:tcW w:w="974"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89</w:t>
                  </w:r>
                </w:p>
              </w:tc>
              <w:tc>
                <w:tcPr>
                  <w:tcW w:w="836"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35"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48"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shd w:val="clear" w:color="auto" w:fill="FFFFFF" w:themeFill="background1"/>
                  <w:noWrap/>
                  <w:vAlign w:val="center"/>
                  <w:hideMark/>
                </w:tcPr>
                <w:p w:rsidR="00333A1A" w:rsidRDefault="00333A1A">
                  <w:pPr>
                    <w:rPr>
                      <w:rFonts w:ascii="Times New Roman" w:hAnsi="Times New Roman" w:cs="Times New Roman"/>
                      <w:noProof/>
                      <w:sz w:val="20"/>
                      <w:szCs w:val="20"/>
                    </w:rPr>
                  </w:pPr>
                </w:p>
              </w:tc>
              <w:tc>
                <w:tcPr>
                  <w:tcW w:w="474" w:type="dxa"/>
                  <w:shd w:val="clear" w:color="auto" w:fill="FFFFFF" w:themeFill="background1"/>
                  <w:noWrap/>
                  <w:vAlign w:val="center"/>
                  <w:hideMark/>
                </w:tcPr>
                <w:p w:rsidR="00333A1A" w:rsidRDefault="003D2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4a</w:t>
                  </w:r>
                </w:p>
              </w:tc>
              <w:tc>
                <w:tcPr>
                  <w:tcW w:w="1061" w:type="dxa"/>
                  <w:shd w:val="clear" w:color="auto" w:fill="FFFFFF" w:themeFill="background1"/>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91</w:t>
                  </w:r>
                </w:p>
              </w:tc>
              <w:tc>
                <w:tcPr>
                  <w:tcW w:w="974" w:type="dxa"/>
                  <w:shd w:val="clear" w:color="auto" w:fill="FFFFFF" w:themeFill="background1"/>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89</w:t>
                  </w:r>
                </w:p>
              </w:tc>
              <w:tc>
                <w:tcPr>
                  <w:tcW w:w="836" w:type="dxa"/>
                  <w:shd w:val="clear" w:color="auto" w:fill="FFFFFF" w:themeFill="background1"/>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35" w:type="dxa"/>
                  <w:shd w:val="clear" w:color="auto" w:fill="FFFFFF" w:themeFill="background1"/>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48" w:type="dxa"/>
                  <w:shd w:val="clear" w:color="auto" w:fill="FFFFFF" w:themeFill="background1"/>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64</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noWrap/>
                  <w:vAlign w:val="center"/>
                  <w:hideMark/>
                </w:tcPr>
                <w:p w:rsidR="00333A1A" w:rsidRDefault="00333A1A">
                  <w:pPr>
                    <w:rPr>
                      <w:rFonts w:ascii="Times New Roman" w:hAnsi="Times New Roman" w:cs="Times New Roman"/>
                      <w:noProof/>
                      <w:sz w:val="20"/>
                      <w:szCs w:val="20"/>
                    </w:rPr>
                  </w:pPr>
                </w:p>
              </w:tc>
              <w:tc>
                <w:tcPr>
                  <w:tcW w:w="474" w:type="dxa"/>
                  <w:noWrap/>
                  <w:vAlign w:val="center"/>
                  <w:hideMark/>
                </w:tcPr>
                <w:p w:rsidR="00333A1A" w:rsidRDefault="003D29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4b</w:t>
                  </w:r>
                </w:p>
              </w:tc>
              <w:tc>
                <w:tcPr>
                  <w:tcW w:w="1061" w:type="dxa"/>
                  <w:noWrap/>
                  <w:vAlign w:val="center"/>
                  <w:hideMark/>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91</w:t>
                  </w:r>
                </w:p>
              </w:tc>
              <w:tc>
                <w:tcPr>
                  <w:tcW w:w="974"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89</w:t>
                  </w:r>
                </w:p>
              </w:tc>
              <w:tc>
                <w:tcPr>
                  <w:tcW w:w="836"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35"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48"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64</w:t>
                  </w:r>
                </w:p>
              </w:tc>
            </w:tr>
            <w:tr w:rsidR="00333A1A" w:rsidTr="00333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5</w:t>
                  </w:r>
                </w:p>
              </w:tc>
              <w:tc>
                <w:tcPr>
                  <w:tcW w:w="474" w:type="dxa"/>
                  <w:noWrap/>
                  <w:vAlign w:val="center"/>
                  <w:hideMark/>
                </w:tcPr>
                <w:p w:rsidR="00333A1A" w:rsidRDefault="00333A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061" w:type="dxa"/>
                  <w:noWrap/>
                  <w:vAlign w:val="center"/>
                  <w:hideMark/>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98</w:t>
                  </w:r>
                </w:p>
              </w:tc>
              <w:tc>
                <w:tcPr>
                  <w:tcW w:w="974"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36"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35" w:type="dxa"/>
                  <w:noWrap/>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100</w:t>
                  </w:r>
                </w:p>
              </w:tc>
              <w:tc>
                <w:tcPr>
                  <w:tcW w:w="848" w:type="dxa"/>
                  <w:vAlign w:val="center"/>
                </w:tcPr>
                <w:p w:rsidR="00333A1A" w:rsidRDefault="003D2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85</w:t>
                  </w:r>
                </w:p>
              </w:tc>
            </w:tr>
            <w:tr w:rsidR="00333A1A" w:rsidTr="00333A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6" w:type="dxa"/>
                  <w:gridSpan w:val="2"/>
                  <w:noWrap/>
                  <w:vAlign w:val="center"/>
                  <w:hideMark/>
                </w:tcPr>
                <w:p w:rsidR="00333A1A" w:rsidRDefault="003D29C9">
                  <w:pPr>
                    <w:rPr>
                      <w:rFonts w:ascii="Times New Roman" w:hAnsi="Times New Roman" w:cs="Times New Roman"/>
                      <w:noProof/>
                      <w:sz w:val="20"/>
                      <w:szCs w:val="20"/>
                    </w:rPr>
                  </w:pPr>
                  <w:r>
                    <w:rPr>
                      <w:rFonts w:ascii="Times New Roman" w:hAnsi="Times New Roman" w:cs="Times New Roman"/>
                      <w:noProof/>
                      <w:sz w:val="20"/>
                      <w:szCs w:val="20"/>
                    </w:rPr>
                    <w:t>Weights</w:t>
                  </w:r>
                </w:p>
              </w:tc>
              <w:tc>
                <w:tcPr>
                  <w:tcW w:w="1061"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w:t>
                  </w:r>
                </w:p>
              </w:tc>
              <w:tc>
                <w:tcPr>
                  <w:tcW w:w="974"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0.36</w:t>
                  </w:r>
                </w:p>
              </w:tc>
              <w:tc>
                <w:tcPr>
                  <w:tcW w:w="836"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0.23</w:t>
                  </w:r>
                </w:p>
              </w:tc>
              <w:tc>
                <w:tcPr>
                  <w:tcW w:w="835" w:type="dxa"/>
                  <w:noWrap/>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0.26</w:t>
                  </w:r>
                </w:p>
              </w:tc>
              <w:tc>
                <w:tcPr>
                  <w:tcW w:w="848" w:type="dxa"/>
                  <w:vAlign w:val="center"/>
                </w:tcPr>
                <w:p w:rsidR="00333A1A" w:rsidRDefault="003D29C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0.15</w:t>
                  </w:r>
                </w:p>
              </w:tc>
            </w:tr>
          </w:tbl>
          <w:p w:rsidR="00333A1A" w:rsidRDefault="00333A1A">
            <w:pPr>
              <w:rPr>
                <w:noProof/>
              </w:rPr>
            </w:pPr>
          </w:p>
        </w:tc>
        <w:tc>
          <w:tcPr>
            <w:tcW w:w="2914" w:type="dxa"/>
          </w:tcPr>
          <w:p w:rsidR="00333A1A" w:rsidRDefault="003D29C9">
            <w:pPr>
              <w:rPr>
                <w:noProof/>
              </w:rPr>
            </w:pPr>
            <w:r>
              <w:rPr>
                <w:noProof/>
              </w:rPr>
              <w:drawing>
                <wp:inline distT="0" distB="0" distL="0" distR="0" wp14:anchorId="25EDB54B" wp14:editId="2B50BC37">
                  <wp:extent cx="1759788" cy="2156604"/>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333A1A" w:rsidRDefault="003D29C9">
      <w:pPr>
        <w:pStyle w:val="Text1"/>
        <w:spacing w:before="200"/>
        <w:ind w:left="0"/>
        <w:rPr>
          <w:noProof/>
        </w:rPr>
      </w:pPr>
      <w:r>
        <w:rPr>
          <w:noProof/>
        </w:rPr>
        <w:t>The 3</w:t>
      </w:r>
      <w:r>
        <w:rPr>
          <w:noProof/>
          <w:vertAlign w:val="superscript"/>
        </w:rPr>
        <w:t>rd</w:t>
      </w:r>
      <w:r>
        <w:rPr>
          <w:noProof/>
        </w:rPr>
        <w:t xml:space="preserve"> OO focuses on the </w:t>
      </w:r>
      <w:r>
        <w:rPr>
          <w:b/>
          <w:noProof/>
        </w:rPr>
        <w:t xml:space="preserve">enhancement of interactive </w:t>
      </w:r>
      <w:r>
        <w:rPr>
          <w:b/>
          <w:noProof/>
        </w:rPr>
        <w:t>innovation</w:t>
      </w:r>
      <w:r>
        <w:rPr>
          <w:noProof/>
        </w:rPr>
        <w:t xml:space="preserve"> projects. To enable impact from projects, the basic concept of the EIP-AGRI is to focus on end-users’ problems/opportunities and to have partners with complementary types of knowledge joining forces in project activities from the beginning till the end. T</w:t>
      </w:r>
      <w:r>
        <w:rPr>
          <w:noProof/>
        </w:rPr>
        <w:t>his is called the 'interactive innovation model' and is essential to tackle current complex and systemic challenges with good results. As this OO is very much linked to advisory services, although its focus rests upon joint projects, its ranking follows th</w:t>
      </w:r>
      <w:r>
        <w:rPr>
          <w:noProof/>
        </w:rPr>
        <w:t xml:space="preserve">e same line as OO1.2. </w:t>
      </w:r>
    </w:p>
    <w:p w:rsidR="00333A1A" w:rsidRDefault="003D29C9">
      <w:pPr>
        <w:pStyle w:val="Text1"/>
        <w:spacing w:before="200"/>
        <w:ind w:left="0"/>
        <w:rPr>
          <w:noProof/>
        </w:rPr>
      </w:pPr>
      <w:r>
        <w:rPr>
          <w:noProof/>
        </w:rPr>
        <w:t>The 4</w:t>
      </w:r>
      <w:r>
        <w:rPr>
          <w:noProof/>
          <w:vertAlign w:val="superscript"/>
        </w:rPr>
        <w:t>th</w:t>
      </w:r>
      <w:r>
        <w:rPr>
          <w:noProof/>
        </w:rPr>
        <w:t xml:space="preserve"> OO of </w:t>
      </w:r>
      <w:r>
        <w:rPr>
          <w:b/>
          <w:noProof/>
        </w:rPr>
        <w:t>supporting digital transition in agriculture</w:t>
      </w:r>
      <w:r>
        <w:rPr>
          <w:noProof/>
        </w:rPr>
        <w:t xml:space="preserve"> receives a lower weight compared to the other 3 as here other influences (e.g. developments by private providers of digital tools and services) beyond the CAP are also very i</w:t>
      </w:r>
      <w:r>
        <w:rPr>
          <w:noProof/>
        </w:rPr>
        <w:t>mportant. Information technologies increase the availability of information for man and machine to make better decisions. In doing so, digital technologies have the potential to improve the performance of agriculture in economic, social and environmental t</w:t>
      </w:r>
      <w:r>
        <w:rPr>
          <w:noProof/>
        </w:rPr>
        <w:t>erms. Main element to consider is the budget for EIP and competitiveness, although also the overall enabling environment affects the digitalisation process. Infrastructure has a major impact, especially access to broadband. The experts acknowledge that the</w:t>
      </w:r>
      <w:r>
        <w:rPr>
          <w:noProof/>
        </w:rPr>
        <w:t xml:space="preserve"> digital transformation has also negative effects, such as the loss of jobs. However, jobs are created as well. Regarding options, 3a ranks best as it has a high budget on EIP and competitiveness as well as support for young farmers. Option 5 follows as it</w:t>
      </w:r>
      <w:r>
        <w:rPr>
          <w:noProof/>
        </w:rPr>
        <w:t xml:space="preserve"> has a high budget on EIP and competitiveness and support for young farmers, as well as the highest budget for basic services in rural areas. However, the focus rests on small farmers who are perhaps less prone to investing in digitalisation. Given its hig</w:t>
      </w:r>
      <w:r>
        <w:rPr>
          <w:noProof/>
        </w:rPr>
        <w:t>h budget for EIP and competitiveness, but less focus on young farmers, option 4 scores a bit lower. 3b has a higher spending on basic services and infrastructure and competitiveness but lower EIP so its final ranking is judged lower, still outperforming th</w:t>
      </w:r>
      <w:r>
        <w:rPr>
          <w:noProof/>
        </w:rPr>
        <w:t xml:space="preserve">e baseline. </w:t>
      </w:r>
    </w:p>
    <w:p w:rsidR="00333A1A" w:rsidRDefault="003D29C9">
      <w:pPr>
        <w:pStyle w:val="Heading2"/>
        <w:rPr>
          <w:noProof/>
        </w:rPr>
      </w:pPr>
      <w:bookmarkStart w:id="69" w:name="_Toc508286115"/>
      <w:bookmarkStart w:id="70" w:name="_Toc508286219"/>
      <w:bookmarkStart w:id="71" w:name="_Toc513053266"/>
      <w:bookmarkStart w:id="72" w:name="_Toc513053482"/>
      <w:bookmarkStart w:id="73" w:name="_Toc514514613"/>
      <w:r>
        <w:rPr>
          <w:noProof/>
        </w:rPr>
        <w:t>Policy coherence</w:t>
      </w:r>
      <w:bookmarkEnd w:id="69"/>
      <w:bookmarkEnd w:id="70"/>
      <w:bookmarkEnd w:id="71"/>
      <w:bookmarkEnd w:id="72"/>
      <w:bookmarkEnd w:id="73"/>
    </w:p>
    <w:p w:rsidR="00333A1A" w:rsidRDefault="003D29C9">
      <w:pPr>
        <w:pStyle w:val="Heading3"/>
        <w:rPr>
          <w:noProof/>
        </w:rPr>
      </w:pPr>
      <w:bookmarkStart w:id="74" w:name="_Toc508286116"/>
      <w:r>
        <w:rPr>
          <w:noProof/>
        </w:rPr>
        <w:t>EU priorities</w:t>
      </w:r>
      <w:bookmarkEnd w:id="74"/>
    </w:p>
    <w:p w:rsidR="00333A1A" w:rsidRDefault="003D29C9">
      <w:pPr>
        <w:pStyle w:val="Text1"/>
        <w:spacing w:before="200"/>
        <w:ind w:left="0"/>
        <w:rPr>
          <w:noProof/>
        </w:rPr>
      </w:pPr>
      <w:r>
        <w:rPr>
          <w:noProof/>
        </w:rPr>
        <w:t xml:space="preserve">The CAP is already relevant to many EU priorities, and must continue to contribute to as many as possible. The key priorities to which it can probably make the greatest contribution are those on Jobs, growth and </w:t>
      </w:r>
      <w:r>
        <w:rPr>
          <w:noProof/>
        </w:rPr>
        <w:t>investment; Energy Union and climate action; a Stronger Global Actor; the Digital Single Market and Migration. Modernising and simplifying the CAP will maximise its contribution to the ten priorities, develop more synergies and make it more coherent with o</w:t>
      </w:r>
      <w:r>
        <w:rPr>
          <w:noProof/>
        </w:rPr>
        <w:t xml:space="preserve">ther EU policies. </w:t>
      </w:r>
    </w:p>
    <w:p w:rsidR="00333A1A" w:rsidRDefault="003D29C9">
      <w:pPr>
        <w:pStyle w:val="Heading3"/>
        <w:rPr>
          <w:noProof/>
        </w:rPr>
      </w:pPr>
      <w:bookmarkStart w:id="75" w:name="_Toc508286117"/>
      <w:r>
        <w:rPr>
          <w:noProof/>
        </w:rPr>
        <w:t>Policy coherence for development</w:t>
      </w:r>
      <w:bookmarkEnd w:id="75"/>
      <w:r>
        <w:rPr>
          <w:noProof/>
        </w:rPr>
        <w:t xml:space="preserve"> </w:t>
      </w:r>
    </w:p>
    <w:p w:rsidR="00333A1A" w:rsidRDefault="003D29C9">
      <w:pPr>
        <w:pStyle w:val="Text1"/>
        <w:spacing w:before="200"/>
        <w:ind w:left="0"/>
        <w:rPr>
          <w:noProof/>
        </w:rPr>
      </w:pPr>
      <w:r>
        <w:rPr>
          <w:noProof/>
        </w:rPr>
        <w:t xml:space="preserve">As the current one, the future CAP should continue to be </w:t>
      </w:r>
      <w:r>
        <w:rPr>
          <w:b/>
          <w:noProof/>
        </w:rPr>
        <w:t>aligned with the commitments</w:t>
      </w:r>
      <w:r>
        <w:rPr>
          <w:noProof/>
        </w:rPr>
        <w:t xml:space="preserve"> of the EU on Policy Coherence for Development (PCD), as outlined in the Treaty of the European Union (Articles 3 and 21) and the Treaty of the Functioning of the European Union (Article 208). This means that the impacts of the CAP should not counteract th</w:t>
      </w:r>
      <w:r>
        <w:rPr>
          <w:noProof/>
        </w:rPr>
        <w:t xml:space="preserve">e development policy objectives of the EU. The new CAP will take into consideration the Sustainable Development Goals (SDGs) and it will therefore consider the concerns that are relevant for Policy Coherence for Development, such as food security, poverty </w:t>
      </w:r>
      <w:r>
        <w:rPr>
          <w:noProof/>
        </w:rPr>
        <w:t xml:space="preserve">and equality. In this chapter we first describe the alignment of the current CAP with PCD and complement with observations on the tested policy options. </w:t>
      </w:r>
    </w:p>
    <w:p w:rsidR="00333A1A" w:rsidRDefault="003D29C9">
      <w:pPr>
        <w:pStyle w:val="Text1"/>
        <w:ind w:left="0"/>
        <w:rPr>
          <w:b/>
          <w:noProof/>
        </w:rPr>
      </w:pPr>
      <w:r>
        <w:rPr>
          <w:b/>
          <w:noProof/>
        </w:rPr>
        <w:t>Trade</w:t>
      </w:r>
    </w:p>
    <w:p w:rsidR="00333A1A" w:rsidRDefault="003D29C9">
      <w:pPr>
        <w:pStyle w:val="Text1"/>
        <w:spacing w:before="200"/>
        <w:ind w:left="0"/>
        <w:rPr>
          <w:noProof/>
        </w:rPr>
      </w:pPr>
      <w:r>
        <w:rPr>
          <w:noProof/>
        </w:rPr>
        <w:t>Food security is one of the key objectives of the CAP, both within the EU and globally. Globally</w:t>
      </w:r>
      <w:r>
        <w:rPr>
          <w:noProof/>
        </w:rPr>
        <w:t xml:space="preserve">, the EU promotes multilateralism, by advocating open, rules based trade. The EU has given long-standing </w:t>
      </w:r>
      <w:r>
        <w:rPr>
          <w:b/>
          <w:noProof/>
        </w:rPr>
        <w:t>preferential market access</w:t>
      </w:r>
      <w:r>
        <w:rPr>
          <w:noProof/>
        </w:rPr>
        <w:t xml:space="preserve"> for products from developing and least developed countries (LDCs) and this access has been substantially deepened over time.</w:t>
      </w:r>
      <w:r>
        <w:rPr>
          <w:noProof/>
        </w:rPr>
        <w:t xml:space="preserve"> Under the 'Everything But Arms' Initiative, LDCs are given duty- and quota-free access to the EU market. Under the Economic Partnership Agreements (EPAs), African, Caribbean and Pacific countries enjoy full duty- and quota-free access for their products t</w:t>
      </w:r>
      <w:r>
        <w:rPr>
          <w:noProof/>
        </w:rPr>
        <w:t>o the EU market. The EPAs also leave partner countries sufficient policy space to enhance their agricultural production and to strive to eradicate poverty. To help with this, the EU applies asymmetry to market access, allowing almost all agricultural produ</w:t>
      </w:r>
      <w:r>
        <w:rPr>
          <w:noProof/>
        </w:rPr>
        <w:t xml:space="preserve">cts, including full agri-food sub-sectors that are strategic for the partner states, to be excluded from liberalisation or protected by safeguards. As a result, the EU remains, by far, the world's </w:t>
      </w:r>
      <w:r>
        <w:rPr>
          <w:b/>
          <w:noProof/>
        </w:rPr>
        <w:t>largest importer</w:t>
      </w:r>
      <w:r>
        <w:rPr>
          <w:noProof/>
        </w:rPr>
        <w:t xml:space="preserve"> of agricultural products </w:t>
      </w:r>
      <w:r>
        <w:rPr>
          <w:b/>
          <w:noProof/>
        </w:rPr>
        <w:t>from Least Develo</w:t>
      </w:r>
      <w:r>
        <w:rPr>
          <w:b/>
          <w:noProof/>
        </w:rPr>
        <w:t>ped Countries</w:t>
      </w:r>
      <w:r>
        <w:rPr>
          <w:noProof/>
        </w:rPr>
        <w:t xml:space="preserve"> (LDCs),  €3.5 billion worth agri-food imports from LDCs in 2017, compared with € 2.7 billion by US, Russia, Japan, China and Canada together.</w:t>
      </w:r>
    </w:p>
    <w:p w:rsidR="00333A1A" w:rsidRDefault="003D29C9">
      <w:pPr>
        <w:pStyle w:val="Text1"/>
        <w:ind w:left="0"/>
        <w:rPr>
          <w:b/>
          <w:noProof/>
        </w:rPr>
      </w:pPr>
      <w:r>
        <w:rPr>
          <w:b/>
          <w:noProof/>
        </w:rPr>
        <w:t>Development cooperation</w:t>
      </w:r>
    </w:p>
    <w:p w:rsidR="00333A1A" w:rsidRDefault="003D29C9">
      <w:pPr>
        <w:pStyle w:val="Text1"/>
        <w:spacing w:before="200"/>
        <w:ind w:left="0"/>
        <w:rPr>
          <w:noProof/>
        </w:rPr>
      </w:pPr>
      <w:r>
        <w:rPr>
          <w:noProof/>
        </w:rPr>
        <w:t>The EU is committed to helping developing countries integrate their agricult</w:t>
      </w:r>
      <w:r>
        <w:rPr>
          <w:noProof/>
        </w:rPr>
        <w:t>ural sectors into the world’s trading system and share in the benefits of the global economy. Food security and nutrition remain at the centre of EU's development programmes. From 2014 until 2020, the EU budget has allocated more than € 8.5 billion for foo</w:t>
      </w:r>
      <w:r>
        <w:rPr>
          <w:noProof/>
        </w:rPr>
        <w:t xml:space="preserve">d security, nutrition and sustainable agriculture in 62 partner countries, of which 36 countries in Sub-Saharan Africa. In addition, the EU promotes quality policy in developing countries, for example supporting the development of Geographical Indications </w:t>
      </w:r>
      <w:r>
        <w:rPr>
          <w:noProof/>
        </w:rPr>
        <w:t>in Africa in order to add value to African agri-food production, and recognising the organic production in more and more developing countries. EU-funded research and innovation programs also can benefit developing countries, notably via participation in Ho</w:t>
      </w:r>
      <w:r>
        <w:rPr>
          <w:noProof/>
        </w:rPr>
        <w:t>rizon 2020 etc.</w:t>
      </w:r>
    </w:p>
    <w:p w:rsidR="00333A1A" w:rsidRDefault="003D29C9">
      <w:pPr>
        <w:pStyle w:val="Text1"/>
        <w:spacing w:before="200"/>
        <w:ind w:left="0"/>
        <w:rPr>
          <w:noProof/>
        </w:rPr>
      </w:pPr>
      <w:r>
        <w:rPr>
          <w:noProof/>
        </w:rPr>
        <w:t>But development support and trade need to be complemented by policies to promote responsible private sector investment in developing countries, especially in Africa. The EU has launched a policy dialogue with several layers with its African</w:t>
      </w:r>
      <w:r>
        <w:rPr>
          <w:noProof/>
        </w:rPr>
        <w:t xml:space="preserve"> Union partners. The EU's experience can be used to further develop employment opportunities in agriculture and rural areas, in an open dialogue with the EU's partners.  </w:t>
      </w:r>
    </w:p>
    <w:p w:rsidR="00333A1A" w:rsidRDefault="003D29C9">
      <w:pPr>
        <w:pStyle w:val="Text1"/>
        <w:ind w:left="0"/>
        <w:rPr>
          <w:b/>
          <w:noProof/>
        </w:rPr>
      </w:pPr>
      <w:r>
        <w:rPr>
          <w:b/>
          <w:noProof/>
        </w:rPr>
        <w:t>CAP</w:t>
      </w:r>
    </w:p>
    <w:p w:rsidR="00333A1A" w:rsidRDefault="003D29C9">
      <w:pPr>
        <w:pStyle w:val="Text1"/>
        <w:spacing w:before="200"/>
        <w:ind w:left="0"/>
        <w:rPr>
          <w:noProof/>
        </w:rPr>
      </w:pPr>
      <w:r>
        <w:rPr>
          <w:noProof/>
        </w:rPr>
        <w:t>The Common Agricultural Policy and agricultural trade policy continue to align cl</w:t>
      </w:r>
      <w:r>
        <w:rPr>
          <w:noProof/>
        </w:rPr>
        <w:t xml:space="preserve">osely with development policy. Over the past 25 years, the CAP has undergone successive reforms which have increased its </w:t>
      </w:r>
      <w:r>
        <w:rPr>
          <w:b/>
          <w:noProof/>
        </w:rPr>
        <w:t>market orientation</w:t>
      </w:r>
      <w:r>
        <w:rPr>
          <w:noProof/>
        </w:rPr>
        <w:t xml:space="preserve"> and removed its trade distorting features, eliminated export subsidies, eliminated or reduced to safety net levels m</w:t>
      </w:r>
      <w:r>
        <w:rPr>
          <w:noProof/>
        </w:rPr>
        <w:t>arket support prices, and decoupled direct payments from production. The reforms consolidated the long-term trend towards direct income support for farmers, a form of public investment, as opposed to more trade-distorting forms of support, improving the su</w:t>
      </w:r>
      <w:r>
        <w:rPr>
          <w:noProof/>
        </w:rPr>
        <w:t xml:space="preserve">stainability of the policy. </w:t>
      </w:r>
    </w:p>
    <w:p w:rsidR="00333A1A" w:rsidRDefault="003D29C9">
      <w:pPr>
        <w:pStyle w:val="Text1"/>
        <w:spacing w:before="200"/>
        <w:ind w:left="0"/>
        <w:rPr>
          <w:b/>
          <w:i/>
          <w:noProof/>
        </w:rPr>
      </w:pPr>
      <w:r>
        <w:rPr>
          <w:b/>
          <w:i/>
          <w:noProof/>
        </w:rPr>
        <w:t>Minimising market distortion</w:t>
      </w:r>
    </w:p>
    <w:p w:rsidR="00333A1A" w:rsidRDefault="003D29C9">
      <w:pPr>
        <w:pStyle w:val="Text1"/>
        <w:spacing w:before="200"/>
        <w:ind w:left="0"/>
        <w:rPr>
          <w:noProof/>
        </w:rPr>
      </w:pPr>
      <w:r>
        <w:rPr>
          <w:noProof/>
        </w:rPr>
        <w:t xml:space="preserve">A major change to the CAP over the past twenty years has been the </w:t>
      </w:r>
      <w:r>
        <w:rPr>
          <w:b/>
          <w:noProof/>
        </w:rPr>
        <w:t>movement away from coupled support</w:t>
      </w:r>
      <w:r>
        <w:rPr>
          <w:noProof/>
        </w:rPr>
        <w:t>, which was tied directly to the production of particular products. The CAP reformed from supporti</w:t>
      </w:r>
      <w:r>
        <w:rPr>
          <w:noProof/>
        </w:rPr>
        <w:t>ng products to supporting producers, breaking the link between subsidies and production. Currently, over 90% of direct support does not distort trade – it is decoupled from production. EU support to farmers is made conditional on compliance with a number o</w:t>
      </w:r>
      <w:r>
        <w:rPr>
          <w:noProof/>
        </w:rPr>
        <w:t xml:space="preserve">f environmental and social standards and practices, which are among the highest in the world, and which are usually not remunerated by the market. It responds to the policy objectives and also responds to the legitimate expectations of consumers in Europe </w:t>
      </w:r>
      <w:r>
        <w:rPr>
          <w:noProof/>
        </w:rPr>
        <w:t xml:space="preserve">and abroad on quality, safety, diversity and added value. </w:t>
      </w:r>
    </w:p>
    <w:p w:rsidR="00333A1A" w:rsidRDefault="003D29C9">
      <w:pPr>
        <w:pStyle w:val="Text1"/>
        <w:spacing w:before="200"/>
        <w:ind w:left="0"/>
        <w:rPr>
          <w:noProof/>
        </w:rPr>
      </w:pPr>
      <w:r>
        <w:rPr>
          <w:noProof/>
        </w:rPr>
        <w:t>Furthermore, it is very difficult to associate the export price to the level of support received by the producer of a primary product. Prices of exported products – in the case of the EU, most of t</w:t>
      </w:r>
      <w:r>
        <w:rPr>
          <w:noProof/>
        </w:rPr>
        <w:t xml:space="preserve">hem being processed products, develop as a result of multiple factors which affect the competitiveness of the exporting industry. Effect of the support to the producer of the primary product is marginal, as it is largely decoupled from the volume and type </w:t>
      </w:r>
      <w:r>
        <w:rPr>
          <w:noProof/>
        </w:rPr>
        <w:t xml:space="preserve">of production and will not affect the production decision. </w:t>
      </w:r>
    </w:p>
    <w:p w:rsidR="00333A1A" w:rsidRDefault="003D29C9">
      <w:pPr>
        <w:pStyle w:val="Text1"/>
        <w:spacing w:before="200"/>
        <w:ind w:left="0"/>
        <w:rPr>
          <w:b/>
          <w:i/>
          <w:noProof/>
        </w:rPr>
      </w:pPr>
      <w:r>
        <w:rPr>
          <w:b/>
          <w:i/>
          <w:noProof/>
        </w:rPr>
        <w:t>Stopping use of export subsidies</w:t>
      </w:r>
    </w:p>
    <w:p w:rsidR="00333A1A" w:rsidRDefault="003D29C9">
      <w:pPr>
        <w:pStyle w:val="Text1"/>
        <w:spacing w:before="200"/>
        <w:ind w:left="0"/>
        <w:rPr>
          <w:noProof/>
        </w:rPr>
      </w:pPr>
      <w:r>
        <w:rPr>
          <w:noProof/>
        </w:rPr>
        <w:t xml:space="preserve">EU public funds are </w:t>
      </w:r>
      <w:r>
        <w:rPr>
          <w:b/>
          <w:noProof/>
        </w:rPr>
        <w:t>no longer</w:t>
      </w:r>
      <w:r>
        <w:rPr>
          <w:noProof/>
        </w:rPr>
        <w:t xml:space="preserve"> used to </w:t>
      </w:r>
      <w:r>
        <w:rPr>
          <w:b/>
          <w:noProof/>
        </w:rPr>
        <w:t>subsidise exports</w:t>
      </w:r>
      <w:r>
        <w:rPr>
          <w:noProof/>
        </w:rPr>
        <w:t xml:space="preserve"> outside the EU, which avoids distortions to the local markets.   </w:t>
      </w:r>
    </w:p>
    <w:p w:rsidR="00333A1A" w:rsidRDefault="003D29C9">
      <w:pPr>
        <w:pStyle w:val="Text1"/>
        <w:spacing w:before="200"/>
        <w:ind w:left="0"/>
        <w:rPr>
          <w:noProof/>
        </w:rPr>
      </w:pPr>
      <w:r>
        <w:rPr>
          <w:noProof/>
        </w:rPr>
        <w:t>For the last two decades the systematic u</w:t>
      </w:r>
      <w:r>
        <w:rPr>
          <w:noProof/>
        </w:rPr>
        <w:t xml:space="preserve">se of export refunds (a form of subsidy designed to bridge the gap between higher EU prices and lower world prices) has gradually decreased. Today all rates are set at zero and, since July 2013, export refunds have ceased to exist as a means of systematic </w:t>
      </w:r>
      <w:r>
        <w:rPr>
          <w:noProof/>
        </w:rPr>
        <w:t>support. CAP was previously heavily criticized because of the negative effects on developing counties of its export subsidies. If in 1993, the CAP spent more than €10 billion on export subsidies; in 2012 the expenditure on export refunds was no more than €</w:t>
      </w:r>
      <w:r>
        <w:rPr>
          <w:noProof/>
        </w:rPr>
        <w:t>147 million. Since July 2013, no agricultural sector has benefited from these. In January 2014 the Commission went a step further, legally committing the EU not to grant export refunds for all products exported to African countries entering into a full Eco</w:t>
      </w:r>
      <w:r>
        <w:rPr>
          <w:noProof/>
        </w:rPr>
        <w:t xml:space="preserve">nomic Partnership Agreement (EPA) with the EU. The EU was also a driving force behind the WTO Ministerial Decision in December 2015 to eliminate all export subsidies and discipline other export measures with similar effects. </w:t>
      </w:r>
    </w:p>
    <w:p w:rsidR="00333A1A" w:rsidRDefault="003D29C9">
      <w:pPr>
        <w:pStyle w:val="Text1"/>
        <w:spacing w:before="200"/>
        <w:ind w:left="0"/>
        <w:rPr>
          <w:b/>
          <w:i/>
          <w:noProof/>
        </w:rPr>
      </w:pPr>
      <w:r>
        <w:rPr>
          <w:b/>
          <w:i/>
          <w:noProof/>
        </w:rPr>
        <w:t>Exceptional use of market meas</w:t>
      </w:r>
      <w:r>
        <w:rPr>
          <w:b/>
          <w:i/>
          <w:noProof/>
        </w:rPr>
        <w:t>ures</w:t>
      </w:r>
    </w:p>
    <w:p w:rsidR="00333A1A" w:rsidRDefault="003D29C9">
      <w:pPr>
        <w:pStyle w:val="Text1"/>
        <w:spacing w:before="200"/>
        <w:ind w:left="0"/>
        <w:rPr>
          <w:noProof/>
        </w:rPr>
      </w:pPr>
      <w:r>
        <w:rPr>
          <w:noProof/>
        </w:rPr>
        <w:t>Market measures are still permitted, but only in the case of crisis, and in that case price support for farmers is set at levels that are generally well below normal market conditions, reducing EU surpluses and bringing EU prices more into line with g</w:t>
      </w:r>
      <w:r>
        <w:rPr>
          <w:noProof/>
        </w:rPr>
        <w:t xml:space="preserve">lobal prices. </w:t>
      </w:r>
    </w:p>
    <w:p w:rsidR="00333A1A" w:rsidRDefault="003D29C9">
      <w:pPr>
        <w:pStyle w:val="Heading3"/>
        <w:rPr>
          <w:noProof/>
        </w:rPr>
      </w:pPr>
      <w:r>
        <w:rPr>
          <w:noProof/>
        </w:rPr>
        <w:t>What do the options bring towards PCD and the EU's WTO engagements?</w:t>
      </w:r>
    </w:p>
    <w:p w:rsidR="00333A1A" w:rsidRDefault="003D29C9">
      <w:pPr>
        <w:pStyle w:val="Text1"/>
        <w:spacing w:before="200" w:after="120"/>
        <w:ind w:left="0"/>
        <w:rPr>
          <w:noProof/>
        </w:rPr>
      </w:pPr>
      <w:r>
        <w:rPr>
          <w:noProof/>
        </w:rPr>
        <w:t>To analyse the effect of the options on coherence, it is also necessary to describe the potentially distorting impact of the most relevant instruments. Within the set of tes</w:t>
      </w:r>
      <w:r>
        <w:rPr>
          <w:noProof/>
        </w:rPr>
        <w:t>ted CAP instruments, the following ones are most associated with impact on third countries:</w:t>
      </w:r>
    </w:p>
    <w:p w:rsidR="00333A1A" w:rsidRDefault="003D29C9">
      <w:pPr>
        <w:pStyle w:val="ListParagraph"/>
        <w:numPr>
          <w:ilvl w:val="0"/>
          <w:numId w:val="6"/>
        </w:numPr>
        <w:spacing w:after="0"/>
        <w:ind w:left="714" w:hanging="357"/>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Decoupled direct support</w:t>
      </w:r>
    </w:p>
    <w:p w:rsidR="00333A1A" w:rsidRDefault="003D29C9">
      <w:pPr>
        <w:pStyle w:val="ListParagraph"/>
        <w:numPr>
          <w:ilvl w:val="0"/>
          <w:numId w:val="6"/>
        </w:numPr>
        <w:spacing w:after="0"/>
        <w:ind w:left="714" w:hanging="357"/>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Coupled support</w:t>
      </w:r>
    </w:p>
    <w:p w:rsidR="00333A1A" w:rsidRDefault="003D29C9">
      <w:pPr>
        <w:pStyle w:val="ListParagraph"/>
        <w:numPr>
          <w:ilvl w:val="0"/>
          <w:numId w:val="6"/>
        </w:numPr>
        <w:spacing w:after="0"/>
        <w:ind w:left="714" w:hanging="357"/>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Risk management tools</w:t>
      </w:r>
    </w:p>
    <w:p w:rsidR="00333A1A" w:rsidRDefault="003D29C9">
      <w:pPr>
        <w:pStyle w:val="ListParagraph"/>
        <w:numPr>
          <w:ilvl w:val="0"/>
          <w:numId w:val="6"/>
        </w:numPr>
        <w:spacing w:after="0"/>
        <w:ind w:left="714" w:hanging="357"/>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Payments for management commitments, in casu the incentive-based eco-scheme</w:t>
      </w:r>
    </w:p>
    <w:p w:rsidR="00333A1A" w:rsidRDefault="003D29C9">
      <w:pPr>
        <w:pStyle w:val="ListParagraph"/>
        <w:numPr>
          <w:ilvl w:val="0"/>
          <w:numId w:val="6"/>
        </w:num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Sectorial programmes: </w:t>
      </w:r>
      <w:r>
        <w:rPr>
          <w:rFonts w:ascii="Times New Roman" w:eastAsia="Times New Roman" w:hAnsi="Times New Roman" w:cs="Times New Roman"/>
          <w:noProof/>
          <w:sz w:val="24"/>
          <w:szCs w:val="20"/>
        </w:rPr>
        <w:t>market measures</w:t>
      </w:r>
    </w:p>
    <w:p w:rsidR="00333A1A" w:rsidRDefault="003D29C9">
      <w:pPr>
        <w:pStyle w:val="Text1"/>
        <w:spacing w:before="200"/>
        <w:ind w:left="0"/>
        <w:rPr>
          <w:noProof/>
        </w:rPr>
      </w:pPr>
      <w:r>
        <w:rPr>
          <w:b/>
          <w:noProof/>
        </w:rPr>
        <w:t>Decoupled direct support</w:t>
      </w:r>
      <w:r>
        <w:rPr>
          <w:noProof/>
        </w:rPr>
        <w:t xml:space="preserve"> is not considered trade or production distorting under WTO and hence any changes in those are not expected to affect third countries. The propositions made in option 4 to increase direct support for permanent grassl</w:t>
      </w:r>
      <w:r>
        <w:rPr>
          <w:noProof/>
        </w:rPr>
        <w:t xml:space="preserve">and at the expense of cropland would still fall under the eligibility criteria of WTO Green Box to the extent that no production is required to receive the support. </w:t>
      </w:r>
    </w:p>
    <w:p w:rsidR="00333A1A" w:rsidRDefault="003D29C9">
      <w:pPr>
        <w:pStyle w:val="Text1"/>
        <w:spacing w:before="200"/>
        <w:ind w:left="0"/>
        <w:rPr>
          <w:noProof/>
        </w:rPr>
      </w:pPr>
      <w:r>
        <w:rPr>
          <w:noProof/>
        </w:rPr>
        <w:t xml:space="preserve">The 2013 CAP reform has allowed some degree of </w:t>
      </w:r>
      <w:r>
        <w:rPr>
          <w:b/>
          <w:noProof/>
        </w:rPr>
        <w:t>recoupling of direct payments</w:t>
      </w:r>
      <w:r>
        <w:rPr>
          <w:noProof/>
        </w:rPr>
        <w:t xml:space="preserve">. Coupled </w:t>
      </w:r>
      <w:r>
        <w:rPr>
          <w:noProof/>
        </w:rPr>
        <w:t>payments have the intention to maintain production at current levels or bring it back to historical levels, so there is a positive impact on production associated. Estimates are roughly that EUR 2-4 billion of support could no longer be eligible to Green B</w:t>
      </w:r>
      <w:r>
        <w:rPr>
          <w:noProof/>
        </w:rPr>
        <w:t xml:space="preserve">ox as a result (VCS is currently notified as Blue Box but would likely become Amber Box in the future). Recent changes were made in the Agricultural Omnibus to clarify the applicable rules. Within a Total Aggregate Measurement of Support (TAMS) ceiling of </w:t>
      </w:r>
      <w:r>
        <w:rPr>
          <w:noProof/>
        </w:rPr>
        <w:t>EUR 72 billion, and even accounting for the recent increase in coupled payments and sector-specific risk management tools, there is still enough margin for the EU under the WTO Agriculture Agreement.</w:t>
      </w:r>
      <w:r>
        <w:rPr>
          <w:rStyle w:val="FootnoteReference"/>
          <w:noProof/>
        </w:rPr>
        <w:footnoteReference w:id="47"/>
      </w:r>
      <w:r>
        <w:rPr>
          <w:noProof/>
        </w:rPr>
        <w:t xml:space="preserve"> VCS with large flexibility and budget (maximum 15% of D</w:t>
      </w:r>
      <w:r>
        <w:rPr>
          <w:noProof/>
        </w:rPr>
        <w:t xml:space="preserve">P) is tested in option 3b. VCS for extensive livestock and protein crops for 10% of DP is tested in option 5, while option 4 contains only VCS for extensive livestock (3.5% of DP).     </w:t>
      </w:r>
    </w:p>
    <w:p w:rsidR="00333A1A" w:rsidRDefault="003D29C9">
      <w:pPr>
        <w:pStyle w:val="Text1"/>
        <w:spacing w:before="200"/>
        <w:ind w:left="0"/>
        <w:rPr>
          <w:noProof/>
        </w:rPr>
      </w:pPr>
      <w:r>
        <w:rPr>
          <w:noProof/>
        </w:rPr>
        <w:t xml:space="preserve">The changes introduced in the Agricultural Omnibus for </w:t>
      </w:r>
      <w:r>
        <w:rPr>
          <w:b/>
          <w:noProof/>
        </w:rPr>
        <w:t>risk management</w:t>
      </w:r>
      <w:r>
        <w:rPr>
          <w:b/>
          <w:noProof/>
        </w:rPr>
        <w:t xml:space="preserve"> tools</w:t>
      </w:r>
      <w:r>
        <w:rPr>
          <w:noProof/>
        </w:rPr>
        <w:t xml:space="preserve"> will give farmers a better protection in case of production risks. A sector-specific income stabilization tool covering drops in farmer's income exceeding at least 20% has been introduced. Furthermore, the threshold for insurances has been reduced f</w:t>
      </w:r>
      <w:r>
        <w:rPr>
          <w:noProof/>
        </w:rPr>
        <w:t>rom 30% to 20% of the average annual production, making these instruments more accessible to farmers. The support rate for crop, animal, and plant insurance, mutual funds and income stabilisation tools has been increased from 65% to 70%. However, those cha</w:t>
      </w:r>
      <w:r>
        <w:rPr>
          <w:noProof/>
        </w:rPr>
        <w:t>nges partly move the risk management tools from Green to Amber Box (i.e. sector-specific tools, or those with an income drop of less than 30%). In the options a risk management budget of 5% of the DP envelope is tested in options 3b and 4 and of 10% in opt</w:t>
      </w:r>
      <w:r>
        <w:rPr>
          <w:noProof/>
        </w:rPr>
        <w:t>ion 3a, which is a considerable increase compared to the current budget allocation.</w:t>
      </w:r>
    </w:p>
    <w:p w:rsidR="00333A1A" w:rsidRDefault="003D29C9">
      <w:pPr>
        <w:pStyle w:val="Text1"/>
        <w:spacing w:before="200"/>
        <w:ind w:left="0"/>
        <w:rPr>
          <w:noProof/>
        </w:rPr>
      </w:pPr>
      <w:r>
        <w:rPr>
          <w:noProof/>
        </w:rPr>
        <w:t xml:space="preserve">For the </w:t>
      </w:r>
      <w:r>
        <w:rPr>
          <w:b/>
          <w:noProof/>
        </w:rPr>
        <w:t>eco-scheme</w:t>
      </w:r>
      <w:r>
        <w:rPr>
          <w:noProof/>
        </w:rPr>
        <w:t>, as part of the direct payments, the WTO rules can be seen as a constraint because the Green Box criteria limits payments to covering only the observed e</w:t>
      </w:r>
      <w:r>
        <w:rPr>
          <w:noProof/>
        </w:rPr>
        <w:t>xtra costs imposed by the required environmental effort. However, it remains extremely difficult to calculate the exact amounts of cost incurred – income foregone and hence make a distinction between 'incentive' and 'compensation'. Finally, WTO classificat</w:t>
      </w:r>
      <w:r>
        <w:rPr>
          <w:noProof/>
        </w:rPr>
        <w:t>ion of ecological schemes depend whether such schemes would be notified as a separate scheme or part of the direct payments envelope (often referred to as "greening"). An ambitious eco-scheme (for 60% of DP) is tested in option 3a and a more conservative o</w:t>
      </w:r>
      <w:r>
        <w:rPr>
          <w:noProof/>
        </w:rPr>
        <w:t>ne (for 30%) in option 3b. It should be noted that the purpose of eco-schemes is not to enhance production but to enhance delivery on environmental objectives. The effect of these schemes is therefore most likely to provide a production constraint or to ha</w:t>
      </w:r>
      <w:r>
        <w:rPr>
          <w:noProof/>
        </w:rPr>
        <w:t xml:space="preserve">ve a certain influence on the type of production chosen rather than an overall production stimulating effect. </w:t>
      </w:r>
    </w:p>
    <w:p w:rsidR="00333A1A" w:rsidRDefault="003D29C9">
      <w:pPr>
        <w:pStyle w:val="Text1"/>
        <w:spacing w:before="200"/>
        <w:ind w:left="0"/>
        <w:rPr>
          <w:noProof/>
        </w:rPr>
      </w:pPr>
      <w:r>
        <w:rPr>
          <w:b/>
          <w:noProof/>
        </w:rPr>
        <w:t>Market measures</w:t>
      </w:r>
      <w:r>
        <w:rPr>
          <w:noProof/>
        </w:rPr>
        <w:t xml:space="preserve">, as referred to in the previous section, are only triggered in real crisis situations and the associated intervention prices are </w:t>
      </w:r>
      <w:r>
        <w:rPr>
          <w:noProof/>
        </w:rPr>
        <w:t xml:space="preserve">set at low level far from normal levels of world commodity prices, hence they do not create significant distortion. However, from the WTO perspective these measures qualify as Amber Box support, including market price support (MPS). MPS is notified to the </w:t>
      </w:r>
      <w:r>
        <w:rPr>
          <w:noProof/>
        </w:rPr>
        <w:t xml:space="preserve">WTO by multiplying the gap between the intervention price and external reference price by the eligible production. Nevertheless, no changes are tested throughout the options. </w:t>
      </w:r>
    </w:p>
    <w:p w:rsidR="00333A1A" w:rsidRDefault="003D29C9">
      <w:pPr>
        <w:pStyle w:val="Text1"/>
        <w:spacing w:before="200"/>
        <w:ind w:left="0"/>
        <w:rPr>
          <w:noProof/>
        </w:rPr>
      </w:pPr>
      <w:r>
        <w:rPr>
          <w:noProof/>
        </w:rPr>
        <w:t>The effect of the different instruments can be summarized in following table:</w:t>
      </w:r>
    </w:p>
    <w:p w:rsidR="00333A1A" w:rsidRDefault="003D29C9">
      <w:pPr>
        <w:spacing w:after="0" w:line="240" w:lineRule="auto"/>
        <w:rPr>
          <w:rFonts w:ascii="Times New Roman" w:eastAsia="Times New Roman" w:hAnsi="Times New Roman" w:cs="Times New Roman"/>
          <w:b/>
          <w:noProof/>
          <w:szCs w:val="20"/>
          <w:lang w:eastAsia="en-GB"/>
        </w:rPr>
      </w:pPr>
      <w:r>
        <w:rPr>
          <w:rFonts w:ascii="Times New Roman" w:hAnsi="Times New Roman" w:cs="Times New Roman"/>
          <w:b/>
          <w:noProof/>
        </w:rPr>
        <w:t>Ta</w:t>
      </w:r>
      <w:r>
        <w:rPr>
          <w:rFonts w:ascii="Times New Roman" w:hAnsi="Times New Roman" w:cs="Times New Roman"/>
          <w:b/>
          <w:noProof/>
        </w:rPr>
        <w:t xml:space="preserve">ble </w:t>
      </w:r>
      <w:r>
        <w:rPr>
          <w:rFonts w:ascii="Times New Roman" w:hAnsi="Times New Roman" w:cs="Times New Roman"/>
          <w:b/>
          <w:noProof/>
        </w:rPr>
        <w:fldChar w:fldCharType="begin"/>
      </w:r>
      <w:r>
        <w:rPr>
          <w:rFonts w:ascii="Times New Roman" w:hAnsi="Times New Roman" w:cs="Times New Roman"/>
          <w:b/>
          <w:noProof/>
        </w:rPr>
        <w:instrText xml:space="preserve"> STYLEREF 1 \s </w:instrText>
      </w:r>
      <w:r>
        <w:rPr>
          <w:rFonts w:ascii="Times New Roman" w:hAnsi="Times New Roman" w:cs="Times New Roman"/>
          <w:b/>
          <w:noProof/>
        </w:rPr>
        <w:fldChar w:fldCharType="separate"/>
      </w:r>
      <w:r>
        <w:rPr>
          <w:rFonts w:ascii="Times New Roman" w:hAnsi="Times New Roman" w:cs="Times New Roman"/>
          <w:b/>
          <w:noProof/>
        </w:rPr>
        <w:t>3</w:t>
      </w:r>
      <w:r>
        <w:rPr>
          <w:rFonts w:ascii="Times New Roman" w:hAnsi="Times New Roman" w:cs="Times New Roman"/>
          <w:b/>
          <w:noProof/>
        </w:rPr>
        <w:fldChar w:fldCharType="end"/>
      </w:r>
      <w:r>
        <w:rPr>
          <w:rFonts w:ascii="Times New Roman" w:hAnsi="Times New Roman" w:cs="Times New Roman"/>
          <w:b/>
          <w:noProof/>
        </w:rPr>
        <w:t>.</w:t>
      </w:r>
      <w:r>
        <w:rPr>
          <w:rFonts w:ascii="Times New Roman" w:hAnsi="Times New Roman" w:cs="Times New Roman"/>
          <w:b/>
          <w:noProof/>
        </w:rPr>
        <w:fldChar w:fldCharType="begin"/>
      </w:r>
      <w:r>
        <w:rPr>
          <w:rFonts w:ascii="Times New Roman" w:hAnsi="Times New Roman" w:cs="Times New Roman"/>
          <w:b/>
          <w:noProof/>
        </w:rPr>
        <w:instrText xml:space="preserve"> SEQ Table \* ARABIC \s 1 </w:instrText>
      </w:r>
      <w:r>
        <w:rPr>
          <w:rFonts w:ascii="Times New Roman" w:hAnsi="Times New Roman" w:cs="Times New Roman"/>
          <w:b/>
          <w:noProof/>
        </w:rPr>
        <w:fldChar w:fldCharType="separate"/>
      </w:r>
      <w:r>
        <w:rPr>
          <w:rFonts w:ascii="Times New Roman" w:hAnsi="Times New Roman" w:cs="Times New Roman"/>
          <w:b/>
          <w:noProof/>
        </w:rPr>
        <w:t>14</w:t>
      </w:r>
      <w:r>
        <w:rPr>
          <w:rFonts w:ascii="Times New Roman" w:hAnsi="Times New Roman" w:cs="Times New Roman"/>
          <w:b/>
          <w:noProof/>
        </w:rPr>
        <w:fldChar w:fldCharType="end"/>
      </w:r>
      <w:r>
        <w:rPr>
          <w:rFonts w:ascii="Times New Roman" w:hAnsi="Times New Roman" w:cs="Times New Roman"/>
          <w:b/>
          <w:noProof/>
        </w:rPr>
        <w:t xml:space="preserve">  </w:t>
      </w:r>
      <w:r>
        <w:rPr>
          <w:rFonts w:ascii="Times New Roman" w:eastAsia="Times New Roman" w:hAnsi="Times New Roman" w:cs="Times New Roman"/>
          <w:b/>
          <w:noProof/>
          <w:szCs w:val="20"/>
          <w:lang w:eastAsia="en-GB"/>
        </w:rPr>
        <w:t>Production distortive effect of policy interventions</w:t>
      </w:r>
    </w:p>
    <w:tbl>
      <w:tblPr>
        <w:tblStyle w:val="TableGrid"/>
        <w:tblW w:w="5000" w:type="pct"/>
        <w:tblLook w:val="04A0" w:firstRow="1" w:lastRow="0" w:firstColumn="1" w:lastColumn="0" w:noHBand="0" w:noVBand="1"/>
      </w:tblPr>
      <w:tblGrid>
        <w:gridCol w:w="2377"/>
        <w:gridCol w:w="1701"/>
        <w:gridCol w:w="4756"/>
      </w:tblGrid>
      <w:tr w:rsidR="00333A1A">
        <w:tc>
          <w:tcPr>
            <w:tcW w:w="1345" w:type="pct"/>
          </w:tcPr>
          <w:p w:rsidR="00333A1A" w:rsidRDefault="003D29C9">
            <w:pPr>
              <w:rPr>
                <w:b/>
                <w:noProof/>
              </w:rPr>
            </w:pPr>
            <w:r>
              <w:rPr>
                <w:b/>
                <w:noProof/>
              </w:rPr>
              <w:t>Policy intervention</w:t>
            </w:r>
          </w:p>
        </w:tc>
        <w:tc>
          <w:tcPr>
            <w:tcW w:w="963" w:type="pct"/>
          </w:tcPr>
          <w:p w:rsidR="00333A1A" w:rsidRDefault="003D29C9">
            <w:pPr>
              <w:rPr>
                <w:b/>
                <w:noProof/>
              </w:rPr>
            </w:pPr>
            <w:r>
              <w:rPr>
                <w:b/>
                <w:noProof/>
              </w:rPr>
              <w:t>Distortive effect?</w:t>
            </w:r>
          </w:p>
        </w:tc>
        <w:tc>
          <w:tcPr>
            <w:tcW w:w="2692" w:type="pct"/>
          </w:tcPr>
          <w:p w:rsidR="00333A1A" w:rsidRDefault="003D29C9">
            <w:pPr>
              <w:rPr>
                <w:b/>
                <w:noProof/>
              </w:rPr>
            </w:pPr>
            <w:r>
              <w:rPr>
                <w:b/>
                <w:noProof/>
              </w:rPr>
              <w:t>Present in option? (importance between brackets)</w:t>
            </w:r>
          </w:p>
        </w:tc>
      </w:tr>
      <w:tr w:rsidR="00333A1A">
        <w:tc>
          <w:tcPr>
            <w:tcW w:w="1345" w:type="pct"/>
          </w:tcPr>
          <w:p w:rsidR="00333A1A" w:rsidRDefault="003D29C9">
            <w:pPr>
              <w:rPr>
                <w:noProof/>
              </w:rPr>
            </w:pPr>
            <w:r>
              <w:rPr>
                <w:noProof/>
              </w:rPr>
              <w:t>Decoupled direct support</w:t>
            </w:r>
          </w:p>
        </w:tc>
        <w:tc>
          <w:tcPr>
            <w:tcW w:w="963" w:type="pct"/>
          </w:tcPr>
          <w:p w:rsidR="00333A1A" w:rsidRDefault="003D29C9">
            <w:pPr>
              <w:jc w:val="center"/>
              <w:rPr>
                <w:noProof/>
              </w:rPr>
            </w:pPr>
            <w:r>
              <w:rPr>
                <w:noProof/>
              </w:rPr>
              <w:t>0</w:t>
            </w:r>
          </w:p>
        </w:tc>
        <w:tc>
          <w:tcPr>
            <w:tcW w:w="2692" w:type="pct"/>
          </w:tcPr>
          <w:p w:rsidR="00333A1A" w:rsidRDefault="003D29C9">
            <w:pPr>
              <w:rPr>
                <w:noProof/>
              </w:rPr>
            </w:pPr>
            <w:r>
              <w:rPr>
                <w:noProof/>
              </w:rPr>
              <w:t>All</w:t>
            </w:r>
          </w:p>
        </w:tc>
      </w:tr>
      <w:tr w:rsidR="00333A1A">
        <w:tc>
          <w:tcPr>
            <w:tcW w:w="1345" w:type="pct"/>
          </w:tcPr>
          <w:p w:rsidR="00333A1A" w:rsidRDefault="003D29C9">
            <w:pPr>
              <w:rPr>
                <w:noProof/>
              </w:rPr>
            </w:pPr>
            <w:r>
              <w:rPr>
                <w:noProof/>
              </w:rPr>
              <w:t>Coupled support</w:t>
            </w:r>
          </w:p>
        </w:tc>
        <w:tc>
          <w:tcPr>
            <w:tcW w:w="963" w:type="pct"/>
          </w:tcPr>
          <w:p w:rsidR="00333A1A" w:rsidRDefault="003D29C9">
            <w:pPr>
              <w:jc w:val="center"/>
              <w:rPr>
                <w:noProof/>
              </w:rPr>
            </w:pPr>
            <w:r>
              <w:rPr>
                <w:noProof/>
              </w:rPr>
              <w:t>--</w:t>
            </w:r>
          </w:p>
        </w:tc>
        <w:tc>
          <w:tcPr>
            <w:tcW w:w="2692" w:type="pct"/>
          </w:tcPr>
          <w:p w:rsidR="00333A1A" w:rsidRDefault="003D29C9">
            <w:pPr>
              <w:rPr>
                <w:noProof/>
              </w:rPr>
            </w:pPr>
            <w:r>
              <w:rPr>
                <w:noProof/>
              </w:rPr>
              <w:t xml:space="preserve">3b </w:t>
            </w:r>
            <w:r>
              <w:rPr>
                <w:noProof/>
              </w:rPr>
              <w:t>(large), 4 (small) , 5 (medium)</w:t>
            </w:r>
          </w:p>
        </w:tc>
      </w:tr>
      <w:tr w:rsidR="00333A1A">
        <w:tc>
          <w:tcPr>
            <w:tcW w:w="1345" w:type="pct"/>
          </w:tcPr>
          <w:p w:rsidR="00333A1A" w:rsidRDefault="003D29C9">
            <w:pPr>
              <w:rPr>
                <w:noProof/>
              </w:rPr>
            </w:pPr>
            <w:r>
              <w:rPr>
                <w:noProof/>
              </w:rPr>
              <w:t>Risk management tools</w:t>
            </w:r>
          </w:p>
        </w:tc>
        <w:tc>
          <w:tcPr>
            <w:tcW w:w="963" w:type="pct"/>
          </w:tcPr>
          <w:p w:rsidR="00333A1A" w:rsidRDefault="003D29C9">
            <w:pPr>
              <w:jc w:val="center"/>
              <w:rPr>
                <w:noProof/>
              </w:rPr>
            </w:pPr>
            <w:r>
              <w:rPr>
                <w:noProof/>
              </w:rPr>
              <w:t>-</w:t>
            </w:r>
          </w:p>
        </w:tc>
        <w:tc>
          <w:tcPr>
            <w:tcW w:w="2692" w:type="pct"/>
          </w:tcPr>
          <w:p w:rsidR="00333A1A" w:rsidRDefault="003D29C9">
            <w:pPr>
              <w:rPr>
                <w:noProof/>
              </w:rPr>
            </w:pPr>
            <w:r>
              <w:rPr>
                <w:noProof/>
              </w:rPr>
              <w:t>3a (large), 3b, 4 (medium)</w:t>
            </w:r>
          </w:p>
        </w:tc>
      </w:tr>
      <w:tr w:rsidR="00333A1A">
        <w:tc>
          <w:tcPr>
            <w:tcW w:w="1345" w:type="pct"/>
          </w:tcPr>
          <w:p w:rsidR="00333A1A" w:rsidRDefault="003D29C9">
            <w:pPr>
              <w:rPr>
                <w:noProof/>
              </w:rPr>
            </w:pPr>
            <w:r>
              <w:rPr>
                <w:noProof/>
              </w:rPr>
              <w:t>Eco-scheme</w:t>
            </w:r>
          </w:p>
        </w:tc>
        <w:tc>
          <w:tcPr>
            <w:tcW w:w="963" w:type="pct"/>
          </w:tcPr>
          <w:p w:rsidR="00333A1A" w:rsidRDefault="003D29C9">
            <w:pPr>
              <w:jc w:val="center"/>
              <w:rPr>
                <w:noProof/>
              </w:rPr>
            </w:pPr>
            <w:r>
              <w:rPr>
                <w:noProof/>
              </w:rPr>
              <w:t>0/-</w:t>
            </w:r>
          </w:p>
        </w:tc>
        <w:tc>
          <w:tcPr>
            <w:tcW w:w="2692" w:type="pct"/>
          </w:tcPr>
          <w:p w:rsidR="00333A1A" w:rsidRDefault="003D29C9">
            <w:pPr>
              <w:rPr>
                <w:noProof/>
              </w:rPr>
            </w:pPr>
            <w:r>
              <w:rPr>
                <w:noProof/>
              </w:rPr>
              <w:t>3a (large), 3b (medium)</w:t>
            </w:r>
          </w:p>
        </w:tc>
      </w:tr>
      <w:tr w:rsidR="00333A1A">
        <w:tc>
          <w:tcPr>
            <w:tcW w:w="1345" w:type="pct"/>
          </w:tcPr>
          <w:p w:rsidR="00333A1A" w:rsidRDefault="003D29C9">
            <w:pPr>
              <w:rPr>
                <w:noProof/>
              </w:rPr>
            </w:pPr>
            <w:r>
              <w:rPr>
                <w:noProof/>
              </w:rPr>
              <w:t>Market measures</w:t>
            </w:r>
          </w:p>
        </w:tc>
        <w:tc>
          <w:tcPr>
            <w:tcW w:w="963" w:type="pct"/>
          </w:tcPr>
          <w:p w:rsidR="00333A1A" w:rsidRDefault="003D29C9">
            <w:pPr>
              <w:jc w:val="center"/>
              <w:rPr>
                <w:noProof/>
              </w:rPr>
            </w:pPr>
            <w:r>
              <w:rPr>
                <w:noProof/>
              </w:rPr>
              <w:t>0/-</w:t>
            </w:r>
          </w:p>
        </w:tc>
        <w:tc>
          <w:tcPr>
            <w:tcW w:w="2692" w:type="pct"/>
          </w:tcPr>
          <w:p w:rsidR="00333A1A" w:rsidRDefault="003D29C9">
            <w:pPr>
              <w:rPr>
                <w:noProof/>
              </w:rPr>
            </w:pPr>
            <w:r>
              <w:rPr>
                <w:noProof/>
              </w:rPr>
              <w:t>All</w:t>
            </w:r>
          </w:p>
        </w:tc>
      </w:tr>
    </w:tbl>
    <w:p w:rsidR="00333A1A" w:rsidRDefault="003D29C9">
      <w:pPr>
        <w:pStyle w:val="Text1"/>
        <w:spacing w:before="200"/>
        <w:ind w:left="0"/>
        <w:rPr>
          <w:noProof/>
        </w:rPr>
      </w:pPr>
      <w:r>
        <w:rPr>
          <w:noProof/>
        </w:rPr>
        <w:t>Based on this simple analysis, one could conclude that option 3b has the most features with potential to distort production and influence trade with external partners, as it has most VCS, a considerable risk management budget (with sector based IST and low</w:t>
      </w:r>
      <w:r>
        <w:rPr>
          <w:noProof/>
        </w:rPr>
        <w:t>ered thresholds) and an eco-scheme. Depending how the eco-scheme would be perceived (distortive or not), 3a would be more or less distortive, as in this option the eco-scheme counts for 60% of DP and another 10% for risk management. Options 4 and 5 are sim</w:t>
      </w:r>
      <w:r>
        <w:rPr>
          <w:noProof/>
        </w:rPr>
        <w:t xml:space="preserve">ilarly less distortive, with option 4 having more risk management but less VCS compared to 5.  </w:t>
      </w:r>
    </w:p>
    <w:p w:rsidR="00333A1A" w:rsidRDefault="003D29C9">
      <w:pPr>
        <w:pStyle w:val="Heading2"/>
        <w:rPr>
          <w:noProof/>
        </w:rPr>
      </w:pPr>
      <w:bookmarkStart w:id="76" w:name="_Toc508286118"/>
      <w:bookmarkStart w:id="77" w:name="_Toc508286220"/>
      <w:bookmarkStart w:id="78" w:name="_Toc513053267"/>
      <w:bookmarkStart w:id="79" w:name="_Toc513053483"/>
      <w:bookmarkStart w:id="80" w:name="_Toc514514614"/>
      <w:r>
        <w:rPr>
          <w:noProof/>
        </w:rPr>
        <w:t>Cross cutting: Improving sustainable development for farming, food and rural areas</w:t>
      </w:r>
      <w:bookmarkEnd w:id="76"/>
      <w:bookmarkEnd w:id="77"/>
      <w:bookmarkEnd w:id="78"/>
      <w:bookmarkEnd w:id="79"/>
      <w:bookmarkEnd w:id="80"/>
    </w:p>
    <w:p w:rsidR="00333A1A" w:rsidRDefault="003D29C9">
      <w:pPr>
        <w:pStyle w:val="Heading3"/>
        <w:rPr>
          <w:noProof/>
        </w:rPr>
      </w:pPr>
      <w:bookmarkStart w:id="81" w:name="_Toc508286119"/>
      <w:r>
        <w:rPr>
          <w:noProof/>
        </w:rPr>
        <w:t>Address societal expectations on food and health</w:t>
      </w:r>
      <w:bookmarkEnd w:id="81"/>
    </w:p>
    <w:p w:rsidR="00333A1A" w:rsidRDefault="003D29C9">
      <w:pPr>
        <w:pStyle w:val="Text1"/>
        <w:spacing w:after="0"/>
        <w:ind w:left="0"/>
        <w:rPr>
          <w:noProof/>
        </w:rPr>
      </w:pPr>
      <w:r>
        <w:rPr>
          <w:noProof/>
        </w:rPr>
        <w:t>As indicated during the publ</w:t>
      </w:r>
      <w:r>
        <w:rPr>
          <w:noProof/>
        </w:rPr>
        <w:t>ic consultation and in the Communication on the Future of food and farming, the CAP is expected to respond better to citizen demands on food and health. Societal expectations on food and health stretch over various components of sustainable food systems su</w:t>
      </w:r>
      <w:r>
        <w:rPr>
          <w:noProof/>
        </w:rPr>
        <w:t>ch as:</w:t>
      </w:r>
    </w:p>
    <w:p w:rsidR="00333A1A" w:rsidRDefault="003D29C9">
      <w:pPr>
        <w:pStyle w:val="ListParagraph"/>
        <w:numPr>
          <w:ilvl w:val="0"/>
          <w:numId w:val="6"/>
        </w:num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food safety and quality</w:t>
      </w:r>
    </w:p>
    <w:p w:rsidR="00333A1A" w:rsidRDefault="003D29C9">
      <w:pPr>
        <w:pStyle w:val="ListParagraph"/>
        <w:numPr>
          <w:ilvl w:val="0"/>
          <w:numId w:val="6"/>
        </w:num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affordability of food (also one of the cornerstones of art 39 of TFEU)</w:t>
      </w:r>
    </w:p>
    <w:p w:rsidR="00333A1A" w:rsidRDefault="003D29C9">
      <w:pPr>
        <w:pStyle w:val="ListParagraph"/>
        <w:numPr>
          <w:ilvl w:val="0"/>
          <w:numId w:val="6"/>
        </w:num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health issues such as pesticide load and antimicrobial resistance</w:t>
      </w:r>
    </w:p>
    <w:p w:rsidR="00333A1A" w:rsidRDefault="003D29C9">
      <w:pPr>
        <w:pStyle w:val="ListParagraph"/>
        <w:numPr>
          <w:ilvl w:val="0"/>
          <w:numId w:val="6"/>
        </w:num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food waste and agricultural losses</w:t>
      </w:r>
    </w:p>
    <w:p w:rsidR="00333A1A" w:rsidRDefault="003D29C9">
      <w:pPr>
        <w:pStyle w:val="ListParagraph"/>
        <w:numPr>
          <w:ilvl w:val="0"/>
          <w:numId w:val="6"/>
        </w:num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responding and anticipating to changing demands</w:t>
      </w:r>
    </w:p>
    <w:p w:rsidR="00333A1A" w:rsidRDefault="003D29C9">
      <w:pPr>
        <w:pStyle w:val="Text1"/>
        <w:ind w:left="0"/>
        <w:rPr>
          <w:noProof/>
        </w:rPr>
      </w:pPr>
      <w:r>
        <w:rPr>
          <w:noProof/>
        </w:rPr>
        <w:t>They are covered across the different operational objectives against which the different options are tested. Food safety, as enshrined in EU legislation, is a condition sine qua non for each option. The economic OO 2.3 on Adding value to agricultural produ</w:t>
      </w:r>
      <w:r>
        <w:rPr>
          <w:noProof/>
        </w:rPr>
        <w:t>cts is particularly relevant for food quality (with its link to organic, GIs and certification schemes), but also for food waste reduction through the link with bio-economy and circular economy. Food waste can also be reduced through economic OO 3.2 on enh</w:t>
      </w:r>
      <w:r>
        <w:rPr>
          <w:noProof/>
        </w:rPr>
        <w:t>ancing synergies within the value chain, by means of increased transparency and information exchange along the chain. Agricultural losses can further be reduced through OO 2.1 on efficiency gains and 2.2 on Demand driven production models. The affordabilit</w:t>
      </w:r>
      <w:r>
        <w:rPr>
          <w:noProof/>
        </w:rPr>
        <w:t>y of food is specifically tackled under economic OO demand-driven production models, focusing among others on further reducing the gap between EU and world prices. Social OO 3.4 is directly measuring agriculture's contribution to healthier lifestyles, whil</w:t>
      </w:r>
      <w:r>
        <w:rPr>
          <w:noProof/>
        </w:rPr>
        <w:t>e environmental OO 2.4 on sustainable use of pesticides and antibiotics tackles related citizen concerns. Responding to changing consumer demands is directly related to economic OO 2.2 on demand driven production models and OO 3.3 on development of alterna</w:t>
      </w:r>
      <w:r>
        <w:rPr>
          <w:noProof/>
        </w:rPr>
        <w:t xml:space="preserve">tive value chains such as short supply chains, directly connecting farmers with consumers.  </w:t>
      </w:r>
    </w:p>
    <w:p w:rsidR="00333A1A" w:rsidRDefault="003D29C9">
      <w:pPr>
        <w:pStyle w:val="Text1"/>
        <w:ind w:left="0"/>
        <w:rPr>
          <w:noProof/>
        </w:rPr>
      </w:pPr>
      <w:r>
        <w:rPr>
          <w:noProof/>
        </w:rPr>
        <w:t>Graph 3.26 summarizes how the different options score on these operational objectives. We refer to the respective sections on OO to better understand why the optio</w:t>
      </w:r>
      <w:r>
        <w:rPr>
          <w:noProof/>
        </w:rPr>
        <w:t>ns score differently. The 3 alternative options outperform the baseline and especially the baseline with cuts (with the exception of the OO on demand driven production models, as prices are expected to be lower in the baseline). Option 5 performs well on s</w:t>
      </w:r>
      <w:r>
        <w:rPr>
          <w:noProof/>
        </w:rPr>
        <w:t>ome issues, such as alternative value chains, healthier lifestyles and sustainable use of pesticides and antibiotics, but it underperforms on several other (economic) objectives. Option 4 also combines high scores on some objectives with lower scores on ot</w:t>
      </w:r>
      <w:r>
        <w:rPr>
          <w:noProof/>
        </w:rPr>
        <w:t xml:space="preserve">hers. Option 3 reaches more balanced scores, but in general lower than 5 or 4. </w:t>
      </w:r>
    </w:p>
    <w:p w:rsidR="00333A1A" w:rsidRDefault="003D29C9">
      <w:pPr>
        <w:pStyle w:val="Text1"/>
        <w:keepNext/>
        <w:ind w:left="0"/>
        <w:rPr>
          <w:noProof/>
        </w:rPr>
      </w:pPr>
      <w:r>
        <w:rPr>
          <w:b/>
          <w:noProof/>
          <w:sz w:val="22"/>
        </w:rPr>
        <w:t xml:space="preserve">Graph </w:t>
      </w:r>
      <w:r>
        <w:rPr>
          <w:b/>
          <w:noProof/>
        </w:rPr>
        <w:fldChar w:fldCharType="begin"/>
      </w:r>
      <w:r>
        <w:rPr>
          <w:b/>
          <w:noProof/>
          <w:sz w:val="22"/>
        </w:rPr>
        <w:instrText xml:space="preserve"> STYLEREF 1 \s </w:instrText>
      </w:r>
      <w:r>
        <w:rPr>
          <w:b/>
          <w:noProof/>
        </w:rPr>
        <w:fldChar w:fldCharType="separate"/>
      </w:r>
      <w:r>
        <w:rPr>
          <w:b/>
          <w:noProof/>
          <w:sz w:val="22"/>
        </w:rPr>
        <w:t>3</w:t>
      </w:r>
      <w:r>
        <w:rPr>
          <w:b/>
          <w:noProof/>
        </w:rPr>
        <w:fldChar w:fldCharType="end"/>
      </w:r>
      <w:r>
        <w:rPr>
          <w:b/>
          <w:noProof/>
          <w:sz w:val="22"/>
        </w:rPr>
        <w:t>.</w:t>
      </w:r>
      <w:r>
        <w:rPr>
          <w:b/>
          <w:noProof/>
        </w:rPr>
        <w:fldChar w:fldCharType="begin"/>
      </w:r>
      <w:r>
        <w:rPr>
          <w:b/>
          <w:noProof/>
          <w:sz w:val="22"/>
        </w:rPr>
        <w:instrText xml:space="preserve"> SEQ Graph \* ARABIC \s 1 </w:instrText>
      </w:r>
      <w:r>
        <w:rPr>
          <w:b/>
          <w:noProof/>
        </w:rPr>
        <w:fldChar w:fldCharType="separate"/>
      </w:r>
      <w:r>
        <w:rPr>
          <w:b/>
          <w:noProof/>
          <w:sz w:val="22"/>
        </w:rPr>
        <w:t>26</w:t>
      </w:r>
      <w:r>
        <w:rPr>
          <w:b/>
          <w:noProof/>
        </w:rPr>
        <w:fldChar w:fldCharType="end"/>
      </w:r>
      <w:r>
        <w:rPr>
          <w:b/>
          <w:noProof/>
          <w:sz w:val="22"/>
        </w:rPr>
        <w:t>. Option scores for Citizen expectations on food and health</w:t>
      </w:r>
    </w:p>
    <w:p w:rsidR="00333A1A" w:rsidRDefault="003D29C9">
      <w:pPr>
        <w:pStyle w:val="Text1"/>
        <w:ind w:left="0"/>
        <w:rPr>
          <w:noProof/>
        </w:rPr>
      </w:pPr>
      <w:r>
        <w:rPr>
          <w:noProof/>
          <w:lang w:eastAsia="en-GB"/>
        </w:rPr>
        <w:drawing>
          <wp:inline distT="0" distB="0" distL="0" distR="0" wp14:anchorId="535145C6" wp14:editId="6FEE94D1">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t xml:space="preserve">   </w:t>
      </w:r>
    </w:p>
    <w:p w:rsidR="00333A1A" w:rsidRDefault="003D29C9">
      <w:pPr>
        <w:pStyle w:val="Text1"/>
        <w:keepNext/>
        <w:ind w:left="0"/>
        <w:rPr>
          <w:noProof/>
        </w:rPr>
      </w:pPr>
      <w:r>
        <w:rPr>
          <w:b/>
          <w:noProof/>
          <w:sz w:val="22"/>
        </w:rPr>
        <w:t xml:space="preserve">Graph </w:t>
      </w:r>
      <w:r>
        <w:rPr>
          <w:b/>
          <w:noProof/>
        </w:rPr>
        <w:fldChar w:fldCharType="begin"/>
      </w:r>
      <w:r>
        <w:rPr>
          <w:b/>
          <w:noProof/>
          <w:sz w:val="22"/>
        </w:rPr>
        <w:instrText xml:space="preserve"> STYLEREF 1 \s </w:instrText>
      </w:r>
      <w:r>
        <w:rPr>
          <w:b/>
          <w:noProof/>
        </w:rPr>
        <w:fldChar w:fldCharType="separate"/>
      </w:r>
      <w:r>
        <w:rPr>
          <w:b/>
          <w:noProof/>
          <w:sz w:val="22"/>
        </w:rPr>
        <w:t>3</w:t>
      </w:r>
      <w:r>
        <w:rPr>
          <w:b/>
          <w:noProof/>
        </w:rPr>
        <w:fldChar w:fldCharType="end"/>
      </w:r>
      <w:r>
        <w:rPr>
          <w:b/>
          <w:noProof/>
          <w:sz w:val="22"/>
        </w:rPr>
        <w:t>.</w:t>
      </w:r>
      <w:r>
        <w:rPr>
          <w:b/>
          <w:noProof/>
        </w:rPr>
        <w:fldChar w:fldCharType="begin"/>
      </w:r>
      <w:r>
        <w:rPr>
          <w:b/>
          <w:noProof/>
          <w:sz w:val="22"/>
        </w:rPr>
        <w:instrText xml:space="preserve"> SEQ Graph \* ARABIC \s 1 </w:instrText>
      </w:r>
      <w:r>
        <w:rPr>
          <w:b/>
          <w:noProof/>
        </w:rPr>
        <w:fldChar w:fldCharType="separate"/>
      </w:r>
      <w:r>
        <w:rPr>
          <w:b/>
          <w:noProof/>
          <w:sz w:val="22"/>
        </w:rPr>
        <w:t>27</w:t>
      </w:r>
      <w:r>
        <w:rPr>
          <w:b/>
          <w:noProof/>
        </w:rPr>
        <w:fldChar w:fldCharType="end"/>
      </w:r>
      <w:r>
        <w:rPr>
          <w:b/>
          <w:noProof/>
          <w:sz w:val="22"/>
        </w:rPr>
        <w:t>. Scores of options 3a, b and 4a, b for Citizen expectations on food and health</w:t>
      </w:r>
    </w:p>
    <w:p w:rsidR="00333A1A" w:rsidRDefault="003D29C9">
      <w:pPr>
        <w:pStyle w:val="Text1"/>
        <w:ind w:left="0"/>
        <w:rPr>
          <w:noProof/>
          <w:lang w:val="fr-BE"/>
        </w:rPr>
      </w:pPr>
      <w:r>
        <w:rPr>
          <w:noProof/>
          <w:lang w:eastAsia="en-GB"/>
        </w:rPr>
        <w:drawing>
          <wp:inline distT="0" distB="0" distL="0" distR="0" wp14:anchorId="2ED0189A" wp14:editId="004C9D66">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33A1A" w:rsidRDefault="003D29C9">
      <w:pPr>
        <w:pStyle w:val="Text1"/>
        <w:ind w:left="0"/>
        <w:rPr>
          <w:noProof/>
        </w:rPr>
      </w:pPr>
      <w:r>
        <w:rPr>
          <w:noProof/>
        </w:rPr>
        <w:t>Considering the sub-options of 3 and 4 confirm the better score of the eco-scheme based option 3a on several objectives, as well as the better score of option 4b on some e</w:t>
      </w:r>
      <w:r>
        <w:rPr>
          <w:noProof/>
        </w:rPr>
        <w:t xml:space="preserve">conomic objectives, as it is less (environmentally) demanding compared to the others. </w:t>
      </w:r>
    </w:p>
    <w:p w:rsidR="00333A1A" w:rsidRDefault="003D29C9">
      <w:pPr>
        <w:pStyle w:val="Text1"/>
        <w:ind w:left="0"/>
        <w:rPr>
          <w:noProof/>
        </w:rPr>
      </w:pPr>
      <w:r>
        <w:rPr>
          <w:noProof/>
        </w:rPr>
        <w:t>In a budget constraint environment, necessary trade-offs have to be made between the various available instruments. The main trade-off relates to the price versus additi</w:t>
      </w:r>
      <w:r>
        <w:rPr>
          <w:noProof/>
        </w:rPr>
        <w:t>onal quality and health attributes. The (sub-) options scoring better on price and economic efficiency underperform with respect to contributing to healthier lifestyles and sustainable use of pesticides and antibiotics. So in essence it boils down to the p</w:t>
      </w:r>
      <w:r>
        <w:rPr>
          <w:noProof/>
        </w:rPr>
        <w:t xml:space="preserve">olicy choice between lower priced food with basic health and environmental related quality attributes versus potentially more expensive food with higher (environmental and health) quality attributes. </w:t>
      </w:r>
    </w:p>
    <w:p w:rsidR="00333A1A" w:rsidRDefault="003D29C9">
      <w:pPr>
        <w:pStyle w:val="Heading3"/>
        <w:rPr>
          <w:noProof/>
        </w:rPr>
      </w:pPr>
      <w:bookmarkStart w:id="82" w:name="_Toc508286120"/>
      <w:r>
        <w:rPr>
          <w:noProof/>
        </w:rPr>
        <w:t>Sustainable Development Goals</w:t>
      </w:r>
      <w:bookmarkEnd w:id="82"/>
    </w:p>
    <w:p w:rsidR="00333A1A" w:rsidRDefault="003D29C9">
      <w:pPr>
        <w:pStyle w:val="Text1"/>
        <w:spacing w:before="200"/>
        <w:ind w:left="0"/>
        <w:rPr>
          <w:noProof/>
        </w:rPr>
      </w:pPr>
      <w:r>
        <w:rPr>
          <w:noProof/>
        </w:rPr>
        <w:t xml:space="preserve">One of the cross-cutting </w:t>
      </w:r>
      <w:r>
        <w:rPr>
          <w:noProof/>
        </w:rPr>
        <w:t>objectives of the new CAP is to improve sustainable development for farming, food and rural areas. This objective is tightly intertwined to the United Nations Sustainable Development Goals (SDGs). This chapter outlines how the Impact Assessment takes the S</w:t>
      </w:r>
      <w:r>
        <w:rPr>
          <w:noProof/>
        </w:rPr>
        <w:t>DGs into account by mapping them against the operational objectives (OOs).</w:t>
      </w:r>
    </w:p>
    <w:p w:rsidR="00333A1A" w:rsidRDefault="003D29C9">
      <w:pPr>
        <w:pStyle w:val="Text1"/>
        <w:spacing w:before="200"/>
        <w:ind w:left="0"/>
        <w:rPr>
          <w:noProof/>
        </w:rPr>
      </w:pPr>
      <w:r>
        <w:rPr>
          <w:noProof/>
        </w:rPr>
        <w:t>Sustainable Development Goals were adopted at the United Nations (UN) in 2015 as part of the 2030 Agenda for Sustainable Development. They consist of 17 goals, divided into 169 targ</w:t>
      </w:r>
      <w:r>
        <w:rPr>
          <w:noProof/>
        </w:rPr>
        <w:t>ets, which are meant to be reached by 2030. To measure progress in SDGs, the UN has proposed a list of 232 indicators.</w:t>
      </w:r>
      <w:r>
        <w:rPr>
          <w:noProof/>
          <w:vertAlign w:val="superscript"/>
        </w:rPr>
        <w:footnoteReference w:id="48"/>
      </w:r>
      <w:r>
        <w:rPr>
          <w:noProof/>
        </w:rPr>
        <w:t xml:space="preserve"> However, not all are necessarily appropriate for the EU. Thereby, Eurostat has defined a set of 100 EU-relevant indicators, which are fo</w:t>
      </w:r>
      <w:r>
        <w:rPr>
          <w:noProof/>
        </w:rPr>
        <w:t xml:space="preserve">llowed annually. </w:t>
      </w:r>
    </w:p>
    <w:p w:rsidR="00333A1A" w:rsidRDefault="003D29C9">
      <w:pPr>
        <w:pStyle w:val="Text1"/>
        <w:spacing w:before="200"/>
        <w:ind w:left="0"/>
        <w:rPr>
          <w:noProof/>
        </w:rPr>
      </w:pPr>
      <w:r>
        <w:rPr>
          <w:noProof/>
        </w:rPr>
        <w:t xml:space="preserve">So far, </w:t>
      </w:r>
      <w:r>
        <w:rPr>
          <w:b/>
          <w:noProof/>
        </w:rPr>
        <w:t>one follow-up report has been published by Eurostat</w:t>
      </w:r>
      <w:r>
        <w:rPr>
          <w:noProof/>
          <w:vertAlign w:val="superscript"/>
        </w:rPr>
        <w:footnoteReference w:id="49"/>
      </w:r>
      <w:r>
        <w:rPr>
          <w:noProof/>
        </w:rPr>
        <w:t>. The report concludes that the EU has made considerable progress related to sustainable energy (SDGs 7 and 12), health and urbanization (SDGs 3 and 11). In environmental SDGs, i</w:t>
      </w:r>
      <w:r>
        <w:rPr>
          <w:noProof/>
        </w:rPr>
        <w:t>mprovements are visible e.g. in forest management and water quality (SDGs 6 and 15) and the EU is expected to reach its targets in climate change mitigation (SDG 13). However, very little progress is made in terms of biodiversity. Slightly less improvement</w:t>
      </w:r>
      <w:r>
        <w:rPr>
          <w:noProof/>
        </w:rPr>
        <w:t xml:space="preserve"> is visible in education, partnership for SDGs and sustainable industrialization (4, 17 and 9). The progress is moderate in terms of employment and growth, poverty reduction and gender equality (8, 1 and 5). Despite the improvements in sustainable food pro</w:t>
      </w:r>
      <w:r>
        <w:rPr>
          <w:noProof/>
        </w:rPr>
        <w:t>duction (SDG 2), the report concludes the overall progress in terms of food security has been limited. Negative trends were found in inequality (SDG 10), which has been increasing.</w:t>
      </w:r>
      <w:r>
        <w:rPr>
          <w:noProof/>
          <w:vertAlign w:val="superscript"/>
        </w:rPr>
        <w:footnoteReference w:id="50"/>
      </w:r>
    </w:p>
    <w:p w:rsidR="00333A1A" w:rsidRDefault="003D29C9">
      <w:pPr>
        <w:pStyle w:val="Heading4"/>
        <w:rPr>
          <w:noProof/>
        </w:rPr>
      </w:pPr>
      <w:r>
        <w:rPr>
          <w:noProof/>
        </w:rPr>
        <w:t xml:space="preserve"> Why consider SDGs in the Impact Assessment?</w:t>
      </w:r>
    </w:p>
    <w:p w:rsidR="00333A1A" w:rsidRDefault="003D29C9">
      <w:pPr>
        <w:pStyle w:val="Text1"/>
        <w:spacing w:before="200"/>
        <w:ind w:left="0"/>
        <w:rPr>
          <w:noProof/>
        </w:rPr>
      </w:pPr>
      <w:r>
        <w:rPr>
          <w:noProof/>
        </w:rPr>
        <w:t>The SDGs address not only dev</w:t>
      </w:r>
      <w:r>
        <w:rPr>
          <w:noProof/>
        </w:rPr>
        <w:t xml:space="preserve">eloping countries but also developed countries, including the EU. To underpin its engagement to SDGs, the European Commission published a Communication “Next steps for a sustainable European future”. </w:t>
      </w:r>
      <w:r>
        <w:rPr>
          <w:rStyle w:val="FootnoteReference"/>
          <w:noProof/>
        </w:rPr>
        <w:footnoteReference w:id="51"/>
      </w:r>
      <w:r>
        <w:rPr>
          <w:noProof/>
        </w:rPr>
        <w:t xml:space="preserve"> The Commission states it “will mainstream the Sustaina</w:t>
      </w:r>
      <w:r>
        <w:rPr>
          <w:noProof/>
        </w:rPr>
        <w:t>ble Development Goals into EU policies” and emphasizes that “agriculture plays a substantial role in the 2030 Agenda”. This was reiterated in the Communication “The Future of food and farming”.</w:t>
      </w:r>
      <w:r>
        <w:rPr>
          <w:rStyle w:val="FootnoteReference"/>
          <w:noProof/>
        </w:rPr>
        <w:footnoteReference w:id="52"/>
      </w:r>
      <w:r>
        <w:rPr>
          <w:noProof/>
        </w:rPr>
        <w:t xml:space="preserve"> To maximise the contribution of the future CAP beyond earlier</w:t>
      </w:r>
      <w:r>
        <w:rPr>
          <w:noProof/>
        </w:rPr>
        <w:t xml:space="preserve"> identified Goals</w:t>
      </w:r>
      <w:r>
        <w:rPr>
          <w:rStyle w:val="FootnoteReference"/>
          <w:noProof/>
        </w:rPr>
        <w:footnoteReference w:id="53"/>
      </w:r>
      <w:r>
        <w:rPr>
          <w:noProof/>
        </w:rPr>
        <w:t>, additional SDGs were considered, in particular: 3 (healthy lives), 11 (human settlements) and 10 (reduce inequalities). Given these commitments, the SDGs are inherently part of the CAP reform and nearly all SDGs were covered by the oper</w:t>
      </w:r>
      <w:r>
        <w:rPr>
          <w:noProof/>
        </w:rPr>
        <w:t>ational objectives in the Impact Assessment preceding the policy proposal.</w:t>
      </w:r>
    </w:p>
    <w:p w:rsidR="00333A1A" w:rsidRDefault="003D29C9">
      <w:pPr>
        <w:pStyle w:val="Heading4"/>
        <w:rPr>
          <w:noProof/>
        </w:rPr>
      </w:pPr>
      <w:r>
        <w:rPr>
          <w:noProof/>
        </w:rPr>
        <w:t xml:space="preserve"> How has the CAP contributed to SDGs so far?</w:t>
      </w:r>
    </w:p>
    <w:p w:rsidR="00333A1A" w:rsidRDefault="003D29C9">
      <w:pPr>
        <w:pStyle w:val="Text1"/>
        <w:spacing w:before="200"/>
        <w:ind w:left="0"/>
        <w:rPr>
          <w:noProof/>
        </w:rPr>
      </w:pPr>
      <w:r>
        <w:rPr>
          <w:noProof/>
        </w:rPr>
        <w:t xml:space="preserve">The CAP has a pivotal role to ensure the EU will deliver on the SDGs. Agricultural policies, although being sectoral, touch upon nearly </w:t>
      </w:r>
      <w:r>
        <w:rPr>
          <w:noProof/>
        </w:rPr>
        <w:t>all SDGs indirectly or directly. Therefore, it is crucial to follow how the CAP performs in these terms. However, measuring the impacts of the CAP on SDGs is a challenging task. This is due to the wide scope of SDGs and the gaps in available indicators. Ce</w:t>
      </w:r>
      <w:r>
        <w:rPr>
          <w:noProof/>
        </w:rPr>
        <w:t xml:space="preserve">rtain SDG targets would be highly relevant for the CAP and their interlinkages would be worth measuring. However, good quality data and feasible indicators are not always available, e.g. for the SDG target 12.3 on food waste or 2.5 on agricultural genetic </w:t>
      </w:r>
      <w:r>
        <w:rPr>
          <w:noProof/>
        </w:rPr>
        <w:t>resources. Also, the causalities between the CAP and the SDGs are sometimes difficult to establish, especially when considering rural development more widely. For instance, Member States have many national policies that influence growth and employment in r</w:t>
      </w:r>
      <w:r>
        <w:rPr>
          <w:noProof/>
        </w:rPr>
        <w:t xml:space="preserve">ural areas, or inequality between territories (SDGs 8 and 10). </w:t>
      </w:r>
    </w:p>
    <w:p w:rsidR="00333A1A" w:rsidRDefault="003D29C9">
      <w:pPr>
        <w:pStyle w:val="Text1"/>
        <w:spacing w:before="200"/>
        <w:ind w:left="0"/>
        <w:rPr>
          <w:noProof/>
        </w:rPr>
      </w:pPr>
      <w:r>
        <w:rPr>
          <w:noProof/>
        </w:rPr>
        <w:t>While Eurostat provides a comprehensive analysis of the EU’s performance in SDGs, it does not examine the influence of policies on the result. This is done in a recent literature review commis</w:t>
      </w:r>
      <w:r>
        <w:rPr>
          <w:noProof/>
        </w:rPr>
        <w:t>sioned by the European Environmental Bureau (EEB) and Birdlife</w:t>
      </w:r>
      <w:r>
        <w:rPr>
          <w:rStyle w:val="FootnoteReference"/>
          <w:noProof/>
        </w:rPr>
        <w:footnoteReference w:id="54"/>
      </w:r>
      <w:r>
        <w:rPr>
          <w:noProof/>
        </w:rPr>
        <w:t xml:space="preserve">. </w:t>
      </w:r>
    </w:p>
    <w:p w:rsidR="00333A1A" w:rsidRDefault="003D29C9">
      <w:pPr>
        <w:pStyle w:val="Text1"/>
        <w:spacing w:before="200"/>
        <w:ind w:left="0"/>
        <w:rPr>
          <w:noProof/>
        </w:rPr>
      </w:pPr>
      <w:r>
        <w:rPr>
          <w:noProof/>
        </w:rPr>
        <w:t>The study scrutinized the impact of the CAP on 12 relevant SDGs by reviewing an extensive body of literature, using a methodology similar to the Fitness Check approach of the European Commis</w:t>
      </w:r>
      <w:r>
        <w:rPr>
          <w:noProof/>
        </w:rPr>
        <w:t>sion. The study concluded that the CAP contributes to SDGs concerning poverty and food security (1, 2) in the EU, whereas the impacts outside the Union are varied. In environmental questions (SDGs 6 and 15), the CAP has led to local improvements but overal</w:t>
      </w:r>
      <w:r>
        <w:rPr>
          <w:noProof/>
        </w:rPr>
        <w:t>l, the greening approach and other environmental measures have yielded limited results. Some gaps remain also in the measures addressing climate change mitigation (SDG 13) and the study suggests that true decoupling of emissions from production has to be i</w:t>
      </w:r>
      <w:r>
        <w:rPr>
          <w:noProof/>
        </w:rPr>
        <w:t xml:space="preserve">mproved. In terms of inequality (SDG 10), the CAP has contributed to more balanced territorial development but the distribution of payments is considered disproportionately skewed towards large farms. The SDGs concerning health and responsible consumption </w:t>
      </w:r>
      <w:r>
        <w:rPr>
          <w:noProof/>
        </w:rPr>
        <w:t>and production (SDGs 3 and 12) are found to be not fully addressed. For instance, food waste and losses are not considered in the current design of the CAP, although it could fall in the scope of agricultural policies. In employment and growth (SDG 8), the</w:t>
      </w:r>
      <w:r>
        <w:rPr>
          <w:noProof/>
        </w:rPr>
        <w:t xml:space="preserve"> study focuses on green growth and considers the CAP has had contradictory impacts, as it supports a wide range of farming systems, which cannot always be classified as green growth. However, the number of publications varies widely across SDGs and especia</w:t>
      </w:r>
      <w:r>
        <w:rPr>
          <w:noProof/>
        </w:rPr>
        <w:t xml:space="preserve">lly those related to health, energy and inequality (SDGs 3, 7 and 10) were only few. </w:t>
      </w:r>
    </w:p>
    <w:p w:rsidR="00333A1A" w:rsidRDefault="003D29C9">
      <w:pPr>
        <w:pStyle w:val="Heading4"/>
        <w:rPr>
          <w:noProof/>
        </w:rPr>
      </w:pPr>
      <w:r>
        <w:rPr>
          <w:noProof/>
        </w:rPr>
        <w:t xml:space="preserve"> How were SDGs integrated in the Impact Assessment?</w:t>
      </w:r>
    </w:p>
    <w:p w:rsidR="00333A1A" w:rsidRDefault="003D29C9">
      <w:pPr>
        <w:pStyle w:val="Text1"/>
        <w:spacing w:before="200"/>
        <w:ind w:left="0"/>
        <w:rPr>
          <w:noProof/>
        </w:rPr>
      </w:pPr>
      <w:r>
        <w:rPr>
          <w:noProof/>
        </w:rPr>
        <w:t xml:space="preserve">Sustainability was mainstreamed in the design of the Impact Assessment and thereby also SDGs were an integral part of </w:t>
      </w:r>
      <w:r>
        <w:rPr>
          <w:noProof/>
        </w:rPr>
        <w:t>the exercise. Firstly, the policy objectives of the Impact Assessment were structured around the three dimensions of sustainability – social, environmental and economic – which ensures that each is taken into account. The second step was to ensure links wi</w:t>
      </w:r>
      <w:r>
        <w:rPr>
          <w:noProof/>
        </w:rPr>
        <w:t>th the SDGs. This was done by creating a comprehensive set of operational objectives, which would cover the SDGs as widely as possible. In some cases, the objective itself does not directly relate to an SDG but the indicators used to assess the objective d</w:t>
      </w:r>
      <w:r>
        <w:rPr>
          <w:noProof/>
        </w:rPr>
        <w:t>o.</w:t>
      </w:r>
      <w:r>
        <w:rPr>
          <w:noProof/>
          <w:vertAlign w:val="superscript"/>
        </w:rPr>
        <w:footnoteReference w:id="55"/>
      </w:r>
      <w:r>
        <w:rPr>
          <w:noProof/>
          <w:vertAlign w:val="superscript"/>
        </w:rPr>
        <w:t xml:space="preserve"> </w:t>
      </w:r>
    </w:p>
    <w:p w:rsidR="00333A1A" w:rsidRDefault="003D29C9">
      <w:pPr>
        <w:pStyle w:val="Text1"/>
        <w:spacing w:before="200"/>
        <w:ind w:left="0"/>
        <w:rPr>
          <w:noProof/>
        </w:rPr>
      </w:pPr>
      <w:r>
        <w:rPr>
          <w:noProof/>
        </w:rPr>
        <w:t xml:space="preserve">Altogether, 13 SDGs were covered in the Impact Assessment, as outlined in </w:t>
      </w:r>
      <w:r>
        <w:rPr>
          <w:noProof/>
        </w:rPr>
        <w:fldChar w:fldCharType="begin"/>
      </w:r>
      <w:r>
        <w:rPr>
          <w:noProof/>
        </w:rPr>
        <w:instrText xml:space="preserve"> REF _Ref508306295 \h  \* MERGEFORMAT </w:instrText>
      </w:r>
      <w:r>
        <w:rPr>
          <w:noProof/>
        </w:rPr>
      </w:r>
      <w:r>
        <w:rPr>
          <w:noProof/>
        </w:rPr>
        <w:fldChar w:fldCharType="separate"/>
      </w:r>
      <w:r>
        <w:rPr>
          <w:noProof/>
        </w:rPr>
        <w:t>Table 3.15</w:t>
      </w:r>
      <w:r>
        <w:rPr>
          <w:noProof/>
        </w:rPr>
        <w:fldChar w:fldCharType="end"/>
      </w:r>
      <w:r>
        <w:rPr>
          <w:noProof/>
        </w:rPr>
        <w:t xml:space="preserve">. There were clear links with ten SDGs (1, 2, 3, 6, 8, 9, 10, </w:t>
      </w:r>
      <w:r>
        <w:rPr>
          <w:noProof/>
        </w:rPr>
        <w:t>13, 15), meaning that the operational objectives can be directly associated with one or several SDG targets. Two SDGs were covered indirectly (4 and 5). In these cases, the operational objectives do not explicitly address these SDG themes but they were ref</w:t>
      </w:r>
      <w:r>
        <w:rPr>
          <w:noProof/>
        </w:rPr>
        <w:t>lected in the Multi-Criteria Analysis. The remaining two SDGs (12 and 17) are overarching goals that can be linked to the exercise as a whole.</w:t>
      </w:r>
    </w:p>
    <w:p w:rsidR="00333A1A" w:rsidRDefault="003D29C9">
      <w:pPr>
        <w:rPr>
          <w:rFonts w:ascii="Times New Roman" w:eastAsia="Times New Roman" w:hAnsi="Times New Roman" w:cs="Times New Roman"/>
          <w:noProof/>
          <w:sz w:val="24"/>
          <w:szCs w:val="20"/>
        </w:rPr>
      </w:pPr>
      <w:r>
        <w:rPr>
          <w:noProof/>
        </w:rPr>
        <w:br w:type="page"/>
      </w:r>
    </w:p>
    <w:p w:rsidR="00333A1A" w:rsidRDefault="003D29C9">
      <w:pPr>
        <w:spacing w:line="240" w:lineRule="auto"/>
        <w:jc w:val="both"/>
        <w:rPr>
          <w:rFonts w:ascii="Times New Roman" w:hAnsi="Times New Roman" w:cs="Times New Roman"/>
          <w:b/>
          <w:noProof/>
        </w:rPr>
      </w:pPr>
      <w:bookmarkStart w:id="83" w:name="_Ref508306295"/>
      <w:r>
        <w:rPr>
          <w:rFonts w:ascii="Times New Roman" w:hAnsi="Times New Roman" w:cs="Times New Roman"/>
          <w:b/>
          <w:noProof/>
        </w:rPr>
        <w:t xml:space="preserve">Table </w:t>
      </w:r>
      <w:r>
        <w:rPr>
          <w:rFonts w:ascii="Times New Roman" w:hAnsi="Times New Roman" w:cs="Times New Roman"/>
          <w:b/>
          <w:noProof/>
        </w:rPr>
        <w:fldChar w:fldCharType="begin"/>
      </w:r>
      <w:r>
        <w:rPr>
          <w:rFonts w:ascii="Times New Roman" w:hAnsi="Times New Roman" w:cs="Times New Roman"/>
          <w:b/>
          <w:noProof/>
        </w:rPr>
        <w:instrText xml:space="preserve"> STYLEREF 1 \s </w:instrText>
      </w:r>
      <w:r>
        <w:rPr>
          <w:rFonts w:ascii="Times New Roman" w:hAnsi="Times New Roman" w:cs="Times New Roman"/>
          <w:b/>
          <w:noProof/>
        </w:rPr>
        <w:fldChar w:fldCharType="separate"/>
      </w:r>
      <w:r>
        <w:rPr>
          <w:rFonts w:ascii="Times New Roman" w:hAnsi="Times New Roman" w:cs="Times New Roman"/>
          <w:b/>
          <w:noProof/>
        </w:rPr>
        <w:t>3</w:t>
      </w:r>
      <w:r>
        <w:rPr>
          <w:rFonts w:ascii="Times New Roman" w:hAnsi="Times New Roman" w:cs="Times New Roman"/>
          <w:b/>
          <w:noProof/>
        </w:rPr>
        <w:fldChar w:fldCharType="end"/>
      </w:r>
      <w:r>
        <w:rPr>
          <w:rFonts w:ascii="Times New Roman" w:hAnsi="Times New Roman" w:cs="Times New Roman"/>
          <w:b/>
          <w:noProof/>
        </w:rPr>
        <w:t>.</w:t>
      </w:r>
      <w:r>
        <w:rPr>
          <w:rFonts w:ascii="Times New Roman" w:hAnsi="Times New Roman" w:cs="Times New Roman"/>
          <w:b/>
          <w:noProof/>
        </w:rPr>
        <w:fldChar w:fldCharType="begin"/>
      </w:r>
      <w:r>
        <w:rPr>
          <w:rFonts w:ascii="Times New Roman" w:hAnsi="Times New Roman" w:cs="Times New Roman"/>
          <w:b/>
          <w:noProof/>
        </w:rPr>
        <w:instrText xml:space="preserve"> SEQ Table \* ARABIC \s 1 </w:instrText>
      </w:r>
      <w:r>
        <w:rPr>
          <w:rFonts w:ascii="Times New Roman" w:hAnsi="Times New Roman" w:cs="Times New Roman"/>
          <w:b/>
          <w:noProof/>
        </w:rPr>
        <w:fldChar w:fldCharType="separate"/>
      </w:r>
      <w:r>
        <w:rPr>
          <w:rFonts w:ascii="Times New Roman" w:hAnsi="Times New Roman" w:cs="Times New Roman"/>
          <w:b/>
          <w:noProof/>
        </w:rPr>
        <w:t>15</w:t>
      </w:r>
      <w:r>
        <w:rPr>
          <w:rFonts w:ascii="Times New Roman" w:hAnsi="Times New Roman" w:cs="Times New Roman"/>
          <w:b/>
          <w:noProof/>
        </w:rPr>
        <w:fldChar w:fldCharType="end"/>
      </w:r>
      <w:bookmarkEnd w:id="83"/>
      <w:r>
        <w:rPr>
          <w:rFonts w:ascii="Times New Roman" w:hAnsi="Times New Roman" w:cs="Times New Roman"/>
          <w:b/>
          <w:noProof/>
        </w:rPr>
        <w:t xml:space="preserve">. SDG targets covered in the Operational Objectives. These refer to economic (ECO), social (SOC) or environmental (ENV) objectives or the cross-cutting objective on modernization (MOD) (see previous sections). </w:t>
      </w:r>
    </w:p>
    <w:tbl>
      <w:tblPr>
        <w:tblStyle w:val="TableGrid"/>
        <w:tblW w:w="0" w:type="auto"/>
        <w:tblCellMar>
          <w:top w:w="57" w:type="dxa"/>
        </w:tblCellMar>
        <w:tblLook w:val="04A0" w:firstRow="1" w:lastRow="0" w:firstColumn="1" w:lastColumn="0" w:noHBand="0" w:noVBand="1"/>
      </w:tblPr>
      <w:tblGrid>
        <w:gridCol w:w="1443"/>
        <w:gridCol w:w="4478"/>
        <w:gridCol w:w="2913"/>
      </w:tblGrid>
      <w:tr w:rsidR="00333A1A">
        <w:trPr>
          <w:trHeight w:val="625"/>
          <w:tblHeader/>
        </w:trPr>
        <w:tc>
          <w:tcPr>
            <w:tcW w:w="1457" w:type="dxa"/>
            <w:vAlign w:val="center"/>
          </w:tcPr>
          <w:p w:rsidR="00333A1A" w:rsidRDefault="003D29C9">
            <w:pPr>
              <w:jc w:val="center"/>
              <w:rPr>
                <w:b/>
                <w:noProof/>
              </w:rPr>
            </w:pPr>
            <w:r>
              <w:rPr>
                <w:b/>
                <w:noProof/>
              </w:rPr>
              <w:t>SDG</w:t>
            </w:r>
          </w:p>
        </w:tc>
        <w:tc>
          <w:tcPr>
            <w:tcW w:w="4761" w:type="dxa"/>
            <w:vAlign w:val="center"/>
          </w:tcPr>
          <w:p w:rsidR="00333A1A" w:rsidRDefault="003D29C9">
            <w:pPr>
              <w:jc w:val="center"/>
              <w:rPr>
                <w:b/>
                <w:noProof/>
              </w:rPr>
            </w:pPr>
            <w:r>
              <w:rPr>
                <w:b/>
                <w:noProof/>
              </w:rPr>
              <w:t>SDG targets addressed</w:t>
            </w:r>
          </w:p>
        </w:tc>
        <w:tc>
          <w:tcPr>
            <w:tcW w:w="3070" w:type="dxa"/>
            <w:vAlign w:val="center"/>
          </w:tcPr>
          <w:p w:rsidR="00333A1A" w:rsidRDefault="003D29C9">
            <w:pPr>
              <w:jc w:val="center"/>
              <w:rPr>
                <w:b/>
                <w:noProof/>
              </w:rPr>
            </w:pPr>
            <w:r>
              <w:rPr>
                <w:b/>
                <w:noProof/>
              </w:rPr>
              <w:t xml:space="preserve">Links with Impact </w:t>
            </w:r>
            <w:r>
              <w:rPr>
                <w:b/>
                <w:noProof/>
              </w:rPr>
              <w:t>Assessment</w:t>
            </w:r>
          </w:p>
        </w:tc>
      </w:tr>
      <w:tr w:rsidR="00333A1A">
        <w:trPr>
          <w:trHeight w:val="689"/>
        </w:trPr>
        <w:tc>
          <w:tcPr>
            <w:tcW w:w="1457" w:type="dxa"/>
          </w:tcPr>
          <w:p w:rsidR="00333A1A" w:rsidRDefault="003D29C9">
            <w:pPr>
              <w:rPr>
                <w:noProof/>
              </w:rPr>
            </w:pPr>
            <w:r>
              <w:rPr>
                <w:noProof/>
              </w:rPr>
              <w:t xml:space="preserve">SDG 1 </w:t>
            </w:r>
          </w:p>
          <w:p w:rsidR="00333A1A" w:rsidRDefault="003D29C9">
            <w:pPr>
              <w:rPr>
                <w:b/>
                <w:noProof/>
                <w:lang w:val="en-US"/>
              </w:rPr>
            </w:pPr>
            <w:r>
              <w:rPr>
                <w:noProof/>
              </w:rPr>
              <w:t>Poverty</w:t>
            </w:r>
          </w:p>
        </w:tc>
        <w:tc>
          <w:tcPr>
            <w:tcW w:w="4761" w:type="dxa"/>
          </w:tcPr>
          <w:p w:rsidR="00333A1A" w:rsidRDefault="003D29C9">
            <w:pPr>
              <w:rPr>
                <w:noProof/>
              </w:rPr>
            </w:pPr>
            <w:r>
              <w:rPr>
                <w:noProof/>
                <w:u w:val="single"/>
              </w:rPr>
              <w:t>SDG 1.2.</w:t>
            </w:r>
            <w:r>
              <w:rPr>
                <w:noProof/>
              </w:rPr>
              <w:t xml:space="preserve"> By 2030, reduce at least by half the proportion of men, women and children of all ages living in </w:t>
            </w:r>
            <w:r>
              <w:rPr>
                <w:b/>
                <w:noProof/>
              </w:rPr>
              <w:t>poverty in all its dimensions</w:t>
            </w:r>
            <w:r>
              <w:rPr>
                <w:noProof/>
              </w:rPr>
              <w:t xml:space="preserve"> according to national definitions.</w:t>
            </w:r>
          </w:p>
        </w:tc>
        <w:tc>
          <w:tcPr>
            <w:tcW w:w="3070" w:type="dxa"/>
          </w:tcPr>
          <w:p w:rsidR="00333A1A" w:rsidRDefault="003D29C9">
            <w:pPr>
              <w:rPr>
                <w:noProof/>
              </w:rPr>
            </w:pPr>
            <w:r>
              <w:rPr>
                <w:noProof/>
                <w:u w:val="single"/>
              </w:rPr>
              <w:t>SOC 6.</w:t>
            </w:r>
            <w:r>
              <w:rPr>
                <w:noProof/>
              </w:rPr>
              <w:t xml:space="preserve"> Reduce inequalities between territories.</w:t>
            </w:r>
          </w:p>
          <w:p w:rsidR="00333A1A" w:rsidRDefault="003D29C9">
            <w:pPr>
              <w:rPr>
                <w:noProof/>
              </w:rPr>
            </w:pPr>
            <w:r>
              <w:rPr>
                <w:i/>
                <w:noProof/>
              </w:rPr>
              <w:t>Indicator</w:t>
            </w:r>
            <w:r>
              <w:rPr>
                <w:noProof/>
              </w:rPr>
              <w:t>:</w:t>
            </w:r>
            <w:r>
              <w:rPr>
                <w:noProof/>
              </w:rPr>
              <w:t xml:space="preserve"> Level of rural poverty split by territory</w:t>
            </w:r>
          </w:p>
          <w:p w:rsidR="00333A1A" w:rsidRDefault="00333A1A">
            <w:pPr>
              <w:rPr>
                <w:noProof/>
              </w:rPr>
            </w:pPr>
          </w:p>
          <w:p w:rsidR="00333A1A" w:rsidRDefault="003D29C9">
            <w:pPr>
              <w:rPr>
                <w:noProof/>
              </w:rPr>
            </w:pPr>
            <w:r>
              <w:rPr>
                <w:noProof/>
                <w:u w:val="single"/>
              </w:rPr>
              <w:t>SOC 7.</w:t>
            </w:r>
            <w:r>
              <w:rPr>
                <w:noProof/>
              </w:rPr>
              <w:t xml:space="preserve"> Reduce inequalities between groups.</w:t>
            </w:r>
          </w:p>
          <w:p w:rsidR="00333A1A" w:rsidRDefault="003D29C9">
            <w:pPr>
              <w:rPr>
                <w:noProof/>
              </w:rPr>
            </w:pPr>
            <w:r>
              <w:rPr>
                <w:i/>
                <w:noProof/>
              </w:rPr>
              <w:t>Indicator</w:t>
            </w:r>
            <w:r>
              <w:rPr>
                <w:noProof/>
              </w:rPr>
              <w:t>: Poverty index in rural areas.</w:t>
            </w:r>
          </w:p>
          <w:p w:rsidR="00333A1A" w:rsidRDefault="00333A1A">
            <w:pPr>
              <w:rPr>
                <w:noProof/>
              </w:rPr>
            </w:pPr>
          </w:p>
        </w:tc>
      </w:tr>
      <w:tr w:rsidR="00333A1A">
        <w:tc>
          <w:tcPr>
            <w:tcW w:w="1457" w:type="dxa"/>
          </w:tcPr>
          <w:p w:rsidR="00333A1A" w:rsidRDefault="003D29C9">
            <w:pPr>
              <w:rPr>
                <w:noProof/>
              </w:rPr>
            </w:pPr>
            <w:r>
              <w:rPr>
                <w:noProof/>
              </w:rPr>
              <w:t>SDG 2</w:t>
            </w:r>
          </w:p>
          <w:p w:rsidR="00333A1A" w:rsidRDefault="003D29C9">
            <w:pPr>
              <w:rPr>
                <w:noProof/>
                <w:lang w:val="en-US"/>
              </w:rPr>
            </w:pPr>
            <w:r>
              <w:rPr>
                <w:noProof/>
              </w:rPr>
              <w:t>Food security</w:t>
            </w:r>
          </w:p>
        </w:tc>
        <w:tc>
          <w:tcPr>
            <w:tcW w:w="4761" w:type="dxa"/>
          </w:tcPr>
          <w:p w:rsidR="00333A1A" w:rsidRDefault="003D29C9">
            <w:pPr>
              <w:rPr>
                <w:noProof/>
              </w:rPr>
            </w:pPr>
            <w:r>
              <w:rPr>
                <w:noProof/>
                <w:u w:val="single"/>
              </w:rPr>
              <w:t>SDG 2.3</w:t>
            </w:r>
            <w:r>
              <w:rPr>
                <w:noProof/>
              </w:rPr>
              <w:t xml:space="preserve"> By 2030, double the </w:t>
            </w:r>
            <w:r>
              <w:rPr>
                <w:b/>
                <w:noProof/>
              </w:rPr>
              <w:t xml:space="preserve">agricultural productivity </w:t>
            </w:r>
            <w:r>
              <w:rPr>
                <w:noProof/>
              </w:rPr>
              <w:t xml:space="preserve">and </w:t>
            </w:r>
            <w:r>
              <w:rPr>
                <w:b/>
                <w:noProof/>
              </w:rPr>
              <w:t>incomes</w:t>
            </w:r>
            <w:r>
              <w:rPr>
                <w:noProof/>
              </w:rPr>
              <w:t xml:space="preserve"> of small-scale food producers, in particular women, indigenous peoples, family farmers, pastoralists and fishers, including through secure and equal access to land, other productive resources and inputs, knowledge, financial services, markets and opportun</w:t>
            </w:r>
            <w:r>
              <w:rPr>
                <w:noProof/>
              </w:rPr>
              <w:t>ities for value addition and non-farm employment</w:t>
            </w:r>
          </w:p>
          <w:p w:rsidR="00333A1A" w:rsidRDefault="00333A1A">
            <w:pPr>
              <w:rPr>
                <w:noProof/>
              </w:rPr>
            </w:pPr>
          </w:p>
          <w:p w:rsidR="00333A1A" w:rsidRDefault="003D29C9">
            <w:pPr>
              <w:rPr>
                <w:noProof/>
              </w:rPr>
            </w:pPr>
            <w:r>
              <w:rPr>
                <w:noProof/>
                <w:u w:val="single"/>
              </w:rPr>
              <w:t>NB.</w:t>
            </w:r>
            <w:r>
              <w:rPr>
                <w:noProof/>
              </w:rPr>
              <w:t xml:space="preserve"> Focus on agricultural productivity and incomes overall, not necessarily those of small-scale producers</w:t>
            </w:r>
          </w:p>
          <w:p w:rsidR="00333A1A" w:rsidRDefault="00333A1A">
            <w:pPr>
              <w:rPr>
                <w:noProof/>
              </w:rPr>
            </w:pPr>
          </w:p>
          <w:p w:rsidR="00333A1A" w:rsidRDefault="00333A1A">
            <w:pPr>
              <w:rPr>
                <w:noProof/>
              </w:rPr>
            </w:pPr>
          </w:p>
          <w:p w:rsidR="00333A1A" w:rsidRDefault="003D29C9">
            <w:pPr>
              <w:rPr>
                <w:noProof/>
                <w:lang w:val="en-US"/>
              </w:rPr>
            </w:pPr>
            <w:r>
              <w:rPr>
                <w:noProof/>
                <w:u w:val="single"/>
              </w:rPr>
              <w:t xml:space="preserve">SDG </w:t>
            </w:r>
            <w:r>
              <w:rPr>
                <w:noProof/>
                <w:u w:val="single"/>
                <w:lang w:val="en-US"/>
              </w:rPr>
              <w:t>2.4</w:t>
            </w:r>
            <w:r>
              <w:rPr>
                <w:noProof/>
                <w:lang w:val="en-US"/>
              </w:rPr>
              <w:t xml:space="preserve"> By 2030, ensure </w:t>
            </w:r>
            <w:r>
              <w:rPr>
                <w:b/>
                <w:noProof/>
                <w:lang w:val="en-US"/>
              </w:rPr>
              <w:t>sustainable food production systems</w:t>
            </w:r>
            <w:r>
              <w:rPr>
                <w:noProof/>
                <w:lang w:val="en-US"/>
              </w:rPr>
              <w:t xml:space="preserve"> and implement resilient agricultural practices that increase productivity and production, that help maintain ecosystems, that strengthen capacity for adaptation to climate change, extreme weather, drought, flooding and other disasters and that progressive</w:t>
            </w:r>
            <w:r>
              <w:rPr>
                <w:noProof/>
                <w:lang w:val="en-US"/>
              </w:rPr>
              <w:t xml:space="preserve">ly improve land and soil quality </w:t>
            </w:r>
          </w:p>
          <w:p w:rsidR="00333A1A" w:rsidRDefault="00333A1A">
            <w:pPr>
              <w:rPr>
                <w:noProof/>
                <w:lang w:val="en-US"/>
              </w:rPr>
            </w:pPr>
          </w:p>
          <w:p w:rsidR="00333A1A" w:rsidRDefault="003D29C9">
            <w:pPr>
              <w:rPr>
                <w:noProof/>
                <w:lang w:val="en-US"/>
              </w:rPr>
            </w:pPr>
            <w:r>
              <w:rPr>
                <w:noProof/>
                <w:u w:val="single"/>
              </w:rPr>
              <w:t xml:space="preserve">SDG </w:t>
            </w:r>
            <w:r>
              <w:rPr>
                <w:noProof/>
                <w:u w:val="single"/>
                <w:lang w:val="en-US"/>
              </w:rPr>
              <w:t>2.5</w:t>
            </w:r>
            <w:r>
              <w:rPr>
                <w:noProof/>
                <w:lang w:val="en-US"/>
              </w:rPr>
              <w:t xml:space="preserve"> By 2020, maintain </w:t>
            </w:r>
            <w:r>
              <w:rPr>
                <w:b/>
                <w:noProof/>
                <w:lang w:val="en-US"/>
              </w:rPr>
              <w:t xml:space="preserve">the genetic diversity </w:t>
            </w:r>
            <w:r>
              <w:rPr>
                <w:noProof/>
                <w:lang w:val="en-US"/>
              </w:rPr>
              <w:t>of seeds, cultivated plants and farmed and domesticated animals and their related wild species, including through soundly managed and diversified seed and plant banks at the</w:t>
            </w:r>
            <w:r>
              <w:rPr>
                <w:noProof/>
                <w:lang w:val="en-US"/>
              </w:rPr>
              <w:t xml:space="preserve"> national, regional and international levels, and promote access to and fair and equitable sharing of benefits arising from the utilization of genetic resources and associated traditional knowledge, as internationally agreed </w:t>
            </w:r>
          </w:p>
          <w:p w:rsidR="00333A1A" w:rsidRDefault="00333A1A">
            <w:pPr>
              <w:rPr>
                <w:noProof/>
              </w:rPr>
            </w:pPr>
          </w:p>
          <w:p w:rsidR="00333A1A" w:rsidRDefault="003D29C9">
            <w:pPr>
              <w:rPr>
                <w:noProof/>
                <w:lang w:val="en-US"/>
              </w:rPr>
            </w:pPr>
            <w:r>
              <w:rPr>
                <w:noProof/>
                <w:u w:val="single"/>
              </w:rPr>
              <w:t xml:space="preserve">SDG </w:t>
            </w:r>
            <w:r>
              <w:rPr>
                <w:noProof/>
                <w:u w:val="single"/>
                <w:lang w:val="en-US"/>
              </w:rPr>
              <w:t>2.b</w:t>
            </w:r>
            <w:r>
              <w:rPr>
                <w:noProof/>
                <w:lang w:val="en-US"/>
              </w:rPr>
              <w:t xml:space="preserve"> Correct and prevent </w:t>
            </w:r>
            <w:r>
              <w:rPr>
                <w:b/>
                <w:noProof/>
                <w:lang w:val="en-US"/>
              </w:rPr>
              <w:t>t</w:t>
            </w:r>
            <w:r>
              <w:rPr>
                <w:b/>
                <w:noProof/>
                <w:lang w:val="en-US"/>
              </w:rPr>
              <w:t>rade</w:t>
            </w:r>
            <w:r>
              <w:rPr>
                <w:noProof/>
                <w:lang w:val="en-US"/>
              </w:rPr>
              <w:t xml:space="preserve"> restrictions and </w:t>
            </w:r>
            <w:r>
              <w:rPr>
                <w:b/>
                <w:noProof/>
                <w:lang w:val="en-US"/>
              </w:rPr>
              <w:t>distortions</w:t>
            </w:r>
            <w:r>
              <w:rPr>
                <w:noProof/>
                <w:lang w:val="en-US"/>
              </w:rPr>
              <w:t xml:space="preserve"> in world agricultural markets, including through the parallel elimination of all forms of agricultural export subsidies and all export measures with equivalent effect, in accordance with the mandate of the Doha Development</w:t>
            </w:r>
            <w:r>
              <w:rPr>
                <w:noProof/>
                <w:lang w:val="en-US"/>
              </w:rPr>
              <w:t xml:space="preserve"> Round </w:t>
            </w:r>
          </w:p>
        </w:tc>
        <w:tc>
          <w:tcPr>
            <w:tcW w:w="3070" w:type="dxa"/>
          </w:tcPr>
          <w:p w:rsidR="00333A1A" w:rsidRDefault="003D29C9">
            <w:pPr>
              <w:rPr>
                <w:noProof/>
              </w:rPr>
            </w:pPr>
            <w:r>
              <w:rPr>
                <w:noProof/>
                <w:u w:val="single"/>
              </w:rPr>
              <w:t>ECO 4.</w:t>
            </w:r>
            <w:r>
              <w:rPr>
                <w:noProof/>
              </w:rPr>
              <w:t xml:space="preserve"> Productivity and efficiency gains.</w:t>
            </w:r>
          </w:p>
          <w:p w:rsidR="00333A1A" w:rsidRDefault="00333A1A">
            <w:pPr>
              <w:rPr>
                <w:noProof/>
              </w:rPr>
            </w:pPr>
          </w:p>
          <w:p w:rsidR="00333A1A" w:rsidRDefault="00333A1A">
            <w:pPr>
              <w:rPr>
                <w:noProof/>
              </w:rPr>
            </w:pPr>
          </w:p>
          <w:p w:rsidR="00333A1A" w:rsidRDefault="00333A1A">
            <w:pPr>
              <w:rPr>
                <w:noProof/>
              </w:rPr>
            </w:pPr>
          </w:p>
          <w:p w:rsidR="00333A1A" w:rsidRDefault="003D29C9">
            <w:pPr>
              <w:rPr>
                <w:noProof/>
                <w:u w:val="single"/>
              </w:rPr>
            </w:pPr>
            <w:r>
              <w:rPr>
                <w:noProof/>
                <w:u w:val="single"/>
              </w:rPr>
              <w:t>Indirect links with:</w:t>
            </w:r>
          </w:p>
          <w:p w:rsidR="00333A1A" w:rsidRDefault="003D29C9">
            <w:pPr>
              <w:rPr>
                <w:noProof/>
              </w:rPr>
            </w:pPr>
            <w:r>
              <w:rPr>
                <w:noProof/>
                <w:u w:val="single"/>
              </w:rPr>
              <w:t>ECO 1</w:t>
            </w:r>
            <w:r>
              <w:rPr>
                <w:noProof/>
              </w:rPr>
              <w:t>. Cope with price volatility</w:t>
            </w:r>
          </w:p>
          <w:p w:rsidR="00333A1A" w:rsidRDefault="003D29C9">
            <w:pPr>
              <w:rPr>
                <w:noProof/>
              </w:rPr>
            </w:pPr>
            <w:r>
              <w:rPr>
                <w:noProof/>
                <w:u w:val="single"/>
              </w:rPr>
              <w:t>ECO 2</w:t>
            </w:r>
            <w:r>
              <w:rPr>
                <w:noProof/>
              </w:rPr>
              <w:t>. Improve risk management</w:t>
            </w:r>
          </w:p>
          <w:p w:rsidR="00333A1A" w:rsidRDefault="003D29C9">
            <w:pPr>
              <w:rPr>
                <w:noProof/>
              </w:rPr>
            </w:pPr>
            <w:r>
              <w:rPr>
                <w:noProof/>
                <w:u w:val="single"/>
              </w:rPr>
              <w:t>ECO 6.</w:t>
            </w:r>
            <w:r>
              <w:rPr>
                <w:noProof/>
              </w:rPr>
              <w:t xml:space="preserve"> Add value to agricultural products</w:t>
            </w: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D29C9">
            <w:pPr>
              <w:rPr>
                <w:noProof/>
              </w:rPr>
            </w:pPr>
            <w:r>
              <w:rPr>
                <w:noProof/>
                <w:u w:val="single"/>
              </w:rPr>
              <w:t>All ENV</w:t>
            </w:r>
            <w:r>
              <w:rPr>
                <w:noProof/>
              </w:rPr>
              <w:t xml:space="preserve"> objectives</w:t>
            </w: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D29C9">
            <w:pPr>
              <w:rPr>
                <w:noProof/>
              </w:rPr>
            </w:pPr>
            <w:r>
              <w:rPr>
                <w:noProof/>
                <w:u w:val="single"/>
              </w:rPr>
              <w:t>ENV 2.</w:t>
            </w:r>
            <w:r>
              <w:rPr>
                <w:noProof/>
              </w:rPr>
              <w:t xml:space="preserve"> Preserve agricultural genetic resources</w:t>
            </w: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D29C9">
            <w:pPr>
              <w:rPr>
                <w:noProof/>
              </w:rPr>
            </w:pPr>
            <w:r>
              <w:rPr>
                <w:noProof/>
                <w:u w:val="single"/>
              </w:rPr>
              <w:t>ECO 5.</w:t>
            </w:r>
            <w:r>
              <w:rPr>
                <w:noProof/>
              </w:rPr>
              <w:t xml:space="preserve"> Demand-driven production models</w:t>
            </w:r>
          </w:p>
          <w:p w:rsidR="00333A1A" w:rsidRDefault="00333A1A">
            <w:pPr>
              <w:rPr>
                <w:noProof/>
              </w:rPr>
            </w:pPr>
          </w:p>
          <w:p w:rsidR="00333A1A" w:rsidRDefault="00333A1A">
            <w:pPr>
              <w:rPr>
                <w:noProof/>
              </w:rPr>
            </w:pPr>
          </w:p>
        </w:tc>
      </w:tr>
      <w:tr w:rsidR="00333A1A">
        <w:tc>
          <w:tcPr>
            <w:tcW w:w="1457" w:type="dxa"/>
          </w:tcPr>
          <w:p w:rsidR="00333A1A" w:rsidRDefault="003D29C9">
            <w:pPr>
              <w:rPr>
                <w:noProof/>
              </w:rPr>
            </w:pPr>
            <w:r>
              <w:rPr>
                <w:noProof/>
              </w:rPr>
              <w:t>SDG 3</w:t>
            </w:r>
          </w:p>
          <w:p w:rsidR="00333A1A" w:rsidRDefault="003D29C9">
            <w:pPr>
              <w:rPr>
                <w:noProof/>
                <w:lang w:val="en-US"/>
              </w:rPr>
            </w:pPr>
            <w:r>
              <w:rPr>
                <w:noProof/>
              </w:rPr>
              <w:t>Health</w:t>
            </w:r>
          </w:p>
        </w:tc>
        <w:tc>
          <w:tcPr>
            <w:tcW w:w="4761" w:type="dxa"/>
          </w:tcPr>
          <w:p w:rsidR="00333A1A" w:rsidRDefault="003D29C9">
            <w:pPr>
              <w:rPr>
                <w:noProof/>
                <w:lang w:val="en-US"/>
              </w:rPr>
            </w:pPr>
            <w:r>
              <w:rPr>
                <w:noProof/>
                <w:u w:val="single"/>
              </w:rPr>
              <w:t xml:space="preserve">SDG </w:t>
            </w:r>
            <w:r>
              <w:rPr>
                <w:noProof/>
                <w:u w:val="single"/>
                <w:lang w:val="en-US"/>
              </w:rPr>
              <w:t>3.4</w:t>
            </w:r>
            <w:r>
              <w:rPr>
                <w:noProof/>
                <w:lang w:val="en-US"/>
              </w:rPr>
              <w:t xml:space="preserve"> By 2030, reduce by one third premature mortality from </w:t>
            </w:r>
            <w:r>
              <w:rPr>
                <w:b/>
                <w:noProof/>
                <w:lang w:val="en-US"/>
              </w:rPr>
              <w:t>non-communicable diseases</w:t>
            </w:r>
            <w:r>
              <w:rPr>
                <w:noProof/>
                <w:lang w:val="en-US"/>
              </w:rPr>
              <w:t xml:space="preserve"> through </w:t>
            </w:r>
            <w:r>
              <w:rPr>
                <w:b/>
                <w:noProof/>
                <w:lang w:val="en-US"/>
              </w:rPr>
              <w:t>prevention</w:t>
            </w:r>
            <w:r>
              <w:rPr>
                <w:noProof/>
                <w:lang w:val="en-US"/>
              </w:rPr>
              <w:t xml:space="preserve"> and treatment and promote mental health and </w:t>
            </w:r>
            <w:r>
              <w:rPr>
                <w:noProof/>
                <w:lang w:val="en-US"/>
              </w:rPr>
              <w:t xml:space="preserve">well-being </w:t>
            </w:r>
          </w:p>
          <w:p w:rsidR="00333A1A" w:rsidRDefault="00333A1A">
            <w:pPr>
              <w:rPr>
                <w:noProof/>
                <w:lang w:val="en-US"/>
              </w:rPr>
            </w:pPr>
          </w:p>
          <w:p w:rsidR="00333A1A" w:rsidRDefault="003D29C9">
            <w:pPr>
              <w:rPr>
                <w:noProof/>
                <w:lang w:val="en-US"/>
              </w:rPr>
            </w:pPr>
            <w:r>
              <w:rPr>
                <w:noProof/>
                <w:u w:val="single"/>
                <w:lang w:val="en-US"/>
              </w:rPr>
              <w:t>SDG 3.9</w:t>
            </w:r>
            <w:r>
              <w:rPr>
                <w:noProof/>
                <w:lang w:val="en-US"/>
              </w:rPr>
              <w:t xml:space="preserve"> By 2030, substantially reduce the number of deaths and illnesses from </w:t>
            </w:r>
            <w:r>
              <w:rPr>
                <w:b/>
                <w:noProof/>
                <w:lang w:val="en-US"/>
              </w:rPr>
              <w:t>hazardous chemicals</w:t>
            </w:r>
            <w:r>
              <w:rPr>
                <w:noProof/>
                <w:lang w:val="en-US"/>
              </w:rPr>
              <w:t xml:space="preserve"> and </w:t>
            </w:r>
            <w:r>
              <w:rPr>
                <w:b/>
                <w:noProof/>
                <w:lang w:val="en-US"/>
              </w:rPr>
              <w:t>air, water and soil pollution and contamination</w:t>
            </w:r>
            <w:r>
              <w:rPr>
                <w:noProof/>
                <w:lang w:val="en-US"/>
              </w:rPr>
              <w:t xml:space="preserve"> </w:t>
            </w:r>
          </w:p>
          <w:p w:rsidR="00333A1A" w:rsidRDefault="00333A1A">
            <w:pPr>
              <w:rPr>
                <w:noProof/>
              </w:rPr>
            </w:pPr>
          </w:p>
        </w:tc>
        <w:tc>
          <w:tcPr>
            <w:tcW w:w="3070" w:type="dxa"/>
          </w:tcPr>
          <w:p w:rsidR="00333A1A" w:rsidRDefault="003D29C9">
            <w:pPr>
              <w:rPr>
                <w:noProof/>
              </w:rPr>
            </w:pPr>
            <w:r>
              <w:rPr>
                <w:noProof/>
                <w:u w:val="single"/>
              </w:rPr>
              <w:t>SOC 9</w:t>
            </w:r>
            <w:r>
              <w:rPr>
                <w:noProof/>
              </w:rPr>
              <w:t>. Contribution to healthier lifestyles.</w:t>
            </w:r>
          </w:p>
          <w:p w:rsidR="00333A1A" w:rsidRDefault="00333A1A">
            <w:pPr>
              <w:rPr>
                <w:noProof/>
              </w:rPr>
            </w:pPr>
          </w:p>
          <w:p w:rsidR="00333A1A" w:rsidRDefault="00333A1A">
            <w:pPr>
              <w:rPr>
                <w:noProof/>
                <w:u w:val="single"/>
              </w:rPr>
            </w:pPr>
          </w:p>
          <w:p w:rsidR="00333A1A" w:rsidRDefault="00333A1A">
            <w:pPr>
              <w:rPr>
                <w:noProof/>
                <w:u w:val="single"/>
              </w:rPr>
            </w:pPr>
          </w:p>
          <w:p w:rsidR="00333A1A" w:rsidRDefault="003D29C9">
            <w:pPr>
              <w:rPr>
                <w:noProof/>
              </w:rPr>
            </w:pPr>
            <w:r>
              <w:rPr>
                <w:noProof/>
                <w:u w:val="single"/>
              </w:rPr>
              <w:t>ENV 5</w:t>
            </w:r>
            <w:r>
              <w:rPr>
                <w:noProof/>
              </w:rPr>
              <w:t xml:space="preserve">. Sustainable use of pesticides and </w:t>
            </w:r>
            <w:r>
              <w:rPr>
                <w:noProof/>
              </w:rPr>
              <w:t>antibiotics.</w:t>
            </w:r>
          </w:p>
          <w:p w:rsidR="00333A1A" w:rsidRDefault="00333A1A">
            <w:pPr>
              <w:rPr>
                <w:noProof/>
              </w:rPr>
            </w:pPr>
          </w:p>
          <w:p w:rsidR="00333A1A" w:rsidRDefault="003D29C9">
            <w:pPr>
              <w:rPr>
                <w:noProof/>
              </w:rPr>
            </w:pPr>
            <w:r>
              <w:rPr>
                <w:noProof/>
                <w:u w:val="single"/>
              </w:rPr>
              <w:t>ENV 7.</w:t>
            </w:r>
            <w:r>
              <w:rPr>
                <w:noProof/>
              </w:rPr>
              <w:t xml:space="preserve"> Reduce air pollution.</w:t>
            </w:r>
          </w:p>
        </w:tc>
      </w:tr>
      <w:tr w:rsidR="00333A1A">
        <w:tc>
          <w:tcPr>
            <w:tcW w:w="1457" w:type="dxa"/>
          </w:tcPr>
          <w:p w:rsidR="00333A1A" w:rsidRDefault="003D29C9">
            <w:pPr>
              <w:rPr>
                <w:noProof/>
              </w:rPr>
            </w:pPr>
            <w:r>
              <w:rPr>
                <w:noProof/>
              </w:rPr>
              <w:t>SDG 4</w:t>
            </w:r>
          </w:p>
          <w:p w:rsidR="00333A1A" w:rsidRDefault="003D29C9">
            <w:pPr>
              <w:rPr>
                <w:noProof/>
              </w:rPr>
            </w:pPr>
            <w:r>
              <w:rPr>
                <w:noProof/>
              </w:rPr>
              <w:t>Education</w:t>
            </w:r>
          </w:p>
        </w:tc>
        <w:tc>
          <w:tcPr>
            <w:tcW w:w="4761" w:type="dxa"/>
          </w:tcPr>
          <w:p w:rsidR="00333A1A" w:rsidRDefault="003D29C9">
            <w:pPr>
              <w:rPr>
                <w:noProof/>
                <w:lang w:val="en-US"/>
              </w:rPr>
            </w:pPr>
            <w:r>
              <w:rPr>
                <w:noProof/>
                <w:u w:val="single"/>
              </w:rPr>
              <w:t>SDG 4.4.</w:t>
            </w:r>
            <w:r>
              <w:rPr>
                <w:noProof/>
              </w:rPr>
              <w:t xml:space="preserve"> </w:t>
            </w:r>
            <w:r>
              <w:rPr>
                <w:noProof/>
                <w:lang w:val="en-US"/>
              </w:rPr>
              <w:t xml:space="preserve">By 2030, substantially increase the number of youth and adults who have relevant skills, including </w:t>
            </w:r>
            <w:r>
              <w:rPr>
                <w:b/>
                <w:noProof/>
                <w:lang w:val="en-US"/>
              </w:rPr>
              <w:t>technical and vocational skills,</w:t>
            </w:r>
            <w:r>
              <w:rPr>
                <w:noProof/>
                <w:lang w:val="en-US"/>
              </w:rPr>
              <w:t xml:space="preserve"> for </w:t>
            </w:r>
            <w:r>
              <w:rPr>
                <w:b/>
                <w:noProof/>
                <w:lang w:val="en-US"/>
              </w:rPr>
              <w:t>employment</w:t>
            </w:r>
            <w:r>
              <w:rPr>
                <w:noProof/>
                <w:lang w:val="en-US"/>
              </w:rPr>
              <w:t xml:space="preserve">, decent </w:t>
            </w:r>
            <w:r>
              <w:rPr>
                <w:b/>
                <w:noProof/>
                <w:lang w:val="en-US"/>
              </w:rPr>
              <w:t>jobs</w:t>
            </w:r>
            <w:r>
              <w:rPr>
                <w:noProof/>
                <w:lang w:val="en-US"/>
              </w:rPr>
              <w:t xml:space="preserve"> and </w:t>
            </w:r>
            <w:r>
              <w:rPr>
                <w:b/>
                <w:noProof/>
                <w:lang w:val="en-US"/>
              </w:rPr>
              <w:t>entrepreneurship</w:t>
            </w:r>
            <w:r>
              <w:rPr>
                <w:noProof/>
                <w:lang w:val="en-US"/>
              </w:rPr>
              <w:t xml:space="preserve"> </w:t>
            </w:r>
          </w:p>
          <w:p w:rsidR="00333A1A" w:rsidRDefault="00333A1A">
            <w:pPr>
              <w:rPr>
                <w:noProof/>
                <w:lang w:val="en-US"/>
              </w:rPr>
            </w:pPr>
          </w:p>
          <w:p w:rsidR="00333A1A" w:rsidRDefault="00333A1A">
            <w:pPr>
              <w:rPr>
                <w:noProof/>
                <w:u w:val="single"/>
                <w:lang w:val="en-US"/>
              </w:rPr>
            </w:pPr>
          </w:p>
          <w:p w:rsidR="00333A1A" w:rsidRDefault="00333A1A">
            <w:pPr>
              <w:rPr>
                <w:noProof/>
                <w:u w:val="single"/>
                <w:lang w:val="en-US"/>
              </w:rPr>
            </w:pPr>
          </w:p>
          <w:p w:rsidR="00333A1A" w:rsidRDefault="00333A1A">
            <w:pPr>
              <w:rPr>
                <w:noProof/>
              </w:rPr>
            </w:pPr>
          </w:p>
          <w:p w:rsidR="00333A1A" w:rsidRDefault="00333A1A">
            <w:pPr>
              <w:rPr>
                <w:noProof/>
                <w:u w:val="single"/>
              </w:rPr>
            </w:pPr>
          </w:p>
          <w:p w:rsidR="00333A1A" w:rsidRDefault="003D29C9">
            <w:pPr>
              <w:rPr>
                <w:noProof/>
                <w:lang w:val="en-US"/>
              </w:rPr>
            </w:pPr>
            <w:r>
              <w:rPr>
                <w:noProof/>
                <w:u w:val="single"/>
              </w:rPr>
              <w:t>SDG 4.7.</w:t>
            </w:r>
            <w:r>
              <w:rPr>
                <w:noProof/>
              </w:rPr>
              <w:t xml:space="preserve"> </w:t>
            </w:r>
            <w:r>
              <w:rPr>
                <w:noProof/>
                <w:lang w:val="en-US"/>
              </w:rPr>
              <w:t xml:space="preserve">By 2030, ensure that all learners acquire the knowledge and </w:t>
            </w:r>
            <w:r>
              <w:rPr>
                <w:b/>
                <w:noProof/>
                <w:lang w:val="en-US"/>
              </w:rPr>
              <w:t>skills needed to</w:t>
            </w:r>
            <w:r>
              <w:rPr>
                <w:noProof/>
                <w:lang w:val="en-US"/>
              </w:rPr>
              <w:t xml:space="preserve"> promote </w:t>
            </w:r>
            <w:r>
              <w:rPr>
                <w:b/>
                <w:noProof/>
                <w:lang w:val="en-US"/>
              </w:rPr>
              <w:t>sustainable development</w:t>
            </w:r>
            <w:r>
              <w:rPr>
                <w:noProof/>
                <w:lang w:val="en-US"/>
              </w:rPr>
              <w:t>, including, among others, through education for sustainable development and sustainable lifestyles, human rights, gender equality, promoti</w:t>
            </w:r>
            <w:r>
              <w:rPr>
                <w:noProof/>
                <w:lang w:val="en-US"/>
              </w:rPr>
              <w:t>on of a culture of peace and non-violence, global citizenship and appreciation of cultural diversity and of culture’s contribution to sustainable development</w:t>
            </w:r>
          </w:p>
          <w:p w:rsidR="00333A1A" w:rsidRDefault="00333A1A">
            <w:pPr>
              <w:rPr>
                <w:noProof/>
                <w:lang w:val="en-US"/>
              </w:rPr>
            </w:pPr>
          </w:p>
        </w:tc>
        <w:tc>
          <w:tcPr>
            <w:tcW w:w="3070" w:type="dxa"/>
          </w:tcPr>
          <w:p w:rsidR="00333A1A" w:rsidRDefault="003D29C9">
            <w:pPr>
              <w:rPr>
                <w:noProof/>
              </w:rPr>
            </w:pPr>
            <w:r>
              <w:rPr>
                <w:noProof/>
                <w:u w:val="single"/>
              </w:rPr>
              <w:t>MOD 1.</w:t>
            </w:r>
            <w:r>
              <w:rPr>
                <w:noProof/>
              </w:rPr>
              <w:t xml:space="preserve"> Enhancing Agricultural Knowledge and Innovation Systems and strengthening links with resea</w:t>
            </w:r>
            <w:r>
              <w:rPr>
                <w:noProof/>
              </w:rPr>
              <w:t>rch</w:t>
            </w:r>
          </w:p>
          <w:p w:rsidR="00333A1A" w:rsidRDefault="00333A1A">
            <w:pPr>
              <w:rPr>
                <w:noProof/>
              </w:rPr>
            </w:pPr>
          </w:p>
          <w:p w:rsidR="00333A1A" w:rsidRDefault="003D29C9">
            <w:pPr>
              <w:rPr>
                <w:noProof/>
              </w:rPr>
            </w:pPr>
            <w:r>
              <w:rPr>
                <w:noProof/>
                <w:u w:val="single"/>
              </w:rPr>
              <w:t>MOD 2.</w:t>
            </w:r>
            <w:r>
              <w:rPr>
                <w:noProof/>
              </w:rPr>
              <w:t xml:space="preserve"> Strengthening of farm advisory services within the Agricultural Knowledge and Innovation Systems</w:t>
            </w:r>
          </w:p>
          <w:p w:rsidR="00333A1A" w:rsidRDefault="00333A1A">
            <w:pPr>
              <w:rPr>
                <w:noProof/>
              </w:rPr>
            </w:pPr>
          </w:p>
          <w:p w:rsidR="00333A1A" w:rsidRDefault="003D29C9">
            <w:pPr>
              <w:rPr>
                <w:noProof/>
              </w:rPr>
            </w:pPr>
            <w:r>
              <w:rPr>
                <w:noProof/>
              </w:rPr>
              <w:t xml:space="preserve">Not explicitly part of the objectives. However, the importance of skills was considered when assessing how research and advisory services help </w:t>
            </w:r>
            <w:r>
              <w:rPr>
                <w:noProof/>
              </w:rPr>
              <w:t>complying with environmental requirements.</w:t>
            </w:r>
          </w:p>
        </w:tc>
      </w:tr>
      <w:tr w:rsidR="00333A1A">
        <w:tc>
          <w:tcPr>
            <w:tcW w:w="1457" w:type="dxa"/>
          </w:tcPr>
          <w:p w:rsidR="00333A1A" w:rsidRDefault="003D29C9">
            <w:pPr>
              <w:rPr>
                <w:noProof/>
              </w:rPr>
            </w:pPr>
            <w:r>
              <w:rPr>
                <w:noProof/>
              </w:rPr>
              <w:t>SDG 5</w:t>
            </w:r>
          </w:p>
          <w:p w:rsidR="00333A1A" w:rsidRDefault="003D29C9">
            <w:pPr>
              <w:rPr>
                <w:noProof/>
              </w:rPr>
            </w:pPr>
            <w:r>
              <w:rPr>
                <w:noProof/>
              </w:rPr>
              <w:t>Gender equality</w:t>
            </w:r>
          </w:p>
        </w:tc>
        <w:tc>
          <w:tcPr>
            <w:tcW w:w="4761" w:type="dxa"/>
          </w:tcPr>
          <w:p w:rsidR="00333A1A" w:rsidRDefault="003D29C9">
            <w:pPr>
              <w:rPr>
                <w:noProof/>
                <w:lang w:val="en-US"/>
              </w:rPr>
            </w:pPr>
            <w:r>
              <w:rPr>
                <w:noProof/>
                <w:u w:val="single"/>
              </w:rPr>
              <w:t xml:space="preserve">SDG </w:t>
            </w:r>
            <w:r>
              <w:rPr>
                <w:noProof/>
                <w:u w:val="single"/>
                <w:lang w:val="en-US"/>
              </w:rPr>
              <w:t>5.1</w:t>
            </w:r>
            <w:r>
              <w:rPr>
                <w:noProof/>
                <w:lang w:val="en-US"/>
              </w:rPr>
              <w:t xml:space="preserve"> End </w:t>
            </w:r>
            <w:r>
              <w:rPr>
                <w:b/>
                <w:noProof/>
                <w:lang w:val="en-US"/>
              </w:rPr>
              <w:t>all forms of discrimination</w:t>
            </w:r>
            <w:r>
              <w:rPr>
                <w:noProof/>
                <w:lang w:val="en-US"/>
              </w:rPr>
              <w:t xml:space="preserve"> against all women and girls everywhere </w:t>
            </w:r>
          </w:p>
        </w:tc>
        <w:tc>
          <w:tcPr>
            <w:tcW w:w="3070" w:type="dxa"/>
          </w:tcPr>
          <w:p w:rsidR="00333A1A" w:rsidRDefault="003D29C9">
            <w:pPr>
              <w:rPr>
                <w:noProof/>
              </w:rPr>
            </w:pPr>
            <w:r>
              <w:rPr>
                <w:noProof/>
              </w:rPr>
              <w:t>Not explicitly part of the objectives. However, gender equality was reflected on when assessing SOC 7. (Reduce</w:t>
            </w:r>
            <w:r>
              <w:rPr>
                <w:noProof/>
              </w:rPr>
              <w:t xml:space="preserve"> inequalities between groups) and SOC 4. (Foster inclusive growth in rural areas).</w:t>
            </w:r>
          </w:p>
          <w:p w:rsidR="00333A1A" w:rsidRDefault="00333A1A">
            <w:pPr>
              <w:rPr>
                <w:noProof/>
              </w:rPr>
            </w:pPr>
          </w:p>
        </w:tc>
      </w:tr>
      <w:tr w:rsidR="00333A1A">
        <w:tc>
          <w:tcPr>
            <w:tcW w:w="1457" w:type="dxa"/>
          </w:tcPr>
          <w:p w:rsidR="00333A1A" w:rsidRDefault="003D29C9">
            <w:pPr>
              <w:rPr>
                <w:noProof/>
              </w:rPr>
            </w:pPr>
            <w:r>
              <w:rPr>
                <w:noProof/>
              </w:rPr>
              <w:t>SDG 6</w:t>
            </w:r>
          </w:p>
          <w:p w:rsidR="00333A1A" w:rsidRDefault="003D29C9">
            <w:pPr>
              <w:rPr>
                <w:noProof/>
              </w:rPr>
            </w:pPr>
            <w:r>
              <w:rPr>
                <w:noProof/>
              </w:rPr>
              <w:t>Water</w:t>
            </w:r>
          </w:p>
        </w:tc>
        <w:tc>
          <w:tcPr>
            <w:tcW w:w="4761" w:type="dxa"/>
          </w:tcPr>
          <w:p w:rsidR="00333A1A" w:rsidRDefault="003D29C9">
            <w:pPr>
              <w:rPr>
                <w:noProof/>
                <w:lang w:val="en-US"/>
              </w:rPr>
            </w:pPr>
            <w:r>
              <w:rPr>
                <w:noProof/>
                <w:u w:val="single"/>
              </w:rPr>
              <w:t xml:space="preserve">SDG </w:t>
            </w:r>
            <w:r>
              <w:rPr>
                <w:noProof/>
                <w:u w:val="single"/>
                <w:lang w:val="en-US"/>
              </w:rPr>
              <w:t>6.3</w:t>
            </w:r>
            <w:r>
              <w:rPr>
                <w:noProof/>
                <w:lang w:val="en-US"/>
              </w:rPr>
              <w:t xml:space="preserve"> By 2030, improve </w:t>
            </w:r>
            <w:r>
              <w:rPr>
                <w:b/>
                <w:noProof/>
                <w:lang w:val="en-US"/>
              </w:rPr>
              <w:t>water quality</w:t>
            </w:r>
            <w:r>
              <w:rPr>
                <w:noProof/>
                <w:lang w:val="en-US"/>
              </w:rPr>
              <w:t xml:space="preserve"> by </w:t>
            </w:r>
            <w:r>
              <w:rPr>
                <w:b/>
                <w:noProof/>
                <w:lang w:val="en-US"/>
              </w:rPr>
              <w:t>reducing pollution</w:t>
            </w:r>
            <w:r>
              <w:rPr>
                <w:noProof/>
                <w:lang w:val="en-US"/>
              </w:rPr>
              <w:t xml:space="preserve">, eliminating dumping and </w:t>
            </w:r>
            <w:r>
              <w:rPr>
                <w:b/>
                <w:noProof/>
                <w:lang w:val="en-US"/>
              </w:rPr>
              <w:t>minimizing</w:t>
            </w:r>
            <w:r>
              <w:rPr>
                <w:noProof/>
                <w:lang w:val="en-US"/>
              </w:rPr>
              <w:t xml:space="preserve"> release of hazardous </w:t>
            </w:r>
            <w:r>
              <w:rPr>
                <w:b/>
                <w:noProof/>
                <w:lang w:val="en-US"/>
              </w:rPr>
              <w:t>chemicals</w:t>
            </w:r>
            <w:r>
              <w:rPr>
                <w:noProof/>
                <w:lang w:val="en-US"/>
              </w:rPr>
              <w:t xml:space="preserve"> and materials, halving the prop</w:t>
            </w:r>
            <w:r>
              <w:rPr>
                <w:noProof/>
                <w:lang w:val="en-US"/>
              </w:rPr>
              <w:t xml:space="preserve">ortion of untreated wastewater and substantially increasing recycling and safe reuse globally </w:t>
            </w:r>
          </w:p>
          <w:p w:rsidR="00333A1A" w:rsidRDefault="00333A1A">
            <w:pPr>
              <w:rPr>
                <w:noProof/>
                <w:lang w:val="en-US"/>
              </w:rPr>
            </w:pPr>
          </w:p>
          <w:p w:rsidR="00333A1A" w:rsidRDefault="003D29C9">
            <w:pPr>
              <w:rPr>
                <w:noProof/>
                <w:lang w:val="en-US"/>
              </w:rPr>
            </w:pPr>
            <w:r>
              <w:rPr>
                <w:noProof/>
                <w:u w:val="single"/>
                <w:lang w:val="en-US"/>
              </w:rPr>
              <w:t>SDG 6.4</w:t>
            </w:r>
            <w:r>
              <w:rPr>
                <w:noProof/>
                <w:lang w:val="en-US"/>
              </w:rPr>
              <w:t xml:space="preserve"> By 2030, substantially increase </w:t>
            </w:r>
            <w:r>
              <w:rPr>
                <w:b/>
                <w:noProof/>
                <w:lang w:val="en-US"/>
              </w:rPr>
              <w:t>water-use efficiency</w:t>
            </w:r>
            <w:r>
              <w:rPr>
                <w:noProof/>
                <w:lang w:val="en-US"/>
              </w:rPr>
              <w:t xml:space="preserve"> across all sectors and ensure </w:t>
            </w:r>
            <w:r>
              <w:rPr>
                <w:b/>
                <w:noProof/>
                <w:lang w:val="en-US"/>
              </w:rPr>
              <w:t>sustainable withdrawals</w:t>
            </w:r>
            <w:r>
              <w:rPr>
                <w:noProof/>
                <w:lang w:val="en-US"/>
              </w:rPr>
              <w:t xml:space="preserve"> and supply of freshwater to address water scarcity and substantially reduce the number of people suffering from water scarcity </w:t>
            </w:r>
          </w:p>
        </w:tc>
        <w:tc>
          <w:tcPr>
            <w:tcW w:w="3070" w:type="dxa"/>
          </w:tcPr>
          <w:p w:rsidR="00333A1A" w:rsidRDefault="003D29C9">
            <w:pPr>
              <w:rPr>
                <w:noProof/>
              </w:rPr>
            </w:pPr>
            <w:r>
              <w:rPr>
                <w:noProof/>
                <w:u w:val="single"/>
              </w:rPr>
              <w:t>ENV 1.</w:t>
            </w:r>
            <w:r>
              <w:rPr>
                <w:noProof/>
              </w:rPr>
              <w:t xml:space="preserve"> Improve water quality and use</w:t>
            </w: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D29C9">
            <w:pPr>
              <w:rPr>
                <w:noProof/>
              </w:rPr>
            </w:pPr>
            <w:r>
              <w:rPr>
                <w:noProof/>
                <w:u w:val="single"/>
              </w:rPr>
              <w:t>ENV 1.</w:t>
            </w:r>
            <w:r>
              <w:rPr>
                <w:noProof/>
              </w:rPr>
              <w:t xml:space="preserve"> Improve water quality and use</w:t>
            </w:r>
          </w:p>
          <w:p w:rsidR="00333A1A" w:rsidRDefault="00333A1A">
            <w:pPr>
              <w:rPr>
                <w:noProof/>
                <w:u w:val="single"/>
              </w:rPr>
            </w:pPr>
          </w:p>
          <w:p w:rsidR="00333A1A" w:rsidRDefault="003D29C9">
            <w:pPr>
              <w:rPr>
                <w:noProof/>
              </w:rPr>
            </w:pPr>
            <w:r>
              <w:rPr>
                <w:noProof/>
                <w:u w:val="single"/>
              </w:rPr>
              <w:t>ENV 4.</w:t>
            </w:r>
            <w:r>
              <w:rPr>
                <w:noProof/>
              </w:rPr>
              <w:t xml:space="preserve"> Enhance the adaptation capacity of farms.</w:t>
            </w:r>
          </w:p>
          <w:p w:rsidR="00333A1A" w:rsidRDefault="003D29C9">
            <w:pPr>
              <w:rPr>
                <w:noProof/>
              </w:rPr>
            </w:pPr>
            <w:r>
              <w:rPr>
                <w:i/>
                <w:noProof/>
              </w:rPr>
              <w:t>Indicator</w:t>
            </w:r>
            <w:r>
              <w:rPr>
                <w:noProof/>
              </w:rPr>
              <w:t>: Efficient water use</w:t>
            </w:r>
          </w:p>
          <w:p w:rsidR="00333A1A" w:rsidRDefault="00333A1A">
            <w:pPr>
              <w:rPr>
                <w:noProof/>
                <w:u w:val="single"/>
              </w:rPr>
            </w:pPr>
          </w:p>
          <w:p w:rsidR="00333A1A" w:rsidRDefault="00333A1A">
            <w:pPr>
              <w:rPr>
                <w:noProof/>
                <w:u w:val="single"/>
              </w:rPr>
            </w:pPr>
          </w:p>
        </w:tc>
      </w:tr>
      <w:tr w:rsidR="00333A1A">
        <w:tc>
          <w:tcPr>
            <w:tcW w:w="1457" w:type="dxa"/>
          </w:tcPr>
          <w:p w:rsidR="00333A1A" w:rsidRDefault="003D29C9">
            <w:pPr>
              <w:rPr>
                <w:noProof/>
              </w:rPr>
            </w:pPr>
            <w:r>
              <w:rPr>
                <w:noProof/>
              </w:rPr>
              <w:t>SDG 7</w:t>
            </w:r>
          </w:p>
          <w:p w:rsidR="00333A1A" w:rsidRDefault="003D29C9">
            <w:pPr>
              <w:rPr>
                <w:noProof/>
              </w:rPr>
            </w:pPr>
            <w:r>
              <w:rPr>
                <w:noProof/>
              </w:rPr>
              <w:t>Energy</w:t>
            </w:r>
          </w:p>
        </w:tc>
        <w:tc>
          <w:tcPr>
            <w:tcW w:w="4761" w:type="dxa"/>
          </w:tcPr>
          <w:p w:rsidR="00333A1A" w:rsidRDefault="003D29C9">
            <w:pPr>
              <w:rPr>
                <w:noProof/>
                <w:lang w:val="en-US"/>
              </w:rPr>
            </w:pPr>
            <w:r>
              <w:rPr>
                <w:noProof/>
              </w:rPr>
              <w:t xml:space="preserve">SDG 7.2 </w:t>
            </w:r>
            <w:r>
              <w:rPr>
                <w:noProof/>
                <w:lang w:val="en-US"/>
              </w:rPr>
              <w:t xml:space="preserve">By 2030, increase substantially the </w:t>
            </w:r>
            <w:r>
              <w:rPr>
                <w:b/>
                <w:noProof/>
                <w:lang w:val="en-US"/>
              </w:rPr>
              <w:t>share of renewable energy</w:t>
            </w:r>
            <w:r>
              <w:rPr>
                <w:noProof/>
                <w:lang w:val="en-US"/>
              </w:rPr>
              <w:t xml:space="preserve"> in the global energy mix</w:t>
            </w:r>
            <w:r>
              <w:rPr>
                <w:noProof/>
              </w:rPr>
              <w:t xml:space="preserve"> </w:t>
            </w:r>
          </w:p>
          <w:p w:rsidR="00333A1A" w:rsidRDefault="00333A1A">
            <w:pPr>
              <w:rPr>
                <w:noProof/>
                <w:lang w:val="en-US"/>
              </w:rPr>
            </w:pPr>
          </w:p>
          <w:p w:rsidR="00333A1A" w:rsidRDefault="00333A1A">
            <w:pPr>
              <w:rPr>
                <w:noProof/>
              </w:rPr>
            </w:pPr>
          </w:p>
        </w:tc>
        <w:tc>
          <w:tcPr>
            <w:tcW w:w="3070" w:type="dxa"/>
          </w:tcPr>
          <w:p w:rsidR="00333A1A" w:rsidRDefault="003D29C9">
            <w:pPr>
              <w:rPr>
                <w:noProof/>
              </w:rPr>
            </w:pPr>
            <w:r>
              <w:rPr>
                <w:noProof/>
                <w:u w:val="single"/>
              </w:rPr>
              <w:t>ECO 4.</w:t>
            </w:r>
            <w:r>
              <w:rPr>
                <w:noProof/>
              </w:rPr>
              <w:t xml:space="preserve"> Productivity and efficiency gains</w:t>
            </w:r>
          </w:p>
          <w:p w:rsidR="00333A1A" w:rsidRDefault="00333A1A">
            <w:pPr>
              <w:rPr>
                <w:noProof/>
              </w:rPr>
            </w:pPr>
          </w:p>
          <w:p w:rsidR="00333A1A" w:rsidRDefault="003D29C9">
            <w:pPr>
              <w:rPr>
                <w:noProof/>
              </w:rPr>
            </w:pPr>
            <w:r>
              <w:rPr>
                <w:noProof/>
                <w:u w:val="single"/>
              </w:rPr>
              <w:t>ECO 6.</w:t>
            </w:r>
            <w:r>
              <w:rPr>
                <w:noProof/>
              </w:rPr>
              <w:t xml:space="preserve"> Add value to agricu</w:t>
            </w:r>
            <w:r>
              <w:rPr>
                <w:noProof/>
              </w:rPr>
              <w:t>ltural products</w:t>
            </w:r>
          </w:p>
          <w:p w:rsidR="00333A1A" w:rsidRDefault="00333A1A">
            <w:pPr>
              <w:rPr>
                <w:noProof/>
              </w:rPr>
            </w:pPr>
          </w:p>
          <w:p w:rsidR="00333A1A" w:rsidRDefault="00333A1A">
            <w:pPr>
              <w:rPr>
                <w:noProof/>
              </w:rPr>
            </w:pPr>
          </w:p>
          <w:p w:rsidR="00333A1A" w:rsidRDefault="003D29C9">
            <w:pPr>
              <w:rPr>
                <w:noProof/>
              </w:rPr>
            </w:pPr>
            <w:r>
              <w:rPr>
                <w:noProof/>
                <w:u w:val="single"/>
              </w:rPr>
              <w:t>ENV.</w:t>
            </w:r>
            <w:r>
              <w:rPr>
                <w:noProof/>
              </w:rPr>
              <w:t xml:space="preserve"> Sustainable and efficient management of resources</w:t>
            </w:r>
          </w:p>
        </w:tc>
      </w:tr>
      <w:tr w:rsidR="00333A1A">
        <w:trPr>
          <w:trHeight w:val="1220"/>
        </w:trPr>
        <w:tc>
          <w:tcPr>
            <w:tcW w:w="1457" w:type="dxa"/>
          </w:tcPr>
          <w:p w:rsidR="00333A1A" w:rsidRDefault="003D29C9">
            <w:pPr>
              <w:rPr>
                <w:noProof/>
              </w:rPr>
            </w:pPr>
            <w:r>
              <w:rPr>
                <w:noProof/>
              </w:rPr>
              <w:t>SDG 8</w:t>
            </w:r>
          </w:p>
          <w:p w:rsidR="00333A1A" w:rsidRDefault="003D29C9">
            <w:pPr>
              <w:rPr>
                <w:noProof/>
              </w:rPr>
            </w:pPr>
            <w:r>
              <w:rPr>
                <w:noProof/>
              </w:rPr>
              <w:t>Growth and employment</w:t>
            </w:r>
          </w:p>
        </w:tc>
        <w:tc>
          <w:tcPr>
            <w:tcW w:w="4761" w:type="dxa"/>
          </w:tcPr>
          <w:p w:rsidR="00333A1A" w:rsidRDefault="003D29C9">
            <w:pPr>
              <w:rPr>
                <w:noProof/>
                <w:lang w:val="en-US"/>
              </w:rPr>
            </w:pPr>
            <w:r>
              <w:rPr>
                <w:noProof/>
                <w:u w:val="single"/>
                <w:lang w:val="en-US"/>
              </w:rPr>
              <w:t xml:space="preserve">SDG 8.1 </w:t>
            </w:r>
            <w:r>
              <w:rPr>
                <w:noProof/>
                <w:lang w:val="en-US"/>
              </w:rPr>
              <w:t xml:space="preserve">Sustain </w:t>
            </w:r>
            <w:r>
              <w:rPr>
                <w:b/>
                <w:noProof/>
                <w:lang w:val="en-US"/>
              </w:rPr>
              <w:t>per capita economic growth</w:t>
            </w:r>
            <w:r>
              <w:rPr>
                <w:noProof/>
                <w:lang w:val="en-US"/>
              </w:rPr>
              <w:t xml:space="preserve"> in accordance with national circumstances and, in particular, at least 7 per cent gross domestic product growth</w:t>
            </w:r>
            <w:r>
              <w:rPr>
                <w:noProof/>
                <w:lang w:val="en-US"/>
              </w:rPr>
              <w:t xml:space="preserve"> per annum in the least developed countries </w:t>
            </w:r>
          </w:p>
          <w:p w:rsidR="00333A1A" w:rsidRDefault="00333A1A">
            <w:pPr>
              <w:rPr>
                <w:noProof/>
                <w:u w:val="single"/>
              </w:rPr>
            </w:pPr>
          </w:p>
          <w:p w:rsidR="00333A1A" w:rsidRDefault="00333A1A">
            <w:pPr>
              <w:rPr>
                <w:noProof/>
                <w:u w:val="single"/>
              </w:rPr>
            </w:pPr>
          </w:p>
          <w:p w:rsidR="00333A1A" w:rsidRDefault="00333A1A">
            <w:pPr>
              <w:rPr>
                <w:noProof/>
                <w:u w:val="single"/>
              </w:rPr>
            </w:pPr>
          </w:p>
          <w:p w:rsidR="00333A1A" w:rsidRDefault="003D29C9">
            <w:pPr>
              <w:rPr>
                <w:noProof/>
                <w:lang w:val="en-US"/>
              </w:rPr>
            </w:pPr>
            <w:r>
              <w:rPr>
                <w:noProof/>
                <w:u w:val="single"/>
              </w:rPr>
              <w:t xml:space="preserve">SDG </w:t>
            </w:r>
            <w:r>
              <w:rPr>
                <w:noProof/>
                <w:u w:val="single"/>
                <w:lang w:val="en-US"/>
              </w:rPr>
              <w:t>8.2</w:t>
            </w:r>
            <w:r>
              <w:rPr>
                <w:noProof/>
                <w:lang w:val="en-US"/>
              </w:rPr>
              <w:t xml:space="preserve"> Achieve higher levels of economic productivity through diversification, </w:t>
            </w:r>
            <w:r>
              <w:rPr>
                <w:b/>
                <w:noProof/>
                <w:lang w:val="en-US"/>
              </w:rPr>
              <w:t>technological upgrading</w:t>
            </w:r>
            <w:r>
              <w:rPr>
                <w:noProof/>
                <w:lang w:val="en-US"/>
              </w:rPr>
              <w:t xml:space="preserve"> and </w:t>
            </w:r>
            <w:r>
              <w:rPr>
                <w:b/>
                <w:noProof/>
                <w:lang w:val="en-US"/>
              </w:rPr>
              <w:t>innovation</w:t>
            </w:r>
            <w:r>
              <w:rPr>
                <w:noProof/>
                <w:lang w:val="en-US"/>
              </w:rPr>
              <w:t xml:space="preserve">, including through a focus on </w:t>
            </w:r>
            <w:r>
              <w:rPr>
                <w:b/>
                <w:noProof/>
                <w:lang w:val="en-US"/>
              </w:rPr>
              <w:t>high-value added</w:t>
            </w:r>
            <w:r>
              <w:rPr>
                <w:noProof/>
                <w:lang w:val="en-US"/>
              </w:rPr>
              <w:t xml:space="preserve"> and labour-intensive sectors </w:t>
            </w:r>
          </w:p>
          <w:p w:rsidR="00333A1A" w:rsidRDefault="003D29C9">
            <w:pPr>
              <w:rPr>
                <w:noProof/>
                <w:lang w:val="en-US"/>
              </w:rPr>
            </w:pPr>
            <w:r>
              <w:rPr>
                <w:noProof/>
                <w:u w:val="single"/>
                <w:lang w:val="en-US"/>
              </w:rPr>
              <w:t>SDG 8.3</w:t>
            </w:r>
            <w:r>
              <w:rPr>
                <w:noProof/>
                <w:lang w:val="en-US"/>
              </w:rPr>
              <w:t xml:space="preserve"> Promote development-oriented </w:t>
            </w:r>
            <w:r>
              <w:rPr>
                <w:b/>
                <w:noProof/>
                <w:lang w:val="en-US"/>
              </w:rPr>
              <w:t>policies that support productive activities,</w:t>
            </w:r>
            <w:r>
              <w:rPr>
                <w:noProof/>
                <w:lang w:val="en-US"/>
              </w:rPr>
              <w:t xml:space="preserve"> decent job creation, entrepreneurship, </w:t>
            </w:r>
            <w:r>
              <w:rPr>
                <w:b/>
                <w:noProof/>
                <w:lang w:val="en-US"/>
              </w:rPr>
              <w:t>creativity and innovation</w:t>
            </w:r>
            <w:r>
              <w:rPr>
                <w:noProof/>
                <w:lang w:val="en-US"/>
              </w:rPr>
              <w:t>, and encourage the formalization and growth of micro-, small- and medium-sized enterprises, including through access</w:t>
            </w:r>
            <w:r>
              <w:rPr>
                <w:noProof/>
                <w:lang w:val="en-US"/>
              </w:rPr>
              <w:t xml:space="preserve"> to financial services </w:t>
            </w:r>
          </w:p>
          <w:p w:rsidR="00333A1A" w:rsidRDefault="00333A1A">
            <w:pPr>
              <w:rPr>
                <w:noProof/>
                <w:lang w:val="en-US"/>
              </w:rPr>
            </w:pPr>
          </w:p>
          <w:p w:rsidR="00333A1A" w:rsidRDefault="00333A1A">
            <w:pPr>
              <w:rPr>
                <w:noProof/>
                <w:u w:val="single"/>
                <w:lang w:val="en-US"/>
              </w:rPr>
            </w:pPr>
          </w:p>
          <w:p w:rsidR="00333A1A" w:rsidRDefault="00333A1A">
            <w:pPr>
              <w:rPr>
                <w:noProof/>
                <w:u w:val="single"/>
                <w:lang w:val="en-US"/>
              </w:rPr>
            </w:pPr>
          </w:p>
          <w:p w:rsidR="00333A1A" w:rsidRDefault="00333A1A">
            <w:pPr>
              <w:rPr>
                <w:noProof/>
                <w:u w:val="single"/>
                <w:lang w:val="en-US"/>
              </w:rPr>
            </w:pPr>
          </w:p>
          <w:p w:rsidR="00333A1A" w:rsidRDefault="00333A1A">
            <w:pPr>
              <w:rPr>
                <w:noProof/>
                <w:u w:val="single"/>
                <w:lang w:val="en-US"/>
              </w:rPr>
            </w:pPr>
          </w:p>
          <w:p w:rsidR="00333A1A" w:rsidRDefault="00333A1A">
            <w:pPr>
              <w:rPr>
                <w:noProof/>
                <w:u w:val="single"/>
                <w:lang w:val="en-US"/>
              </w:rPr>
            </w:pPr>
          </w:p>
          <w:p w:rsidR="00333A1A" w:rsidRDefault="00333A1A">
            <w:pPr>
              <w:rPr>
                <w:noProof/>
                <w:u w:val="single"/>
                <w:lang w:val="en-US"/>
              </w:rPr>
            </w:pPr>
          </w:p>
          <w:p w:rsidR="00333A1A" w:rsidRDefault="00333A1A">
            <w:pPr>
              <w:rPr>
                <w:noProof/>
                <w:u w:val="single"/>
                <w:lang w:val="en-US"/>
              </w:rPr>
            </w:pPr>
          </w:p>
          <w:p w:rsidR="00333A1A" w:rsidRDefault="00333A1A">
            <w:pPr>
              <w:rPr>
                <w:noProof/>
                <w:u w:val="single"/>
                <w:lang w:val="en-US"/>
              </w:rPr>
            </w:pPr>
          </w:p>
          <w:p w:rsidR="00333A1A" w:rsidRDefault="003D29C9">
            <w:pPr>
              <w:rPr>
                <w:noProof/>
                <w:lang w:val="en-US"/>
              </w:rPr>
            </w:pPr>
            <w:r>
              <w:rPr>
                <w:noProof/>
                <w:u w:val="single"/>
                <w:lang w:val="en-US"/>
              </w:rPr>
              <w:t>SDG 8.5</w:t>
            </w:r>
            <w:r>
              <w:rPr>
                <w:noProof/>
                <w:lang w:val="en-US"/>
              </w:rPr>
              <w:t xml:space="preserve"> By 2030, achieve full and productive </w:t>
            </w:r>
            <w:r>
              <w:rPr>
                <w:b/>
                <w:noProof/>
                <w:lang w:val="en-US"/>
              </w:rPr>
              <w:t>employment</w:t>
            </w:r>
            <w:r>
              <w:rPr>
                <w:noProof/>
                <w:lang w:val="en-US"/>
              </w:rPr>
              <w:t xml:space="preserve"> and decent work </w:t>
            </w:r>
            <w:r>
              <w:rPr>
                <w:b/>
                <w:noProof/>
                <w:lang w:val="en-US"/>
              </w:rPr>
              <w:t>for all</w:t>
            </w:r>
            <w:r>
              <w:rPr>
                <w:noProof/>
                <w:lang w:val="en-US"/>
              </w:rPr>
              <w:t xml:space="preserve"> women and men, including for young people and persons with disabilities, and equal pay for work of equal value </w:t>
            </w:r>
          </w:p>
          <w:p w:rsidR="00333A1A" w:rsidRDefault="00333A1A">
            <w:pPr>
              <w:rPr>
                <w:noProof/>
                <w:lang w:val="en-US"/>
              </w:rPr>
            </w:pPr>
          </w:p>
        </w:tc>
        <w:tc>
          <w:tcPr>
            <w:tcW w:w="3070" w:type="dxa"/>
          </w:tcPr>
          <w:p w:rsidR="00333A1A" w:rsidRDefault="003D29C9">
            <w:pPr>
              <w:rPr>
                <w:noProof/>
              </w:rPr>
            </w:pPr>
            <w:r>
              <w:rPr>
                <w:noProof/>
                <w:u w:val="single"/>
              </w:rPr>
              <w:t>SOC 3.</w:t>
            </w:r>
            <w:r>
              <w:rPr>
                <w:noProof/>
              </w:rPr>
              <w:t xml:space="preserve"> Foster income and value added in rural areas</w:t>
            </w:r>
          </w:p>
          <w:p w:rsidR="00333A1A" w:rsidRDefault="00333A1A">
            <w:pPr>
              <w:rPr>
                <w:noProof/>
                <w:u w:val="single"/>
              </w:rPr>
            </w:pPr>
          </w:p>
          <w:p w:rsidR="00333A1A" w:rsidRDefault="003D29C9">
            <w:pPr>
              <w:rPr>
                <w:noProof/>
                <w:u w:val="single"/>
              </w:rPr>
            </w:pPr>
            <w:r>
              <w:rPr>
                <w:noProof/>
                <w:u w:val="single"/>
              </w:rPr>
              <w:t>SOC 4.</w:t>
            </w:r>
            <w:r>
              <w:rPr>
                <w:noProof/>
              </w:rPr>
              <w:t xml:space="preserve"> Foster inclusive growth in rural areas</w:t>
            </w:r>
          </w:p>
          <w:p w:rsidR="00333A1A" w:rsidRDefault="00333A1A">
            <w:pPr>
              <w:rPr>
                <w:noProof/>
              </w:rPr>
            </w:pPr>
          </w:p>
          <w:p w:rsidR="00333A1A" w:rsidRDefault="00333A1A">
            <w:pPr>
              <w:rPr>
                <w:noProof/>
                <w:u w:val="single"/>
              </w:rPr>
            </w:pPr>
          </w:p>
          <w:p w:rsidR="00333A1A" w:rsidRDefault="003D29C9">
            <w:pPr>
              <w:rPr>
                <w:noProof/>
              </w:rPr>
            </w:pPr>
            <w:r>
              <w:rPr>
                <w:noProof/>
                <w:u w:val="single"/>
              </w:rPr>
              <w:t>ECO 4.</w:t>
            </w:r>
            <w:r>
              <w:rPr>
                <w:noProof/>
              </w:rPr>
              <w:t xml:space="preserve"> Productivity and efficiency gains</w:t>
            </w:r>
          </w:p>
          <w:p w:rsidR="00333A1A" w:rsidRDefault="00333A1A">
            <w:pPr>
              <w:rPr>
                <w:noProof/>
              </w:rPr>
            </w:pPr>
          </w:p>
          <w:p w:rsidR="00333A1A" w:rsidRDefault="003D29C9">
            <w:pPr>
              <w:rPr>
                <w:noProof/>
              </w:rPr>
            </w:pPr>
            <w:r>
              <w:rPr>
                <w:noProof/>
                <w:u w:val="single"/>
              </w:rPr>
              <w:t>ECO 6.</w:t>
            </w:r>
            <w:r>
              <w:rPr>
                <w:noProof/>
              </w:rPr>
              <w:t xml:space="preserve"> Add value to agricultural products</w:t>
            </w:r>
          </w:p>
          <w:p w:rsidR="00333A1A" w:rsidRDefault="00333A1A">
            <w:pPr>
              <w:rPr>
                <w:noProof/>
              </w:rPr>
            </w:pPr>
          </w:p>
          <w:p w:rsidR="00333A1A" w:rsidRDefault="003D29C9">
            <w:pPr>
              <w:rPr>
                <w:noProof/>
              </w:rPr>
            </w:pPr>
            <w:r>
              <w:rPr>
                <w:noProof/>
                <w:u w:val="single"/>
              </w:rPr>
              <w:t>ECO 9.</w:t>
            </w:r>
            <w:r>
              <w:rPr>
                <w:noProof/>
              </w:rPr>
              <w:t xml:space="preserve"> Development of alternative value chains</w:t>
            </w:r>
          </w:p>
          <w:p w:rsidR="00333A1A" w:rsidRDefault="00333A1A">
            <w:pPr>
              <w:rPr>
                <w:noProof/>
              </w:rPr>
            </w:pPr>
          </w:p>
          <w:p w:rsidR="00333A1A" w:rsidRDefault="003D29C9">
            <w:pPr>
              <w:rPr>
                <w:noProof/>
              </w:rPr>
            </w:pPr>
            <w:r>
              <w:rPr>
                <w:noProof/>
                <w:u w:val="single"/>
              </w:rPr>
              <w:t>MOD 1.</w:t>
            </w:r>
            <w:r>
              <w:rPr>
                <w:noProof/>
              </w:rPr>
              <w:t xml:space="preserve"> Enhancing Agricultura</w:t>
            </w:r>
            <w:r>
              <w:rPr>
                <w:noProof/>
              </w:rPr>
              <w:t>l Knowledge and Innovation Systems and strengthening links with research</w:t>
            </w:r>
          </w:p>
          <w:p w:rsidR="00333A1A" w:rsidRDefault="00333A1A">
            <w:pPr>
              <w:rPr>
                <w:noProof/>
                <w:u w:val="single"/>
              </w:rPr>
            </w:pPr>
          </w:p>
          <w:p w:rsidR="00333A1A" w:rsidRDefault="003D29C9">
            <w:pPr>
              <w:rPr>
                <w:noProof/>
              </w:rPr>
            </w:pPr>
            <w:r>
              <w:rPr>
                <w:noProof/>
                <w:u w:val="single"/>
              </w:rPr>
              <w:t>MOD 3.</w:t>
            </w:r>
            <w:r>
              <w:rPr>
                <w:noProof/>
              </w:rPr>
              <w:t xml:space="preserve"> Incentivising interactive innovation projects</w:t>
            </w:r>
          </w:p>
          <w:p w:rsidR="00333A1A" w:rsidRDefault="00333A1A">
            <w:pPr>
              <w:rPr>
                <w:noProof/>
              </w:rPr>
            </w:pPr>
          </w:p>
          <w:p w:rsidR="00333A1A" w:rsidRDefault="003D29C9">
            <w:pPr>
              <w:rPr>
                <w:noProof/>
              </w:rPr>
            </w:pPr>
            <w:r>
              <w:rPr>
                <w:noProof/>
                <w:u w:val="single"/>
              </w:rPr>
              <w:t>MOD 4.</w:t>
            </w:r>
            <w:r>
              <w:rPr>
                <w:noProof/>
              </w:rPr>
              <w:t xml:space="preserve"> Supporting digital transition in agriculture</w:t>
            </w:r>
          </w:p>
          <w:p w:rsidR="00333A1A" w:rsidRDefault="00333A1A">
            <w:pPr>
              <w:rPr>
                <w:noProof/>
              </w:rPr>
            </w:pPr>
          </w:p>
          <w:p w:rsidR="00333A1A" w:rsidRDefault="00333A1A">
            <w:pPr>
              <w:rPr>
                <w:noProof/>
              </w:rPr>
            </w:pPr>
          </w:p>
          <w:p w:rsidR="00333A1A" w:rsidRDefault="003D29C9">
            <w:pPr>
              <w:rPr>
                <w:noProof/>
              </w:rPr>
            </w:pPr>
            <w:r>
              <w:rPr>
                <w:noProof/>
                <w:u w:val="single"/>
              </w:rPr>
              <w:t>SOC 2.</w:t>
            </w:r>
            <w:r>
              <w:rPr>
                <w:noProof/>
              </w:rPr>
              <w:t xml:space="preserve"> Foster employment in rural areas</w:t>
            </w:r>
          </w:p>
          <w:p w:rsidR="00333A1A" w:rsidRDefault="00333A1A">
            <w:pPr>
              <w:rPr>
                <w:noProof/>
              </w:rPr>
            </w:pPr>
          </w:p>
          <w:p w:rsidR="00333A1A" w:rsidRDefault="00333A1A">
            <w:pPr>
              <w:rPr>
                <w:noProof/>
              </w:rPr>
            </w:pPr>
          </w:p>
        </w:tc>
      </w:tr>
      <w:tr w:rsidR="00333A1A">
        <w:tc>
          <w:tcPr>
            <w:tcW w:w="1457" w:type="dxa"/>
          </w:tcPr>
          <w:p w:rsidR="00333A1A" w:rsidRDefault="003D29C9">
            <w:pPr>
              <w:rPr>
                <w:noProof/>
              </w:rPr>
            </w:pPr>
            <w:r>
              <w:rPr>
                <w:noProof/>
              </w:rPr>
              <w:t>SDG 9</w:t>
            </w:r>
          </w:p>
          <w:p w:rsidR="00333A1A" w:rsidRDefault="003D29C9">
            <w:pPr>
              <w:rPr>
                <w:noProof/>
              </w:rPr>
            </w:pPr>
            <w:r>
              <w:rPr>
                <w:noProof/>
              </w:rPr>
              <w:t xml:space="preserve">Infrastructure and </w:t>
            </w:r>
            <w:r>
              <w:rPr>
                <w:noProof/>
              </w:rPr>
              <w:t>industry</w:t>
            </w:r>
          </w:p>
        </w:tc>
        <w:tc>
          <w:tcPr>
            <w:tcW w:w="4761" w:type="dxa"/>
          </w:tcPr>
          <w:p w:rsidR="00333A1A" w:rsidRDefault="003D29C9">
            <w:pPr>
              <w:rPr>
                <w:noProof/>
                <w:lang w:val="en-US"/>
              </w:rPr>
            </w:pPr>
            <w:r>
              <w:rPr>
                <w:noProof/>
                <w:u w:val="single"/>
              </w:rPr>
              <w:t xml:space="preserve">SDG </w:t>
            </w:r>
            <w:r>
              <w:rPr>
                <w:noProof/>
                <w:u w:val="single"/>
                <w:lang w:val="en-US"/>
              </w:rPr>
              <w:t>9.1</w:t>
            </w:r>
            <w:r>
              <w:rPr>
                <w:noProof/>
                <w:lang w:val="en-US"/>
              </w:rPr>
              <w:t xml:space="preserve"> Develop quality, reliable, sustainable and resilient </w:t>
            </w:r>
            <w:r>
              <w:rPr>
                <w:b/>
                <w:noProof/>
                <w:lang w:val="en-US"/>
              </w:rPr>
              <w:t>infrastructure</w:t>
            </w:r>
            <w:r>
              <w:rPr>
                <w:noProof/>
                <w:lang w:val="en-US"/>
              </w:rPr>
              <w:t xml:space="preserve">, including regional and trans-border infrastructure, to support economic development and human well-being, with a focus on </w:t>
            </w:r>
            <w:r>
              <w:rPr>
                <w:b/>
                <w:noProof/>
                <w:lang w:val="en-US"/>
              </w:rPr>
              <w:t>affordable and equitable access for all</w:t>
            </w:r>
            <w:r>
              <w:rPr>
                <w:noProof/>
                <w:lang w:val="en-US"/>
              </w:rPr>
              <w:t xml:space="preserve"> </w:t>
            </w:r>
          </w:p>
        </w:tc>
        <w:tc>
          <w:tcPr>
            <w:tcW w:w="3070" w:type="dxa"/>
          </w:tcPr>
          <w:p w:rsidR="00333A1A" w:rsidRDefault="003D29C9">
            <w:pPr>
              <w:rPr>
                <w:noProof/>
              </w:rPr>
            </w:pPr>
            <w:r>
              <w:rPr>
                <w:noProof/>
                <w:u w:val="single"/>
              </w:rPr>
              <w:t>SOC 5</w:t>
            </w:r>
            <w:r>
              <w:rPr>
                <w:noProof/>
              </w:rPr>
              <w:t xml:space="preserve"> –</w:t>
            </w:r>
            <w:r>
              <w:rPr>
                <w:noProof/>
              </w:rPr>
              <w:t xml:space="preserve"> Improve access to infrastructure in rural areas.</w:t>
            </w:r>
          </w:p>
        </w:tc>
      </w:tr>
      <w:tr w:rsidR="00333A1A">
        <w:trPr>
          <w:trHeight w:val="4339"/>
        </w:trPr>
        <w:tc>
          <w:tcPr>
            <w:tcW w:w="1457" w:type="dxa"/>
          </w:tcPr>
          <w:p w:rsidR="00333A1A" w:rsidRDefault="003D29C9">
            <w:pPr>
              <w:rPr>
                <w:noProof/>
              </w:rPr>
            </w:pPr>
            <w:r>
              <w:rPr>
                <w:noProof/>
              </w:rPr>
              <w:t>SDG 10</w:t>
            </w:r>
          </w:p>
          <w:p w:rsidR="00333A1A" w:rsidRDefault="003D29C9">
            <w:pPr>
              <w:rPr>
                <w:noProof/>
              </w:rPr>
            </w:pPr>
            <w:r>
              <w:rPr>
                <w:noProof/>
              </w:rPr>
              <w:t>Equality</w:t>
            </w:r>
          </w:p>
        </w:tc>
        <w:tc>
          <w:tcPr>
            <w:tcW w:w="4761" w:type="dxa"/>
          </w:tcPr>
          <w:p w:rsidR="00333A1A" w:rsidRDefault="003D29C9">
            <w:pPr>
              <w:rPr>
                <w:noProof/>
                <w:lang w:val="en-US"/>
              </w:rPr>
            </w:pPr>
            <w:r>
              <w:rPr>
                <w:noProof/>
                <w:u w:val="single"/>
              </w:rPr>
              <w:t xml:space="preserve">SDG </w:t>
            </w:r>
            <w:r>
              <w:rPr>
                <w:noProof/>
                <w:u w:val="single"/>
                <w:lang w:val="en-US"/>
              </w:rPr>
              <w:t>10.2</w:t>
            </w:r>
            <w:r>
              <w:rPr>
                <w:noProof/>
                <w:lang w:val="en-US"/>
              </w:rPr>
              <w:t xml:space="preserve"> By 2030, empower and promote the </w:t>
            </w:r>
            <w:r>
              <w:rPr>
                <w:b/>
                <w:noProof/>
                <w:lang w:val="en-US"/>
              </w:rPr>
              <w:t>social, economic</w:t>
            </w:r>
            <w:r>
              <w:rPr>
                <w:noProof/>
                <w:lang w:val="en-US"/>
              </w:rPr>
              <w:t xml:space="preserve"> and political </w:t>
            </w:r>
            <w:r>
              <w:rPr>
                <w:b/>
                <w:noProof/>
                <w:lang w:val="en-US"/>
              </w:rPr>
              <w:t>inclusion</w:t>
            </w:r>
            <w:r>
              <w:rPr>
                <w:noProof/>
                <w:lang w:val="en-US"/>
              </w:rPr>
              <w:t xml:space="preserve"> of all, irrespective of age, sex, disability,</w:t>
            </w:r>
          </w:p>
          <w:p w:rsidR="00333A1A" w:rsidRDefault="003D29C9">
            <w:pPr>
              <w:rPr>
                <w:noProof/>
                <w:lang w:val="en-US"/>
              </w:rPr>
            </w:pPr>
            <w:r>
              <w:rPr>
                <w:noProof/>
                <w:lang w:val="en-US"/>
              </w:rPr>
              <w:t xml:space="preserve">race, ethnicity, origin, religion or economic or other </w:t>
            </w:r>
            <w:r>
              <w:rPr>
                <w:noProof/>
                <w:lang w:val="en-US"/>
              </w:rPr>
              <w:t>status</w:t>
            </w:r>
          </w:p>
          <w:p w:rsidR="00333A1A" w:rsidRDefault="003D29C9">
            <w:pPr>
              <w:rPr>
                <w:noProof/>
                <w:lang w:val="en-US"/>
              </w:rPr>
            </w:pPr>
            <w:r>
              <w:rPr>
                <w:noProof/>
                <w:u w:val="single"/>
                <w:lang w:val="en-US"/>
              </w:rPr>
              <w:t>SDG 10.3</w:t>
            </w:r>
            <w:r>
              <w:rPr>
                <w:noProof/>
                <w:lang w:val="en-US"/>
              </w:rPr>
              <w:t xml:space="preserve"> Ensure </w:t>
            </w:r>
            <w:r>
              <w:rPr>
                <w:b/>
                <w:noProof/>
                <w:lang w:val="en-US"/>
              </w:rPr>
              <w:t>equal opportunity</w:t>
            </w:r>
            <w:r>
              <w:rPr>
                <w:noProof/>
                <w:lang w:val="en-US"/>
              </w:rPr>
              <w:t xml:space="preserve"> and reduce </w:t>
            </w:r>
            <w:r>
              <w:rPr>
                <w:b/>
                <w:noProof/>
                <w:lang w:val="en-US"/>
              </w:rPr>
              <w:t>inequalities of outcome</w:t>
            </w:r>
            <w:r>
              <w:rPr>
                <w:noProof/>
                <w:lang w:val="en-US"/>
              </w:rPr>
              <w:t xml:space="preserve">, including by eliminating discriminatory laws, policies and practices and promoting appropriate legislation, policies and action in this regard </w:t>
            </w:r>
          </w:p>
        </w:tc>
        <w:tc>
          <w:tcPr>
            <w:tcW w:w="3070" w:type="dxa"/>
          </w:tcPr>
          <w:p w:rsidR="00333A1A" w:rsidRDefault="003D29C9">
            <w:pPr>
              <w:rPr>
                <w:noProof/>
              </w:rPr>
            </w:pPr>
            <w:r>
              <w:rPr>
                <w:noProof/>
                <w:u w:val="single"/>
              </w:rPr>
              <w:t>ECO 3.</w:t>
            </w:r>
            <w:r>
              <w:rPr>
                <w:noProof/>
              </w:rPr>
              <w:t xml:space="preserve"> Provide income support in a </w:t>
            </w:r>
            <w:r>
              <w:rPr>
                <w:noProof/>
              </w:rPr>
              <w:t>targeted way</w:t>
            </w:r>
          </w:p>
          <w:p w:rsidR="00333A1A" w:rsidRDefault="00333A1A">
            <w:pPr>
              <w:rPr>
                <w:noProof/>
              </w:rPr>
            </w:pPr>
          </w:p>
          <w:p w:rsidR="00333A1A" w:rsidRDefault="003D29C9">
            <w:pPr>
              <w:rPr>
                <w:noProof/>
              </w:rPr>
            </w:pPr>
            <w:r>
              <w:rPr>
                <w:noProof/>
                <w:u w:val="single"/>
              </w:rPr>
              <w:t>SOC 6.</w:t>
            </w:r>
            <w:r>
              <w:rPr>
                <w:noProof/>
              </w:rPr>
              <w:t xml:space="preserve"> Reduce inequalities between territories</w:t>
            </w:r>
          </w:p>
          <w:p w:rsidR="00333A1A" w:rsidRDefault="00333A1A">
            <w:pPr>
              <w:rPr>
                <w:noProof/>
              </w:rPr>
            </w:pPr>
          </w:p>
          <w:p w:rsidR="00333A1A" w:rsidRDefault="003D29C9">
            <w:pPr>
              <w:rPr>
                <w:noProof/>
              </w:rPr>
            </w:pPr>
            <w:r>
              <w:rPr>
                <w:noProof/>
                <w:u w:val="single"/>
              </w:rPr>
              <w:t>SOC 7.</w:t>
            </w:r>
            <w:r>
              <w:rPr>
                <w:noProof/>
              </w:rPr>
              <w:t xml:space="preserve"> Reduce inequalities between groups</w:t>
            </w:r>
          </w:p>
          <w:p w:rsidR="00333A1A" w:rsidRDefault="00333A1A">
            <w:pPr>
              <w:rPr>
                <w:noProof/>
              </w:rPr>
            </w:pPr>
          </w:p>
          <w:p w:rsidR="00333A1A" w:rsidRDefault="003D29C9">
            <w:pPr>
              <w:rPr>
                <w:noProof/>
              </w:rPr>
            </w:pPr>
            <w:r>
              <w:rPr>
                <w:noProof/>
                <w:u w:val="single"/>
              </w:rPr>
              <w:t>SOC 1.</w:t>
            </w:r>
            <w:r>
              <w:rPr>
                <w:noProof/>
              </w:rPr>
              <w:t xml:space="preserve"> Foster generational renewal in agriculture and rural areas</w:t>
            </w:r>
          </w:p>
          <w:p w:rsidR="00333A1A" w:rsidRDefault="00333A1A">
            <w:pPr>
              <w:rPr>
                <w:noProof/>
              </w:rPr>
            </w:pPr>
          </w:p>
          <w:p w:rsidR="00333A1A" w:rsidRDefault="003D29C9">
            <w:pPr>
              <w:rPr>
                <w:noProof/>
              </w:rPr>
            </w:pPr>
            <w:r>
              <w:rPr>
                <w:noProof/>
                <w:u w:val="single"/>
              </w:rPr>
              <w:t>SOC 4.</w:t>
            </w:r>
            <w:r>
              <w:rPr>
                <w:noProof/>
              </w:rPr>
              <w:t xml:space="preserve"> Foster inclusive growth in rural areas</w:t>
            </w:r>
          </w:p>
          <w:p w:rsidR="00333A1A" w:rsidRDefault="00333A1A">
            <w:pPr>
              <w:rPr>
                <w:noProof/>
              </w:rPr>
            </w:pPr>
          </w:p>
          <w:p w:rsidR="00333A1A" w:rsidRDefault="003D29C9">
            <w:pPr>
              <w:rPr>
                <w:noProof/>
              </w:rPr>
            </w:pPr>
            <w:r>
              <w:rPr>
                <w:noProof/>
                <w:u w:val="single"/>
              </w:rPr>
              <w:t>SOC 5.</w:t>
            </w:r>
            <w:r>
              <w:rPr>
                <w:noProof/>
              </w:rPr>
              <w:t xml:space="preserve"> Improve access to infrastructure in rural areas</w:t>
            </w:r>
          </w:p>
        </w:tc>
      </w:tr>
      <w:tr w:rsidR="00333A1A">
        <w:tc>
          <w:tcPr>
            <w:tcW w:w="1457" w:type="dxa"/>
          </w:tcPr>
          <w:p w:rsidR="00333A1A" w:rsidRDefault="003D29C9">
            <w:pPr>
              <w:rPr>
                <w:noProof/>
              </w:rPr>
            </w:pPr>
            <w:r>
              <w:rPr>
                <w:noProof/>
              </w:rPr>
              <w:t>SDG 11</w:t>
            </w:r>
          </w:p>
          <w:p w:rsidR="00333A1A" w:rsidRDefault="003D29C9">
            <w:pPr>
              <w:rPr>
                <w:noProof/>
              </w:rPr>
            </w:pPr>
            <w:r>
              <w:rPr>
                <w:noProof/>
              </w:rPr>
              <w:t>Urbanization</w:t>
            </w:r>
          </w:p>
        </w:tc>
        <w:tc>
          <w:tcPr>
            <w:tcW w:w="4761" w:type="dxa"/>
          </w:tcPr>
          <w:p w:rsidR="00333A1A" w:rsidRDefault="003D29C9">
            <w:pPr>
              <w:rPr>
                <w:noProof/>
              </w:rPr>
            </w:pPr>
            <w:r>
              <w:rPr>
                <w:noProof/>
              </w:rPr>
              <w:t>Not covered</w:t>
            </w:r>
          </w:p>
        </w:tc>
        <w:tc>
          <w:tcPr>
            <w:tcW w:w="3070" w:type="dxa"/>
          </w:tcPr>
          <w:p w:rsidR="00333A1A" w:rsidRDefault="003D29C9">
            <w:pPr>
              <w:rPr>
                <w:noProof/>
              </w:rPr>
            </w:pPr>
            <w:r>
              <w:rPr>
                <w:noProof/>
              </w:rPr>
              <w:t>Not covered</w:t>
            </w:r>
          </w:p>
        </w:tc>
      </w:tr>
      <w:tr w:rsidR="00333A1A">
        <w:tc>
          <w:tcPr>
            <w:tcW w:w="1457" w:type="dxa"/>
          </w:tcPr>
          <w:p w:rsidR="00333A1A" w:rsidRDefault="003D29C9">
            <w:pPr>
              <w:rPr>
                <w:noProof/>
              </w:rPr>
            </w:pPr>
            <w:r>
              <w:rPr>
                <w:noProof/>
              </w:rPr>
              <w:t>SDG 12</w:t>
            </w:r>
          </w:p>
          <w:p w:rsidR="00333A1A" w:rsidRDefault="003D29C9">
            <w:pPr>
              <w:rPr>
                <w:noProof/>
              </w:rPr>
            </w:pPr>
            <w:r>
              <w:rPr>
                <w:noProof/>
              </w:rPr>
              <w:t>Sustainable consumption and production</w:t>
            </w:r>
          </w:p>
        </w:tc>
        <w:tc>
          <w:tcPr>
            <w:tcW w:w="4761" w:type="dxa"/>
          </w:tcPr>
          <w:p w:rsidR="00333A1A" w:rsidRDefault="003D29C9">
            <w:pPr>
              <w:rPr>
                <w:b/>
                <w:noProof/>
                <w:lang w:val="en-US"/>
              </w:rPr>
            </w:pPr>
            <w:r>
              <w:rPr>
                <w:noProof/>
                <w:u w:val="single"/>
              </w:rPr>
              <w:t xml:space="preserve">SDG </w:t>
            </w:r>
            <w:r>
              <w:rPr>
                <w:noProof/>
                <w:u w:val="single"/>
                <w:lang w:val="en-US"/>
              </w:rPr>
              <w:t>12.2</w:t>
            </w:r>
            <w:r>
              <w:rPr>
                <w:noProof/>
                <w:lang w:val="en-US"/>
              </w:rPr>
              <w:t xml:space="preserve"> By 2030, achieve the </w:t>
            </w:r>
            <w:r>
              <w:rPr>
                <w:b/>
                <w:noProof/>
                <w:lang w:val="en-US"/>
              </w:rPr>
              <w:t>sustainable management</w:t>
            </w:r>
            <w:r>
              <w:rPr>
                <w:noProof/>
                <w:lang w:val="en-US"/>
              </w:rPr>
              <w:t xml:space="preserve"> and </w:t>
            </w:r>
            <w:r>
              <w:rPr>
                <w:b/>
                <w:noProof/>
                <w:lang w:val="en-US"/>
              </w:rPr>
              <w:t xml:space="preserve">efficient use </w:t>
            </w:r>
            <w:r>
              <w:rPr>
                <w:noProof/>
                <w:lang w:val="en-US"/>
              </w:rPr>
              <w:t xml:space="preserve">of </w:t>
            </w:r>
            <w:r>
              <w:rPr>
                <w:b/>
                <w:noProof/>
                <w:lang w:val="en-US"/>
              </w:rPr>
              <w:t xml:space="preserve">natural resources </w:t>
            </w:r>
          </w:p>
          <w:p w:rsidR="00333A1A" w:rsidRDefault="00333A1A">
            <w:pPr>
              <w:rPr>
                <w:b/>
                <w:noProof/>
                <w:lang w:val="en-US"/>
              </w:rPr>
            </w:pPr>
          </w:p>
          <w:p w:rsidR="00333A1A" w:rsidRDefault="003D29C9">
            <w:pPr>
              <w:rPr>
                <w:b/>
                <w:noProof/>
                <w:lang w:val="en-US"/>
              </w:rPr>
            </w:pPr>
            <w:r>
              <w:rPr>
                <w:noProof/>
                <w:u w:val="single"/>
              </w:rPr>
              <w:t>SDG 12.3</w:t>
            </w:r>
            <w:r>
              <w:rPr>
                <w:b/>
                <w:noProof/>
                <w:lang w:val="en-US"/>
              </w:rPr>
              <w:t xml:space="preserve"> </w:t>
            </w:r>
            <w:r>
              <w:rPr>
                <w:noProof/>
                <w:lang w:val="en-US"/>
              </w:rPr>
              <w:t xml:space="preserve">Cutting in half per capita global </w:t>
            </w:r>
            <w:r>
              <w:rPr>
                <w:b/>
                <w:noProof/>
                <w:lang w:val="en-US"/>
              </w:rPr>
              <w:t>food waste</w:t>
            </w:r>
            <w:r>
              <w:rPr>
                <w:noProof/>
                <w:lang w:val="en-US"/>
              </w:rPr>
              <w:t xml:space="preserve"> at the retail and consumer level, and </w:t>
            </w:r>
            <w:r>
              <w:rPr>
                <w:b/>
                <w:noProof/>
                <w:lang w:val="en-US"/>
              </w:rPr>
              <w:t>reducing food losses</w:t>
            </w:r>
            <w:r>
              <w:rPr>
                <w:noProof/>
                <w:lang w:val="en-US"/>
              </w:rPr>
              <w:t xml:space="preserve"> along production and supply chains (including post-harvest losses) by 2030</w:t>
            </w:r>
          </w:p>
        </w:tc>
        <w:tc>
          <w:tcPr>
            <w:tcW w:w="3070" w:type="dxa"/>
          </w:tcPr>
          <w:p w:rsidR="00333A1A" w:rsidRDefault="003D29C9">
            <w:pPr>
              <w:rPr>
                <w:noProof/>
              </w:rPr>
            </w:pPr>
            <w:r>
              <w:rPr>
                <w:noProof/>
                <w:u w:val="single"/>
              </w:rPr>
              <w:t>All ENV</w:t>
            </w:r>
            <w:r>
              <w:rPr>
                <w:noProof/>
              </w:rPr>
              <w:t xml:space="preserve"> objectives</w:t>
            </w:r>
          </w:p>
          <w:p w:rsidR="00333A1A" w:rsidRDefault="00333A1A">
            <w:pPr>
              <w:rPr>
                <w:noProof/>
              </w:rPr>
            </w:pPr>
          </w:p>
          <w:p w:rsidR="00333A1A" w:rsidRDefault="00333A1A">
            <w:pPr>
              <w:rPr>
                <w:noProof/>
              </w:rPr>
            </w:pPr>
          </w:p>
          <w:p w:rsidR="00333A1A" w:rsidRDefault="00333A1A">
            <w:pPr>
              <w:rPr>
                <w:noProof/>
              </w:rPr>
            </w:pPr>
          </w:p>
          <w:p w:rsidR="00333A1A" w:rsidRDefault="003D29C9">
            <w:pPr>
              <w:rPr>
                <w:noProof/>
              </w:rPr>
            </w:pPr>
            <w:r>
              <w:rPr>
                <w:noProof/>
                <w:u w:val="single"/>
              </w:rPr>
              <w:t>ECO 4.</w:t>
            </w:r>
            <w:r>
              <w:rPr>
                <w:noProof/>
              </w:rPr>
              <w:t xml:space="preserve"> Productivity and efficiency gains</w:t>
            </w:r>
          </w:p>
          <w:p w:rsidR="00333A1A" w:rsidRDefault="00333A1A">
            <w:pPr>
              <w:rPr>
                <w:noProof/>
              </w:rPr>
            </w:pPr>
          </w:p>
          <w:p w:rsidR="00333A1A" w:rsidRDefault="003D29C9">
            <w:pPr>
              <w:rPr>
                <w:noProof/>
              </w:rPr>
            </w:pPr>
            <w:r>
              <w:rPr>
                <w:noProof/>
                <w:u w:val="single"/>
              </w:rPr>
              <w:t>ECO 5.</w:t>
            </w:r>
            <w:r>
              <w:rPr>
                <w:noProof/>
              </w:rPr>
              <w:t xml:space="preserve"> Demand</w:t>
            </w:r>
            <w:r>
              <w:rPr>
                <w:noProof/>
              </w:rPr>
              <w:t>-driven production models</w:t>
            </w:r>
          </w:p>
          <w:p w:rsidR="00333A1A" w:rsidRDefault="00333A1A">
            <w:pPr>
              <w:rPr>
                <w:noProof/>
              </w:rPr>
            </w:pPr>
          </w:p>
          <w:p w:rsidR="00333A1A" w:rsidRDefault="003D29C9">
            <w:pPr>
              <w:rPr>
                <w:noProof/>
              </w:rPr>
            </w:pPr>
            <w:r>
              <w:rPr>
                <w:noProof/>
                <w:u w:val="single"/>
              </w:rPr>
              <w:t>ECO 6.</w:t>
            </w:r>
            <w:r>
              <w:rPr>
                <w:noProof/>
              </w:rPr>
              <w:t xml:space="preserve"> Add value to agricultural products</w:t>
            </w:r>
          </w:p>
          <w:p w:rsidR="00333A1A" w:rsidRDefault="00333A1A">
            <w:pPr>
              <w:rPr>
                <w:noProof/>
              </w:rPr>
            </w:pPr>
          </w:p>
        </w:tc>
      </w:tr>
      <w:tr w:rsidR="00333A1A">
        <w:tc>
          <w:tcPr>
            <w:tcW w:w="1457" w:type="dxa"/>
          </w:tcPr>
          <w:p w:rsidR="00333A1A" w:rsidRDefault="003D29C9">
            <w:pPr>
              <w:rPr>
                <w:noProof/>
              </w:rPr>
            </w:pPr>
            <w:r>
              <w:rPr>
                <w:noProof/>
              </w:rPr>
              <w:t>SDG 13</w:t>
            </w:r>
          </w:p>
          <w:p w:rsidR="00333A1A" w:rsidRDefault="003D29C9">
            <w:pPr>
              <w:rPr>
                <w:noProof/>
              </w:rPr>
            </w:pPr>
            <w:r>
              <w:rPr>
                <w:noProof/>
              </w:rPr>
              <w:t>Climate action</w:t>
            </w:r>
          </w:p>
        </w:tc>
        <w:tc>
          <w:tcPr>
            <w:tcW w:w="4761" w:type="dxa"/>
          </w:tcPr>
          <w:p w:rsidR="00333A1A" w:rsidRDefault="003D29C9">
            <w:pPr>
              <w:rPr>
                <w:noProof/>
                <w:lang w:val="en-US"/>
              </w:rPr>
            </w:pPr>
            <w:r>
              <w:rPr>
                <w:noProof/>
                <w:u w:val="single"/>
              </w:rPr>
              <w:t xml:space="preserve">SDG </w:t>
            </w:r>
            <w:r>
              <w:rPr>
                <w:noProof/>
                <w:u w:val="single"/>
                <w:lang w:val="en-US"/>
              </w:rPr>
              <w:t>13.2</w:t>
            </w:r>
            <w:r>
              <w:rPr>
                <w:noProof/>
                <w:lang w:val="en-US"/>
              </w:rPr>
              <w:t xml:space="preserve"> Integrate </w:t>
            </w:r>
            <w:r>
              <w:rPr>
                <w:b/>
                <w:noProof/>
                <w:lang w:val="en-US"/>
              </w:rPr>
              <w:t>climate change</w:t>
            </w:r>
            <w:r>
              <w:rPr>
                <w:noProof/>
                <w:lang w:val="en-US"/>
              </w:rPr>
              <w:t xml:space="preserve"> measures into national </w:t>
            </w:r>
            <w:r>
              <w:rPr>
                <w:b/>
                <w:noProof/>
                <w:lang w:val="en-US"/>
              </w:rPr>
              <w:t>policies</w:t>
            </w:r>
            <w:r>
              <w:rPr>
                <w:noProof/>
                <w:lang w:val="en-US"/>
              </w:rPr>
              <w:t xml:space="preserve">, strategies and planning </w:t>
            </w:r>
          </w:p>
          <w:p w:rsidR="00333A1A" w:rsidRDefault="00333A1A">
            <w:pPr>
              <w:rPr>
                <w:noProof/>
                <w:lang w:val="en-US"/>
              </w:rPr>
            </w:pPr>
          </w:p>
        </w:tc>
        <w:tc>
          <w:tcPr>
            <w:tcW w:w="3070" w:type="dxa"/>
          </w:tcPr>
          <w:p w:rsidR="00333A1A" w:rsidRDefault="003D29C9">
            <w:pPr>
              <w:rPr>
                <w:noProof/>
              </w:rPr>
            </w:pPr>
            <w:r>
              <w:rPr>
                <w:noProof/>
                <w:u w:val="single"/>
              </w:rPr>
              <w:t>ENV 3.</w:t>
            </w:r>
            <w:r>
              <w:rPr>
                <w:noProof/>
              </w:rPr>
              <w:t xml:space="preserve"> Prevent and reduce GHG emissions</w:t>
            </w:r>
          </w:p>
          <w:p w:rsidR="00333A1A" w:rsidRDefault="00333A1A">
            <w:pPr>
              <w:rPr>
                <w:noProof/>
              </w:rPr>
            </w:pPr>
          </w:p>
          <w:p w:rsidR="00333A1A" w:rsidRDefault="003D29C9">
            <w:pPr>
              <w:rPr>
                <w:noProof/>
              </w:rPr>
            </w:pPr>
            <w:r>
              <w:rPr>
                <w:noProof/>
                <w:u w:val="single"/>
              </w:rPr>
              <w:t>ENV 4.</w:t>
            </w:r>
            <w:r>
              <w:rPr>
                <w:noProof/>
              </w:rPr>
              <w:t xml:space="preserve"> Enhance the adaptation capacity of farms</w:t>
            </w:r>
          </w:p>
          <w:p w:rsidR="00333A1A" w:rsidRDefault="00333A1A">
            <w:pPr>
              <w:rPr>
                <w:noProof/>
              </w:rPr>
            </w:pPr>
          </w:p>
          <w:p w:rsidR="00333A1A" w:rsidRDefault="003D29C9">
            <w:pPr>
              <w:rPr>
                <w:noProof/>
              </w:rPr>
            </w:pPr>
            <w:r>
              <w:rPr>
                <w:noProof/>
                <w:u w:val="single"/>
              </w:rPr>
              <w:t>ENV 9.</w:t>
            </w:r>
            <w:r>
              <w:rPr>
                <w:noProof/>
              </w:rPr>
              <w:t xml:space="preserve"> Increase carbon storage</w:t>
            </w:r>
          </w:p>
          <w:p w:rsidR="00333A1A" w:rsidRDefault="00333A1A">
            <w:pPr>
              <w:rPr>
                <w:noProof/>
                <w:u w:val="single"/>
              </w:rPr>
            </w:pPr>
          </w:p>
        </w:tc>
      </w:tr>
      <w:tr w:rsidR="00333A1A">
        <w:tc>
          <w:tcPr>
            <w:tcW w:w="1457" w:type="dxa"/>
          </w:tcPr>
          <w:p w:rsidR="00333A1A" w:rsidRDefault="003D29C9">
            <w:pPr>
              <w:rPr>
                <w:noProof/>
              </w:rPr>
            </w:pPr>
            <w:r>
              <w:rPr>
                <w:noProof/>
              </w:rPr>
              <w:t>SDG 14</w:t>
            </w:r>
          </w:p>
          <w:p w:rsidR="00333A1A" w:rsidRDefault="003D29C9">
            <w:pPr>
              <w:rPr>
                <w:noProof/>
              </w:rPr>
            </w:pPr>
            <w:r>
              <w:rPr>
                <w:noProof/>
              </w:rPr>
              <w:t>Marine ecosystems</w:t>
            </w:r>
          </w:p>
        </w:tc>
        <w:tc>
          <w:tcPr>
            <w:tcW w:w="4761" w:type="dxa"/>
          </w:tcPr>
          <w:p w:rsidR="00333A1A" w:rsidRDefault="003D29C9">
            <w:pPr>
              <w:rPr>
                <w:noProof/>
              </w:rPr>
            </w:pPr>
            <w:r>
              <w:rPr>
                <w:noProof/>
              </w:rPr>
              <w:t>Not covered</w:t>
            </w:r>
          </w:p>
          <w:p w:rsidR="00333A1A" w:rsidRDefault="003D29C9">
            <w:pPr>
              <w:rPr>
                <w:noProof/>
              </w:rPr>
            </w:pPr>
            <w:r>
              <w:rPr>
                <w:noProof/>
              </w:rPr>
              <w:t xml:space="preserve"> </w:t>
            </w:r>
          </w:p>
        </w:tc>
        <w:tc>
          <w:tcPr>
            <w:tcW w:w="3070" w:type="dxa"/>
          </w:tcPr>
          <w:p w:rsidR="00333A1A" w:rsidRDefault="003D29C9">
            <w:pPr>
              <w:rPr>
                <w:noProof/>
              </w:rPr>
            </w:pPr>
            <w:r>
              <w:rPr>
                <w:noProof/>
              </w:rPr>
              <w:t>Not covered</w:t>
            </w:r>
          </w:p>
        </w:tc>
      </w:tr>
      <w:tr w:rsidR="00333A1A">
        <w:tc>
          <w:tcPr>
            <w:tcW w:w="1457" w:type="dxa"/>
          </w:tcPr>
          <w:p w:rsidR="00333A1A" w:rsidRDefault="003D29C9">
            <w:pPr>
              <w:rPr>
                <w:noProof/>
              </w:rPr>
            </w:pPr>
            <w:r>
              <w:rPr>
                <w:noProof/>
              </w:rPr>
              <w:t>SDG 15</w:t>
            </w:r>
          </w:p>
          <w:p w:rsidR="00333A1A" w:rsidRDefault="003D29C9">
            <w:pPr>
              <w:rPr>
                <w:noProof/>
              </w:rPr>
            </w:pPr>
            <w:r>
              <w:rPr>
                <w:noProof/>
              </w:rPr>
              <w:t>Terrestrial ecosystems</w:t>
            </w:r>
          </w:p>
        </w:tc>
        <w:tc>
          <w:tcPr>
            <w:tcW w:w="4761" w:type="dxa"/>
          </w:tcPr>
          <w:p w:rsidR="00333A1A" w:rsidRDefault="003D29C9">
            <w:pPr>
              <w:rPr>
                <w:noProof/>
                <w:lang w:val="en-US"/>
              </w:rPr>
            </w:pPr>
            <w:r>
              <w:rPr>
                <w:noProof/>
                <w:u w:val="single"/>
              </w:rPr>
              <w:t xml:space="preserve">SDG </w:t>
            </w:r>
            <w:r>
              <w:rPr>
                <w:noProof/>
                <w:u w:val="single"/>
                <w:lang w:val="en-US"/>
              </w:rPr>
              <w:t>15.1</w:t>
            </w:r>
            <w:r>
              <w:rPr>
                <w:noProof/>
                <w:lang w:val="en-US"/>
              </w:rPr>
              <w:t xml:space="preserve"> By 2020, ensure the conservation, restoration and </w:t>
            </w:r>
            <w:r>
              <w:rPr>
                <w:b/>
                <w:noProof/>
                <w:lang w:val="en-US"/>
              </w:rPr>
              <w:t>sustainable use of terrestrial</w:t>
            </w:r>
            <w:r>
              <w:rPr>
                <w:noProof/>
                <w:lang w:val="en-US"/>
              </w:rPr>
              <w:t xml:space="preserve"> and inla</w:t>
            </w:r>
            <w:r>
              <w:rPr>
                <w:noProof/>
                <w:lang w:val="en-US"/>
              </w:rPr>
              <w:t xml:space="preserve">nd freshwater </w:t>
            </w:r>
            <w:r>
              <w:rPr>
                <w:b/>
                <w:noProof/>
                <w:lang w:val="en-US"/>
              </w:rPr>
              <w:t>ecosystems</w:t>
            </w:r>
            <w:r>
              <w:rPr>
                <w:noProof/>
                <w:lang w:val="en-US"/>
              </w:rPr>
              <w:t xml:space="preserve"> and their services, in particular forests, wetlands, mountains and drylands, in line with obligations under international agreements</w:t>
            </w:r>
          </w:p>
          <w:p w:rsidR="00333A1A" w:rsidRDefault="00333A1A">
            <w:pPr>
              <w:rPr>
                <w:noProof/>
                <w:lang w:val="en-US"/>
              </w:rPr>
            </w:pPr>
          </w:p>
          <w:p w:rsidR="00333A1A" w:rsidRDefault="003D29C9">
            <w:pPr>
              <w:rPr>
                <w:noProof/>
                <w:lang w:val="en-US"/>
              </w:rPr>
            </w:pPr>
            <w:r>
              <w:rPr>
                <w:noProof/>
                <w:u w:val="single"/>
                <w:lang w:val="en-US"/>
              </w:rPr>
              <w:t>SDG 15.3</w:t>
            </w:r>
            <w:r>
              <w:rPr>
                <w:noProof/>
                <w:lang w:val="en-US"/>
              </w:rPr>
              <w:t xml:space="preserve"> By 2030, combat desertification, restore </w:t>
            </w:r>
            <w:r>
              <w:rPr>
                <w:b/>
                <w:noProof/>
                <w:lang w:val="en-US"/>
              </w:rPr>
              <w:t>degraded land and soil</w:t>
            </w:r>
            <w:r>
              <w:rPr>
                <w:noProof/>
                <w:lang w:val="en-US"/>
              </w:rPr>
              <w:t>, including land affected</w:t>
            </w:r>
            <w:r>
              <w:rPr>
                <w:noProof/>
                <w:lang w:val="en-US"/>
              </w:rPr>
              <w:t xml:space="preserve"> by desertification, drought and floods, and strive to achieve a land degradation-neutral world </w:t>
            </w:r>
          </w:p>
          <w:p w:rsidR="00333A1A" w:rsidRDefault="00333A1A">
            <w:pPr>
              <w:rPr>
                <w:noProof/>
                <w:lang w:val="en-US"/>
              </w:rPr>
            </w:pPr>
          </w:p>
          <w:p w:rsidR="00333A1A" w:rsidRDefault="003D29C9">
            <w:pPr>
              <w:rPr>
                <w:noProof/>
                <w:lang w:val="en-US"/>
              </w:rPr>
            </w:pPr>
            <w:r>
              <w:rPr>
                <w:noProof/>
                <w:u w:val="single"/>
                <w:lang w:val="en-US"/>
              </w:rPr>
              <w:t>SDG 15.5</w:t>
            </w:r>
            <w:r>
              <w:rPr>
                <w:noProof/>
                <w:lang w:val="en-US"/>
              </w:rPr>
              <w:t xml:space="preserve"> Take urgent and significant action to reduce the </w:t>
            </w:r>
            <w:r>
              <w:rPr>
                <w:b/>
                <w:noProof/>
                <w:lang w:val="en-US"/>
              </w:rPr>
              <w:t>degradation of natural habitats</w:t>
            </w:r>
            <w:r>
              <w:rPr>
                <w:noProof/>
                <w:lang w:val="en-US"/>
              </w:rPr>
              <w:t xml:space="preserve">, halt the </w:t>
            </w:r>
            <w:r>
              <w:rPr>
                <w:b/>
                <w:noProof/>
                <w:lang w:val="en-US"/>
              </w:rPr>
              <w:t>loss of biodiversity</w:t>
            </w:r>
            <w:r>
              <w:rPr>
                <w:noProof/>
                <w:lang w:val="en-US"/>
              </w:rPr>
              <w:t xml:space="preserve"> and, by 2020, protect and prevent the</w:t>
            </w:r>
            <w:r>
              <w:rPr>
                <w:noProof/>
                <w:lang w:val="en-US"/>
              </w:rPr>
              <w:t xml:space="preserve"> extinction of threatened species </w:t>
            </w:r>
          </w:p>
          <w:p w:rsidR="00333A1A" w:rsidRDefault="00333A1A">
            <w:pPr>
              <w:rPr>
                <w:noProof/>
                <w:lang w:val="en-US"/>
              </w:rPr>
            </w:pPr>
          </w:p>
        </w:tc>
        <w:tc>
          <w:tcPr>
            <w:tcW w:w="3070" w:type="dxa"/>
          </w:tcPr>
          <w:p w:rsidR="00333A1A" w:rsidRDefault="003D29C9">
            <w:pPr>
              <w:rPr>
                <w:noProof/>
              </w:rPr>
            </w:pPr>
            <w:r>
              <w:rPr>
                <w:noProof/>
                <w:u w:val="single"/>
              </w:rPr>
              <w:t>ENV 10.</w:t>
            </w:r>
            <w:r>
              <w:rPr>
                <w:noProof/>
              </w:rPr>
              <w:t xml:space="preserve"> Maintain and improve culturally valued landscapes (including HNV Farming).</w:t>
            </w:r>
          </w:p>
          <w:p w:rsidR="00333A1A" w:rsidRDefault="003D29C9">
            <w:pPr>
              <w:rPr>
                <w:noProof/>
                <w:u w:val="single"/>
              </w:rPr>
            </w:pPr>
            <w:r>
              <w:rPr>
                <w:i/>
                <w:noProof/>
              </w:rPr>
              <w:t>Indicators</w:t>
            </w:r>
            <w:r>
              <w:rPr>
                <w:noProof/>
              </w:rPr>
              <w:t>: Landscape diversity index; Share (%) of HNV farming</w:t>
            </w:r>
            <w:r>
              <w:rPr>
                <w:noProof/>
                <w:u w:val="single"/>
              </w:rPr>
              <w:t xml:space="preserve"> </w:t>
            </w:r>
          </w:p>
          <w:p w:rsidR="00333A1A" w:rsidRDefault="00333A1A">
            <w:pPr>
              <w:rPr>
                <w:noProof/>
                <w:u w:val="single"/>
              </w:rPr>
            </w:pPr>
          </w:p>
          <w:p w:rsidR="00333A1A" w:rsidRDefault="00333A1A">
            <w:pPr>
              <w:rPr>
                <w:noProof/>
                <w:u w:val="single"/>
              </w:rPr>
            </w:pPr>
          </w:p>
          <w:p w:rsidR="00333A1A" w:rsidRDefault="003D29C9">
            <w:pPr>
              <w:rPr>
                <w:noProof/>
                <w:lang w:val="fr-BE"/>
              </w:rPr>
            </w:pPr>
            <w:r>
              <w:rPr>
                <w:noProof/>
                <w:u w:val="single"/>
                <w:lang w:val="fr-BE"/>
              </w:rPr>
              <w:t>ENV 6.</w:t>
            </w:r>
            <w:r>
              <w:rPr>
                <w:noProof/>
                <w:lang w:val="fr-BE"/>
              </w:rPr>
              <w:t xml:space="preserve"> Improve soil condition</w:t>
            </w:r>
          </w:p>
          <w:p w:rsidR="00333A1A" w:rsidRDefault="00333A1A">
            <w:pPr>
              <w:rPr>
                <w:noProof/>
                <w:lang w:val="fr-BE"/>
              </w:rPr>
            </w:pPr>
          </w:p>
          <w:p w:rsidR="00333A1A" w:rsidRDefault="003D29C9">
            <w:pPr>
              <w:rPr>
                <w:noProof/>
              </w:rPr>
            </w:pPr>
            <w:r>
              <w:rPr>
                <w:noProof/>
                <w:u w:val="single"/>
                <w:lang w:val="fr-BE"/>
              </w:rPr>
              <w:t>ENV 9.</w:t>
            </w:r>
            <w:r>
              <w:rPr>
                <w:noProof/>
                <w:lang w:val="fr-BE"/>
              </w:rPr>
              <w:t xml:space="preserve"> </w:t>
            </w:r>
            <w:r>
              <w:rPr>
                <w:noProof/>
              </w:rPr>
              <w:t>Increase carbon storage</w:t>
            </w:r>
          </w:p>
          <w:p w:rsidR="00333A1A" w:rsidRDefault="00333A1A">
            <w:pPr>
              <w:rPr>
                <w:noProof/>
                <w:u w:val="single"/>
              </w:rPr>
            </w:pPr>
          </w:p>
          <w:p w:rsidR="00333A1A" w:rsidRDefault="00333A1A">
            <w:pPr>
              <w:rPr>
                <w:noProof/>
                <w:u w:val="single"/>
              </w:rPr>
            </w:pPr>
          </w:p>
          <w:p w:rsidR="00333A1A" w:rsidRDefault="003D29C9">
            <w:pPr>
              <w:rPr>
                <w:noProof/>
              </w:rPr>
            </w:pPr>
            <w:r>
              <w:rPr>
                <w:noProof/>
                <w:u w:val="single"/>
              </w:rPr>
              <w:t>ENV 8</w:t>
            </w:r>
            <w:r>
              <w:rPr>
                <w:noProof/>
              </w:rPr>
              <w:t>.</w:t>
            </w:r>
            <w:r>
              <w:rPr>
                <w:noProof/>
              </w:rPr>
              <w:t xml:space="preserve"> Improve farm and forest biodiversity</w:t>
            </w:r>
          </w:p>
          <w:p w:rsidR="00333A1A" w:rsidRDefault="00333A1A">
            <w:pPr>
              <w:rPr>
                <w:noProof/>
              </w:rPr>
            </w:pPr>
          </w:p>
          <w:p w:rsidR="00333A1A" w:rsidRDefault="00333A1A">
            <w:pPr>
              <w:rPr>
                <w:noProof/>
              </w:rPr>
            </w:pPr>
          </w:p>
        </w:tc>
      </w:tr>
      <w:tr w:rsidR="00333A1A">
        <w:tc>
          <w:tcPr>
            <w:tcW w:w="1457" w:type="dxa"/>
          </w:tcPr>
          <w:p w:rsidR="00333A1A" w:rsidRDefault="003D29C9">
            <w:pPr>
              <w:rPr>
                <w:noProof/>
              </w:rPr>
            </w:pPr>
            <w:r>
              <w:rPr>
                <w:noProof/>
              </w:rPr>
              <w:t>SDG 16</w:t>
            </w:r>
          </w:p>
          <w:p w:rsidR="00333A1A" w:rsidRDefault="003D29C9">
            <w:pPr>
              <w:rPr>
                <w:noProof/>
              </w:rPr>
            </w:pPr>
            <w:r>
              <w:rPr>
                <w:noProof/>
              </w:rPr>
              <w:t>Peace and governance</w:t>
            </w:r>
          </w:p>
        </w:tc>
        <w:tc>
          <w:tcPr>
            <w:tcW w:w="4761" w:type="dxa"/>
          </w:tcPr>
          <w:p w:rsidR="00333A1A" w:rsidRDefault="003D29C9">
            <w:pPr>
              <w:rPr>
                <w:noProof/>
              </w:rPr>
            </w:pPr>
            <w:r>
              <w:rPr>
                <w:noProof/>
              </w:rPr>
              <w:t>Not covered</w:t>
            </w:r>
          </w:p>
          <w:p w:rsidR="00333A1A" w:rsidRDefault="00333A1A">
            <w:pPr>
              <w:rPr>
                <w:noProof/>
              </w:rPr>
            </w:pPr>
          </w:p>
        </w:tc>
        <w:tc>
          <w:tcPr>
            <w:tcW w:w="3070" w:type="dxa"/>
          </w:tcPr>
          <w:p w:rsidR="00333A1A" w:rsidRDefault="003D29C9">
            <w:pPr>
              <w:rPr>
                <w:noProof/>
              </w:rPr>
            </w:pPr>
            <w:r>
              <w:rPr>
                <w:noProof/>
              </w:rPr>
              <w:t>Not covered</w:t>
            </w:r>
          </w:p>
          <w:p w:rsidR="00333A1A" w:rsidRDefault="00333A1A">
            <w:pPr>
              <w:rPr>
                <w:noProof/>
              </w:rPr>
            </w:pPr>
          </w:p>
        </w:tc>
      </w:tr>
      <w:tr w:rsidR="00333A1A">
        <w:trPr>
          <w:trHeight w:val="1033"/>
        </w:trPr>
        <w:tc>
          <w:tcPr>
            <w:tcW w:w="1457" w:type="dxa"/>
          </w:tcPr>
          <w:p w:rsidR="00333A1A" w:rsidRDefault="003D29C9">
            <w:pPr>
              <w:rPr>
                <w:noProof/>
              </w:rPr>
            </w:pPr>
            <w:r>
              <w:rPr>
                <w:noProof/>
              </w:rPr>
              <w:t>SDG 17</w:t>
            </w:r>
          </w:p>
          <w:p w:rsidR="00333A1A" w:rsidRDefault="003D29C9">
            <w:pPr>
              <w:rPr>
                <w:noProof/>
              </w:rPr>
            </w:pPr>
            <w:r>
              <w:rPr>
                <w:noProof/>
              </w:rPr>
              <w:t>Partnership</w:t>
            </w:r>
          </w:p>
        </w:tc>
        <w:tc>
          <w:tcPr>
            <w:tcW w:w="4761" w:type="dxa"/>
          </w:tcPr>
          <w:p w:rsidR="00333A1A" w:rsidRDefault="003D29C9">
            <w:pPr>
              <w:rPr>
                <w:noProof/>
                <w:u w:val="single"/>
                <w:lang w:val="en-US"/>
              </w:rPr>
            </w:pPr>
            <w:r>
              <w:rPr>
                <w:noProof/>
                <w:u w:val="single"/>
              </w:rPr>
              <w:t xml:space="preserve">SDG </w:t>
            </w:r>
            <w:r>
              <w:rPr>
                <w:noProof/>
                <w:u w:val="single"/>
                <w:lang w:val="en-US"/>
              </w:rPr>
              <w:t xml:space="preserve">17.14 </w:t>
            </w:r>
            <w:r>
              <w:rPr>
                <w:noProof/>
                <w:lang w:val="en-US"/>
              </w:rPr>
              <w:t xml:space="preserve">Enhance </w:t>
            </w:r>
            <w:r>
              <w:rPr>
                <w:b/>
                <w:noProof/>
                <w:lang w:val="en-US"/>
              </w:rPr>
              <w:t>policy coherence</w:t>
            </w:r>
            <w:r>
              <w:rPr>
                <w:noProof/>
                <w:lang w:val="en-US"/>
              </w:rPr>
              <w:t xml:space="preserve"> for </w:t>
            </w:r>
            <w:r>
              <w:rPr>
                <w:b/>
                <w:noProof/>
                <w:lang w:val="en-US"/>
              </w:rPr>
              <w:t>sustainable</w:t>
            </w:r>
            <w:r>
              <w:rPr>
                <w:noProof/>
                <w:lang w:val="en-US"/>
              </w:rPr>
              <w:t xml:space="preserve"> development</w:t>
            </w:r>
            <w:r>
              <w:rPr>
                <w:noProof/>
                <w:u w:val="single"/>
                <w:lang w:val="en-US"/>
              </w:rPr>
              <w:t xml:space="preserve"> </w:t>
            </w:r>
          </w:p>
          <w:p w:rsidR="00333A1A" w:rsidRDefault="00333A1A">
            <w:pPr>
              <w:rPr>
                <w:noProof/>
              </w:rPr>
            </w:pPr>
          </w:p>
        </w:tc>
        <w:tc>
          <w:tcPr>
            <w:tcW w:w="3070" w:type="dxa"/>
          </w:tcPr>
          <w:p w:rsidR="00333A1A" w:rsidRDefault="003D29C9">
            <w:pPr>
              <w:rPr>
                <w:noProof/>
              </w:rPr>
            </w:pPr>
            <w:r>
              <w:rPr>
                <w:noProof/>
              </w:rPr>
              <w:t>Coherence ensured by having sustainability as cross-cutting objective</w:t>
            </w:r>
          </w:p>
        </w:tc>
      </w:tr>
    </w:tbl>
    <w:p w:rsidR="00333A1A" w:rsidRDefault="00333A1A">
      <w:pPr>
        <w:jc w:val="both"/>
        <w:rPr>
          <w:noProof/>
        </w:rPr>
      </w:pPr>
    </w:p>
    <w:p w:rsidR="00333A1A" w:rsidRDefault="003D29C9">
      <w:pPr>
        <w:rPr>
          <w:noProof/>
        </w:rPr>
      </w:pPr>
      <w:r>
        <w:rPr>
          <w:noProof/>
        </w:rPr>
        <w:br w:type="page"/>
      </w:r>
    </w:p>
    <w:p w:rsidR="00333A1A" w:rsidRDefault="003D29C9">
      <w:pPr>
        <w:pStyle w:val="AnnexTitle"/>
        <w:rPr>
          <w:noProof/>
        </w:rPr>
      </w:pPr>
      <w:bookmarkStart w:id="84" w:name="_Toc513053268"/>
      <w:bookmarkStart w:id="85" w:name="_Toc513053484"/>
      <w:bookmarkStart w:id="86" w:name="_Toc514514615"/>
      <w:r>
        <w:rPr>
          <w:noProof/>
        </w:rPr>
        <w:t>Annex 5.1 Policy options for the IA</w:t>
      </w:r>
      <w:bookmarkEnd w:id="84"/>
      <w:bookmarkEnd w:id="85"/>
      <w:bookmarkEnd w:id="86"/>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Options were developed to test how EU objectives can be best met while reflecting broad ideas of the ongoing public debate. Some elements are common to all options: the budgetary framework and the delivery model, as well</w:t>
      </w:r>
      <w:r>
        <w:rPr>
          <w:rFonts w:ascii="Times New Roman" w:hAnsi="Times New Roman" w:cs="Times New Roman"/>
          <w:noProof/>
          <w:sz w:val="24"/>
          <w:szCs w:val="24"/>
        </w:rPr>
        <w:t xml:space="preserve"> as market measures, competition provisions and the basic layer of conditionality.</w:t>
      </w:r>
    </w:p>
    <w:p w:rsidR="00333A1A" w:rsidRDefault="003D29C9">
      <w:pPr>
        <w:pStyle w:val="Heading1"/>
        <w:numPr>
          <w:ilvl w:val="0"/>
          <w:numId w:val="38"/>
        </w:numPr>
        <w:rPr>
          <w:noProof/>
        </w:rPr>
      </w:pPr>
      <w:bookmarkStart w:id="87" w:name="_Toc508297446"/>
      <w:bookmarkStart w:id="88" w:name="_Toc513053269"/>
      <w:bookmarkStart w:id="89" w:name="_Toc513053485"/>
      <w:bookmarkStart w:id="90" w:name="_Toc514514616"/>
      <w:r>
        <w:rPr>
          <w:noProof/>
        </w:rPr>
        <w:t>Elements common to all options</w:t>
      </w:r>
      <w:bookmarkEnd w:id="87"/>
      <w:bookmarkEnd w:id="88"/>
      <w:bookmarkEnd w:id="89"/>
      <w:bookmarkEnd w:id="90"/>
    </w:p>
    <w:p w:rsidR="00333A1A" w:rsidRDefault="003D29C9">
      <w:pPr>
        <w:pStyle w:val="Heading2"/>
        <w:rPr>
          <w:noProof/>
        </w:rPr>
      </w:pPr>
      <w:bookmarkStart w:id="91" w:name="_Toc508297447"/>
      <w:bookmarkStart w:id="92" w:name="_Toc513053270"/>
      <w:bookmarkStart w:id="93" w:name="_Toc513053486"/>
      <w:bookmarkStart w:id="94" w:name="_Toc514514617"/>
      <w:r>
        <w:rPr>
          <w:noProof/>
        </w:rPr>
        <w:t>Budgetary framework</w:t>
      </w:r>
      <w:bookmarkEnd w:id="91"/>
      <w:bookmarkEnd w:id="92"/>
      <w:bookmarkEnd w:id="93"/>
      <w:bookmarkEnd w:id="94"/>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budgetary assumptions reflect MS envelopes at the end of the current financial period, and treat the currently applied</w:t>
      </w:r>
      <w:r>
        <w:rPr>
          <w:rFonts w:ascii="Times New Roman" w:hAnsi="Times New Roman" w:cs="Times New Roman"/>
          <w:noProof/>
          <w:sz w:val="24"/>
          <w:szCs w:val="24"/>
        </w:rPr>
        <w:t xml:space="preserve"> flexibility between pillars as revealing MS policy preferences. External convergence is tested by assessing the potential consequences of an EU flat rate payment.</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all options, the budgetary envelopes were determined by assuming that the consequences o</w:t>
      </w:r>
      <w:r>
        <w:rPr>
          <w:rFonts w:ascii="Times New Roman" w:hAnsi="Times New Roman" w:cs="Times New Roman"/>
          <w:noProof/>
          <w:sz w:val="24"/>
          <w:szCs w:val="24"/>
        </w:rPr>
        <w:t>f Brexit translate into an 8.9% reduction in CAP budget. With a constant budget for market measures retained, the reduction in direct support would reach 10%, and is applied linearly to all interventions in the Post Brexit baseline option. In the other opt</w:t>
      </w:r>
      <w:r>
        <w:rPr>
          <w:rFonts w:ascii="Times New Roman" w:hAnsi="Times New Roman" w:cs="Times New Roman"/>
          <w:noProof/>
          <w:sz w:val="24"/>
          <w:szCs w:val="24"/>
        </w:rPr>
        <w:t>ions, the distribution of the reduced envelope reflects changes in policy priorities.</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current architecture of 2 pillars (and 2 funds) is kept for all options, but CAP strategic plans are meant to cover interventions in both pillars. The option design i</w:t>
      </w:r>
      <w:r>
        <w:rPr>
          <w:rFonts w:ascii="Times New Roman" w:hAnsi="Times New Roman" w:cs="Times New Roman"/>
          <w:noProof/>
          <w:sz w:val="24"/>
          <w:szCs w:val="24"/>
        </w:rPr>
        <w:t>mplies a partial transfer of funds from direct payments to risk management tools. MS may decide to opt for other transfers between pillars. In this IA framework the eco-scheme (an incentive scheme to adopt agricultural practices beneficial to environment a</w:t>
      </w:r>
      <w:r>
        <w:rPr>
          <w:rFonts w:ascii="Times New Roman" w:hAnsi="Times New Roman" w:cs="Times New Roman"/>
          <w:noProof/>
          <w:sz w:val="24"/>
          <w:szCs w:val="24"/>
        </w:rPr>
        <w:t>nd climate) is mainly tested under pillar I, with the support to areas with natural constraints (ANC), currently mainly under pillar II, provided under pillar I in one of the options.</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National co-financing of direct payments was assessed separately and is </w:t>
      </w:r>
      <w:r>
        <w:rPr>
          <w:rFonts w:ascii="Times New Roman" w:hAnsi="Times New Roman" w:cs="Times New Roman"/>
          <w:noProof/>
          <w:sz w:val="24"/>
          <w:szCs w:val="24"/>
        </w:rPr>
        <w:t>not specifically addressed in the different options, except in the case of ANC; should MS priorities lead to a reduction in EU funding in pillar II for ANC, it is assumed that national contributions would compensate farmers in areas with reduced support.</w:t>
      </w:r>
    </w:p>
    <w:p w:rsidR="00333A1A" w:rsidRDefault="003D29C9">
      <w:pPr>
        <w:pStyle w:val="Heading2"/>
        <w:rPr>
          <w:noProof/>
        </w:rPr>
      </w:pPr>
      <w:bookmarkStart w:id="95" w:name="_Toc508297448"/>
      <w:bookmarkStart w:id="96" w:name="_Toc513053271"/>
      <w:bookmarkStart w:id="97" w:name="_Toc513053487"/>
      <w:bookmarkStart w:id="98" w:name="_Toc514514618"/>
      <w:r>
        <w:rPr>
          <w:noProof/>
        </w:rPr>
        <w:t>D</w:t>
      </w:r>
      <w:r>
        <w:rPr>
          <w:noProof/>
        </w:rPr>
        <w:t>elivery model and planning</w:t>
      </w:r>
      <w:bookmarkEnd w:id="95"/>
      <w:bookmarkEnd w:id="96"/>
      <w:bookmarkEnd w:id="97"/>
      <w:bookmarkEnd w:id="98"/>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All options reflect the greater subsidiarity given to MS to plan CAP interventions against EU objectives and to shift from compliance to performance. Since MS potential choices in their future CAP Strategic Plans are not yet know</w:t>
      </w:r>
      <w:r>
        <w:rPr>
          <w:rFonts w:ascii="Times New Roman" w:hAnsi="Times New Roman" w:cs="Times New Roman"/>
          <w:noProof/>
          <w:sz w:val="24"/>
          <w:szCs w:val="24"/>
        </w:rPr>
        <w:t>n, options illustrate different ways to achieve these objectives, more particularly in terms of environmental performance as well as for support for targeting and re-distribution. In addition, options were designed to test the differences between voluntary</w:t>
      </w:r>
      <w:r>
        <w:rPr>
          <w:rFonts w:ascii="Times New Roman" w:hAnsi="Times New Roman" w:cs="Times New Roman"/>
          <w:noProof/>
          <w:sz w:val="24"/>
          <w:szCs w:val="24"/>
        </w:rPr>
        <w:t xml:space="preserve"> and mandatory (conditionality) approaches to achieve higher environmental sustainability. Finally, sub-options were defined to reflect possible differences mainly in MS environmental ambition as well as for climate action. This enables assessing a potenti</w:t>
      </w:r>
      <w:r>
        <w:rPr>
          <w:rFonts w:ascii="Times New Roman" w:hAnsi="Times New Roman" w:cs="Times New Roman"/>
          <w:noProof/>
          <w:sz w:val="24"/>
          <w:szCs w:val="24"/>
        </w:rPr>
        <w:t xml:space="preserve">al range of impacts and informing proposals for the new delivery model. </w:t>
      </w:r>
    </w:p>
    <w:p w:rsidR="00333A1A" w:rsidRDefault="003D29C9">
      <w:pPr>
        <w:pStyle w:val="Heading2"/>
        <w:rPr>
          <w:noProof/>
        </w:rPr>
      </w:pPr>
      <w:bookmarkStart w:id="99" w:name="_Toc508297449"/>
      <w:bookmarkStart w:id="100" w:name="_Toc513053272"/>
      <w:bookmarkStart w:id="101" w:name="_Toc513053488"/>
      <w:bookmarkStart w:id="102" w:name="_Toc514514619"/>
      <w:r>
        <w:rPr>
          <w:noProof/>
        </w:rPr>
        <w:t>Knowledge, innovation and technology</w:t>
      </w:r>
      <w:bookmarkEnd w:id="99"/>
      <w:bookmarkEnd w:id="100"/>
      <w:bookmarkEnd w:id="101"/>
      <w:bookmarkEnd w:id="102"/>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Higher environmental ambition of the CAP cannot be reached without strong support for knowledge, innovation and technology. Moreover, social innov</w:t>
      </w:r>
      <w:r>
        <w:rPr>
          <w:rFonts w:ascii="Times New Roman" w:hAnsi="Times New Roman" w:cs="Times New Roman"/>
          <w:noProof/>
          <w:sz w:val="24"/>
          <w:szCs w:val="24"/>
        </w:rPr>
        <w:t>ation and the development of services and infrastructure in rural areas (including Information Communication Technologies) are key elements in the promotion of rural vitality, growth and jobs.</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Therefore all options reflect a higher emphasis on advice, know</w:t>
      </w:r>
      <w:r>
        <w:rPr>
          <w:rFonts w:ascii="Times New Roman" w:hAnsi="Times New Roman" w:cs="Times New Roman"/>
          <w:noProof/>
          <w:sz w:val="24"/>
          <w:szCs w:val="24"/>
        </w:rPr>
        <w:t xml:space="preserve">ledge transfer and cooperation and promote integrated approaches. The integration of advisors into innovation networks, coordination of the European Innovation Partnership for Agricultural Productivity and Sustainability (EIP-AGRI) and LEADER, integration </w:t>
      </w:r>
      <w:r>
        <w:rPr>
          <w:rFonts w:ascii="Times New Roman" w:hAnsi="Times New Roman" w:cs="Times New Roman"/>
          <w:noProof/>
          <w:sz w:val="24"/>
          <w:szCs w:val="24"/>
        </w:rPr>
        <w:t>of the farm advisory services (FAS and AKIS</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within the EIP and CAP networks, all should allow the development of pilot schemes addressing EU objectives (e.g. carbon initiatives, sustainability assessments…).</w:t>
      </w:r>
    </w:p>
    <w:p w:rsidR="00333A1A" w:rsidRDefault="003D29C9">
      <w:pPr>
        <w:pStyle w:val="Heading2"/>
        <w:rPr>
          <w:noProof/>
        </w:rPr>
      </w:pPr>
      <w:bookmarkStart w:id="103" w:name="_Toc508297450"/>
      <w:bookmarkStart w:id="104" w:name="_Toc513053273"/>
      <w:bookmarkStart w:id="105" w:name="_Toc513053489"/>
      <w:bookmarkStart w:id="106" w:name="_Toc514514620"/>
      <w:r>
        <w:rPr>
          <w:noProof/>
        </w:rPr>
        <w:t>Market-related measures</w:t>
      </w:r>
      <w:bookmarkEnd w:id="103"/>
      <w:bookmarkEnd w:id="104"/>
      <w:bookmarkEnd w:id="105"/>
      <w:bookmarkEnd w:id="106"/>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set of changes was i</w:t>
      </w:r>
      <w:r>
        <w:rPr>
          <w:rFonts w:ascii="Times New Roman" w:hAnsi="Times New Roman" w:cs="Times New Roman"/>
          <w:noProof/>
          <w:sz w:val="24"/>
          <w:szCs w:val="24"/>
        </w:rPr>
        <w:t>ntroduced in the competition provisions of the Common Market Organisation (CMO) Regulation in the OMNIBUS regulation. The position of producer organisations (POs) was strengthened, and farmers were provided with the right to ask for a written contract, unl</w:t>
      </w:r>
      <w:r>
        <w:rPr>
          <w:rFonts w:ascii="Times New Roman" w:hAnsi="Times New Roman" w:cs="Times New Roman"/>
          <w:noProof/>
          <w:sz w:val="24"/>
          <w:szCs w:val="24"/>
        </w:rPr>
        <w:t>ess their trading partner is a SME. These provisions entered into force on 1 January 2018, and no further changes are tested in the IA. What slightly distinguishes the different options is the degree of emphasis on interventions promoting competitiveness (</w:t>
      </w:r>
      <w:r>
        <w:rPr>
          <w:rFonts w:ascii="Times New Roman" w:hAnsi="Times New Roman" w:cs="Times New Roman"/>
          <w:noProof/>
          <w:sz w:val="24"/>
          <w:szCs w:val="24"/>
        </w:rPr>
        <w:t>including setting up POs).</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Moreover, the existing sectorial programmes (for fruits and vegetables, wine and apiculture) are included in the CAP strategic plans to optimise the potential of these tools to contribute to increase EU competitiveness and </w:t>
      </w:r>
      <w:r>
        <w:rPr>
          <w:rFonts w:ascii="Times New Roman" w:hAnsi="Times New Roman" w:cs="Times New Roman"/>
          <w:noProof/>
          <w:sz w:val="24"/>
          <w:szCs w:val="24"/>
        </w:rPr>
        <w:t>improve farmers' position in the value chain. This integration can improve the targeting of the measures to EU priorities (resilience, environmental and climate action, smart farming, innovation…).</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options include various assumptions for risk mana</w:t>
      </w:r>
      <w:r>
        <w:rPr>
          <w:rFonts w:ascii="Times New Roman" w:hAnsi="Times New Roman" w:cs="Times New Roman"/>
          <w:noProof/>
          <w:sz w:val="24"/>
          <w:szCs w:val="24"/>
        </w:rPr>
        <w:t>gement, as specified thereafter.</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Specific measures for agriculture have been implemented in Outermost Regions through the POSEI scheme (Programme of options specific to the remote and insular nature of the outermost regions)</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In its report</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presented in December 2016 after an external evaluation of the scheme, the Commission concluded that POSEI appears critical to maintaining the agricultural production in these regions and to ensure a sufficient supply in agricultural products. The Communi</w:t>
      </w:r>
      <w:r>
        <w:rPr>
          <w:rFonts w:ascii="Times New Roman" w:hAnsi="Times New Roman" w:cs="Times New Roman"/>
          <w:noProof/>
          <w:sz w:val="24"/>
          <w:szCs w:val="24"/>
        </w:rPr>
        <w:t>cation adopted on 24 October 2017 on the strategy for outermost regions</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stated, as regards CAP measures: "The Commission will seek the continuation of the POSEI Regulation, without prejudice to the negotiations foreseen for the future multiannual financi</w:t>
      </w:r>
      <w:r>
        <w:rPr>
          <w:rFonts w:ascii="Times New Roman" w:hAnsi="Times New Roman" w:cs="Times New Roman"/>
          <w:noProof/>
          <w:sz w:val="24"/>
          <w:szCs w:val="24"/>
        </w:rPr>
        <w:t>al framework, and seek to maintain specific provisions for the outermost regions in the European Agricultural Fund for Rural Development". Against this background, this impact assessment does not consider any specific change for OR.</w:t>
      </w:r>
    </w:p>
    <w:p w:rsidR="00333A1A" w:rsidRDefault="003D29C9">
      <w:pPr>
        <w:pStyle w:val="Heading2"/>
        <w:rPr>
          <w:noProof/>
        </w:rPr>
      </w:pPr>
      <w:bookmarkStart w:id="107" w:name="_Toc508297451"/>
      <w:bookmarkStart w:id="108" w:name="_Toc513053274"/>
      <w:bookmarkStart w:id="109" w:name="_Toc513053490"/>
      <w:bookmarkStart w:id="110" w:name="_Toc514514621"/>
      <w:r>
        <w:rPr>
          <w:noProof/>
        </w:rPr>
        <w:t>Conditionality and gree</w:t>
      </w:r>
      <w:r>
        <w:rPr>
          <w:noProof/>
        </w:rPr>
        <w:t>n architecture of the CAP</w:t>
      </w:r>
      <w:bookmarkEnd w:id="107"/>
      <w:bookmarkEnd w:id="108"/>
      <w:bookmarkEnd w:id="109"/>
      <w:bookmarkEnd w:id="110"/>
    </w:p>
    <w:p w:rsidR="00333A1A" w:rsidRDefault="003D29C9">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To enhance environmental and climate ambition, all options include changes regarding cross-compliance and greening. Under cross-compliance, farmers face a possible reduction of their CAP support if they do not comply with requirem</w:t>
      </w:r>
      <w:r>
        <w:rPr>
          <w:rFonts w:ascii="Times New Roman" w:hAnsi="Times New Roman" w:cs="Times New Roman"/>
          <w:noProof/>
          <w:sz w:val="24"/>
          <w:szCs w:val="24"/>
        </w:rPr>
        <w:t xml:space="preserve">ents. The </w:t>
      </w:r>
      <w:r>
        <w:rPr>
          <w:rFonts w:ascii="Times New Roman" w:hAnsi="Times New Roman" w:cs="Times New Roman"/>
          <w:b/>
          <w:noProof/>
          <w:sz w:val="24"/>
          <w:szCs w:val="24"/>
        </w:rPr>
        <w:t>new conditionality</w:t>
      </w:r>
      <w:r>
        <w:rPr>
          <w:rFonts w:ascii="Times New Roman" w:hAnsi="Times New Roman" w:cs="Times New Roman"/>
          <w:noProof/>
          <w:sz w:val="24"/>
          <w:szCs w:val="24"/>
        </w:rPr>
        <w:t xml:space="preserve"> includes some additional minimum requirements, applying to all options, and going </w:t>
      </w:r>
      <w:r>
        <w:rPr>
          <w:rFonts w:ascii="Times New Roman" w:hAnsi="Times New Roman" w:cs="Times New Roman"/>
          <w:b/>
          <w:noProof/>
          <w:sz w:val="24"/>
          <w:szCs w:val="24"/>
        </w:rPr>
        <w:t>beyond the current cross-compliance rules</w:t>
      </w:r>
      <w:r>
        <w:rPr>
          <w:rFonts w:ascii="Times New Roman" w:hAnsi="Times New Roman" w:cs="Times New Roman"/>
          <w:noProof/>
          <w:sz w:val="24"/>
          <w:szCs w:val="24"/>
        </w:rPr>
        <w:t xml:space="preserve">. </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additional elements derive mainly from current greening provisions, and aim to overcome some draw</w:t>
      </w:r>
      <w:r>
        <w:rPr>
          <w:rFonts w:ascii="Times New Roman" w:hAnsi="Times New Roman" w:cs="Times New Roman"/>
          <w:noProof/>
          <w:sz w:val="24"/>
          <w:szCs w:val="24"/>
        </w:rPr>
        <w:t>backs identified in previous analyses:</w:t>
      </w:r>
    </w:p>
    <w:p w:rsidR="00333A1A" w:rsidRDefault="003D29C9">
      <w:pPr>
        <w:pStyle w:val="ListParagraph"/>
        <w:numPr>
          <w:ilvl w:val="0"/>
          <w:numId w:val="3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Carbon sequestration</w:t>
      </w:r>
      <w:r>
        <w:rPr>
          <w:rFonts w:ascii="Times New Roman" w:hAnsi="Times New Roman" w:cs="Times New Roman"/>
          <w:noProof/>
          <w:sz w:val="24"/>
          <w:szCs w:val="24"/>
        </w:rPr>
        <w:t>: maintenance of the permanent grassland share in agricultural area at MS/regional level as well as no-ploughing of permanent grasslands in Natura 2000 areas; ban on converting or ploughing wet and</w:t>
      </w:r>
      <w:r>
        <w:rPr>
          <w:rFonts w:ascii="Times New Roman" w:hAnsi="Times New Roman" w:cs="Times New Roman"/>
          <w:noProof/>
          <w:sz w:val="24"/>
          <w:szCs w:val="24"/>
        </w:rPr>
        <w:t xml:space="preserve"> peatlands.</w:t>
      </w:r>
    </w:p>
    <w:p w:rsidR="00333A1A" w:rsidRDefault="003D29C9">
      <w:pPr>
        <w:pStyle w:val="ListParagraph"/>
        <w:numPr>
          <w:ilvl w:val="0"/>
          <w:numId w:val="3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Biodiversity</w:t>
      </w:r>
      <w:r>
        <w:rPr>
          <w:rFonts w:ascii="Times New Roman" w:hAnsi="Times New Roman" w:cs="Times New Roman"/>
          <w:noProof/>
          <w:sz w:val="24"/>
          <w:szCs w:val="24"/>
        </w:rPr>
        <w:t xml:space="preserve">: 3% of UAA dedicated to non-productive elements (landscape features, afforested areas and fallow land); for most MS, it is considered more effective than the current 5% of arable land under ecological focus area; 70% of the latter </w:t>
      </w:r>
      <w:r>
        <w:rPr>
          <w:rFonts w:ascii="Times New Roman" w:hAnsi="Times New Roman" w:cs="Times New Roman"/>
          <w:noProof/>
          <w:sz w:val="24"/>
          <w:szCs w:val="24"/>
        </w:rPr>
        <w:t>currently consists of catch crops and nitrogen-fixing crops, which are deemed less beneficial to biodiversity than landscape elements.</w:t>
      </w:r>
    </w:p>
    <w:p w:rsidR="00333A1A" w:rsidRDefault="003D29C9">
      <w:pPr>
        <w:pStyle w:val="ListParagraph"/>
        <w:numPr>
          <w:ilvl w:val="0"/>
          <w:numId w:val="3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Soil</w:t>
      </w:r>
      <w:r>
        <w:rPr>
          <w:rFonts w:ascii="Times New Roman" w:hAnsi="Times New Roman" w:cs="Times New Roman"/>
          <w:noProof/>
          <w:sz w:val="24"/>
          <w:szCs w:val="24"/>
        </w:rPr>
        <w:t>: simple 2 year crop rotation, more beneficial than the current crop diversification.</w:t>
      </w:r>
    </w:p>
    <w:p w:rsidR="00333A1A" w:rsidRDefault="003D29C9">
      <w:pPr>
        <w:pStyle w:val="ListParagraph"/>
        <w:numPr>
          <w:ilvl w:val="0"/>
          <w:numId w:val="3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Water quality</w:t>
      </w:r>
      <w:r>
        <w:rPr>
          <w:rFonts w:ascii="Times New Roman" w:hAnsi="Times New Roman" w:cs="Times New Roman"/>
          <w:noProof/>
          <w:sz w:val="24"/>
          <w:szCs w:val="24"/>
        </w:rPr>
        <w:t>: the current cros</w:t>
      </w:r>
      <w:r>
        <w:rPr>
          <w:rFonts w:ascii="Times New Roman" w:hAnsi="Times New Roman" w:cs="Times New Roman"/>
          <w:noProof/>
          <w:sz w:val="24"/>
          <w:szCs w:val="24"/>
        </w:rPr>
        <w:t>s-compliance already includes most of the EU statutory rules applying to farming. An extension of the scope is envisaged under future conditionality, for instance the need to have a nutrient management plan is extended to all agricultural zones (i.e. not o</w:t>
      </w:r>
      <w:r>
        <w:rPr>
          <w:rFonts w:ascii="Times New Roman" w:hAnsi="Times New Roman" w:cs="Times New Roman"/>
          <w:noProof/>
          <w:sz w:val="24"/>
          <w:szCs w:val="24"/>
        </w:rPr>
        <w:t>nly in Nitrates vulnerable zones as currently)</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w:t>
      </w:r>
    </w:p>
    <w:p w:rsidR="00333A1A" w:rsidRDefault="003D29C9">
      <w:pPr>
        <w:pStyle w:val="ListParagraph"/>
        <w:numPr>
          <w:ilvl w:val="0"/>
          <w:numId w:val="3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Without exemptions</w:t>
      </w:r>
      <w:r>
        <w:rPr>
          <w:rFonts w:ascii="Times New Roman" w:hAnsi="Times New Roman" w:cs="Times New Roman"/>
          <w:noProof/>
          <w:sz w:val="24"/>
          <w:szCs w:val="24"/>
        </w:rPr>
        <w:t>: in the current greening scheme, various exemptions exist for certain types of farms (e.g. organic) and based on farm area size.</w:t>
      </w:r>
      <w:r>
        <w:rPr>
          <w:rFonts w:ascii="Times New Roman" w:hAnsi="Times New Roman" w:cs="Times New Roman"/>
          <w:noProof/>
          <w:sz w:val="24"/>
          <w:szCs w:val="24"/>
          <w:u w:val="single"/>
        </w:rPr>
        <w:t xml:space="preserve">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Beyond conditionality, MS would have the possibility to op</w:t>
      </w:r>
      <w:r>
        <w:rPr>
          <w:rFonts w:ascii="Times New Roman" w:hAnsi="Times New Roman" w:cs="Times New Roman"/>
          <w:noProof/>
          <w:sz w:val="24"/>
          <w:szCs w:val="24"/>
        </w:rPr>
        <w:t>t for voluntary schemes, based on an incentive approach via an eco-scheme or based on costs incurred and income foregone via agri-environment, climate action and health interventions (AECH).</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xml:space="preserve"> The eco-scheme could be a condition for joining more ambitious A</w:t>
      </w:r>
      <w:r>
        <w:rPr>
          <w:rFonts w:ascii="Times New Roman" w:hAnsi="Times New Roman" w:cs="Times New Roman"/>
          <w:noProof/>
          <w:sz w:val="24"/>
          <w:szCs w:val="24"/>
        </w:rPr>
        <w:t>ECH measures. Environmental top-ups are also tested in this IA (option 5). Starting from an analysis of MS/regional needs and challenges, MS are free to develop the best intervention logic.</w:t>
      </w:r>
      <w:r>
        <w:rPr>
          <w:rStyle w:val="FootnoteReference"/>
          <w:rFonts w:ascii="Times New Roman" w:hAnsi="Times New Roman" w:cs="Times New Roman"/>
          <w:noProof/>
          <w:sz w:val="24"/>
          <w:szCs w:val="24"/>
        </w:rPr>
        <w:footnoteReference w:id="62"/>
      </w:r>
      <w:r>
        <w:rPr>
          <w:rFonts w:ascii="Times New Roman" w:hAnsi="Times New Roman" w:cs="Times New Roman"/>
          <w:noProof/>
          <w:sz w:val="24"/>
          <w:szCs w:val="24"/>
        </w:rPr>
        <w:t xml:space="preserve"> MS could accept that organic farming and potentially other certif</w:t>
      </w:r>
      <w:r>
        <w:rPr>
          <w:rFonts w:ascii="Times New Roman" w:hAnsi="Times New Roman" w:cs="Times New Roman"/>
          <w:noProof/>
          <w:sz w:val="24"/>
          <w:szCs w:val="24"/>
        </w:rPr>
        <w:t>ied schemes (such as agro-ecology, conservation agriculture…) automatically qualify for eco-scheme.</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eco-scheme and AECH schemes are voluntary, and can be granted only to adopt practices beyond regulatory requirements (including conditionality), thus of</w:t>
      </w:r>
      <w:r>
        <w:rPr>
          <w:rFonts w:ascii="Times New Roman" w:hAnsi="Times New Roman" w:cs="Times New Roman"/>
          <w:noProof/>
          <w:sz w:val="24"/>
          <w:szCs w:val="24"/>
        </w:rPr>
        <w:t>fering flexibility to reward farmers addressing specific territorial and sectorial challenges. By contrast, conditionality is compulsory as a tool to enforce the law and any additional requirements set at EU or MS level. It represents the baseline for supp</w:t>
      </w:r>
      <w:r>
        <w:rPr>
          <w:rFonts w:ascii="Times New Roman" w:hAnsi="Times New Roman" w:cs="Times New Roman"/>
          <w:noProof/>
          <w:sz w:val="24"/>
          <w:szCs w:val="24"/>
        </w:rPr>
        <w:t>orting more ambitious practices.</w:t>
      </w:r>
    </w:p>
    <w:p w:rsidR="00333A1A" w:rsidRDefault="003D29C9">
      <w:pPr>
        <w:pStyle w:val="Heading1"/>
        <w:rPr>
          <w:noProof/>
        </w:rPr>
      </w:pPr>
      <w:bookmarkStart w:id="111" w:name="_Toc508297452"/>
      <w:bookmarkStart w:id="112" w:name="_Toc513053275"/>
      <w:bookmarkStart w:id="113" w:name="_Toc513053491"/>
      <w:bookmarkStart w:id="114" w:name="_Toc514514622"/>
      <w:r>
        <w:rPr>
          <w:noProof/>
        </w:rPr>
        <w:t>Options description</w:t>
      </w:r>
      <w:bookmarkEnd w:id="111"/>
      <w:bookmarkEnd w:id="112"/>
      <w:bookmarkEnd w:id="113"/>
      <w:bookmarkEnd w:id="114"/>
    </w:p>
    <w:p w:rsidR="00333A1A" w:rsidRDefault="003D29C9">
      <w:pPr>
        <w:keepNext/>
        <w:spacing w:after="0" w:line="240" w:lineRule="auto"/>
        <w:jc w:val="both"/>
        <w:rPr>
          <w:rFonts w:ascii="Times New Roman" w:hAnsi="Times New Roman" w:cs="Times New Roman"/>
          <w:b/>
          <w:noProof/>
        </w:rPr>
      </w:pPr>
      <w:r>
        <w:rPr>
          <w:rFonts w:ascii="Times New Roman" w:hAnsi="Times New Roman" w:cs="Times New Roman"/>
          <w:b/>
          <w:noProof/>
        </w:rPr>
        <w:t>Disclaimer:</w:t>
      </w:r>
    </w:p>
    <w:p w:rsidR="00333A1A" w:rsidRDefault="003D29C9">
      <w:pPr>
        <w:pStyle w:val="ListParagraph"/>
        <w:numPr>
          <w:ilvl w:val="0"/>
          <w:numId w:val="36"/>
        </w:numPr>
        <w:spacing w:line="240" w:lineRule="auto"/>
        <w:jc w:val="both"/>
        <w:rPr>
          <w:rFonts w:ascii="Times New Roman" w:hAnsi="Times New Roman" w:cs="Times New Roman"/>
          <w:noProof/>
        </w:rPr>
      </w:pPr>
      <w:r>
        <w:rPr>
          <w:rFonts w:ascii="Times New Roman" w:hAnsi="Times New Roman" w:cs="Times New Roman"/>
          <w:noProof/>
        </w:rPr>
        <w:t xml:space="preserve">Options are illustrative and not prescriptive </w:t>
      </w:r>
    </w:p>
    <w:p w:rsidR="00333A1A" w:rsidRDefault="003D29C9">
      <w:pPr>
        <w:pStyle w:val="ListParagraph"/>
        <w:numPr>
          <w:ilvl w:val="0"/>
          <w:numId w:val="36"/>
        </w:numPr>
        <w:spacing w:line="240" w:lineRule="auto"/>
        <w:jc w:val="both"/>
        <w:rPr>
          <w:rFonts w:ascii="Times New Roman" w:hAnsi="Times New Roman" w:cs="Times New Roman"/>
          <w:noProof/>
        </w:rPr>
      </w:pPr>
      <w:r>
        <w:rPr>
          <w:rFonts w:ascii="Times New Roman" w:hAnsi="Times New Roman" w:cs="Times New Roman"/>
          <w:noProof/>
        </w:rPr>
        <w:t>Options are not mutually exclusive</w:t>
      </w:r>
    </w:p>
    <w:p w:rsidR="00333A1A" w:rsidRDefault="003D29C9">
      <w:pPr>
        <w:pStyle w:val="ListParagraph"/>
        <w:numPr>
          <w:ilvl w:val="0"/>
          <w:numId w:val="36"/>
        </w:numPr>
        <w:spacing w:line="240" w:lineRule="auto"/>
        <w:jc w:val="both"/>
        <w:rPr>
          <w:rFonts w:ascii="Times New Roman" w:hAnsi="Times New Roman" w:cs="Times New Roman"/>
          <w:noProof/>
        </w:rPr>
      </w:pPr>
      <w:r>
        <w:rPr>
          <w:rFonts w:ascii="Times New Roman" w:hAnsi="Times New Roman" w:cs="Times New Roman"/>
          <w:noProof/>
        </w:rPr>
        <w:t>Options are designed to test sets of instruments</w:t>
      </w:r>
    </w:p>
    <w:p w:rsidR="00333A1A" w:rsidRDefault="003D29C9">
      <w:pPr>
        <w:pStyle w:val="ListParagraph"/>
        <w:numPr>
          <w:ilvl w:val="0"/>
          <w:numId w:val="36"/>
        </w:numPr>
        <w:spacing w:line="240" w:lineRule="auto"/>
        <w:jc w:val="both"/>
        <w:rPr>
          <w:rFonts w:ascii="Times New Roman" w:hAnsi="Times New Roman" w:cs="Times New Roman"/>
          <w:noProof/>
        </w:rPr>
      </w:pPr>
      <w:r>
        <w:rPr>
          <w:rFonts w:ascii="Times New Roman" w:hAnsi="Times New Roman" w:cs="Times New Roman"/>
          <w:noProof/>
        </w:rPr>
        <w:t>Options do not prejudge the final decision of the Commission</w:t>
      </w:r>
      <w:r>
        <w:rPr>
          <w:rFonts w:ascii="Times New Roman" w:hAnsi="Times New Roman" w:cs="Times New Roman"/>
          <w:noProof/>
        </w:rPr>
        <w:t xml:space="preserve"> (no preferred option)</w:t>
      </w:r>
    </w:p>
    <w:p w:rsidR="00333A1A" w:rsidRDefault="003D29C9">
      <w:pPr>
        <w:pStyle w:val="ListParagraph"/>
        <w:numPr>
          <w:ilvl w:val="0"/>
          <w:numId w:val="36"/>
        </w:numPr>
        <w:spacing w:line="240" w:lineRule="auto"/>
        <w:jc w:val="both"/>
        <w:rPr>
          <w:rFonts w:ascii="Times New Roman" w:hAnsi="Times New Roman" w:cs="Times New Roman"/>
          <w:noProof/>
        </w:rPr>
      </w:pPr>
      <w:r>
        <w:rPr>
          <w:rFonts w:ascii="Times New Roman" w:hAnsi="Times New Roman" w:cs="Times New Roman"/>
          <w:noProof/>
        </w:rPr>
        <w:t>The preferred option could combine instruments derived from the different options</w:t>
      </w:r>
    </w:p>
    <w:p w:rsidR="00333A1A" w:rsidRDefault="003D29C9">
      <w:pPr>
        <w:pStyle w:val="Heading2"/>
        <w:rPr>
          <w:noProof/>
        </w:rPr>
      </w:pPr>
      <w:bookmarkStart w:id="115" w:name="_Toc508297453"/>
      <w:bookmarkStart w:id="116" w:name="_Toc513053276"/>
      <w:bookmarkStart w:id="117" w:name="_Toc513053492"/>
      <w:bookmarkStart w:id="118" w:name="_Toc514514623"/>
      <w:r>
        <w:rPr>
          <w:noProof/>
        </w:rPr>
        <w:t>Option 1: Updated baseline</w:t>
      </w:r>
      <w:bookmarkEnd w:id="115"/>
      <w:bookmarkEnd w:id="116"/>
      <w:bookmarkEnd w:id="117"/>
      <w:bookmarkEnd w:id="118"/>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Option 1 corresponds to an update of the baseline (2030 market environment and 2013 CAP reform fully implemented) with the p</w:t>
      </w:r>
      <w:r>
        <w:rPr>
          <w:rFonts w:ascii="Times New Roman" w:hAnsi="Times New Roman" w:cs="Times New Roman"/>
          <w:noProof/>
          <w:sz w:val="24"/>
          <w:szCs w:val="24"/>
        </w:rPr>
        <w:t xml:space="preserve">ost-Brexit budgetary envelopes. </w:t>
      </w:r>
    </w:p>
    <w:p w:rsidR="00333A1A" w:rsidRDefault="003D29C9">
      <w:pPr>
        <w:pStyle w:val="Heading2"/>
        <w:rPr>
          <w:noProof/>
        </w:rPr>
      </w:pPr>
      <w:bookmarkStart w:id="119" w:name="_Toc508297454"/>
      <w:bookmarkStart w:id="120" w:name="_Toc513053277"/>
      <w:bookmarkStart w:id="121" w:name="_Toc513053493"/>
      <w:bookmarkStart w:id="122" w:name="_Toc514514624"/>
      <w:r>
        <w:rPr>
          <w:noProof/>
        </w:rPr>
        <w:t>Option 3: Incentives for environment, climate action</w:t>
      </w:r>
      <w:bookmarkEnd w:id="119"/>
      <w:bookmarkEnd w:id="120"/>
      <w:bookmarkEnd w:id="121"/>
      <w:r>
        <w:rPr>
          <w:noProof/>
        </w:rPr>
        <w:t xml:space="preserve"> and health</w:t>
      </w:r>
      <w:bookmarkEnd w:id="122"/>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aims at testing </w:t>
      </w:r>
      <w:r>
        <w:rPr>
          <w:rFonts w:ascii="Times New Roman" w:hAnsi="Times New Roman" w:cs="Times New Roman"/>
          <w:b/>
          <w:noProof/>
          <w:sz w:val="24"/>
          <w:szCs w:val="24"/>
        </w:rPr>
        <w:t>climate action and environmental services</w:t>
      </w:r>
      <w:r>
        <w:rPr>
          <w:rFonts w:ascii="Times New Roman" w:hAnsi="Times New Roman" w:cs="Times New Roman"/>
          <w:noProof/>
          <w:sz w:val="24"/>
          <w:szCs w:val="24"/>
        </w:rPr>
        <w:t xml:space="preserve"> provision with </w:t>
      </w:r>
      <w:r>
        <w:rPr>
          <w:rFonts w:ascii="Times New Roman" w:hAnsi="Times New Roman" w:cs="Times New Roman"/>
          <w:b/>
          <w:noProof/>
          <w:sz w:val="24"/>
          <w:szCs w:val="24"/>
        </w:rPr>
        <w:t>voluntary approaches based on incentives</w:t>
      </w:r>
      <w:r>
        <w:rPr>
          <w:rFonts w:ascii="Times New Roman" w:hAnsi="Times New Roman" w:cs="Times New Roman"/>
          <w:noProof/>
          <w:sz w:val="24"/>
          <w:szCs w:val="24"/>
        </w:rPr>
        <w:t xml:space="preserve">, reflecting </w:t>
      </w:r>
      <w:r>
        <w:rPr>
          <w:rFonts w:ascii="Times New Roman" w:hAnsi="Times New Roman" w:cs="Times New Roman"/>
          <w:b/>
          <w:noProof/>
          <w:sz w:val="24"/>
          <w:szCs w:val="24"/>
        </w:rPr>
        <w:t xml:space="preserve">specific territorial </w:t>
      </w:r>
      <w:r>
        <w:rPr>
          <w:rFonts w:ascii="Times New Roman" w:hAnsi="Times New Roman" w:cs="Times New Roman"/>
          <w:b/>
          <w:noProof/>
          <w:sz w:val="24"/>
          <w:szCs w:val="24"/>
        </w:rPr>
        <w:t>concerns</w:t>
      </w:r>
      <w:r>
        <w:rPr>
          <w:rFonts w:ascii="Times New Roman" w:hAnsi="Times New Roman" w:cs="Times New Roman"/>
          <w:noProof/>
          <w:sz w:val="24"/>
          <w:szCs w:val="24"/>
        </w:rPr>
        <w:t xml:space="preserve"> and reduced income support. Option 3 also examines if the objective of viable farm income can be reached with increased support for risk management tools (including income stabilisation tools) and lower direct payments. Two sub-options (ambitious </w:t>
      </w:r>
      <w:r>
        <w:rPr>
          <w:rFonts w:ascii="Times New Roman" w:hAnsi="Times New Roman" w:cs="Times New Roman"/>
          <w:noProof/>
          <w:sz w:val="24"/>
          <w:szCs w:val="24"/>
        </w:rPr>
        <w:t>and conservative) are tested in order to reflect different MS environmental ambitions and approaches to direct payments (it can be assumed that MS choices will likely fall in between the ambitious and conservative version of option 3).</w:t>
      </w:r>
    </w:p>
    <w:p w:rsidR="00333A1A" w:rsidRDefault="003D29C9">
      <w:pPr>
        <w:pStyle w:val="Heading3"/>
        <w:rPr>
          <w:noProof/>
        </w:rPr>
      </w:pPr>
      <w:r>
        <w:rPr>
          <w:noProof/>
        </w:rPr>
        <w:t xml:space="preserve">Option 3a: Stronger </w:t>
      </w:r>
      <w:r>
        <w:rPr>
          <w:noProof/>
        </w:rPr>
        <w:t>priority on environment than on economic sustainability</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Higher environmental ambition is reflected in an eco-scheme which is based on a </w:t>
      </w:r>
      <w:r>
        <w:rPr>
          <w:rFonts w:ascii="Times New Roman" w:hAnsi="Times New Roman" w:cs="Times New Roman"/>
          <w:b/>
          <w:noProof/>
          <w:sz w:val="24"/>
          <w:szCs w:val="24"/>
        </w:rPr>
        <w:t>wide range of</w:t>
      </w:r>
      <w:r>
        <w:rPr>
          <w:rFonts w:ascii="Times New Roman" w:hAnsi="Times New Roman" w:cs="Times New Roman"/>
          <w:noProof/>
          <w:sz w:val="24"/>
          <w:szCs w:val="24"/>
        </w:rPr>
        <w:t xml:space="preserve"> </w:t>
      </w:r>
      <w:r>
        <w:rPr>
          <w:rFonts w:ascii="Times New Roman" w:hAnsi="Times New Roman" w:cs="Times New Roman"/>
          <w:b/>
          <w:noProof/>
          <w:sz w:val="24"/>
          <w:szCs w:val="24"/>
        </w:rPr>
        <w:t>farm practices deemed beneficial to environment, climate and health</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63"/>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payment incentive corresponding to</w:t>
      </w:r>
      <w:r>
        <w:rPr>
          <w:rFonts w:ascii="Times New Roman" w:hAnsi="Times New Roman" w:cs="Times New Roman"/>
          <w:noProof/>
          <w:sz w:val="24"/>
          <w:szCs w:val="24"/>
        </w:rPr>
        <w:t xml:space="preserve"> 60% of pillar I envelope would allow MS traditionally spending a high share of their rural development envelope on AECH to increase their pillar II focus on other interventions. In MS currently dedicating a large share of RD funds to AECH, their spending </w:t>
      </w:r>
      <w:r>
        <w:rPr>
          <w:rFonts w:ascii="Times New Roman" w:hAnsi="Times New Roman" w:cs="Times New Roman"/>
          <w:noProof/>
          <w:sz w:val="24"/>
          <w:szCs w:val="24"/>
        </w:rPr>
        <w:t>is set at 30% max of pillar II envelope to reflect the switch to incentive schemes in pillar I.</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basic layer of income support is reduced</w:t>
      </w:r>
      <w:r>
        <w:rPr>
          <w:rFonts w:ascii="Times New Roman" w:hAnsi="Times New Roman" w:cs="Times New Roman"/>
          <w:noProof/>
          <w:sz w:val="24"/>
          <w:szCs w:val="24"/>
        </w:rPr>
        <w:t xml:space="preserve"> (25% of pillar I envelope) and granted as a MS flat rate capped at 100 000 EUR per farm (applying a salaries correc</w:t>
      </w:r>
      <w:r>
        <w:rPr>
          <w:rFonts w:ascii="Times New Roman" w:hAnsi="Times New Roman" w:cs="Times New Roman"/>
          <w:noProof/>
          <w:sz w:val="24"/>
          <w:szCs w:val="24"/>
        </w:rPr>
        <w:t xml:space="preserve">tion not to penalise employment). However, the support to areas with natural constraints (ANCs) is maintained to ensure a minimum of territorial balance. To target genuine farmers, a minimum requirement of 2 ha for receiving decoupled payments is tested.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reduction in income support is a strong incentive to reduce risk exposure via alternative paths for adaptation to climate change and via the adoption of various strategies to cope with yield, price and </w:t>
      </w:r>
      <w:r>
        <w:rPr>
          <w:rFonts w:ascii="Times New Roman" w:hAnsi="Times New Roman" w:cs="Times New Roman"/>
          <w:b/>
          <w:noProof/>
          <w:sz w:val="24"/>
          <w:szCs w:val="24"/>
        </w:rPr>
        <w:t>income variability</w:t>
      </w:r>
      <w:r>
        <w:rPr>
          <w:rFonts w:ascii="Times New Roman" w:hAnsi="Times New Roman" w:cs="Times New Roman"/>
          <w:noProof/>
          <w:sz w:val="24"/>
          <w:szCs w:val="24"/>
        </w:rPr>
        <w:t xml:space="preserve"> such as insurances, mutual fund</w:t>
      </w:r>
      <w:r>
        <w:rPr>
          <w:rFonts w:ascii="Times New Roman" w:hAnsi="Times New Roman" w:cs="Times New Roman"/>
          <w:noProof/>
          <w:sz w:val="24"/>
          <w:szCs w:val="24"/>
        </w:rPr>
        <w:t xml:space="preserve">s, futures and income stabilisation tools. Therefore, in this option 10% of pillar I envelope is made available for </w:t>
      </w:r>
      <w:r>
        <w:rPr>
          <w:rFonts w:ascii="Times New Roman" w:hAnsi="Times New Roman" w:cs="Times New Roman"/>
          <w:b/>
          <w:noProof/>
          <w:sz w:val="24"/>
          <w:szCs w:val="24"/>
        </w:rPr>
        <w:t>risk management tools</w:t>
      </w:r>
      <w:r>
        <w:rPr>
          <w:rFonts w:ascii="Times New Roman" w:hAnsi="Times New Roman" w:cs="Times New Roman"/>
          <w:noProof/>
          <w:sz w:val="24"/>
          <w:szCs w:val="24"/>
        </w:rPr>
        <w:t>. Because the reduction of income support might increase entry barriers for young farmers, 5% of pillar I is used to de</w:t>
      </w:r>
      <w:r>
        <w:rPr>
          <w:rFonts w:ascii="Times New Roman" w:hAnsi="Times New Roman" w:cs="Times New Roman"/>
          <w:noProof/>
          <w:sz w:val="24"/>
          <w:szCs w:val="24"/>
        </w:rPr>
        <w:t xml:space="preserve">velop a streamlined approach to </w:t>
      </w:r>
      <w:r>
        <w:rPr>
          <w:rFonts w:ascii="Times New Roman" w:hAnsi="Times New Roman" w:cs="Times New Roman"/>
          <w:b/>
          <w:noProof/>
          <w:sz w:val="24"/>
          <w:szCs w:val="24"/>
        </w:rPr>
        <w:t>attract new farmers</w:t>
      </w:r>
      <w:r>
        <w:rPr>
          <w:rFonts w:ascii="Times New Roman" w:hAnsi="Times New Roman" w:cs="Times New Roman"/>
          <w:noProof/>
          <w:sz w:val="24"/>
          <w:szCs w:val="24"/>
        </w:rPr>
        <w:t xml:space="preserve">.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w:t>
      </w:r>
      <w:r>
        <w:rPr>
          <w:rFonts w:ascii="Times New Roman" w:hAnsi="Times New Roman" w:cs="Times New Roman"/>
          <w:b/>
          <w:noProof/>
          <w:sz w:val="24"/>
          <w:szCs w:val="24"/>
        </w:rPr>
        <w:t>knowledge, innovation and technology</w:t>
      </w:r>
      <w:r>
        <w:rPr>
          <w:rFonts w:ascii="Times New Roman" w:hAnsi="Times New Roman" w:cs="Times New Roman"/>
          <w:noProof/>
          <w:sz w:val="24"/>
          <w:szCs w:val="24"/>
        </w:rPr>
        <w:t xml:space="preserve">, ring-fencing of </w:t>
      </w:r>
      <w:r>
        <w:rPr>
          <w:rFonts w:ascii="Times New Roman" w:hAnsi="Times New Roman" w:cs="Times New Roman"/>
          <w:b/>
          <w:noProof/>
          <w:sz w:val="24"/>
          <w:szCs w:val="24"/>
        </w:rPr>
        <w:t>EIP</w:t>
      </w:r>
      <w:r>
        <w:rPr>
          <w:rFonts w:ascii="Times New Roman" w:hAnsi="Times New Roman" w:cs="Times New Roman"/>
          <w:noProof/>
          <w:sz w:val="24"/>
          <w:szCs w:val="24"/>
        </w:rPr>
        <w:t xml:space="preserve"> is tested and the minimum allocation to LEADER is increased. These also contribute to strengthen </w:t>
      </w:r>
      <w:r>
        <w:rPr>
          <w:rFonts w:ascii="Times New Roman" w:hAnsi="Times New Roman" w:cs="Times New Roman"/>
          <w:b/>
          <w:noProof/>
          <w:sz w:val="24"/>
          <w:szCs w:val="24"/>
        </w:rPr>
        <w:t>competitiveness</w:t>
      </w:r>
      <w:r>
        <w:rPr>
          <w:rFonts w:ascii="Times New Roman" w:hAnsi="Times New Roman" w:cs="Times New Roman"/>
          <w:noProof/>
          <w:sz w:val="24"/>
          <w:szCs w:val="24"/>
        </w:rPr>
        <w:t xml:space="preserve"> together with more i</w:t>
      </w:r>
      <w:r>
        <w:rPr>
          <w:rFonts w:ascii="Times New Roman" w:hAnsi="Times New Roman" w:cs="Times New Roman"/>
          <w:noProof/>
          <w:sz w:val="24"/>
          <w:szCs w:val="24"/>
        </w:rPr>
        <w:t>nvestment grants and to improve farmers' position in value chains by enhancing cooperation and more specifically the setting up of POs.</w:t>
      </w:r>
    </w:p>
    <w:p w:rsidR="00333A1A" w:rsidRDefault="003D29C9">
      <w:pPr>
        <w:pStyle w:val="Heading3"/>
        <w:rPr>
          <w:noProof/>
        </w:rPr>
      </w:pPr>
      <w:r>
        <w:rPr>
          <w:noProof/>
        </w:rPr>
        <w:t>Option 3b: Lower environmental ambition, but greater focus on DP redistribution</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sub-option, the </w:t>
      </w:r>
      <w:r>
        <w:rPr>
          <w:rFonts w:ascii="Times New Roman" w:hAnsi="Times New Roman" w:cs="Times New Roman"/>
          <w:b/>
          <w:noProof/>
          <w:sz w:val="24"/>
          <w:szCs w:val="24"/>
        </w:rPr>
        <w:t>environmental pe</w:t>
      </w:r>
      <w:r>
        <w:rPr>
          <w:rFonts w:ascii="Times New Roman" w:hAnsi="Times New Roman" w:cs="Times New Roman"/>
          <w:b/>
          <w:noProof/>
          <w:sz w:val="24"/>
          <w:szCs w:val="24"/>
        </w:rPr>
        <w:t>rformance and</w:t>
      </w:r>
      <w:r>
        <w:rPr>
          <w:rFonts w:ascii="Times New Roman" w:hAnsi="Times New Roman" w:cs="Times New Roman"/>
          <w:noProof/>
          <w:sz w:val="24"/>
          <w:szCs w:val="24"/>
        </w:rPr>
        <w:t xml:space="preserve"> </w:t>
      </w:r>
      <w:r>
        <w:rPr>
          <w:rFonts w:ascii="Times New Roman" w:hAnsi="Times New Roman" w:cs="Times New Roman"/>
          <w:b/>
          <w:noProof/>
          <w:sz w:val="24"/>
          <w:szCs w:val="24"/>
        </w:rPr>
        <w:t>climate challenges</w:t>
      </w:r>
      <w:r>
        <w:rPr>
          <w:rFonts w:ascii="Times New Roman" w:hAnsi="Times New Roman" w:cs="Times New Roman"/>
          <w:noProof/>
          <w:sz w:val="24"/>
          <w:szCs w:val="24"/>
        </w:rPr>
        <w:t xml:space="preserve"> are reached via a lower eco-scheme (30% of pillar I envelope and less requirements</w:t>
      </w:r>
      <w:r>
        <w:rPr>
          <w:rStyle w:val="FootnoteReference"/>
          <w:rFonts w:ascii="Times New Roman" w:hAnsi="Times New Roman" w:cs="Times New Roman"/>
          <w:noProof/>
          <w:sz w:val="24"/>
          <w:szCs w:val="24"/>
        </w:rPr>
        <w:footnoteReference w:id="64"/>
      </w:r>
      <w:r>
        <w:rPr>
          <w:rFonts w:ascii="Times New Roman" w:hAnsi="Times New Roman" w:cs="Times New Roman"/>
          <w:noProof/>
          <w:sz w:val="24"/>
          <w:szCs w:val="24"/>
        </w:rPr>
        <w:t xml:space="preserve">), and the maintenance of a significant AECH framework. </w:t>
      </w:r>
    </w:p>
    <w:p w:rsidR="00333A1A" w:rsidRDefault="003D29C9">
      <w:pPr>
        <w:keepNext/>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Income support is a stronger priority in this sub-option. The </w:t>
      </w:r>
      <w:r>
        <w:rPr>
          <w:rFonts w:ascii="Times New Roman" w:hAnsi="Times New Roman" w:cs="Times New Roman"/>
          <w:b/>
          <w:noProof/>
          <w:sz w:val="24"/>
          <w:szCs w:val="24"/>
        </w:rPr>
        <w:t>basic layer of income</w:t>
      </w:r>
      <w:r>
        <w:rPr>
          <w:rFonts w:ascii="Times New Roman" w:hAnsi="Times New Roman" w:cs="Times New Roman"/>
          <w:b/>
          <w:noProof/>
          <w:sz w:val="24"/>
          <w:szCs w:val="24"/>
        </w:rPr>
        <w:t xml:space="preserve"> support</w:t>
      </w:r>
      <w:r>
        <w:rPr>
          <w:rFonts w:ascii="Times New Roman" w:hAnsi="Times New Roman" w:cs="Times New Roman"/>
          <w:noProof/>
          <w:sz w:val="24"/>
          <w:szCs w:val="24"/>
        </w:rPr>
        <w:t xml:space="preserve"> (around 30% of pillar I envelope) is granted as a decoupled payment. Entitlements are kept as no further convergence of the direct payment level per hectare between farmers is looked for in the 9 MS currently not applying a regional or national fl</w:t>
      </w:r>
      <w:r>
        <w:rPr>
          <w:rFonts w:ascii="Times New Roman" w:hAnsi="Times New Roman" w:cs="Times New Roman"/>
          <w:noProof/>
          <w:sz w:val="24"/>
          <w:szCs w:val="24"/>
        </w:rPr>
        <w:t xml:space="preserve">at rate. A strong focus on </w:t>
      </w:r>
      <w:r>
        <w:rPr>
          <w:rFonts w:ascii="Times New Roman" w:hAnsi="Times New Roman" w:cs="Times New Roman"/>
          <w:b/>
          <w:noProof/>
          <w:sz w:val="24"/>
          <w:szCs w:val="24"/>
        </w:rPr>
        <w:t>direct payments redistribution</w:t>
      </w:r>
      <w:r>
        <w:rPr>
          <w:rFonts w:ascii="Times New Roman" w:hAnsi="Times New Roman" w:cs="Times New Roman"/>
          <w:noProof/>
          <w:sz w:val="24"/>
          <w:szCs w:val="24"/>
        </w:rPr>
        <w:t xml:space="preserve"> is tested via:</w:t>
      </w:r>
    </w:p>
    <w:p w:rsidR="00333A1A" w:rsidRDefault="003D29C9">
      <w:pPr>
        <w:pStyle w:val="ListParagraph"/>
        <w:numPr>
          <w:ilvl w:val="0"/>
          <w:numId w:val="35"/>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redistributive payment to small-medium farms (80 EUR/ha between 2 and 30 ha),</w:t>
      </w:r>
    </w:p>
    <w:p w:rsidR="00333A1A" w:rsidRDefault="003D29C9">
      <w:pPr>
        <w:pStyle w:val="ListParagraph"/>
        <w:numPr>
          <w:ilvl w:val="0"/>
          <w:numId w:val="35"/>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capping per farm of the basic income support and the redistributive payment at 100 000 EUR (with sala</w:t>
      </w:r>
      <w:r>
        <w:rPr>
          <w:rFonts w:ascii="Times New Roman" w:hAnsi="Times New Roman" w:cs="Times New Roman"/>
          <w:noProof/>
          <w:sz w:val="24"/>
          <w:szCs w:val="24"/>
        </w:rPr>
        <w:t>ries correction),</w:t>
      </w:r>
    </w:p>
    <w:p w:rsidR="00333A1A" w:rsidRDefault="003D29C9">
      <w:pPr>
        <w:pStyle w:val="ListParagraph"/>
        <w:numPr>
          <w:ilvl w:val="0"/>
          <w:numId w:val="35"/>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capping per hectare of the basic income support and the redistributive payment at 1 000 EUR/ha,</w:t>
      </w:r>
    </w:p>
    <w:p w:rsidR="00333A1A" w:rsidRDefault="003D29C9">
      <w:pPr>
        <w:pStyle w:val="ListParagraph"/>
        <w:numPr>
          <w:ilvl w:val="0"/>
          <w:numId w:val="35"/>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minimum requirement of 2 ha for receiving decoupled payments.</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increased support to </w:t>
      </w:r>
      <w:r>
        <w:rPr>
          <w:rFonts w:ascii="Times New Roman" w:hAnsi="Times New Roman" w:cs="Times New Roman"/>
          <w:b/>
          <w:noProof/>
          <w:sz w:val="24"/>
          <w:szCs w:val="24"/>
        </w:rPr>
        <w:t>risk management tools</w:t>
      </w:r>
      <w:r>
        <w:rPr>
          <w:rFonts w:ascii="Times New Roman" w:hAnsi="Times New Roman" w:cs="Times New Roman"/>
          <w:noProof/>
          <w:sz w:val="24"/>
          <w:szCs w:val="24"/>
        </w:rPr>
        <w:t xml:space="preserve"> is set at 5% of pillar I enve</w:t>
      </w:r>
      <w:r>
        <w:rPr>
          <w:rFonts w:ascii="Times New Roman" w:hAnsi="Times New Roman" w:cs="Times New Roman"/>
          <w:noProof/>
          <w:sz w:val="24"/>
          <w:szCs w:val="24"/>
        </w:rPr>
        <w:t xml:space="preserve">lope. </w:t>
      </w:r>
    </w:p>
    <w:p w:rsidR="00333A1A" w:rsidRDefault="003D29C9">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Member States are given the possibility to dedicate up to 15% of their pillar I envelop to </w:t>
      </w:r>
      <w:r>
        <w:rPr>
          <w:rFonts w:ascii="Times New Roman" w:hAnsi="Times New Roman" w:cs="Times New Roman"/>
          <w:b/>
          <w:noProof/>
          <w:sz w:val="24"/>
          <w:szCs w:val="24"/>
        </w:rPr>
        <w:t xml:space="preserve">coupled support, </w:t>
      </w:r>
      <w:r>
        <w:rPr>
          <w:rFonts w:ascii="Times New Roman" w:hAnsi="Times New Roman" w:cs="Times New Roman"/>
          <w:noProof/>
          <w:sz w:val="24"/>
          <w:szCs w:val="24"/>
        </w:rPr>
        <w:t xml:space="preserve">provided that it is </w:t>
      </w:r>
      <w:r>
        <w:rPr>
          <w:rFonts w:ascii="Times New Roman" w:hAnsi="Times New Roman" w:cs="Times New Roman"/>
          <w:b/>
          <w:noProof/>
          <w:sz w:val="24"/>
          <w:szCs w:val="24"/>
        </w:rPr>
        <w:t>better targeted</w:t>
      </w:r>
      <w:r>
        <w:rPr>
          <w:rFonts w:ascii="Times New Roman" w:hAnsi="Times New Roman" w:cs="Times New Roman"/>
          <w:noProof/>
          <w:sz w:val="24"/>
          <w:szCs w:val="24"/>
        </w:rPr>
        <w:t xml:space="preserve">. Three such targets are identified: </w:t>
      </w:r>
    </w:p>
    <w:p w:rsidR="00333A1A" w:rsidRDefault="003D29C9">
      <w:pPr>
        <w:pStyle w:val="ListParagraph"/>
        <w:numPr>
          <w:ilvl w:val="0"/>
          <w:numId w:val="37"/>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Specific sectors whose importance, difficulties and ter</w:t>
      </w:r>
      <w:r>
        <w:rPr>
          <w:rFonts w:ascii="Times New Roman" w:hAnsi="Times New Roman" w:cs="Times New Roman"/>
          <w:noProof/>
          <w:sz w:val="24"/>
          <w:szCs w:val="24"/>
        </w:rPr>
        <w:t>ritorial and environmental contribution have been identified at EU level, such as extensive livestock farming and beehives.</w:t>
      </w:r>
    </w:p>
    <w:p w:rsidR="00333A1A" w:rsidRDefault="003D29C9">
      <w:pPr>
        <w:pStyle w:val="ListParagraph"/>
        <w:numPr>
          <w:ilvl w:val="0"/>
          <w:numId w:val="37"/>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Sectors such as protein crops contributing to an EU goal for environmental purposes and to reduce import dependency.</w:t>
      </w:r>
    </w:p>
    <w:p w:rsidR="00333A1A" w:rsidRDefault="003D29C9">
      <w:pPr>
        <w:pStyle w:val="ListParagraph"/>
        <w:numPr>
          <w:ilvl w:val="0"/>
          <w:numId w:val="37"/>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Sectors identif</w:t>
      </w:r>
      <w:r>
        <w:rPr>
          <w:rFonts w:ascii="Times New Roman" w:hAnsi="Times New Roman" w:cs="Times New Roman"/>
          <w:noProof/>
          <w:sz w:val="24"/>
          <w:szCs w:val="24"/>
        </w:rPr>
        <w:t>ied by MS undergoing certain difficulties with the view to overcome these difficulties and improve competitiveness after a certain number of years, thus a phasing out of coupled support.</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Due to the difficulties to anticipate MS choices, VCS was modelled as</w:t>
      </w:r>
      <w:r>
        <w:rPr>
          <w:rFonts w:ascii="Times New Roman" w:hAnsi="Times New Roman" w:cs="Times New Roman"/>
          <w:noProof/>
          <w:sz w:val="24"/>
          <w:szCs w:val="24"/>
        </w:rPr>
        <w:t xml:space="preserve"> currently implemented.</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To promote employment, growth and local development in rural areas</w:t>
      </w:r>
      <w:r>
        <w:rPr>
          <w:rFonts w:ascii="Times New Roman" w:hAnsi="Times New Roman" w:cs="Times New Roman"/>
          <w:noProof/>
          <w:sz w:val="24"/>
          <w:szCs w:val="24"/>
        </w:rPr>
        <w:t>, a stronger focus is placed on LEADER and on the basic services and infrastructure provision in rural areas. New farmers are mainly supported via installation grants</w:t>
      </w:r>
      <w:r>
        <w:rPr>
          <w:rFonts w:ascii="Times New Roman" w:hAnsi="Times New Roman" w:cs="Times New Roman"/>
          <w:noProof/>
          <w:sz w:val="24"/>
          <w:szCs w:val="24"/>
        </w:rPr>
        <w:t>. These priorities as well as those put on AECH imply a re-allocation of EU pillar II funds and a reduction in EU support to areas with natural constraints, compensated with national funds.</w:t>
      </w:r>
    </w:p>
    <w:p w:rsidR="00333A1A" w:rsidRDefault="003D29C9">
      <w:pPr>
        <w:pStyle w:val="Heading2"/>
        <w:rPr>
          <w:noProof/>
        </w:rPr>
      </w:pPr>
      <w:bookmarkStart w:id="123" w:name="_Toc508297455"/>
      <w:bookmarkStart w:id="124" w:name="_Toc513053278"/>
      <w:bookmarkStart w:id="125" w:name="_Toc513053494"/>
      <w:bookmarkStart w:id="126" w:name="_Toc514514625"/>
      <w:r>
        <w:rPr>
          <w:noProof/>
        </w:rPr>
        <w:t>Option 4: Jointly address environmental and economic sustainabilit</w:t>
      </w:r>
      <w:r>
        <w:rPr>
          <w:noProof/>
        </w:rPr>
        <w:t>y</w:t>
      </w:r>
      <w:bookmarkEnd w:id="123"/>
      <w:bookmarkEnd w:id="124"/>
      <w:bookmarkEnd w:id="125"/>
      <w:bookmarkEnd w:id="126"/>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option, </w:t>
      </w:r>
      <w:r>
        <w:rPr>
          <w:rFonts w:ascii="Times New Roman" w:hAnsi="Times New Roman" w:cs="Times New Roman"/>
          <w:b/>
          <w:noProof/>
          <w:sz w:val="24"/>
          <w:szCs w:val="24"/>
        </w:rPr>
        <w:t>direct payments are</w:t>
      </w:r>
      <w:r>
        <w:rPr>
          <w:rFonts w:ascii="Times New Roman" w:hAnsi="Times New Roman" w:cs="Times New Roman"/>
          <w:noProof/>
          <w:sz w:val="24"/>
          <w:szCs w:val="24"/>
        </w:rPr>
        <w:t xml:space="preserve"> </w:t>
      </w:r>
      <w:r>
        <w:rPr>
          <w:rFonts w:ascii="Times New Roman" w:hAnsi="Times New Roman" w:cs="Times New Roman"/>
          <w:b/>
          <w:noProof/>
          <w:sz w:val="24"/>
          <w:szCs w:val="24"/>
        </w:rPr>
        <w:t>better targeted</w:t>
      </w:r>
      <w:r>
        <w:rPr>
          <w:rFonts w:ascii="Times New Roman" w:hAnsi="Times New Roman" w:cs="Times New Roman"/>
          <w:noProof/>
          <w:sz w:val="24"/>
          <w:szCs w:val="24"/>
        </w:rPr>
        <w:t xml:space="preserve"> and the implementation of </w:t>
      </w:r>
      <w:r>
        <w:rPr>
          <w:rFonts w:ascii="Times New Roman" w:hAnsi="Times New Roman" w:cs="Times New Roman"/>
          <w:b/>
          <w:noProof/>
          <w:sz w:val="24"/>
          <w:szCs w:val="24"/>
        </w:rPr>
        <w:t>conditionality is more ambitious</w:t>
      </w:r>
      <w:r>
        <w:rPr>
          <w:rFonts w:ascii="Times New Roman" w:hAnsi="Times New Roman" w:cs="Times New Roman"/>
          <w:noProof/>
          <w:sz w:val="24"/>
          <w:szCs w:val="24"/>
        </w:rPr>
        <w:t xml:space="preserve"> in order to improve the joint economic and </w:t>
      </w:r>
      <w:r>
        <w:rPr>
          <w:rFonts w:ascii="Times New Roman" w:hAnsi="Times New Roman" w:cs="Times New Roman"/>
          <w:b/>
          <w:noProof/>
          <w:sz w:val="24"/>
          <w:szCs w:val="24"/>
        </w:rPr>
        <w:t>environmental performance of the CAP</w:t>
      </w:r>
      <w:r>
        <w:rPr>
          <w:rFonts w:ascii="Times New Roman" w:hAnsi="Times New Roman" w:cs="Times New Roman"/>
          <w:noProof/>
          <w:sz w:val="24"/>
          <w:szCs w:val="24"/>
        </w:rPr>
        <w:t xml:space="preserve">, as well as to </w:t>
      </w:r>
      <w:r>
        <w:rPr>
          <w:rFonts w:ascii="Times New Roman" w:hAnsi="Times New Roman" w:cs="Times New Roman"/>
          <w:b/>
          <w:noProof/>
          <w:sz w:val="24"/>
          <w:szCs w:val="24"/>
        </w:rPr>
        <w:t>address climate challenges</w:t>
      </w:r>
      <w:r>
        <w:rPr>
          <w:rFonts w:ascii="Times New Roman" w:hAnsi="Times New Roman" w:cs="Times New Roman"/>
          <w:noProof/>
          <w:sz w:val="24"/>
          <w:szCs w:val="24"/>
        </w:rPr>
        <w:t>.</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When setting-up the </w:t>
      </w:r>
      <w:r>
        <w:rPr>
          <w:rFonts w:ascii="Times New Roman" w:hAnsi="Times New Roman" w:cs="Times New Roman"/>
          <w:noProof/>
          <w:sz w:val="24"/>
          <w:szCs w:val="24"/>
        </w:rPr>
        <w:t>conditionality requirements, MS have the possibility to enhance conditionality by adding to the minimum requirements applied to the whole EU territory, higher requirements and/or additional simple but effective agri-environment and climate practices relate</w:t>
      </w:r>
      <w:r>
        <w:rPr>
          <w:rFonts w:ascii="Times New Roman" w:hAnsi="Times New Roman" w:cs="Times New Roman"/>
          <w:noProof/>
          <w:sz w:val="24"/>
          <w:szCs w:val="24"/>
        </w:rPr>
        <w:t>d to five EU priorities (biodiversity, water, soil, air, climate), thus targeting their specific national/regional environmental and climate context. Farmers willing to implement more ambitious practices best suited to their farms will continue receiving r</w:t>
      </w:r>
      <w:r>
        <w:rPr>
          <w:rFonts w:ascii="Times New Roman" w:hAnsi="Times New Roman" w:cs="Times New Roman"/>
          <w:noProof/>
          <w:sz w:val="24"/>
          <w:szCs w:val="24"/>
        </w:rPr>
        <w:t>ural development support (agri-environment-climate schemes, investments, training, advice etc.).</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Similarly as for option 3, sub-options are developed to illustrate possible differences in MS ambition regarding environmental targets. Sub-option 4a is equall</w:t>
      </w:r>
      <w:r>
        <w:rPr>
          <w:rFonts w:ascii="Times New Roman" w:hAnsi="Times New Roman" w:cs="Times New Roman"/>
          <w:noProof/>
          <w:sz w:val="24"/>
          <w:szCs w:val="24"/>
        </w:rPr>
        <w:t>y ambitious in terms of environmental objective as option 3a, but tests the possible outcome of a conditional system (versus voluntary approaches).</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xml:space="preserve"> By contrast, sub-option 4b is more flexible (no more ambitious conditionality) leaving scope to MS to deliv</w:t>
      </w:r>
      <w:r>
        <w:rPr>
          <w:rFonts w:ascii="Times New Roman" w:hAnsi="Times New Roman" w:cs="Times New Roman"/>
          <w:noProof/>
          <w:sz w:val="24"/>
          <w:szCs w:val="24"/>
        </w:rPr>
        <w:t xml:space="preserve">er more on environment using solely rural development interventions.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increase delivery results, including on </w:t>
      </w:r>
      <w:r>
        <w:rPr>
          <w:rFonts w:ascii="Times New Roman" w:hAnsi="Times New Roman" w:cs="Times New Roman"/>
          <w:b/>
          <w:noProof/>
          <w:sz w:val="24"/>
          <w:szCs w:val="24"/>
        </w:rPr>
        <w:t>competitiveness</w:t>
      </w:r>
      <w:r>
        <w:rPr>
          <w:rFonts w:ascii="Times New Roman" w:hAnsi="Times New Roman" w:cs="Times New Roman"/>
          <w:noProof/>
          <w:sz w:val="24"/>
          <w:szCs w:val="24"/>
        </w:rPr>
        <w:t xml:space="preserve">, this option puts a strong focus on </w:t>
      </w:r>
      <w:r>
        <w:rPr>
          <w:rFonts w:ascii="Times New Roman" w:hAnsi="Times New Roman" w:cs="Times New Roman"/>
          <w:b/>
          <w:noProof/>
          <w:sz w:val="24"/>
          <w:szCs w:val="24"/>
        </w:rPr>
        <w:t>knowledge, innovation and technology</w:t>
      </w:r>
      <w:r>
        <w:rPr>
          <w:rFonts w:ascii="Times New Roman" w:hAnsi="Times New Roman" w:cs="Times New Roman"/>
          <w:noProof/>
          <w:sz w:val="24"/>
          <w:szCs w:val="24"/>
        </w:rPr>
        <w:t>, mainly via enhanced EIP. Given this strong focus (and</w:t>
      </w:r>
      <w:r>
        <w:rPr>
          <w:rFonts w:ascii="Times New Roman" w:hAnsi="Times New Roman" w:cs="Times New Roman"/>
          <w:noProof/>
          <w:sz w:val="24"/>
          <w:szCs w:val="24"/>
        </w:rPr>
        <w:t xml:space="preserve"> on AECH), certain MS using currently a large share of their RD envelope to grant income support in ANCs are assumed shifting priorities and using more national funds to support farm income in these areas. Similarly, investment grants remain available only</w:t>
      </w:r>
      <w:r>
        <w:rPr>
          <w:rFonts w:ascii="Times New Roman" w:hAnsi="Times New Roman" w:cs="Times New Roman"/>
          <w:noProof/>
          <w:sz w:val="24"/>
          <w:szCs w:val="24"/>
        </w:rPr>
        <w:t xml:space="preserve"> to small farmers, while larger farmers receive investments support via </w:t>
      </w:r>
      <w:r>
        <w:rPr>
          <w:rFonts w:ascii="Times New Roman" w:hAnsi="Times New Roman" w:cs="Times New Roman"/>
          <w:b/>
          <w:noProof/>
          <w:sz w:val="24"/>
          <w:szCs w:val="24"/>
        </w:rPr>
        <w:t>financial instruments</w:t>
      </w:r>
      <w:r>
        <w:rPr>
          <w:rFonts w:ascii="Times New Roman" w:hAnsi="Times New Roman" w:cs="Times New Roman"/>
          <w:noProof/>
          <w:sz w:val="24"/>
          <w:szCs w:val="24"/>
        </w:rPr>
        <w:t>.</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is no distinction between sub-options regarding how the income objectives are addressed; option 4 aims at keeping </w:t>
      </w:r>
      <w:r>
        <w:rPr>
          <w:rFonts w:ascii="Times New Roman" w:hAnsi="Times New Roman" w:cs="Times New Roman"/>
          <w:b/>
          <w:noProof/>
          <w:sz w:val="24"/>
          <w:szCs w:val="24"/>
        </w:rPr>
        <w:t>strong income support</w:t>
      </w:r>
      <w:r>
        <w:rPr>
          <w:rFonts w:ascii="Times New Roman" w:hAnsi="Times New Roman" w:cs="Times New Roman"/>
          <w:noProof/>
          <w:sz w:val="24"/>
          <w:szCs w:val="24"/>
        </w:rPr>
        <w:t>, acknowledging that</w:t>
      </w:r>
      <w:r>
        <w:rPr>
          <w:rFonts w:ascii="Times New Roman" w:hAnsi="Times New Roman" w:cs="Times New Roman"/>
          <w:noProof/>
          <w:sz w:val="24"/>
          <w:szCs w:val="24"/>
        </w:rPr>
        <w:t xml:space="preserve"> environmental benefits are not just reached via conditionality, but also by keeping farmers in business.</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Option 4 tests an integrated direct payment support system more targeted at farming systems in need of support and contributing to the environmental a</w:t>
      </w:r>
      <w:r>
        <w:rPr>
          <w:rFonts w:ascii="Times New Roman" w:hAnsi="Times New Roman" w:cs="Times New Roman"/>
          <w:noProof/>
          <w:sz w:val="24"/>
          <w:szCs w:val="24"/>
        </w:rPr>
        <w:t xml:space="preserve">nd climatic objectives. While remaining decoupled, the basic payment is </w:t>
      </w:r>
      <w:r>
        <w:rPr>
          <w:rFonts w:ascii="Times New Roman" w:hAnsi="Times New Roman" w:cs="Times New Roman"/>
          <w:b/>
          <w:noProof/>
          <w:sz w:val="24"/>
          <w:szCs w:val="24"/>
        </w:rPr>
        <w:t>adjusted according to land type</w:t>
      </w:r>
      <w:r>
        <w:rPr>
          <w:rFonts w:ascii="Times New Roman" w:hAnsi="Times New Roman" w:cs="Times New Roman"/>
          <w:noProof/>
          <w:sz w:val="24"/>
          <w:szCs w:val="24"/>
        </w:rPr>
        <w:t xml:space="preserve"> (arable land, permanent grass land, permanent crops) with </w:t>
      </w:r>
      <w:r>
        <w:rPr>
          <w:rFonts w:ascii="Times New Roman" w:hAnsi="Times New Roman" w:cs="Times New Roman"/>
          <w:b/>
          <w:noProof/>
          <w:sz w:val="24"/>
          <w:szCs w:val="24"/>
        </w:rPr>
        <w:t>redistribution to permanent grassland</w:t>
      </w:r>
      <w:r>
        <w:rPr>
          <w:rFonts w:ascii="Times New Roman" w:hAnsi="Times New Roman" w:cs="Times New Roman"/>
          <w:noProof/>
          <w:sz w:val="24"/>
          <w:szCs w:val="24"/>
        </w:rPr>
        <w:t xml:space="preserve"> at the expense of arable land.</w:t>
      </w:r>
      <w:r>
        <w:rPr>
          <w:rStyle w:val="FootnoteReference"/>
          <w:rFonts w:ascii="Times New Roman" w:hAnsi="Times New Roman" w:cs="Times New Roman"/>
          <w:noProof/>
          <w:sz w:val="24"/>
          <w:szCs w:val="24"/>
        </w:rPr>
        <w:footnoteReference w:id="66"/>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Voluntary coupled </w:t>
      </w:r>
      <w:r>
        <w:rPr>
          <w:rFonts w:ascii="Times New Roman" w:hAnsi="Times New Roman" w:cs="Times New Roman"/>
          <w:b/>
          <w:noProof/>
          <w:sz w:val="24"/>
          <w:szCs w:val="24"/>
        </w:rPr>
        <w:t>support</w:t>
      </w:r>
      <w:r>
        <w:rPr>
          <w:rFonts w:ascii="Times New Roman" w:hAnsi="Times New Roman" w:cs="Times New Roman"/>
          <w:noProof/>
          <w:sz w:val="24"/>
          <w:szCs w:val="24"/>
        </w:rPr>
        <w:t xml:space="preserve"> changes its focus to supporting only </w:t>
      </w:r>
      <w:r>
        <w:rPr>
          <w:rFonts w:ascii="Times New Roman" w:hAnsi="Times New Roman" w:cs="Times New Roman"/>
          <w:b/>
          <w:noProof/>
          <w:sz w:val="24"/>
          <w:szCs w:val="24"/>
        </w:rPr>
        <w:t>extensive livestock production</w:t>
      </w:r>
      <w:r>
        <w:rPr>
          <w:rFonts w:ascii="Times New Roman" w:hAnsi="Times New Roman" w:cs="Times New Roman"/>
          <w:noProof/>
          <w:sz w:val="24"/>
          <w:szCs w:val="24"/>
        </w:rPr>
        <w:t>, thereby linking it to environment and climate objectives, as well as productions with specific challenges related to loss of landscape and habitats.</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To ensure a maximum redistribu</w:t>
      </w:r>
      <w:r>
        <w:rPr>
          <w:rFonts w:ascii="Times New Roman" w:hAnsi="Times New Roman" w:cs="Times New Roman"/>
          <w:noProof/>
          <w:sz w:val="24"/>
          <w:szCs w:val="24"/>
        </w:rPr>
        <w:t>tion of payments, farms receive a basic payment of maximum 100 000 EUR (with salaries correction), with the product of capping redistributed to smaller farmers. To target genuine farmers, a minimum requirement for receiving decoupled payments equivalent to</w:t>
      </w:r>
      <w:r>
        <w:rPr>
          <w:rFonts w:ascii="Times New Roman" w:hAnsi="Times New Roman" w:cs="Times New Roman"/>
          <w:noProof/>
          <w:sz w:val="24"/>
          <w:szCs w:val="24"/>
        </w:rPr>
        <w:t xml:space="preserve"> 2% of the agricultural income is introduced (ranging therefore from 100 EUR to 1 000 EUR per farm according to MS). In addition, to address income variability, increased support to </w:t>
      </w:r>
      <w:r>
        <w:rPr>
          <w:rFonts w:ascii="Times New Roman" w:hAnsi="Times New Roman" w:cs="Times New Roman"/>
          <w:b/>
          <w:noProof/>
          <w:sz w:val="24"/>
          <w:szCs w:val="24"/>
        </w:rPr>
        <w:t>risk management tools</w:t>
      </w:r>
      <w:r>
        <w:rPr>
          <w:rFonts w:ascii="Times New Roman" w:hAnsi="Times New Roman" w:cs="Times New Roman"/>
          <w:noProof/>
          <w:sz w:val="24"/>
          <w:szCs w:val="24"/>
        </w:rPr>
        <w:t xml:space="preserve"> is set at 5% of pillar I envelope.</w:t>
      </w:r>
    </w:p>
    <w:p w:rsidR="00333A1A" w:rsidRDefault="003D29C9">
      <w:pPr>
        <w:pStyle w:val="Heading2"/>
        <w:rPr>
          <w:noProof/>
        </w:rPr>
      </w:pPr>
      <w:bookmarkStart w:id="127" w:name="_Toc508297456"/>
      <w:bookmarkStart w:id="128" w:name="_Toc513053279"/>
      <w:bookmarkStart w:id="129" w:name="_Toc513053495"/>
      <w:bookmarkStart w:id="130" w:name="_Toc514514626"/>
      <w:r>
        <w:rPr>
          <w:noProof/>
        </w:rPr>
        <w:t>Option 5: Focus o</w:t>
      </w:r>
      <w:r>
        <w:rPr>
          <w:noProof/>
        </w:rPr>
        <w:t>n small farms and the environment</w:t>
      </w:r>
      <w:bookmarkEnd w:id="127"/>
      <w:bookmarkEnd w:id="128"/>
      <w:bookmarkEnd w:id="129"/>
      <w:bookmarkEnd w:id="130"/>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lays strong emphasis on </w:t>
      </w:r>
      <w:r>
        <w:rPr>
          <w:rFonts w:ascii="Times New Roman" w:hAnsi="Times New Roman" w:cs="Times New Roman"/>
          <w:b/>
          <w:noProof/>
          <w:sz w:val="24"/>
          <w:szCs w:val="24"/>
        </w:rPr>
        <w:t>environmental care and employment</w:t>
      </w:r>
      <w:r>
        <w:rPr>
          <w:rFonts w:ascii="Times New Roman" w:hAnsi="Times New Roman" w:cs="Times New Roman"/>
          <w:noProof/>
          <w:sz w:val="24"/>
          <w:szCs w:val="24"/>
        </w:rPr>
        <w:t xml:space="preserve"> – and shifts the</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 xml:space="preserve">focus on small farmers as a key to success in keeping jobs in rural areas. It </w:t>
      </w:r>
      <w:r>
        <w:rPr>
          <w:rFonts w:ascii="Times New Roman" w:hAnsi="Times New Roman" w:cs="Times New Roman"/>
          <w:b/>
          <w:noProof/>
          <w:sz w:val="24"/>
          <w:szCs w:val="24"/>
        </w:rPr>
        <w:t>redistributes pillar I direct support from larger to smal</w:t>
      </w:r>
      <w:r>
        <w:rPr>
          <w:rFonts w:ascii="Times New Roman" w:hAnsi="Times New Roman" w:cs="Times New Roman"/>
          <w:b/>
          <w:noProof/>
          <w:sz w:val="24"/>
          <w:szCs w:val="24"/>
        </w:rPr>
        <w:t>ler farms</w:t>
      </w:r>
      <w:r>
        <w:rPr>
          <w:rFonts w:ascii="Times New Roman" w:hAnsi="Times New Roman" w:cs="Times New Roman"/>
          <w:noProof/>
          <w:sz w:val="24"/>
          <w:szCs w:val="24"/>
        </w:rPr>
        <w:t xml:space="preserve">, testing a decoupled payment modulated by size (explained below) and a maximum of 60 000 EUR granted by farm (with salaries correction).  In addition, Member States are given the possibility to dedicate up to 10% of their pillar I envelop to </w:t>
      </w:r>
      <w:r>
        <w:rPr>
          <w:rFonts w:ascii="Times New Roman" w:hAnsi="Times New Roman" w:cs="Times New Roman"/>
          <w:b/>
          <w:noProof/>
          <w:sz w:val="24"/>
          <w:szCs w:val="24"/>
        </w:rPr>
        <w:t>volu</w:t>
      </w:r>
      <w:r>
        <w:rPr>
          <w:rFonts w:ascii="Times New Roman" w:hAnsi="Times New Roman" w:cs="Times New Roman"/>
          <w:b/>
          <w:noProof/>
          <w:sz w:val="24"/>
          <w:szCs w:val="24"/>
        </w:rPr>
        <w:t>ntary coupled support</w:t>
      </w:r>
      <w:r>
        <w:rPr>
          <w:rFonts w:ascii="Times New Roman" w:hAnsi="Times New Roman" w:cs="Times New Roman"/>
          <w:noProof/>
          <w:sz w:val="24"/>
          <w:szCs w:val="24"/>
        </w:rPr>
        <w:t xml:space="preserve"> provided that it is targeted to </w:t>
      </w:r>
      <w:r>
        <w:rPr>
          <w:rFonts w:ascii="Times New Roman" w:hAnsi="Times New Roman" w:cs="Times New Roman"/>
          <w:b/>
          <w:noProof/>
          <w:sz w:val="24"/>
          <w:szCs w:val="24"/>
        </w:rPr>
        <w:t>EU goals</w:t>
      </w:r>
      <w:r>
        <w:rPr>
          <w:rFonts w:ascii="Times New Roman" w:hAnsi="Times New Roman" w:cs="Times New Roman"/>
          <w:noProof/>
          <w:sz w:val="24"/>
          <w:szCs w:val="24"/>
        </w:rPr>
        <w:t>.</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tests two schemes: support to </w:t>
      </w:r>
      <w:r>
        <w:rPr>
          <w:rFonts w:ascii="Times New Roman" w:hAnsi="Times New Roman" w:cs="Times New Roman"/>
          <w:b/>
          <w:noProof/>
          <w:sz w:val="24"/>
          <w:szCs w:val="24"/>
        </w:rPr>
        <w:t>extensive livestock production</w:t>
      </w:r>
      <w:r>
        <w:rPr>
          <w:rFonts w:ascii="Times New Roman" w:hAnsi="Times New Roman" w:cs="Times New Roman"/>
          <w:noProof/>
          <w:sz w:val="24"/>
          <w:szCs w:val="24"/>
        </w:rPr>
        <w:t xml:space="preserve">, considered at risk without support yet contributing to carbon sequestration, landscape and habitats, as well as </w:t>
      </w:r>
      <w:r>
        <w:rPr>
          <w:rFonts w:ascii="Times New Roman" w:hAnsi="Times New Roman" w:cs="Times New Roman"/>
          <w:b/>
          <w:noProof/>
          <w:sz w:val="24"/>
          <w:szCs w:val="24"/>
        </w:rPr>
        <w:t>protei</w:t>
      </w:r>
      <w:r>
        <w:rPr>
          <w:rFonts w:ascii="Times New Roman" w:hAnsi="Times New Roman" w:cs="Times New Roman"/>
          <w:b/>
          <w:noProof/>
          <w:sz w:val="24"/>
          <w:szCs w:val="24"/>
        </w:rPr>
        <w:t>n-rich crops</w:t>
      </w:r>
      <w:r>
        <w:rPr>
          <w:rFonts w:ascii="Times New Roman" w:hAnsi="Times New Roman" w:cs="Times New Roman"/>
          <w:noProof/>
          <w:sz w:val="24"/>
          <w:szCs w:val="24"/>
        </w:rPr>
        <w:t xml:space="preserve"> for their environmental benefits and to increase the supply of non-GM proteins.</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targets also farmers most in need in </w:t>
      </w:r>
      <w:r>
        <w:rPr>
          <w:rFonts w:ascii="Times New Roman" w:hAnsi="Times New Roman" w:cs="Times New Roman"/>
          <w:b/>
          <w:noProof/>
          <w:sz w:val="24"/>
          <w:szCs w:val="24"/>
        </w:rPr>
        <w:t>areas with natural constraints</w:t>
      </w:r>
      <w:r>
        <w:rPr>
          <w:rFonts w:ascii="Times New Roman" w:hAnsi="Times New Roman" w:cs="Times New Roman"/>
          <w:noProof/>
          <w:sz w:val="24"/>
          <w:szCs w:val="24"/>
        </w:rPr>
        <w:t xml:space="preserve"> via a top up granted in pillar I and climate action and sustainable management of natural re</w:t>
      </w:r>
      <w:r>
        <w:rPr>
          <w:rFonts w:ascii="Times New Roman" w:hAnsi="Times New Roman" w:cs="Times New Roman"/>
          <w:noProof/>
          <w:sz w:val="24"/>
          <w:szCs w:val="24"/>
        </w:rPr>
        <w:t xml:space="preserve">sources via </w:t>
      </w:r>
      <w:r>
        <w:rPr>
          <w:rFonts w:ascii="Times New Roman" w:hAnsi="Times New Roman" w:cs="Times New Roman"/>
          <w:b/>
          <w:noProof/>
          <w:sz w:val="24"/>
          <w:szCs w:val="24"/>
        </w:rPr>
        <w:t>top ups to organic farming, permanent grassland and hedges</w:t>
      </w:r>
      <w:r>
        <w:rPr>
          <w:rFonts w:ascii="Times New Roman" w:hAnsi="Times New Roman" w:cs="Times New Roman"/>
          <w:noProof/>
          <w:sz w:val="24"/>
          <w:szCs w:val="24"/>
        </w:rPr>
        <w:t xml:space="preserve">. Though always based on strategic planning, especially regarding RD funds, this option reflects a more prescriptive approach setting an allocation of 30% of the direct payment envelope </w:t>
      </w:r>
      <w:r>
        <w:rPr>
          <w:rFonts w:ascii="Times New Roman" w:hAnsi="Times New Roman" w:cs="Times New Roman"/>
          <w:noProof/>
          <w:sz w:val="24"/>
          <w:szCs w:val="24"/>
        </w:rPr>
        <w:t>to these tops ups. Beyond minimum conditionality and these top ups, MS are invited to dedicate a large share of pillar II envelope to support farmers adopting more ambitious farm practises (via agri-environment-climate measures based on incentives or costs</w:t>
      </w:r>
      <w:r>
        <w:rPr>
          <w:rFonts w:ascii="Times New Roman" w:hAnsi="Times New Roman" w:cs="Times New Roman"/>
          <w:noProof/>
          <w:sz w:val="24"/>
          <w:szCs w:val="24"/>
        </w:rPr>
        <w:t xml:space="preserve"> incurred and income foregone). This switch in priorities is eased by the fact that in this option, support to ANC is granted in pillar I.</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thus greater availability of pillar II funds permits in this option a strong focus on </w:t>
      </w:r>
      <w:r>
        <w:rPr>
          <w:rFonts w:ascii="Times New Roman" w:hAnsi="Times New Roman" w:cs="Times New Roman"/>
          <w:b/>
          <w:noProof/>
          <w:sz w:val="24"/>
          <w:szCs w:val="24"/>
        </w:rPr>
        <w:t>knowledge, cooperation, inn</w:t>
      </w:r>
      <w:r>
        <w:rPr>
          <w:rFonts w:ascii="Times New Roman" w:hAnsi="Times New Roman" w:cs="Times New Roman"/>
          <w:b/>
          <w:noProof/>
          <w:sz w:val="24"/>
          <w:szCs w:val="24"/>
        </w:rPr>
        <w:t xml:space="preserve">ovation (social and environmental) and jobs creation </w:t>
      </w:r>
      <w:r>
        <w:rPr>
          <w:rFonts w:ascii="Times New Roman" w:hAnsi="Times New Roman" w:cs="Times New Roman"/>
          <w:noProof/>
          <w:sz w:val="24"/>
          <w:szCs w:val="24"/>
        </w:rPr>
        <w:t>through EIP and Leader projects. In addition, in order to improve generational renewal, in particular access of young farmers to the sector, under this option the introduction of a compulsory enhanced to</w:t>
      </w:r>
      <w:r>
        <w:rPr>
          <w:rFonts w:ascii="Times New Roman" w:hAnsi="Times New Roman" w:cs="Times New Roman"/>
          <w:noProof/>
          <w:sz w:val="24"/>
          <w:szCs w:val="24"/>
        </w:rPr>
        <w:t xml:space="preserve">p-up payment for </w:t>
      </w:r>
      <w:r>
        <w:rPr>
          <w:rFonts w:ascii="Times New Roman" w:hAnsi="Times New Roman" w:cs="Times New Roman"/>
          <w:b/>
          <w:noProof/>
          <w:sz w:val="24"/>
          <w:szCs w:val="24"/>
        </w:rPr>
        <w:t>young farmers</w:t>
      </w:r>
      <w:r>
        <w:rPr>
          <w:rFonts w:ascii="Times New Roman" w:hAnsi="Times New Roman" w:cs="Times New Roman"/>
          <w:noProof/>
          <w:sz w:val="24"/>
          <w:szCs w:val="24"/>
        </w:rPr>
        <w:t xml:space="preserve"> is assessed.</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competitiveness</w:t>
      </w:r>
      <w:r>
        <w:rPr>
          <w:rFonts w:ascii="Times New Roman" w:hAnsi="Times New Roman" w:cs="Times New Roman"/>
          <w:noProof/>
          <w:sz w:val="24"/>
          <w:szCs w:val="24"/>
        </w:rPr>
        <w:t xml:space="preserve"> challenge is addressed by a move towards more targeted use of public support for investment. Grant support for investments would focus on smaller businesses – including in the farm and forestr</w:t>
      </w:r>
      <w:r>
        <w:rPr>
          <w:rFonts w:ascii="Times New Roman" w:hAnsi="Times New Roman" w:cs="Times New Roman"/>
          <w:noProof/>
          <w:sz w:val="24"/>
          <w:szCs w:val="24"/>
        </w:rPr>
        <w:t xml:space="preserve">y sector – as well as on investments bringing wider benefit (e.g. in terms of basic services in rural areas). However, investment support through financial instruments would be made available for all beneficiaries, of whatever size. </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order to address th</w:t>
      </w:r>
      <w:r>
        <w:rPr>
          <w:rFonts w:ascii="Times New Roman" w:hAnsi="Times New Roman" w:cs="Times New Roman"/>
          <w:noProof/>
          <w:sz w:val="24"/>
          <w:szCs w:val="24"/>
        </w:rPr>
        <w:t xml:space="preserve">e issue of </w:t>
      </w:r>
      <w:r>
        <w:rPr>
          <w:rFonts w:ascii="Times New Roman" w:hAnsi="Times New Roman" w:cs="Times New Roman"/>
          <w:b/>
          <w:noProof/>
          <w:sz w:val="24"/>
          <w:szCs w:val="24"/>
        </w:rPr>
        <w:t xml:space="preserve">imbalance in the value chain </w:t>
      </w:r>
      <w:r>
        <w:rPr>
          <w:rFonts w:ascii="Times New Roman" w:hAnsi="Times New Roman" w:cs="Times New Roman"/>
          <w:noProof/>
          <w:sz w:val="24"/>
          <w:szCs w:val="24"/>
        </w:rPr>
        <w:t>and</w:t>
      </w:r>
      <w:r>
        <w:rPr>
          <w:rFonts w:ascii="Times New Roman" w:hAnsi="Times New Roman" w:cs="Times New Roman"/>
          <w:b/>
          <w:noProof/>
          <w:sz w:val="24"/>
          <w:szCs w:val="24"/>
        </w:rPr>
        <w:t xml:space="preserve"> addressing consumers' expectations</w:t>
      </w:r>
      <w:r>
        <w:rPr>
          <w:rFonts w:ascii="Times New Roman" w:hAnsi="Times New Roman" w:cs="Times New Roman"/>
          <w:noProof/>
          <w:sz w:val="24"/>
          <w:szCs w:val="24"/>
        </w:rPr>
        <w:t>, this option would enhance support for setting up producer organisations and for cooperation for short supply chains and local markets under Rural Development, as well as the to</w:t>
      </w:r>
      <w:r>
        <w:rPr>
          <w:rFonts w:ascii="Times New Roman" w:hAnsi="Times New Roman" w:cs="Times New Roman"/>
          <w:noProof/>
          <w:sz w:val="24"/>
          <w:szCs w:val="24"/>
        </w:rPr>
        <w:t>p ups to organic farming.</w:t>
      </w:r>
    </w:p>
    <w:p w:rsidR="00333A1A" w:rsidRDefault="003D29C9">
      <w:pPr>
        <w:rPr>
          <w:rFonts w:ascii="Times New Roman" w:hAnsi="Times New Roman" w:cs="Times New Roman"/>
          <w:noProof/>
          <w:sz w:val="24"/>
          <w:szCs w:val="24"/>
        </w:rPr>
      </w:pPr>
      <w:r>
        <w:rPr>
          <w:rFonts w:ascii="Times New Roman" w:hAnsi="Times New Roman" w:cs="Times New Roman"/>
          <w:noProof/>
          <w:sz w:val="24"/>
          <w:szCs w:val="24"/>
        </w:rPr>
        <w:br w:type="page"/>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333A1A" w:rsidRDefault="00333A1A">
      <w:pPr>
        <w:rPr>
          <w:rFonts w:ascii="Times New Roman" w:hAnsi="Times New Roman" w:cs="Times New Roman"/>
          <w:i/>
          <w:noProof/>
          <w:sz w:val="24"/>
          <w:szCs w:val="24"/>
        </w:rPr>
      </w:pPr>
    </w:p>
    <w:p w:rsidR="00333A1A" w:rsidRDefault="003D29C9">
      <w:pPr>
        <w:spacing w:after="120"/>
        <w:jc w:val="center"/>
        <w:rPr>
          <w:rFonts w:ascii="Times New Roman" w:hAnsi="Times New Roman" w:cs="Times New Roman"/>
          <w:i/>
          <w:noProof/>
          <w:sz w:val="24"/>
          <w:szCs w:val="24"/>
        </w:rPr>
      </w:pPr>
      <w:r>
        <w:rPr>
          <w:rFonts w:ascii="Times New Roman" w:hAnsi="Times New Roman" w:cs="Times New Roman"/>
          <w:i/>
          <w:noProof/>
          <w:sz w:val="24"/>
          <w:szCs w:val="24"/>
        </w:rPr>
        <w:t>Box: The decoupled payment modulated by size assessed in option 5</w:t>
      </w:r>
    </w:p>
    <w:p w:rsidR="00333A1A" w:rsidRDefault="003D29C9">
      <w:pPr>
        <w:spacing w:after="120"/>
        <w:jc w:val="both"/>
        <w:rPr>
          <w:rFonts w:ascii="Times New Roman" w:hAnsi="Times New Roman" w:cs="Times New Roman"/>
          <w:i/>
          <w:noProof/>
          <w:sz w:val="24"/>
          <w:szCs w:val="24"/>
        </w:rPr>
      </w:pPr>
      <w:r>
        <w:rPr>
          <w:rFonts w:ascii="Times New Roman" w:hAnsi="Times New Roman" w:cs="Times New Roman"/>
          <w:i/>
          <w:noProof/>
          <w:sz w:val="24"/>
          <w:szCs w:val="24"/>
        </w:rPr>
        <w:t>The level of payment depends on the size of the farm relative to the average farm size in MS. All the hectares of a farm below half the national average size are granted 150% of the average national payment per ha. Between 50% and 100% of the size, the pay</w:t>
      </w:r>
      <w:r>
        <w:rPr>
          <w:rFonts w:ascii="Times New Roman" w:hAnsi="Times New Roman" w:cs="Times New Roman"/>
          <w:i/>
          <w:noProof/>
          <w:sz w:val="24"/>
          <w:szCs w:val="24"/>
        </w:rPr>
        <w:t xml:space="preserve">ment is 130% of the average; between 100% and 150% of the size, the payment is 30% below average and for all the hectares above the payment is the average divided by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333A1A">
        <w:tc>
          <w:tcPr>
            <w:tcW w:w="4417" w:type="dxa"/>
          </w:tcPr>
          <w:p w:rsidR="00333A1A" w:rsidRDefault="003D29C9">
            <w:pPr>
              <w:spacing w:after="120"/>
              <w:jc w:val="both"/>
              <w:rPr>
                <w:i/>
                <w:noProof/>
                <w:sz w:val="24"/>
                <w:szCs w:val="24"/>
              </w:rPr>
            </w:pPr>
            <w:r>
              <w:rPr>
                <w:i/>
                <w:noProof/>
                <w:sz w:val="24"/>
                <w:szCs w:val="24"/>
              </w:rPr>
              <w:t xml:space="preserve">For example, in CZ the average farm size was around 120 ha in 2013. The average basic </w:t>
            </w:r>
            <w:r>
              <w:rPr>
                <w:i/>
                <w:noProof/>
                <w:sz w:val="24"/>
                <w:szCs w:val="24"/>
              </w:rPr>
              <w:t>payment per ha is around 150 EUR/ha. But the first 60 hectares of all farmers are eligible to a higher payment of 280 EUR/ha*.</w:t>
            </w:r>
          </w:p>
          <w:p w:rsidR="00333A1A" w:rsidRDefault="003D29C9">
            <w:pPr>
              <w:spacing w:after="120"/>
              <w:jc w:val="both"/>
              <w:rPr>
                <w:i/>
                <w:noProof/>
                <w:sz w:val="24"/>
                <w:szCs w:val="24"/>
              </w:rPr>
            </w:pPr>
            <w:r>
              <w:rPr>
                <w:i/>
                <w:noProof/>
                <w:sz w:val="24"/>
                <w:szCs w:val="24"/>
              </w:rPr>
              <w:t>A farmer with 130 ha would be granted:</w:t>
            </w:r>
          </w:p>
          <w:p w:rsidR="00333A1A" w:rsidRDefault="003D29C9">
            <w:pPr>
              <w:spacing w:after="120"/>
              <w:jc w:val="both"/>
              <w:rPr>
                <w:i/>
                <w:noProof/>
                <w:sz w:val="24"/>
                <w:szCs w:val="24"/>
              </w:rPr>
            </w:pPr>
            <w:r>
              <w:rPr>
                <w:i/>
                <w:noProof/>
                <w:sz w:val="24"/>
                <w:szCs w:val="24"/>
              </w:rPr>
              <w:t>60*280+60*245+10*130 = 32 800 EUR</w:t>
            </w:r>
          </w:p>
        </w:tc>
        <w:tc>
          <w:tcPr>
            <w:tcW w:w="4417" w:type="dxa"/>
          </w:tcPr>
          <w:p w:rsidR="00333A1A" w:rsidRDefault="003D29C9">
            <w:pPr>
              <w:spacing w:after="120"/>
              <w:jc w:val="both"/>
              <w:rPr>
                <w:i/>
                <w:noProof/>
                <w:sz w:val="24"/>
                <w:szCs w:val="24"/>
              </w:rPr>
            </w:pPr>
            <w:r>
              <w:rPr>
                <w:i/>
                <w:noProof/>
                <w:sz w:val="24"/>
                <w:szCs w:val="24"/>
              </w:rPr>
              <w:t>Basic payment per ha in CZ by size</w:t>
            </w:r>
          </w:p>
          <w:p w:rsidR="00333A1A" w:rsidRDefault="003D29C9">
            <w:pPr>
              <w:jc w:val="both"/>
              <w:rPr>
                <w:noProof/>
              </w:rPr>
            </w:pPr>
            <w:r>
              <w:rPr>
                <w:noProof/>
              </w:rPr>
              <w:drawing>
                <wp:inline distT="0" distB="0" distL="0" distR="0" wp14:anchorId="163EF02E" wp14:editId="0790C8F1">
                  <wp:extent cx="1969135" cy="142049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69135" cy="1420495"/>
                          </a:xfrm>
                          <a:prstGeom prst="rect">
                            <a:avLst/>
                          </a:prstGeom>
                          <a:noFill/>
                        </pic:spPr>
                      </pic:pic>
                    </a:graphicData>
                  </a:graphic>
                </wp:inline>
              </w:drawing>
            </w:r>
          </w:p>
          <w:p w:rsidR="00333A1A" w:rsidRDefault="003D29C9">
            <w:pPr>
              <w:spacing w:after="120"/>
              <w:jc w:val="both"/>
              <w:rPr>
                <w:i/>
                <w:noProof/>
                <w:sz w:val="24"/>
                <w:szCs w:val="24"/>
              </w:rPr>
            </w:pPr>
            <w:r>
              <w:rPr>
                <w:i/>
                <w:noProof/>
                <w:sz w:val="18"/>
                <w:szCs w:val="24"/>
              </w:rPr>
              <w:t>Source: DG AGRI</w:t>
            </w:r>
          </w:p>
        </w:tc>
      </w:tr>
    </w:tbl>
    <w:p w:rsidR="00333A1A" w:rsidRDefault="00333A1A">
      <w:pPr>
        <w:spacing w:after="120"/>
        <w:jc w:val="both"/>
        <w:rPr>
          <w:rFonts w:ascii="Times New Roman" w:hAnsi="Times New Roman" w:cs="Times New Roman"/>
          <w:i/>
          <w:noProof/>
          <w:sz w:val="24"/>
          <w:szCs w:val="24"/>
        </w:rPr>
      </w:pPr>
    </w:p>
    <w:p w:rsidR="00333A1A" w:rsidRDefault="003D29C9">
      <w:pPr>
        <w:keepNext/>
        <w:spacing w:after="120"/>
        <w:jc w:val="center"/>
        <w:rPr>
          <w:b/>
          <w:noProof/>
        </w:rPr>
      </w:pPr>
      <w:r>
        <w:rPr>
          <w:rFonts w:ascii="Times New Roman" w:hAnsi="Times New Roman" w:cs="Times New Roman"/>
          <w:b/>
          <w:noProof/>
        </w:rPr>
        <w:t>Share of CAP budget dedicated to environmental performance and climate action at EU level</w:t>
      </w:r>
      <w:r>
        <w:rPr>
          <w:rStyle w:val="FootnoteReference"/>
          <w:noProof/>
        </w:rPr>
        <w:footnoteReference w:id="67"/>
      </w:r>
    </w:p>
    <w:tbl>
      <w:tblPr>
        <w:tblStyle w:val="TableGrid"/>
        <w:tblW w:w="0" w:type="auto"/>
        <w:tblLook w:val="04A0" w:firstRow="1" w:lastRow="0" w:firstColumn="1" w:lastColumn="0" w:noHBand="0" w:noVBand="1"/>
      </w:tblPr>
      <w:tblGrid>
        <w:gridCol w:w="1325"/>
        <w:gridCol w:w="1258"/>
        <w:gridCol w:w="1257"/>
        <w:gridCol w:w="1311"/>
        <w:gridCol w:w="1293"/>
        <w:gridCol w:w="1257"/>
        <w:gridCol w:w="1133"/>
      </w:tblGrid>
      <w:tr w:rsidR="00333A1A">
        <w:tc>
          <w:tcPr>
            <w:tcW w:w="1366" w:type="dxa"/>
          </w:tcPr>
          <w:p w:rsidR="00333A1A" w:rsidRDefault="00333A1A">
            <w:pPr>
              <w:keepNext/>
              <w:keepLines/>
              <w:jc w:val="both"/>
              <w:rPr>
                <w:noProof/>
                <w:sz w:val="18"/>
              </w:rPr>
            </w:pPr>
          </w:p>
        </w:tc>
        <w:tc>
          <w:tcPr>
            <w:tcW w:w="1339" w:type="dxa"/>
          </w:tcPr>
          <w:p w:rsidR="00333A1A" w:rsidRDefault="003D29C9">
            <w:pPr>
              <w:keepNext/>
              <w:keepLines/>
              <w:jc w:val="center"/>
              <w:rPr>
                <w:noProof/>
                <w:sz w:val="18"/>
              </w:rPr>
            </w:pPr>
            <w:r>
              <w:rPr>
                <w:noProof/>
                <w:sz w:val="18"/>
              </w:rPr>
              <w:t>Option 1</w:t>
            </w:r>
          </w:p>
        </w:tc>
        <w:tc>
          <w:tcPr>
            <w:tcW w:w="1339" w:type="dxa"/>
          </w:tcPr>
          <w:p w:rsidR="00333A1A" w:rsidRDefault="003D29C9">
            <w:pPr>
              <w:keepNext/>
              <w:keepLines/>
              <w:jc w:val="center"/>
              <w:rPr>
                <w:noProof/>
                <w:sz w:val="18"/>
              </w:rPr>
            </w:pPr>
            <w:r>
              <w:rPr>
                <w:noProof/>
                <w:sz w:val="18"/>
              </w:rPr>
              <w:t>Option 3a</w:t>
            </w:r>
          </w:p>
        </w:tc>
        <w:tc>
          <w:tcPr>
            <w:tcW w:w="1406" w:type="dxa"/>
          </w:tcPr>
          <w:p w:rsidR="00333A1A" w:rsidRDefault="003D29C9">
            <w:pPr>
              <w:keepNext/>
              <w:keepLines/>
              <w:jc w:val="center"/>
              <w:rPr>
                <w:noProof/>
                <w:sz w:val="18"/>
              </w:rPr>
            </w:pPr>
            <w:r>
              <w:rPr>
                <w:noProof/>
                <w:sz w:val="18"/>
              </w:rPr>
              <w:t>Option3b</w:t>
            </w:r>
          </w:p>
        </w:tc>
        <w:tc>
          <w:tcPr>
            <w:tcW w:w="1339" w:type="dxa"/>
          </w:tcPr>
          <w:p w:rsidR="00333A1A" w:rsidRDefault="003D29C9">
            <w:pPr>
              <w:keepNext/>
              <w:keepLines/>
              <w:jc w:val="center"/>
              <w:rPr>
                <w:noProof/>
                <w:sz w:val="18"/>
              </w:rPr>
            </w:pPr>
            <w:r>
              <w:rPr>
                <w:noProof/>
                <w:sz w:val="18"/>
              </w:rPr>
              <w:t>Option 4a</w:t>
            </w:r>
          </w:p>
        </w:tc>
        <w:tc>
          <w:tcPr>
            <w:tcW w:w="1339" w:type="dxa"/>
          </w:tcPr>
          <w:p w:rsidR="00333A1A" w:rsidRDefault="003D29C9">
            <w:pPr>
              <w:keepNext/>
              <w:keepLines/>
              <w:jc w:val="center"/>
              <w:rPr>
                <w:noProof/>
                <w:sz w:val="18"/>
              </w:rPr>
            </w:pPr>
            <w:r>
              <w:rPr>
                <w:noProof/>
                <w:sz w:val="18"/>
              </w:rPr>
              <w:t>Option 4b</w:t>
            </w:r>
          </w:p>
        </w:tc>
        <w:tc>
          <w:tcPr>
            <w:tcW w:w="1160" w:type="dxa"/>
          </w:tcPr>
          <w:p w:rsidR="00333A1A" w:rsidRDefault="003D29C9">
            <w:pPr>
              <w:keepNext/>
              <w:keepLines/>
              <w:jc w:val="center"/>
              <w:rPr>
                <w:noProof/>
                <w:sz w:val="18"/>
              </w:rPr>
            </w:pPr>
            <w:r>
              <w:rPr>
                <w:noProof/>
                <w:sz w:val="18"/>
              </w:rPr>
              <w:t>Option 5</w:t>
            </w:r>
          </w:p>
        </w:tc>
      </w:tr>
      <w:tr w:rsidR="00333A1A">
        <w:tc>
          <w:tcPr>
            <w:tcW w:w="1366" w:type="dxa"/>
          </w:tcPr>
          <w:p w:rsidR="00333A1A" w:rsidRDefault="003D29C9">
            <w:pPr>
              <w:keepNext/>
              <w:keepLines/>
              <w:jc w:val="both"/>
              <w:rPr>
                <w:noProof/>
                <w:sz w:val="18"/>
              </w:rPr>
            </w:pPr>
            <w:r>
              <w:rPr>
                <w:noProof/>
                <w:sz w:val="18"/>
              </w:rPr>
              <w:t>Eco-scheme</w:t>
            </w:r>
          </w:p>
        </w:tc>
        <w:tc>
          <w:tcPr>
            <w:tcW w:w="1339" w:type="dxa"/>
          </w:tcPr>
          <w:p w:rsidR="00333A1A" w:rsidRDefault="003D29C9">
            <w:pPr>
              <w:keepNext/>
              <w:keepLines/>
              <w:jc w:val="center"/>
              <w:rPr>
                <w:noProof/>
                <w:sz w:val="18"/>
              </w:rPr>
            </w:pPr>
            <w:r>
              <w:rPr>
                <w:noProof/>
                <w:sz w:val="18"/>
              </w:rPr>
              <w:t>0</w:t>
            </w:r>
          </w:p>
        </w:tc>
        <w:tc>
          <w:tcPr>
            <w:tcW w:w="1339" w:type="dxa"/>
          </w:tcPr>
          <w:p w:rsidR="00333A1A" w:rsidRDefault="003D29C9">
            <w:pPr>
              <w:keepNext/>
              <w:keepLines/>
              <w:jc w:val="center"/>
              <w:rPr>
                <w:noProof/>
                <w:sz w:val="18"/>
              </w:rPr>
            </w:pPr>
            <w:r>
              <w:rPr>
                <w:noProof/>
                <w:sz w:val="18"/>
              </w:rPr>
              <w:t>44%</w:t>
            </w:r>
          </w:p>
        </w:tc>
        <w:tc>
          <w:tcPr>
            <w:tcW w:w="1406" w:type="dxa"/>
          </w:tcPr>
          <w:p w:rsidR="00333A1A" w:rsidRDefault="003D29C9">
            <w:pPr>
              <w:keepNext/>
              <w:keepLines/>
              <w:jc w:val="center"/>
              <w:rPr>
                <w:noProof/>
                <w:sz w:val="18"/>
              </w:rPr>
            </w:pPr>
            <w:r>
              <w:rPr>
                <w:noProof/>
                <w:sz w:val="18"/>
              </w:rPr>
              <w:t>22%</w:t>
            </w:r>
          </w:p>
        </w:tc>
        <w:tc>
          <w:tcPr>
            <w:tcW w:w="1339" w:type="dxa"/>
          </w:tcPr>
          <w:p w:rsidR="00333A1A" w:rsidRDefault="003D29C9">
            <w:pPr>
              <w:keepNext/>
              <w:keepLines/>
              <w:jc w:val="center"/>
              <w:rPr>
                <w:noProof/>
                <w:sz w:val="18"/>
              </w:rPr>
            </w:pPr>
            <w:r>
              <w:rPr>
                <w:noProof/>
                <w:sz w:val="18"/>
              </w:rPr>
              <w:t>0</w:t>
            </w:r>
          </w:p>
        </w:tc>
        <w:tc>
          <w:tcPr>
            <w:tcW w:w="1339" w:type="dxa"/>
          </w:tcPr>
          <w:p w:rsidR="00333A1A" w:rsidRDefault="003D29C9">
            <w:pPr>
              <w:keepNext/>
              <w:keepLines/>
              <w:jc w:val="center"/>
              <w:rPr>
                <w:noProof/>
                <w:sz w:val="18"/>
              </w:rPr>
            </w:pPr>
            <w:r>
              <w:rPr>
                <w:noProof/>
                <w:sz w:val="18"/>
              </w:rPr>
              <w:t>0</w:t>
            </w:r>
          </w:p>
        </w:tc>
        <w:tc>
          <w:tcPr>
            <w:tcW w:w="1160" w:type="dxa"/>
          </w:tcPr>
          <w:p w:rsidR="00333A1A" w:rsidRDefault="003D29C9">
            <w:pPr>
              <w:keepNext/>
              <w:keepLines/>
              <w:jc w:val="center"/>
              <w:rPr>
                <w:noProof/>
                <w:sz w:val="18"/>
              </w:rPr>
            </w:pPr>
            <w:r>
              <w:rPr>
                <w:noProof/>
                <w:sz w:val="18"/>
              </w:rPr>
              <w:t>0</w:t>
            </w:r>
          </w:p>
        </w:tc>
      </w:tr>
      <w:tr w:rsidR="00333A1A">
        <w:tc>
          <w:tcPr>
            <w:tcW w:w="1366" w:type="dxa"/>
          </w:tcPr>
          <w:p w:rsidR="00333A1A" w:rsidRDefault="003D29C9">
            <w:pPr>
              <w:keepNext/>
              <w:keepLines/>
              <w:jc w:val="both"/>
              <w:rPr>
                <w:noProof/>
                <w:sz w:val="18"/>
              </w:rPr>
            </w:pPr>
            <w:r>
              <w:rPr>
                <w:noProof/>
                <w:sz w:val="18"/>
              </w:rPr>
              <w:t>Top ups</w:t>
            </w:r>
          </w:p>
        </w:tc>
        <w:tc>
          <w:tcPr>
            <w:tcW w:w="1339" w:type="dxa"/>
          </w:tcPr>
          <w:p w:rsidR="00333A1A" w:rsidRDefault="003D29C9">
            <w:pPr>
              <w:keepNext/>
              <w:keepLines/>
              <w:jc w:val="center"/>
              <w:rPr>
                <w:noProof/>
                <w:sz w:val="18"/>
              </w:rPr>
            </w:pPr>
            <w:r>
              <w:rPr>
                <w:noProof/>
                <w:sz w:val="18"/>
              </w:rPr>
              <w:t>0</w:t>
            </w:r>
          </w:p>
        </w:tc>
        <w:tc>
          <w:tcPr>
            <w:tcW w:w="1339" w:type="dxa"/>
          </w:tcPr>
          <w:p w:rsidR="00333A1A" w:rsidRDefault="003D29C9">
            <w:pPr>
              <w:keepNext/>
              <w:keepLines/>
              <w:jc w:val="center"/>
              <w:rPr>
                <w:noProof/>
                <w:sz w:val="18"/>
              </w:rPr>
            </w:pPr>
            <w:r>
              <w:rPr>
                <w:noProof/>
                <w:sz w:val="18"/>
              </w:rPr>
              <w:t>0</w:t>
            </w:r>
          </w:p>
        </w:tc>
        <w:tc>
          <w:tcPr>
            <w:tcW w:w="1406" w:type="dxa"/>
          </w:tcPr>
          <w:p w:rsidR="00333A1A" w:rsidRDefault="003D29C9">
            <w:pPr>
              <w:keepNext/>
              <w:keepLines/>
              <w:jc w:val="center"/>
              <w:rPr>
                <w:noProof/>
                <w:sz w:val="18"/>
              </w:rPr>
            </w:pPr>
            <w:r>
              <w:rPr>
                <w:noProof/>
                <w:sz w:val="18"/>
              </w:rPr>
              <w:t>0</w:t>
            </w:r>
          </w:p>
        </w:tc>
        <w:tc>
          <w:tcPr>
            <w:tcW w:w="1339" w:type="dxa"/>
          </w:tcPr>
          <w:p w:rsidR="00333A1A" w:rsidRDefault="003D29C9">
            <w:pPr>
              <w:keepNext/>
              <w:keepLines/>
              <w:jc w:val="center"/>
              <w:rPr>
                <w:noProof/>
                <w:sz w:val="18"/>
              </w:rPr>
            </w:pPr>
            <w:r>
              <w:rPr>
                <w:noProof/>
                <w:sz w:val="18"/>
              </w:rPr>
              <w:t>0</w:t>
            </w:r>
          </w:p>
        </w:tc>
        <w:tc>
          <w:tcPr>
            <w:tcW w:w="1339" w:type="dxa"/>
          </w:tcPr>
          <w:p w:rsidR="00333A1A" w:rsidRDefault="003D29C9">
            <w:pPr>
              <w:keepNext/>
              <w:keepLines/>
              <w:jc w:val="center"/>
              <w:rPr>
                <w:noProof/>
                <w:sz w:val="18"/>
              </w:rPr>
            </w:pPr>
            <w:r>
              <w:rPr>
                <w:noProof/>
                <w:sz w:val="18"/>
              </w:rPr>
              <w:t>0</w:t>
            </w:r>
          </w:p>
        </w:tc>
        <w:tc>
          <w:tcPr>
            <w:tcW w:w="1160" w:type="dxa"/>
          </w:tcPr>
          <w:p w:rsidR="00333A1A" w:rsidRDefault="003D29C9">
            <w:pPr>
              <w:keepNext/>
              <w:keepLines/>
              <w:jc w:val="center"/>
              <w:rPr>
                <w:noProof/>
                <w:sz w:val="18"/>
              </w:rPr>
            </w:pPr>
            <w:r>
              <w:rPr>
                <w:noProof/>
                <w:sz w:val="18"/>
              </w:rPr>
              <w:t>10%*</w:t>
            </w:r>
          </w:p>
        </w:tc>
      </w:tr>
      <w:tr w:rsidR="00333A1A">
        <w:tc>
          <w:tcPr>
            <w:tcW w:w="1366" w:type="dxa"/>
          </w:tcPr>
          <w:p w:rsidR="00333A1A" w:rsidRDefault="003D29C9">
            <w:pPr>
              <w:keepNext/>
              <w:keepLines/>
              <w:jc w:val="both"/>
              <w:rPr>
                <w:noProof/>
                <w:sz w:val="18"/>
              </w:rPr>
            </w:pPr>
            <w:r>
              <w:rPr>
                <w:noProof/>
                <w:sz w:val="18"/>
              </w:rPr>
              <w:t>AECH**</w:t>
            </w:r>
          </w:p>
        </w:tc>
        <w:tc>
          <w:tcPr>
            <w:tcW w:w="1339" w:type="dxa"/>
          </w:tcPr>
          <w:p w:rsidR="00333A1A" w:rsidRDefault="003D29C9">
            <w:pPr>
              <w:keepNext/>
              <w:keepLines/>
              <w:jc w:val="center"/>
              <w:rPr>
                <w:noProof/>
                <w:sz w:val="18"/>
              </w:rPr>
            </w:pPr>
            <w:r>
              <w:rPr>
                <w:noProof/>
                <w:sz w:val="18"/>
              </w:rPr>
              <w:t>9%</w:t>
            </w:r>
          </w:p>
        </w:tc>
        <w:tc>
          <w:tcPr>
            <w:tcW w:w="1339" w:type="dxa"/>
          </w:tcPr>
          <w:p w:rsidR="00333A1A" w:rsidRDefault="003D29C9">
            <w:pPr>
              <w:keepNext/>
              <w:keepLines/>
              <w:jc w:val="center"/>
              <w:rPr>
                <w:noProof/>
                <w:sz w:val="18"/>
              </w:rPr>
            </w:pPr>
            <w:r>
              <w:rPr>
                <w:noProof/>
                <w:sz w:val="18"/>
              </w:rPr>
              <w:t>8%</w:t>
            </w:r>
          </w:p>
        </w:tc>
        <w:tc>
          <w:tcPr>
            <w:tcW w:w="1406" w:type="dxa"/>
          </w:tcPr>
          <w:p w:rsidR="00333A1A" w:rsidRDefault="003D29C9">
            <w:pPr>
              <w:keepNext/>
              <w:keepLines/>
              <w:jc w:val="center"/>
              <w:rPr>
                <w:noProof/>
                <w:sz w:val="18"/>
              </w:rPr>
            </w:pPr>
            <w:r>
              <w:rPr>
                <w:noProof/>
                <w:sz w:val="18"/>
              </w:rPr>
              <w:t>9%</w:t>
            </w:r>
          </w:p>
        </w:tc>
        <w:tc>
          <w:tcPr>
            <w:tcW w:w="1339" w:type="dxa"/>
          </w:tcPr>
          <w:p w:rsidR="00333A1A" w:rsidRDefault="003D29C9">
            <w:pPr>
              <w:keepNext/>
              <w:keepLines/>
              <w:jc w:val="center"/>
              <w:rPr>
                <w:noProof/>
                <w:sz w:val="18"/>
              </w:rPr>
            </w:pPr>
            <w:r>
              <w:rPr>
                <w:noProof/>
                <w:sz w:val="18"/>
              </w:rPr>
              <w:t>9%</w:t>
            </w:r>
          </w:p>
        </w:tc>
        <w:tc>
          <w:tcPr>
            <w:tcW w:w="1339" w:type="dxa"/>
          </w:tcPr>
          <w:p w:rsidR="00333A1A" w:rsidRDefault="003D29C9">
            <w:pPr>
              <w:keepNext/>
              <w:keepLines/>
              <w:jc w:val="center"/>
              <w:rPr>
                <w:noProof/>
                <w:sz w:val="18"/>
              </w:rPr>
            </w:pPr>
            <w:r>
              <w:rPr>
                <w:noProof/>
                <w:sz w:val="18"/>
              </w:rPr>
              <w:t>9%</w:t>
            </w:r>
          </w:p>
        </w:tc>
        <w:tc>
          <w:tcPr>
            <w:tcW w:w="1160" w:type="dxa"/>
          </w:tcPr>
          <w:p w:rsidR="00333A1A" w:rsidRDefault="003D29C9">
            <w:pPr>
              <w:keepNext/>
              <w:keepLines/>
              <w:jc w:val="center"/>
              <w:rPr>
                <w:noProof/>
                <w:sz w:val="18"/>
              </w:rPr>
            </w:pPr>
            <w:r>
              <w:rPr>
                <w:noProof/>
                <w:sz w:val="18"/>
              </w:rPr>
              <w:t>11%</w:t>
            </w:r>
          </w:p>
        </w:tc>
      </w:tr>
      <w:tr w:rsidR="00333A1A">
        <w:tc>
          <w:tcPr>
            <w:tcW w:w="1366" w:type="dxa"/>
            <w:vMerge w:val="restart"/>
          </w:tcPr>
          <w:p w:rsidR="00333A1A" w:rsidRDefault="003D29C9">
            <w:pPr>
              <w:keepNext/>
              <w:keepLines/>
              <w:jc w:val="both"/>
              <w:rPr>
                <w:noProof/>
                <w:sz w:val="18"/>
              </w:rPr>
            </w:pPr>
            <w:r>
              <w:rPr>
                <w:noProof/>
                <w:sz w:val="18"/>
              </w:rPr>
              <w:t xml:space="preserve">Contributing interventions </w:t>
            </w:r>
            <w:r>
              <w:rPr>
                <w:noProof/>
                <w:sz w:val="18"/>
              </w:rPr>
              <w:t>not accounted for</w:t>
            </w:r>
          </w:p>
        </w:tc>
        <w:tc>
          <w:tcPr>
            <w:tcW w:w="7922" w:type="dxa"/>
            <w:gridSpan w:val="6"/>
          </w:tcPr>
          <w:p w:rsidR="00333A1A" w:rsidRDefault="003D29C9">
            <w:pPr>
              <w:keepNext/>
              <w:keepLines/>
              <w:jc w:val="center"/>
              <w:rPr>
                <w:noProof/>
                <w:sz w:val="18"/>
              </w:rPr>
            </w:pPr>
            <w:r>
              <w:rPr>
                <w:noProof/>
                <w:sz w:val="18"/>
              </w:rPr>
              <w:t>Conditionality</w:t>
            </w:r>
          </w:p>
        </w:tc>
      </w:tr>
      <w:tr w:rsidR="00333A1A">
        <w:tc>
          <w:tcPr>
            <w:tcW w:w="1366" w:type="dxa"/>
            <w:vMerge/>
          </w:tcPr>
          <w:p w:rsidR="00333A1A" w:rsidRDefault="00333A1A">
            <w:pPr>
              <w:keepNext/>
              <w:keepLines/>
              <w:jc w:val="both"/>
              <w:rPr>
                <w:noProof/>
                <w:sz w:val="18"/>
              </w:rPr>
            </w:pPr>
          </w:p>
        </w:tc>
        <w:tc>
          <w:tcPr>
            <w:tcW w:w="1339" w:type="dxa"/>
            <w:vMerge w:val="restart"/>
          </w:tcPr>
          <w:p w:rsidR="00333A1A" w:rsidRDefault="00333A1A">
            <w:pPr>
              <w:keepNext/>
              <w:keepLines/>
              <w:jc w:val="center"/>
              <w:rPr>
                <w:noProof/>
                <w:sz w:val="18"/>
              </w:rPr>
            </w:pPr>
          </w:p>
        </w:tc>
        <w:tc>
          <w:tcPr>
            <w:tcW w:w="1339" w:type="dxa"/>
            <w:vMerge w:val="restart"/>
          </w:tcPr>
          <w:p w:rsidR="00333A1A" w:rsidRDefault="00333A1A">
            <w:pPr>
              <w:keepNext/>
              <w:keepLines/>
              <w:jc w:val="center"/>
              <w:rPr>
                <w:noProof/>
                <w:sz w:val="18"/>
              </w:rPr>
            </w:pPr>
          </w:p>
        </w:tc>
        <w:tc>
          <w:tcPr>
            <w:tcW w:w="1406" w:type="dxa"/>
            <w:vMerge w:val="restart"/>
          </w:tcPr>
          <w:p w:rsidR="00333A1A" w:rsidRDefault="00333A1A">
            <w:pPr>
              <w:keepNext/>
              <w:keepLines/>
              <w:jc w:val="center"/>
              <w:rPr>
                <w:noProof/>
                <w:sz w:val="18"/>
              </w:rPr>
            </w:pPr>
          </w:p>
        </w:tc>
        <w:tc>
          <w:tcPr>
            <w:tcW w:w="2678" w:type="dxa"/>
            <w:gridSpan w:val="2"/>
          </w:tcPr>
          <w:p w:rsidR="00333A1A" w:rsidRDefault="003D29C9">
            <w:pPr>
              <w:keepNext/>
              <w:keepLines/>
              <w:jc w:val="center"/>
              <w:rPr>
                <w:noProof/>
                <w:sz w:val="16"/>
              </w:rPr>
            </w:pPr>
            <w:r>
              <w:rPr>
                <w:noProof/>
                <w:sz w:val="16"/>
              </w:rPr>
              <w:t>Support redistribution  to permanent grassland and targeted coupled support to extensive livestock</w:t>
            </w:r>
          </w:p>
        </w:tc>
        <w:tc>
          <w:tcPr>
            <w:tcW w:w="1160" w:type="dxa"/>
            <w:vMerge w:val="restart"/>
          </w:tcPr>
          <w:p w:rsidR="00333A1A" w:rsidRDefault="003D29C9">
            <w:pPr>
              <w:keepNext/>
              <w:keepLines/>
              <w:jc w:val="center"/>
              <w:rPr>
                <w:noProof/>
                <w:sz w:val="18"/>
              </w:rPr>
            </w:pPr>
            <w:r>
              <w:rPr>
                <w:noProof/>
                <w:sz w:val="16"/>
              </w:rPr>
              <w:t>Targeted coupled support to extensive livestock</w:t>
            </w:r>
          </w:p>
        </w:tc>
      </w:tr>
      <w:tr w:rsidR="00333A1A">
        <w:tc>
          <w:tcPr>
            <w:tcW w:w="1366" w:type="dxa"/>
            <w:vMerge/>
          </w:tcPr>
          <w:p w:rsidR="00333A1A" w:rsidRDefault="00333A1A">
            <w:pPr>
              <w:keepNext/>
              <w:keepLines/>
              <w:jc w:val="both"/>
              <w:rPr>
                <w:noProof/>
                <w:sz w:val="18"/>
              </w:rPr>
            </w:pPr>
          </w:p>
        </w:tc>
        <w:tc>
          <w:tcPr>
            <w:tcW w:w="1339" w:type="dxa"/>
            <w:vMerge/>
          </w:tcPr>
          <w:p w:rsidR="00333A1A" w:rsidRDefault="00333A1A">
            <w:pPr>
              <w:keepNext/>
              <w:keepLines/>
              <w:jc w:val="center"/>
              <w:rPr>
                <w:noProof/>
                <w:sz w:val="18"/>
              </w:rPr>
            </w:pPr>
          </w:p>
        </w:tc>
        <w:tc>
          <w:tcPr>
            <w:tcW w:w="1339" w:type="dxa"/>
            <w:vMerge/>
          </w:tcPr>
          <w:p w:rsidR="00333A1A" w:rsidRDefault="00333A1A">
            <w:pPr>
              <w:keepNext/>
              <w:keepLines/>
              <w:jc w:val="center"/>
              <w:rPr>
                <w:noProof/>
                <w:sz w:val="18"/>
              </w:rPr>
            </w:pPr>
          </w:p>
        </w:tc>
        <w:tc>
          <w:tcPr>
            <w:tcW w:w="1406" w:type="dxa"/>
            <w:vMerge/>
          </w:tcPr>
          <w:p w:rsidR="00333A1A" w:rsidRDefault="00333A1A">
            <w:pPr>
              <w:keepNext/>
              <w:keepLines/>
              <w:jc w:val="center"/>
              <w:rPr>
                <w:noProof/>
                <w:sz w:val="18"/>
              </w:rPr>
            </w:pPr>
          </w:p>
        </w:tc>
        <w:tc>
          <w:tcPr>
            <w:tcW w:w="1339" w:type="dxa"/>
          </w:tcPr>
          <w:p w:rsidR="00333A1A" w:rsidRDefault="003D29C9">
            <w:pPr>
              <w:keepNext/>
              <w:keepLines/>
              <w:jc w:val="center"/>
              <w:rPr>
                <w:noProof/>
                <w:sz w:val="16"/>
              </w:rPr>
            </w:pPr>
            <w:r>
              <w:rPr>
                <w:noProof/>
                <w:sz w:val="16"/>
              </w:rPr>
              <w:t xml:space="preserve">More ambitious conditionality </w:t>
            </w:r>
          </w:p>
        </w:tc>
        <w:tc>
          <w:tcPr>
            <w:tcW w:w="1339" w:type="dxa"/>
          </w:tcPr>
          <w:p w:rsidR="00333A1A" w:rsidRDefault="00333A1A">
            <w:pPr>
              <w:keepNext/>
              <w:keepLines/>
              <w:jc w:val="center"/>
              <w:rPr>
                <w:noProof/>
                <w:sz w:val="16"/>
              </w:rPr>
            </w:pPr>
          </w:p>
        </w:tc>
        <w:tc>
          <w:tcPr>
            <w:tcW w:w="1160" w:type="dxa"/>
            <w:vMerge/>
          </w:tcPr>
          <w:p w:rsidR="00333A1A" w:rsidRDefault="00333A1A">
            <w:pPr>
              <w:keepNext/>
              <w:keepLines/>
              <w:jc w:val="center"/>
              <w:rPr>
                <w:noProof/>
                <w:sz w:val="18"/>
              </w:rPr>
            </w:pPr>
          </w:p>
        </w:tc>
      </w:tr>
      <w:tr w:rsidR="00333A1A">
        <w:tc>
          <w:tcPr>
            <w:tcW w:w="1366" w:type="dxa"/>
            <w:shd w:val="clear" w:color="auto" w:fill="92D050"/>
          </w:tcPr>
          <w:p w:rsidR="00333A1A" w:rsidRDefault="003D29C9">
            <w:pPr>
              <w:keepNext/>
              <w:keepLines/>
              <w:jc w:val="both"/>
              <w:rPr>
                <w:b/>
                <w:noProof/>
                <w:sz w:val="18"/>
              </w:rPr>
            </w:pPr>
            <w:r>
              <w:rPr>
                <w:b/>
                <w:noProof/>
                <w:sz w:val="18"/>
              </w:rPr>
              <w:t>Total share in CAP budget</w:t>
            </w:r>
          </w:p>
        </w:tc>
        <w:tc>
          <w:tcPr>
            <w:tcW w:w="1339" w:type="dxa"/>
            <w:shd w:val="clear" w:color="auto" w:fill="92D050"/>
            <w:vAlign w:val="center"/>
          </w:tcPr>
          <w:p w:rsidR="00333A1A" w:rsidRDefault="003D29C9">
            <w:pPr>
              <w:keepNext/>
              <w:keepLines/>
              <w:jc w:val="center"/>
              <w:rPr>
                <w:b/>
                <w:noProof/>
                <w:sz w:val="18"/>
              </w:rPr>
            </w:pPr>
            <w:r>
              <w:rPr>
                <w:b/>
                <w:noProof/>
                <w:sz w:val="18"/>
              </w:rPr>
              <w:t>9%</w:t>
            </w:r>
          </w:p>
          <w:p w:rsidR="00333A1A" w:rsidRDefault="003D29C9">
            <w:pPr>
              <w:keepNext/>
              <w:keepLines/>
              <w:jc w:val="center"/>
              <w:rPr>
                <w:b/>
                <w:noProof/>
                <w:sz w:val="18"/>
              </w:rPr>
            </w:pPr>
            <w:r>
              <w:rPr>
                <w:b/>
                <w:noProof/>
                <w:sz w:val="18"/>
              </w:rPr>
              <w:t xml:space="preserve">+ share of DP </w:t>
            </w:r>
          </w:p>
          <w:p w:rsidR="00333A1A" w:rsidRDefault="003D29C9">
            <w:pPr>
              <w:keepNext/>
              <w:keepLines/>
              <w:jc w:val="center"/>
              <w:rPr>
                <w:b/>
                <w:noProof/>
                <w:sz w:val="18"/>
              </w:rPr>
            </w:pPr>
            <w:r>
              <w:rPr>
                <w:b/>
                <w:noProof/>
                <w:sz w:val="18"/>
              </w:rPr>
              <w:t>Jointness</w:t>
            </w:r>
          </w:p>
        </w:tc>
        <w:tc>
          <w:tcPr>
            <w:tcW w:w="1339" w:type="dxa"/>
            <w:shd w:val="clear" w:color="auto" w:fill="92D050"/>
            <w:vAlign w:val="center"/>
          </w:tcPr>
          <w:p w:rsidR="00333A1A" w:rsidRDefault="003D29C9">
            <w:pPr>
              <w:keepNext/>
              <w:keepLines/>
              <w:jc w:val="center"/>
              <w:rPr>
                <w:b/>
                <w:noProof/>
                <w:sz w:val="18"/>
              </w:rPr>
            </w:pPr>
            <w:r>
              <w:rPr>
                <w:b/>
                <w:noProof/>
                <w:sz w:val="18"/>
              </w:rPr>
              <w:t>52%</w:t>
            </w:r>
          </w:p>
          <w:p w:rsidR="00333A1A" w:rsidRDefault="003D29C9">
            <w:pPr>
              <w:keepNext/>
              <w:keepLines/>
              <w:jc w:val="center"/>
              <w:rPr>
                <w:b/>
                <w:noProof/>
                <w:sz w:val="18"/>
              </w:rPr>
            </w:pPr>
            <w:r>
              <w:rPr>
                <w:b/>
                <w:noProof/>
                <w:sz w:val="18"/>
              </w:rPr>
              <w:t xml:space="preserve">+ share of DP </w:t>
            </w:r>
          </w:p>
          <w:p w:rsidR="00333A1A" w:rsidRDefault="003D29C9">
            <w:pPr>
              <w:keepNext/>
              <w:keepLines/>
              <w:jc w:val="center"/>
              <w:rPr>
                <w:b/>
                <w:noProof/>
                <w:sz w:val="18"/>
              </w:rPr>
            </w:pPr>
            <w:r>
              <w:rPr>
                <w:b/>
                <w:noProof/>
                <w:sz w:val="18"/>
              </w:rPr>
              <w:t>Jointness</w:t>
            </w:r>
          </w:p>
        </w:tc>
        <w:tc>
          <w:tcPr>
            <w:tcW w:w="1406" w:type="dxa"/>
            <w:shd w:val="clear" w:color="auto" w:fill="92D050"/>
            <w:vAlign w:val="center"/>
          </w:tcPr>
          <w:p w:rsidR="00333A1A" w:rsidRDefault="003D29C9">
            <w:pPr>
              <w:keepNext/>
              <w:keepLines/>
              <w:jc w:val="center"/>
              <w:rPr>
                <w:b/>
                <w:noProof/>
                <w:sz w:val="18"/>
              </w:rPr>
            </w:pPr>
            <w:r>
              <w:rPr>
                <w:b/>
                <w:noProof/>
                <w:sz w:val="18"/>
              </w:rPr>
              <w:t>31%</w:t>
            </w:r>
          </w:p>
          <w:p w:rsidR="00333A1A" w:rsidRDefault="003D29C9">
            <w:pPr>
              <w:keepNext/>
              <w:keepLines/>
              <w:jc w:val="center"/>
              <w:rPr>
                <w:b/>
                <w:noProof/>
                <w:sz w:val="18"/>
              </w:rPr>
            </w:pPr>
            <w:r>
              <w:rPr>
                <w:b/>
                <w:noProof/>
                <w:sz w:val="18"/>
              </w:rPr>
              <w:t xml:space="preserve">+ share of DP </w:t>
            </w:r>
          </w:p>
          <w:p w:rsidR="00333A1A" w:rsidRDefault="003D29C9">
            <w:pPr>
              <w:keepNext/>
              <w:keepLines/>
              <w:jc w:val="center"/>
              <w:rPr>
                <w:b/>
                <w:noProof/>
                <w:sz w:val="18"/>
              </w:rPr>
            </w:pPr>
            <w:r>
              <w:rPr>
                <w:b/>
                <w:noProof/>
                <w:sz w:val="18"/>
              </w:rPr>
              <w:t>Jointness</w:t>
            </w:r>
          </w:p>
        </w:tc>
        <w:tc>
          <w:tcPr>
            <w:tcW w:w="1339" w:type="dxa"/>
            <w:shd w:val="clear" w:color="auto" w:fill="92D050"/>
            <w:vAlign w:val="center"/>
          </w:tcPr>
          <w:p w:rsidR="00333A1A" w:rsidRDefault="003D29C9">
            <w:pPr>
              <w:keepNext/>
              <w:keepLines/>
              <w:jc w:val="center"/>
              <w:rPr>
                <w:b/>
                <w:noProof/>
                <w:sz w:val="18"/>
              </w:rPr>
            </w:pPr>
            <w:r>
              <w:rPr>
                <w:b/>
                <w:noProof/>
                <w:sz w:val="18"/>
              </w:rPr>
              <w:t xml:space="preserve">9% </w:t>
            </w:r>
          </w:p>
          <w:p w:rsidR="00333A1A" w:rsidRDefault="003D29C9">
            <w:pPr>
              <w:keepNext/>
              <w:keepLines/>
              <w:jc w:val="center"/>
              <w:rPr>
                <w:b/>
                <w:noProof/>
                <w:sz w:val="18"/>
              </w:rPr>
            </w:pPr>
            <w:r>
              <w:rPr>
                <w:b/>
                <w:noProof/>
                <w:sz w:val="18"/>
              </w:rPr>
              <w:t xml:space="preserve">+ share of DP </w:t>
            </w:r>
          </w:p>
          <w:p w:rsidR="00333A1A" w:rsidRDefault="003D29C9">
            <w:pPr>
              <w:keepNext/>
              <w:keepLines/>
              <w:jc w:val="center"/>
              <w:rPr>
                <w:b/>
                <w:noProof/>
                <w:sz w:val="18"/>
              </w:rPr>
            </w:pPr>
            <w:r>
              <w:rPr>
                <w:b/>
                <w:noProof/>
                <w:sz w:val="18"/>
              </w:rPr>
              <w:t>Jointness</w:t>
            </w:r>
          </w:p>
        </w:tc>
        <w:tc>
          <w:tcPr>
            <w:tcW w:w="1339" w:type="dxa"/>
            <w:shd w:val="clear" w:color="auto" w:fill="92D050"/>
            <w:vAlign w:val="center"/>
          </w:tcPr>
          <w:p w:rsidR="00333A1A" w:rsidRDefault="003D29C9">
            <w:pPr>
              <w:keepNext/>
              <w:keepLines/>
              <w:jc w:val="center"/>
              <w:rPr>
                <w:b/>
                <w:noProof/>
                <w:sz w:val="18"/>
              </w:rPr>
            </w:pPr>
            <w:r>
              <w:rPr>
                <w:b/>
                <w:noProof/>
                <w:sz w:val="18"/>
              </w:rPr>
              <w:t xml:space="preserve">9% </w:t>
            </w:r>
          </w:p>
          <w:p w:rsidR="00333A1A" w:rsidRDefault="003D29C9">
            <w:pPr>
              <w:keepNext/>
              <w:keepLines/>
              <w:jc w:val="center"/>
              <w:rPr>
                <w:b/>
                <w:noProof/>
                <w:sz w:val="18"/>
              </w:rPr>
            </w:pPr>
            <w:r>
              <w:rPr>
                <w:b/>
                <w:noProof/>
                <w:sz w:val="18"/>
              </w:rPr>
              <w:t>+ share of DP</w:t>
            </w:r>
          </w:p>
          <w:p w:rsidR="00333A1A" w:rsidRDefault="003D29C9">
            <w:pPr>
              <w:keepNext/>
              <w:keepLines/>
              <w:jc w:val="center"/>
              <w:rPr>
                <w:b/>
                <w:noProof/>
                <w:sz w:val="18"/>
              </w:rPr>
            </w:pPr>
            <w:r>
              <w:rPr>
                <w:b/>
                <w:noProof/>
                <w:sz w:val="18"/>
              </w:rPr>
              <w:t>Jointness</w:t>
            </w:r>
          </w:p>
        </w:tc>
        <w:tc>
          <w:tcPr>
            <w:tcW w:w="1160" w:type="dxa"/>
            <w:shd w:val="clear" w:color="auto" w:fill="92D050"/>
            <w:vAlign w:val="center"/>
          </w:tcPr>
          <w:p w:rsidR="00333A1A" w:rsidRDefault="003D29C9">
            <w:pPr>
              <w:keepNext/>
              <w:keepLines/>
              <w:jc w:val="center"/>
              <w:rPr>
                <w:b/>
                <w:noProof/>
                <w:sz w:val="18"/>
              </w:rPr>
            </w:pPr>
            <w:r>
              <w:rPr>
                <w:b/>
                <w:noProof/>
                <w:sz w:val="18"/>
              </w:rPr>
              <w:t xml:space="preserve">21% </w:t>
            </w:r>
            <w:r>
              <w:rPr>
                <w:b/>
                <w:noProof/>
                <w:sz w:val="18"/>
              </w:rPr>
              <w:br/>
              <w:t xml:space="preserve">+ shareofDP </w:t>
            </w:r>
          </w:p>
          <w:p w:rsidR="00333A1A" w:rsidRDefault="003D29C9">
            <w:pPr>
              <w:keepNext/>
              <w:keepLines/>
              <w:jc w:val="center"/>
              <w:rPr>
                <w:b/>
                <w:noProof/>
                <w:sz w:val="18"/>
              </w:rPr>
            </w:pPr>
            <w:r>
              <w:rPr>
                <w:b/>
                <w:noProof/>
                <w:sz w:val="18"/>
              </w:rPr>
              <w:t>Jointness</w:t>
            </w:r>
          </w:p>
        </w:tc>
      </w:tr>
    </w:tbl>
    <w:p w:rsidR="00333A1A" w:rsidRDefault="003D29C9">
      <w:pPr>
        <w:pStyle w:val="FootnoteText"/>
        <w:keepNext/>
        <w:keepLines/>
        <w:jc w:val="both"/>
        <w:rPr>
          <w:noProof/>
          <w:sz w:val="16"/>
        </w:rPr>
      </w:pPr>
      <w:r>
        <w:rPr>
          <w:noProof/>
          <w:sz w:val="16"/>
        </w:rPr>
        <w:t xml:space="preserve">* </w:t>
      </w:r>
      <w:r>
        <w:rPr>
          <w:noProof/>
          <w:sz w:val="16"/>
        </w:rPr>
        <w:tab/>
        <w:t xml:space="preserve">Estimate assuming a top up for organic area (200 EUR/ha of arable land, 100 EUR/ha </w:t>
      </w:r>
      <w:r>
        <w:rPr>
          <w:noProof/>
          <w:sz w:val="16"/>
        </w:rPr>
        <w:t>of permanent grassland, 400 EUR/ha of permanent crop) and permanent grassland (50 EUR/ha) as well as a 5% increase in organic area. No estimate available yet on the potential budget implications of a top-up to hedges.</w:t>
      </w:r>
    </w:p>
    <w:p w:rsidR="00333A1A" w:rsidRDefault="003D29C9">
      <w:pPr>
        <w:pStyle w:val="FootnoteText"/>
        <w:jc w:val="both"/>
        <w:rPr>
          <w:noProof/>
          <w:sz w:val="16"/>
        </w:rPr>
      </w:pPr>
      <w:r>
        <w:rPr>
          <w:noProof/>
          <w:sz w:val="16"/>
        </w:rPr>
        <w:t xml:space="preserve">** </w:t>
      </w:r>
      <w:r>
        <w:rPr>
          <w:noProof/>
          <w:sz w:val="16"/>
        </w:rPr>
        <w:tab/>
        <w:t>including agri-environmental measu</w:t>
      </w:r>
      <w:r>
        <w:rPr>
          <w:noProof/>
          <w:sz w:val="16"/>
        </w:rPr>
        <w:t>res and the support to organic, Natura 2000, animal welfare and forestry, as well as investments for. Forestry, water and energy use efficiency, renewable sources, GHG and ammonia reduction, carbon sequestration… The starting point is the current situation</w:t>
      </w:r>
      <w:r>
        <w:rPr>
          <w:noProof/>
          <w:sz w:val="16"/>
        </w:rPr>
        <w:t xml:space="preserve">, in which most MS spend more than the minimum required of 30% of RD funds. To increase the overall ambition, where necessary, a minimum spending is introduced (mainly in MS spending currently a very high share of RD envelope to support ANCs). </w:t>
      </w:r>
    </w:p>
    <w:p w:rsidR="00333A1A" w:rsidRDefault="003D29C9">
      <w:pPr>
        <w:keepNext/>
        <w:spacing w:before="240" w:after="120"/>
        <w:jc w:val="center"/>
        <w:rPr>
          <w:rFonts w:ascii="Times New Roman" w:hAnsi="Times New Roman" w:cs="Times New Roman"/>
          <w:b/>
          <w:noProof/>
        </w:rPr>
      </w:pPr>
      <w:r>
        <w:rPr>
          <w:rFonts w:ascii="Times New Roman" w:hAnsi="Times New Roman" w:cs="Times New Roman"/>
          <w:b/>
          <w:noProof/>
        </w:rPr>
        <w:t>Income supp</w:t>
      </w:r>
      <w:r>
        <w:rPr>
          <w:rFonts w:ascii="Times New Roman" w:hAnsi="Times New Roman" w:cs="Times New Roman"/>
          <w:b/>
          <w:noProof/>
        </w:rPr>
        <w:t>ort and redistribution</w:t>
      </w:r>
    </w:p>
    <w:tbl>
      <w:tblPr>
        <w:tblStyle w:val="TableGrid"/>
        <w:tblW w:w="0" w:type="auto"/>
        <w:tblLayout w:type="fixed"/>
        <w:tblLook w:val="04A0" w:firstRow="1" w:lastRow="0" w:firstColumn="1" w:lastColumn="0" w:noHBand="0" w:noVBand="1"/>
      </w:tblPr>
      <w:tblGrid>
        <w:gridCol w:w="1531"/>
        <w:gridCol w:w="1531"/>
        <w:gridCol w:w="1531"/>
        <w:gridCol w:w="1531"/>
        <w:gridCol w:w="1531"/>
        <w:gridCol w:w="1531"/>
      </w:tblGrid>
      <w:tr w:rsidR="00333A1A">
        <w:tc>
          <w:tcPr>
            <w:tcW w:w="1531" w:type="dxa"/>
          </w:tcPr>
          <w:p w:rsidR="00333A1A" w:rsidRDefault="00333A1A">
            <w:pPr>
              <w:keepNext/>
              <w:keepLines/>
              <w:jc w:val="both"/>
              <w:rPr>
                <w:noProof/>
                <w:sz w:val="18"/>
              </w:rPr>
            </w:pPr>
          </w:p>
        </w:tc>
        <w:tc>
          <w:tcPr>
            <w:tcW w:w="1531" w:type="dxa"/>
          </w:tcPr>
          <w:p w:rsidR="00333A1A" w:rsidRDefault="003D29C9">
            <w:pPr>
              <w:keepNext/>
              <w:keepLines/>
              <w:jc w:val="center"/>
              <w:rPr>
                <w:noProof/>
                <w:sz w:val="18"/>
              </w:rPr>
            </w:pPr>
            <w:r>
              <w:rPr>
                <w:noProof/>
                <w:sz w:val="18"/>
              </w:rPr>
              <w:t>Option 1</w:t>
            </w:r>
          </w:p>
        </w:tc>
        <w:tc>
          <w:tcPr>
            <w:tcW w:w="1531" w:type="dxa"/>
          </w:tcPr>
          <w:p w:rsidR="00333A1A" w:rsidRDefault="003D29C9">
            <w:pPr>
              <w:keepNext/>
              <w:keepLines/>
              <w:jc w:val="center"/>
              <w:rPr>
                <w:noProof/>
                <w:sz w:val="18"/>
              </w:rPr>
            </w:pPr>
            <w:r>
              <w:rPr>
                <w:noProof/>
                <w:sz w:val="18"/>
              </w:rPr>
              <w:t>Option 3a</w:t>
            </w:r>
          </w:p>
        </w:tc>
        <w:tc>
          <w:tcPr>
            <w:tcW w:w="1531" w:type="dxa"/>
          </w:tcPr>
          <w:p w:rsidR="00333A1A" w:rsidRDefault="003D29C9">
            <w:pPr>
              <w:keepNext/>
              <w:keepLines/>
              <w:jc w:val="center"/>
              <w:rPr>
                <w:noProof/>
                <w:sz w:val="18"/>
              </w:rPr>
            </w:pPr>
            <w:r>
              <w:rPr>
                <w:noProof/>
                <w:sz w:val="18"/>
              </w:rPr>
              <w:t>Option3b</w:t>
            </w:r>
          </w:p>
        </w:tc>
        <w:tc>
          <w:tcPr>
            <w:tcW w:w="1531" w:type="dxa"/>
          </w:tcPr>
          <w:p w:rsidR="00333A1A" w:rsidRDefault="003D29C9">
            <w:pPr>
              <w:keepNext/>
              <w:keepLines/>
              <w:jc w:val="center"/>
              <w:rPr>
                <w:noProof/>
                <w:sz w:val="18"/>
              </w:rPr>
            </w:pPr>
            <w:r>
              <w:rPr>
                <w:noProof/>
                <w:sz w:val="18"/>
              </w:rPr>
              <w:t>Option 4***</w:t>
            </w:r>
          </w:p>
        </w:tc>
        <w:tc>
          <w:tcPr>
            <w:tcW w:w="1531" w:type="dxa"/>
          </w:tcPr>
          <w:p w:rsidR="00333A1A" w:rsidRDefault="003D29C9">
            <w:pPr>
              <w:keepNext/>
              <w:keepLines/>
              <w:jc w:val="center"/>
              <w:rPr>
                <w:noProof/>
                <w:sz w:val="18"/>
              </w:rPr>
            </w:pPr>
            <w:r>
              <w:rPr>
                <w:noProof/>
                <w:sz w:val="18"/>
              </w:rPr>
              <w:t>Option 5</w:t>
            </w:r>
          </w:p>
        </w:tc>
      </w:tr>
      <w:tr w:rsidR="00333A1A">
        <w:tc>
          <w:tcPr>
            <w:tcW w:w="1531" w:type="dxa"/>
          </w:tcPr>
          <w:p w:rsidR="00333A1A" w:rsidRDefault="003D29C9">
            <w:pPr>
              <w:keepNext/>
              <w:keepLines/>
              <w:jc w:val="both"/>
              <w:rPr>
                <w:noProof/>
                <w:sz w:val="16"/>
              </w:rPr>
            </w:pPr>
            <w:r>
              <w:rPr>
                <w:noProof/>
                <w:sz w:val="16"/>
              </w:rPr>
              <w:t>Decoupled payments*</w:t>
            </w:r>
          </w:p>
        </w:tc>
        <w:tc>
          <w:tcPr>
            <w:tcW w:w="1531" w:type="dxa"/>
          </w:tcPr>
          <w:p w:rsidR="00333A1A" w:rsidRDefault="003D29C9">
            <w:pPr>
              <w:keepNext/>
              <w:keepLines/>
              <w:jc w:val="center"/>
              <w:rPr>
                <w:noProof/>
                <w:sz w:val="16"/>
              </w:rPr>
            </w:pPr>
            <w:r>
              <w:rPr>
                <w:noProof/>
                <w:sz w:val="16"/>
              </w:rPr>
              <w:t>High</w:t>
            </w:r>
          </w:p>
        </w:tc>
        <w:tc>
          <w:tcPr>
            <w:tcW w:w="1531" w:type="dxa"/>
          </w:tcPr>
          <w:p w:rsidR="00333A1A" w:rsidRDefault="003D29C9">
            <w:pPr>
              <w:keepNext/>
              <w:keepLines/>
              <w:jc w:val="center"/>
              <w:rPr>
                <w:noProof/>
                <w:sz w:val="16"/>
              </w:rPr>
            </w:pPr>
            <w:r>
              <w:rPr>
                <w:noProof/>
                <w:sz w:val="16"/>
              </w:rPr>
              <w:t>Very small</w:t>
            </w:r>
          </w:p>
          <w:p w:rsidR="00333A1A" w:rsidRDefault="003D29C9">
            <w:pPr>
              <w:keepNext/>
              <w:keepLines/>
              <w:jc w:val="center"/>
              <w:rPr>
                <w:noProof/>
                <w:sz w:val="16"/>
              </w:rPr>
            </w:pPr>
            <w:r>
              <w:rPr>
                <w:noProof/>
                <w:sz w:val="16"/>
              </w:rPr>
              <w:t>MS flat rate</w:t>
            </w:r>
          </w:p>
        </w:tc>
        <w:tc>
          <w:tcPr>
            <w:tcW w:w="1531" w:type="dxa"/>
          </w:tcPr>
          <w:p w:rsidR="00333A1A" w:rsidRDefault="003D29C9">
            <w:pPr>
              <w:keepNext/>
              <w:keepLines/>
              <w:jc w:val="center"/>
              <w:rPr>
                <w:noProof/>
                <w:sz w:val="16"/>
              </w:rPr>
            </w:pPr>
            <w:r>
              <w:rPr>
                <w:noProof/>
                <w:sz w:val="16"/>
              </w:rPr>
              <w:t>Medium</w:t>
            </w:r>
          </w:p>
        </w:tc>
        <w:tc>
          <w:tcPr>
            <w:tcW w:w="1531" w:type="dxa"/>
          </w:tcPr>
          <w:p w:rsidR="00333A1A" w:rsidRDefault="003D29C9">
            <w:pPr>
              <w:keepNext/>
              <w:keepLines/>
              <w:jc w:val="center"/>
              <w:rPr>
                <w:noProof/>
                <w:sz w:val="16"/>
              </w:rPr>
            </w:pPr>
            <w:r>
              <w:rPr>
                <w:noProof/>
                <w:sz w:val="16"/>
              </w:rPr>
              <w:t>Strong</w:t>
            </w:r>
          </w:p>
          <w:p w:rsidR="00333A1A" w:rsidRDefault="003D29C9">
            <w:pPr>
              <w:keepNext/>
              <w:keepLines/>
              <w:jc w:val="center"/>
              <w:rPr>
                <w:noProof/>
                <w:sz w:val="16"/>
              </w:rPr>
            </w:pPr>
            <w:r>
              <w:rPr>
                <w:noProof/>
                <w:sz w:val="16"/>
              </w:rPr>
              <w:t>flat rate by land type</w:t>
            </w:r>
          </w:p>
        </w:tc>
        <w:tc>
          <w:tcPr>
            <w:tcW w:w="1531" w:type="dxa"/>
          </w:tcPr>
          <w:p w:rsidR="00333A1A" w:rsidRDefault="003D29C9">
            <w:pPr>
              <w:keepNext/>
              <w:keepLines/>
              <w:jc w:val="center"/>
              <w:rPr>
                <w:noProof/>
                <w:sz w:val="16"/>
              </w:rPr>
            </w:pPr>
            <w:r>
              <w:rPr>
                <w:noProof/>
                <w:sz w:val="16"/>
              </w:rPr>
              <w:t>Medium</w:t>
            </w:r>
          </w:p>
          <w:p w:rsidR="00333A1A" w:rsidRDefault="003D29C9">
            <w:pPr>
              <w:keepNext/>
              <w:keepLines/>
              <w:jc w:val="center"/>
              <w:rPr>
                <w:noProof/>
                <w:sz w:val="16"/>
              </w:rPr>
            </w:pPr>
            <w:r>
              <w:rPr>
                <w:noProof/>
                <w:sz w:val="16"/>
              </w:rPr>
              <w:t>degressive with size</w:t>
            </w:r>
          </w:p>
        </w:tc>
      </w:tr>
      <w:tr w:rsidR="00333A1A">
        <w:tc>
          <w:tcPr>
            <w:tcW w:w="1531" w:type="dxa"/>
          </w:tcPr>
          <w:p w:rsidR="00333A1A" w:rsidRDefault="003D29C9">
            <w:pPr>
              <w:keepNext/>
              <w:keepLines/>
              <w:jc w:val="both"/>
              <w:rPr>
                <w:noProof/>
                <w:sz w:val="16"/>
              </w:rPr>
            </w:pPr>
            <w:r>
              <w:rPr>
                <w:noProof/>
                <w:sz w:val="16"/>
              </w:rPr>
              <w:t>Voluntary coupled support</w:t>
            </w:r>
          </w:p>
        </w:tc>
        <w:tc>
          <w:tcPr>
            <w:tcW w:w="1531" w:type="dxa"/>
          </w:tcPr>
          <w:p w:rsidR="00333A1A" w:rsidRDefault="003D29C9">
            <w:pPr>
              <w:keepNext/>
              <w:keepLines/>
              <w:jc w:val="center"/>
              <w:rPr>
                <w:noProof/>
                <w:sz w:val="16"/>
              </w:rPr>
            </w:pPr>
            <w:r>
              <w:rPr>
                <w:noProof/>
                <w:sz w:val="16"/>
              </w:rPr>
              <w:t>High</w:t>
            </w:r>
          </w:p>
        </w:tc>
        <w:tc>
          <w:tcPr>
            <w:tcW w:w="1531" w:type="dxa"/>
          </w:tcPr>
          <w:p w:rsidR="00333A1A" w:rsidRDefault="003D29C9">
            <w:pPr>
              <w:keepNext/>
              <w:keepLines/>
              <w:jc w:val="center"/>
              <w:rPr>
                <w:noProof/>
                <w:sz w:val="16"/>
              </w:rPr>
            </w:pPr>
            <w:r>
              <w:rPr>
                <w:noProof/>
                <w:sz w:val="16"/>
              </w:rPr>
              <w:t>0</w:t>
            </w:r>
          </w:p>
        </w:tc>
        <w:tc>
          <w:tcPr>
            <w:tcW w:w="1531" w:type="dxa"/>
          </w:tcPr>
          <w:p w:rsidR="00333A1A" w:rsidRDefault="003D29C9">
            <w:pPr>
              <w:keepNext/>
              <w:keepLines/>
              <w:jc w:val="center"/>
              <w:rPr>
                <w:noProof/>
                <w:sz w:val="16"/>
              </w:rPr>
            </w:pPr>
            <w:r>
              <w:rPr>
                <w:noProof/>
                <w:sz w:val="16"/>
              </w:rPr>
              <w:t>High</w:t>
            </w:r>
          </w:p>
          <w:p w:rsidR="00333A1A" w:rsidRDefault="003D29C9">
            <w:pPr>
              <w:keepNext/>
              <w:keepLines/>
              <w:jc w:val="center"/>
              <w:rPr>
                <w:noProof/>
                <w:sz w:val="16"/>
              </w:rPr>
            </w:pPr>
            <w:r>
              <w:rPr>
                <w:noProof/>
                <w:sz w:val="16"/>
              </w:rPr>
              <w:t xml:space="preserve">targeted to EU goals and </w:t>
            </w:r>
            <w:r>
              <w:rPr>
                <w:noProof/>
                <w:sz w:val="16"/>
              </w:rPr>
              <w:t>improving competitiveness</w:t>
            </w:r>
          </w:p>
        </w:tc>
        <w:tc>
          <w:tcPr>
            <w:tcW w:w="1531" w:type="dxa"/>
          </w:tcPr>
          <w:p w:rsidR="00333A1A" w:rsidRDefault="003D29C9">
            <w:pPr>
              <w:keepNext/>
              <w:keepLines/>
              <w:jc w:val="center"/>
              <w:rPr>
                <w:noProof/>
                <w:sz w:val="16"/>
              </w:rPr>
            </w:pPr>
            <w:r>
              <w:rPr>
                <w:noProof/>
                <w:sz w:val="16"/>
              </w:rPr>
              <w:t>Small</w:t>
            </w:r>
          </w:p>
          <w:p w:rsidR="00333A1A" w:rsidRDefault="003D29C9">
            <w:pPr>
              <w:keepNext/>
              <w:keepLines/>
              <w:jc w:val="center"/>
              <w:rPr>
                <w:noProof/>
                <w:sz w:val="16"/>
              </w:rPr>
            </w:pPr>
            <w:r>
              <w:rPr>
                <w:noProof/>
                <w:sz w:val="16"/>
              </w:rPr>
              <w:t>targeted to extensive livestock</w:t>
            </w:r>
          </w:p>
        </w:tc>
        <w:tc>
          <w:tcPr>
            <w:tcW w:w="1531" w:type="dxa"/>
          </w:tcPr>
          <w:p w:rsidR="00333A1A" w:rsidRDefault="003D29C9">
            <w:pPr>
              <w:keepNext/>
              <w:keepLines/>
              <w:jc w:val="center"/>
              <w:rPr>
                <w:noProof/>
                <w:sz w:val="16"/>
              </w:rPr>
            </w:pPr>
            <w:r>
              <w:rPr>
                <w:noProof/>
                <w:sz w:val="16"/>
              </w:rPr>
              <w:t>Potentially high targeted to EU goals</w:t>
            </w:r>
          </w:p>
        </w:tc>
      </w:tr>
      <w:tr w:rsidR="00333A1A">
        <w:tc>
          <w:tcPr>
            <w:tcW w:w="1531" w:type="dxa"/>
          </w:tcPr>
          <w:p w:rsidR="00333A1A" w:rsidRDefault="003D29C9">
            <w:pPr>
              <w:keepNext/>
              <w:keepLines/>
              <w:jc w:val="both"/>
              <w:rPr>
                <w:noProof/>
                <w:sz w:val="16"/>
              </w:rPr>
            </w:pPr>
            <w:r>
              <w:rPr>
                <w:noProof/>
                <w:sz w:val="16"/>
              </w:rPr>
              <w:t>Areas with natural constraints</w:t>
            </w:r>
          </w:p>
        </w:tc>
        <w:tc>
          <w:tcPr>
            <w:tcW w:w="1531" w:type="dxa"/>
          </w:tcPr>
          <w:p w:rsidR="00333A1A" w:rsidRDefault="003D29C9">
            <w:pPr>
              <w:keepNext/>
              <w:keepLines/>
              <w:jc w:val="center"/>
              <w:rPr>
                <w:noProof/>
                <w:sz w:val="16"/>
              </w:rPr>
            </w:pPr>
            <w:r>
              <w:rPr>
                <w:noProof/>
                <w:sz w:val="16"/>
              </w:rPr>
              <w:t>Lower further to Brexit</w:t>
            </w:r>
          </w:p>
        </w:tc>
        <w:tc>
          <w:tcPr>
            <w:tcW w:w="1531" w:type="dxa"/>
          </w:tcPr>
          <w:p w:rsidR="00333A1A" w:rsidRDefault="003D29C9">
            <w:pPr>
              <w:keepNext/>
              <w:keepLines/>
              <w:jc w:val="center"/>
              <w:rPr>
                <w:noProof/>
                <w:sz w:val="16"/>
              </w:rPr>
            </w:pPr>
            <w:r>
              <w:rPr>
                <w:noProof/>
                <w:sz w:val="16"/>
              </w:rPr>
              <w:t xml:space="preserve">Maintained </w:t>
            </w:r>
          </w:p>
          <w:p w:rsidR="00333A1A" w:rsidRDefault="003D29C9">
            <w:pPr>
              <w:keepNext/>
              <w:keepLines/>
              <w:jc w:val="center"/>
              <w:rPr>
                <w:noProof/>
                <w:sz w:val="16"/>
              </w:rPr>
            </w:pPr>
            <w:r>
              <w:rPr>
                <w:noProof/>
                <w:sz w:val="16"/>
              </w:rPr>
              <w:t>in pillar II</w:t>
            </w:r>
          </w:p>
        </w:tc>
        <w:tc>
          <w:tcPr>
            <w:tcW w:w="1531" w:type="dxa"/>
          </w:tcPr>
          <w:p w:rsidR="00333A1A" w:rsidRDefault="003D29C9">
            <w:pPr>
              <w:keepNext/>
              <w:keepLines/>
              <w:jc w:val="center"/>
              <w:rPr>
                <w:noProof/>
                <w:sz w:val="16"/>
              </w:rPr>
            </w:pPr>
            <w:r>
              <w:rPr>
                <w:noProof/>
                <w:sz w:val="16"/>
              </w:rPr>
              <w:t>Maintained in pillar II (higher national funds)</w:t>
            </w:r>
          </w:p>
        </w:tc>
        <w:tc>
          <w:tcPr>
            <w:tcW w:w="1531" w:type="dxa"/>
          </w:tcPr>
          <w:p w:rsidR="00333A1A" w:rsidRDefault="003D29C9">
            <w:pPr>
              <w:keepNext/>
              <w:keepLines/>
              <w:jc w:val="center"/>
              <w:rPr>
                <w:noProof/>
                <w:sz w:val="16"/>
              </w:rPr>
            </w:pPr>
            <w:r>
              <w:rPr>
                <w:noProof/>
                <w:sz w:val="16"/>
              </w:rPr>
              <w:t xml:space="preserve">Maintained in pillar II </w:t>
            </w:r>
            <w:r>
              <w:rPr>
                <w:noProof/>
                <w:sz w:val="16"/>
              </w:rPr>
              <w:t>(higher national funds)</w:t>
            </w:r>
          </w:p>
        </w:tc>
        <w:tc>
          <w:tcPr>
            <w:tcW w:w="1531" w:type="dxa"/>
          </w:tcPr>
          <w:p w:rsidR="00333A1A" w:rsidRDefault="003D29C9">
            <w:pPr>
              <w:keepNext/>
              <w:keepLines/>
              <w:jc w:val="center"/>
              <w:rPr>
                <w:noProof/>
                <w:sz w:val="16"/>
              </w:rPr>
            </w:pPr>
            <w:r>
              <w:rPr>
                <w:noProof/>
                <w:sz w:val="16"/>
              </w:rPr>
              <w:t>Increased</w:t>
            </w:r>
          </w:p>
          <w:p w:rsidR="00333A1A" w:rsidRDefault="003D29C9">
            <w:pPr>
              <w:keepNext/>
              <w:keepLines/>
              <w:jc w:val="center"/>
              <w:rPr>
                <w:noProof/>
                <w:sz w:val="16"/>
              </w:rPr>
            </w:pPr>
            <w:r>
              <w:rPr>
                <w:noProof/>
                <w:sz w:val="16"/>
              </w:rPr>
              <w:t>top up in pillar I</w:t>
            </w:r>
          </w:p>
        </w:tc>
      </w:tr>
      <w:tr w:rsidR="00333A1A">
        <w:tc>
          <w:tcPr>
            <w:tcW w:w="1531" w:type="dxa"/>
          </w:tcPr>
          <w:p w:rsidR="00333A1A" w:rsidRDefault="003D29C9">
            <w:pPr>
              <w:keepNext/>
              <w:keepLines/>
              <w:jc w:val="both"/>
              <w:rPr>
                <w:noProof/>
                <w:sz w:val="16"/>
              </w:rPr>
            </w:pPr>
            <w:r>
              <w:rPr>
                <w:noProof/>
                <w:sz w:val="16"/>
              </w:rPr>
              <w:t>Payment redistribution</w:t>
            </w:r>
          </w:p>
        </w:tc>
        <w:tc>
          <w:tcPr>
            <w:tcW w:w="1531" w:type="dxa"/>
          </w:tcPr>
          <w:p w:rsidR="00333A1A" w:rsidRDefault="003D29C9">
            <w:pPr>
              <w:keepNext/>
              <w:keepLines/>
              <w:jc w:val="center"/>
              <w:rPr>
                <w:noProof/>
                <w:sz w:val="14"/>
              </w:rPr>
            </w:pPr>
            <w:r>
              <w:rPr>
                <w:noProof/>
                <w:sz w:val="14"/>
              </w:rPr>
              <w:t>Top up to first ha in 8 MS.</w:t>
            </w:r>
          </w:p>
          <w:p w:rsidR="00333A1A" w:rsidRDefault="003D29C9">
            <w:pPr>
              <w:keepNext/>
              <w:keepLines/>
              <w:jc w:val="center"/>
              <w:rPr>
                <w:noProof/>
                <w:sz w:val="14"/>
              </w:rPr>
            </w:pPr>
            <w:r>
              <w:rPr>
                <w:noProof/>
                <w:sz w:val="14"/>
              </w:rPr>
              <w:t>Degressivity in 14 MS from 150 000 EUR, % cut vary by MS from 5 to 50%**</w:t>
            </w:r>
          </w:p>
        </w:tc>
        <w:tc>
          <w:tcPr>
            <w:tcW w:w="1531" w:type="dxa"/>
          </w:tcPr>
          <w:p w:rsidR="00333A1A" w:rsidRDefault="003D29C9">
            <w:pPr>
              <w:keepNext/>
              <w:keepLines/>
              <w:jc w:val="center"/>
              <w:rPr>
                <w:noProof/>
                <w:sz w:val="16"/>
              </w:rPr>
            </w:pPr>
            <w:r>
              <w:rPr>
                <w:noProof/>
                <w:sz w:val="16"/>
              </w:rPr>
              <w:t>0</w:t>
            </w:r>
          </w:p>
        </w:tc>
        <w:tc>
          <w:tcPr>
            <w:tcW w:w="1531" w:type="dxa"/>
          </w:tcPr>
          <w:p w:rsidR="00333A1A" w:rsidRDefault="003D29C9">
            <w:pPr>
              <w:keepNext/>
              <w:keepLines/>
              <w:jc w:val="center"/>
              <w:rPr>
                <w:noProof/>
                <w:sz w:val="16"/>
              </w:rPr>
            </w:pPr>
            <w:r>
              <w:rPr>
                <w:noProof/>
                <w:sz w:val="16"/>
              </w:rPr>
              <w:t>To small-medium farms via a top up to first 30 ha</w:t>
            </w:r>
          </w:p>
        </w:tc>
        <w:tc>
          <w:tcPr>
            <w:tcW w:w="1531" w:type="dxa"/>
          </w:tcPr>
          <w:p w:rsidR="00333A1A" w:rsidRDefault="003D29C9">
            <w:pPr>
              <w:keepNext/>
              <w:keepLines/>
              <w:jc w:val="center"/>
              <w:rPr>
                <w:noProof/>
                <w:sz w:val="16"/>
              </w:rPr>
            </w:pPr>
            <w:r>
              <w:rPr>
                <w:noProof/>
                <w:sz w:val="16"/>
              </w:rPr>
              <w:t xml:space="preserve">To farmers with lower income </w:t>
            </w:r>
          </w:p>
          <w:p w:rsidR="00333A1A" w:rsidRDefault="003D29C9">
            <w:pPr>
              <w:keepNext/>
              <w:keepLines/>
              <w:jc w:val="center"/>
              <w:rPr>
                <w:noProof/>
                <w:sz w:val="16"/>
              </w:rPr>
            </w:pPr>
            <w:r>
              <w:rPr>
                <w:noProof/>
                <w:sz w:val="16"/>
              </w:rPr>
              <w:t>via an increase in support to permanent grassland</w:t>
            </w:r>
          </w:p>
        </w:tc>
        <w:tc>
          <w:tcPr>
            <w:tcW w:w="1531" w:type="dxa"/>
          </w:tcPr>
          <w:p w:rsidR="00333A1A" w:rsidRDefault="003D29C9">
            <w:pPr>
              <w:keepNext/>
              <w:keepLines/>
              <w:jc w:val="center"/>
              <w:rPr>
                <w:noProof/>
                <w:sz w:val="16"/>
              </w:rPr>
            </w:pPr>
            <w:r>
              <w:rPr>
                <w:noProof/>
                <w:sz w:val="16"/>
              </w:rPr>
              <w:t>To small-medium farms</w:t>
            </w:r>
          </w:p>
          <w:p w:rsidR="00333A1A" w:rsidRDefault="003D29C9">
            <w:pPr>
              <w:keepNext/>
              <w:keepLines/>
              <w:jc w:val="center"/>
              <w:rPr>
                <w:noProof/>
                <w:sz w:val="16"/>
              </w:rPr>
            </w:pPr>
            <w:r>
              <w:rPr>
                <w:noProof/>
                <w:sz w:val="16"/>
              </w:rPr>
              <w:t>via the modulation of support by size</w:t>
            </w:r>
          </w:p>
        </w:tc>
      </w:tr>
      <w:tr w:rsidR="00333A1A">
        <w:tc>
          <w:tcPr>
            <w:tcW w:w="1531" w:type="dxa"/>
          </w:tcPr>
          <w:p w:rsidR="00333A1A" w:rsidRDefault="003D29C9">
            <w:pPr>
              <w:keepNext/>
              <w:keepLines/>
              <w:jc w:val="both"/>
              <w:rPr>
                <w:noProof/>
                <w:sz w:val="16"/>
              </w:rPr>
            </w:pPr>
            <w:r>
              <w:rPr>
                <w:noProof/>
                <w:sz w:val="16"/>
              </w:rPr>
              <w:t>Capping per farm (with salaries correction)</w:t>
            </w:r>
          </w:p>
        </w:tc>
        <w:tc>
          <w:tcPr>
            <w:tcW w:w="1531" w:type="dxa"/>
          </w:tcPr>
          <w:p w:rsidR="00333A1A" w:rsidRDefault="003D29C9">
            <w:pPr>
              <w:keepNext/>
              <w:keepLines/>
              <w:jc w:val="center"/>
              <w:rPr>
                <w:noProof/>
                <w:sz w:val="14"/>
              </w:rPr>
            </w:pPr>
            <w:r>
              <w:rPr>
                <w:noProof/>
                <w:sz w:val="14"/>
              </w:rPr>
              <w:t xml:space="preserve">Limited, </w:t>
            </w:r>
          </w:p>
          <w:p w:rsidR="00333A1A" w:rsidRDefault="003D29C9">
            <w:pPr>
              <w:keepNext/>
              <w:keepLines/>
              <w:jc w:val="center"/>
              <w:rPr>
                <w:noProof/>
                <w:sz w:val="14"/>
              </w:rPr>
            </w:pPr>
            <w:r>
              <w:rPr>
                <w:noProof/>
                <w:sz w:val="14"/>
              </w:rPr>
              <w:t>in 8 MS</w:t>
            </w:r>
          </w:p>
          <w:p w:rsidR="00333A1A" w:rsidRDefault="003D29C9">
            <w:pPr>
              <w:keepNext/>
              <w:keepLines/>
              <w:jc w:val="center"/>
              <w:rPr>
                <w:noProof/>
                <w:sz w:val="14"/>
              </w:rPr>
            </w:pPr>
            <w:r>
              <w:rPr>
                <w:noProof/>
                <w:sz w:val="14"/>
              </w:rPr>
              <w:t>threshold from 150 000 to 500 000 EUR</w:t>
            </w:r>
          </w:p>
        </w:tc>
        <w:tc>
          <w:tcPr>
            <w:tcW w:w="1531" w:type="dxa"/>
          </w:tcPr>
          <w:p w:rsidR="00333A1A" w:rsidRDefault="003D29C9">
            <w:pPr>
              <w:keepNext/>
              <w:keepLines/>
              <w:jc w:val="center"/>
              <w:rPr>
                <w:noProof/>
                <w:sz w:val="16"/>
              </w:rPr>
            </w:pPr>
            <w:r>
              <w:rPr>
                <w:noProof/>
                <w:sz w:val="16"/>
              </w:rPr>
              <w:t>100 000 EUR</w:t>
            </w:r>
          </w:p>
        </w:tc>
        <w:tc>
          <w:tcPr>
            <w:tcW w:w="1531" w:type="dxa"/>
          </w:tcPr>
          <w:p w:rsidR="00333A1A" w:rsidRDefault="003D29C9">
            <w:pPr>
              <w:keepNext/>
              <w:keepLines/>
              <w:jc w:val="center"/>
              <w:rPr>
                <w:noProof/>
                <w:sz w:val="16"/>
              </w:rPr>
            </w:pPr>
            <w:r>
              <w:rPr>
                <w:noProof/>
                <w:sz w:val="16"/>
              </w:rPr>
              <w:t>100 000 EUR</w:t>
            </w:r>
          </w:p>
        </w:tc>
        <w:tc>
          <w:tcPr>
            <w:tcW w:w="1531" w:type="dxa"/>
          </w:tcPr>
          <w:p w:rsidR="00333A1A" w:rsidRDefault="003D29C9">
            <w:pPr>
              <w:keepNext/>
              <w:keepLines/>
              <w:jc w:val="center"/>
              <w:rPr>
                <w:noProof/>
                <w:sz w:val="16"/>
              </w:rPr>
            </w:pPr>
            <w:r>
              <w:rPr>
                <w:noProof/>
                <w:sz w:val="16"/>
              </w:rPr>
              <w:t>100 000 EUR</w:t>
            </w:r>
          </w:p>
        </w:tc>
        <w:tc>
          <w:tcPr>
            <w:tcW w:w="1531" w:type="dxa"/>
          </w:tcPr>
          <w:p w:rsidR="00333A1A" w:rsidRDefault="003D29C9">
            <w:pPr>
              <w:keepNext/>
              <w:keepLines/>
              <w:jc w:val="center"/>
              <w:rPr>
                <w:noProof/>
                <w:sz w:val="16"/>
              </w:rPr>
            </w:pPr>
            <w:r>
              <w:rPr>
                <w:noProof/>
                <w:sz w:val="16"/>
              </w:rPr>
              <w:t>60 000 EUR</w:t>
            </w:r>
          </w:p>
        </w:tc>
      </w:tr>
      <w:tr w:rsidR="00333A1A">
        <w:tc>
          <w:tcPr>
            <w:tcW w:w="1531" w:type="dxa"/>
          </w:tcPr>
          <w:p w:rsidR="00333A1A" w:rsidRDefault="003D29C9">
            <w:pPr>
              <w:keepNext/>
              <w:keepLines/>
              <w:jc w:val="both"/>
              <w:rPr>
                <w:noProof/>
                <w:sz w:val="16"/>
              </w:rPr>
            </w:pPr>
            <w:r>
              <w:rPr>
                <w:noProof/>
                <w:sz w:val="16"/>
              </w:rPr>
              <w:t>Capping per ha</w:t>
            </w:r>
          </w:p>
        </w:tc>
        <w:tc>
          <w:tcPr>
            <w:tcW w:w="1531" w:type="dxa"/>
          </w:tcPr>
          <w:p w:rsidR="00333A1A" w:rsidRDefault="00333A1A">
            <w:pPr>
              <w:keepNext/>
              <w:keepLines/>
              <w:jc w:val="center"/>
              <w:rPr>
                <w:noProof/>
                <w:sz w:val="14"/>
              </w:rPr>
            </w:pPr>
          </w:p>
        </w:tc>
        <w:tc>
          <w:tcPr>
            <w:tcW w:w="1531" w:type="dxa"/>
          </w:tcPr>
          <w:p w:rsidR="00333A1A" w:rsidRDefault="00333A1A">
            <w:pPr>
              <w:keepNext/>
              <w:keepLines/>
              <w:jc w:val="center"/>
              <w:rPr>
                <w:noProof/>
                <w:sz w:val="16"/>
              </w:rPr>
            </w:pPr>
          </w:p>
        </w:tc>
        <w:tc>
          <w:tcPr>
            <w:tcW w:w="1531" w:type="dxa"/>
          </w:tcPr>
          <w:p w:rsidR="00333A1A" w:rsidRDefault="003D29C9">
            <w:pPr>
              <w:keepNext/>
              <w:keepLines/>
              <w:jc w:val="center"/>
              <w:rPr>
                <w:noProof/>
                <w:sz w:val="16"/>
              </w:rPr>
            </w:pPr>
            <w:r>
              <w:rPr>
                <w:noProof/>
                <w:sz w:val="16"/>
              </w:rPr>
              <w:t>1 000 EUR</w:t>
            </w:r>
          </w:p>
        </w:tc>
        <w:tc>
          <w:tcPr>
            <w:tcW w:w="1531" w:type="dxa"/>
          </w:tcPr>
          <w:p w:rsidR="00333A1A" w:rsidRDefault="00333A1A">
            <w:pPr>
              <w:keepNext/>
              <w:keepLines/>
              <w:jc w:val="center"/>
              <w:rPr>
                <w:noProof/>
                <w:sz w:val="16"/>
              </w:rPr>
            </w:pPr>
          </w:p>
        </w:tc>
        <w:tc>
          <w:tcPr>
            <w:tcW w:w="1531" w:type="dxa"/>
          </w:tcPr>
          <w:p w:rsidR="00333A1A" w:rsidRDefault="00333A1A">
            <w:pPr>
              <w:keepNext/>
              <w:keepLines/>
              <w:jc w:val="center"/>
              <w:rPr>
                <w:noProof/>
                <w:sz w:val="16"/>
              </w:rPr>
            </w:pPr>
          </w:p>
        </w:tc>
      </w:tr>
      <w:tr w:rsidR="00333A1A">
        <w:tc>
          <w:tcPr>
            <w:tcW w:w="1531" w:type="dxa"/>
          </w:tcPr>
          <w:p w:rsidR="00333A1A" w:rsidRDefault="003D29C9">
            <w:pPr>
              <w:keepNext/>
              <w:keepLines/>
              <w:jc w:val="both"/>
              <w:rPr>
                <w:noProof/>
                <w:sz w:val="16"/>
              </w:rPr>
            </w:pPr>
            <w:r>
              <w:rPr>
                <w:noProof/>
                <w:sz w:val="16"/>
              </w:rPr>
              <w:t>Min. requirements</w:t>
            </w:r>
          </w:p>
        </w:tc>
        <w:tc>
          <w:tcPr>
            <w:tcW w:w="1531" w:type="dxa"/>
          </w:tcPr>
          <w:p w:rsidR="00333A1A" w:rsidRDefault="003D29C9">
            <w:pPr>
              <w:keepNext/>
              <w:keepLines/>
              <w:jc w:val="center"/>
              <w:rPr>
                <w:noProof/>
                <w:sz w:val="14"/>
              </w:rPr>
            </w:pPr>
            <w:r>
              <w:rPr>
                <w:noProof/>
                <w:sz w:val="14"/>
              </w:rPr>
              <w:t xml:space="preserve">Threshold in EUR or ha varies from 0.5 to 4 ha and from 100 to 500 EUR </w:t>
            </w:r>
          </w:p>
        </w:tc>
        <w:tc>
          <w:tcPr>
            <w:tcW w:w="1531" w:type="dxa"/>
          </w:tcPr>
          <w:p w:rsidR="00333A1A" w:rsidRDefault="003D29C9">
            <w:pPr>
              <w:keepNext/>
              <w:keepLines/>
              <w:jc w:val="center"/>
              <w:rPr>
                <w:noProof/>
                <w:sz w:val="16"/>
              </w:rPr>
            </w:pPr>
            <w:r>
              <w:rPr>
                <w:noProof/>
                <w:sz w:val="16"/>
              </w:rPr>
              <w:t>2 ha</w:t>
            </w:r>
          </w:p>
        </w:tc>
        <w:tc>
          <w:tcPr>
            <w:tcW w:w="1531" w:type="dxa"/>
          </w:tcPr>
          <w:p w:rsidR="00333A1A" w:rsidRDefault="003D29C9">
            <w:pPr>
              <w:keepNext/>
              <w:keepLines/>
              <w:jc w:val="center"/>
              <w:rPr>
                <w:noProof/>
                <w:sz w:val="16"/>
              </w:rPr>
            </w:pPr>
            <w:r>
              <w:rPr>
                <w:noProof/>
                <w:sz w:val="16"/>
              </w:rPr>
              <w:t>2 ha</w:t>
            </w:r>
          </w:p>
        </w:tc>
        <w:tc>
          <w:tcPr>
            <w:tcW w:w="1531" w:type="dxa"/>
          </w:tcPr>
          <w:p w:rsidR="00333A1A" w:rsidRDefault="003D29C9">
            <w:pPr>
              <w:keepNext/>
              <w:keepLines/>
              <w:jc w:val="center"/>
              <w:rPr>
                <w:noProof/>
                <w:sz w:val="16"/>
              </w:rPr>
            </w:pPr>
            <w:r>
              <w:rPr>
                <w:noProof/>
                <w:sz w:val="16"/>
              </w:rPr>
              <w:t>2% of ag. income (varies by MS, from 100 to 1 000 EUR)</w:t>
            </w:r>
          </w:p>
        </w:tc>
        <w:tc>
          <w:tcPr>
            <w:tcW w:w="1531" w:type="dxa"/>
          </w:tcPr>
          <w:p w:rsidR="00333A1A" w:rsidRDefault="003D29C9">
            <w:pPr>
              <w:keepNext/>
              <w:keepLines/>
              <w:jc w:val="center"/>
              <w:rPr>
                <w:noProof/>
                <w:sz w:val="16"/>
              </w:rPr>
            </w:pPr>
            <w:r>
              <w:rPr>
                <w:noProof/>
                <w:sz w:val="16"/>
              </w:rPr>
              <w:t>Status quo</w:t>
            </w:r>
          </w:p>
        </w:tc>
      </w:tr>
    </w:tbl>
    <w:p w:rsidR="00333A1A" w:rsidRDefault="003D29C9">
      <w:pPr>
        <w:spacing w:after="0" w:line="240" w:lineRule="auto"/>
        <w:jc w:val="both"/>
        <w:rPr>
          <w:noProof/>
          <w:sz w:val="16"/>
          <w:szCs w:val="20"/>
        </w:rPr>
      </w:pPr>
      <w:r>
        <w:rPr>
          <w:noProof/>
          <w:sz w:val="16"/>
          <w:szCs w:val="20"/>
        </w:rPr>
        <w:t xml:space="preserve">* includes the basic </w:t>
      </w:r>
      <w:r>
        <w:rPr>
          <w:noProof/>
          <w:sz w:val="16"/>
          <w:szCs w:val="20"/>
        </w:rPr>
        <w:t>payment scheme, the single area payment scheme and greening</w:t>
      </w:r>
    </w:p>
    <w:p w:rsidR="00333A1A" w:rsidRDefault="003D29C9">
      <w:pPr>
        <w:spacing w:after="0"/>
        <w:jc w:val="both"/>
        <w:rPr>
          <w:noProof/>
          <w:sz w:val="16"/>
          <w:szCs w:val="20"/>
        </w:rPr>
      </w:pPr>
      <w:r>
        <w:rPr>
          <w:noProof/>
          <w:sz w:val="16"/>
          <w:szCs w:val="20"/>
        </w:rPr>
        <w:t>** e.g. amounts above 150 000 EUR per farm (with salaries correction) are cut by 5%  in BG and by 50% in IT.</w:t>
      </w:r>
    </w:p>
    <w:p w:rsidR="00333A1A" w:rsidRDefault="003D29C9">
      <w:pPr>
        <w:spacing w:after="0"/>
        <w:jc w:val="both"/>
        <w:rPr>
          <w:noProof/>
          <w:sz w:val="16"/>
          <w:szCs w:val="20"/>
        </w:rPr>
      </w:pPr>
      <w:r>
        <w:rPr>
          <w:noProof/>
          <w:sz w:val="16"/>
          <w:szCs w:val="20"/>
        </w:rPr>
        <w:t xml:space="preserve">*** </w:t>
      </w:r>
      <w:r>
        <w:rPr>
          <w:rFonts w:ascii="Times New Roman" w:hAnsi="Times New Roman" w:cs="Times New Roman"/>
          <w:noProof/>
          <w:sz w:val="16"/>
          <w:szCs w:val="20"/>
        </w:rPr>
        <w:t>options 4a and 4b are similar in terms of direct payments implementation.</w:t>
      </w:r>
    </w:p>
    <w:p w:rsidR="00333A1A" w:rsidRDefault="003D29C9">
      <w:pPr>
        <w:rPr>
          <w:noProof/>
        </w:rPr>
      </w:pPr>
      <w:r>
        <w:rPr>
          <w:noProof/>
        </w:rPr>
        <w:br w:type="page"/>
      </w:r>
    </w:p>
    <w:p w:rsidR="00333A1A" w:rsidRDefault="003D29C9">
      <w:pPr>
        <w:pStyle w:val="AnnexTitle"/>
        <w:rPr>
          <w:noProof/>
        </w:rPr>
      </w:pPr>
      <w:bookmarkStart w:id="131" w:name="_Toc513053280"/>
      <w:bookmarkStart w:id="132" w:name="_Toc513053496"/>
      <w:bookmarkStart w:id="133" w:name="_Toc514514627"/>
      <w:r>
        <w:rPr>
          <w:noProof/>
        </w:rPr>
        <w:t xml:space="preserve">Annex </w:t>
      </w:r>
      <w:r>
        <w:rPr>
          <w:noProof/>
        </w:rPr>
        <w:t>5.2 Methods and tools</w:t>
      </w:r>
      <w:bookmarkEnd w:id="131"/>
      <w:bookmarkEnd w:id="132"/>
      <w:bookmarkEnd w:id="133"/>
    </w:p>
    <w:p w:rsidR="00333A1A" w:rsidRDefault="003D29C9">
      <w:pPr>
        <w:pStyle w:val="Heading1"/>
        <w:numPr>
          <w:ilvl w:val="0"/>
          <w:numId w:val="28"/>
        </w:numPr>
        <w:rPr>
          <w:noProof/>
        </w:rPr>
      </w:pPr>
      <w:bookmarkStart w:id="134" w:name="_Toc508286121"/>
      <w:bookmarkStart w:id="135" w:name="_Toc508286221"/>
      <w:bookmarkStart w:id="136" w:name="_Toc508297457"/>
      <w:bookmarkStart w:id="137" w:name="_Toc513053281"/>
      <w:bookmarkStart w:id="138" w:name="_Toc513053497"/>
      <w:bookmarkStart w:id="139" w:name="_Toc514514628"/>
      <w:r>
        <w:rPr>
          <w:noProof/>
        </w:rPr>
        <w:t>Introduction</w:t>
      </w:r>
      <w:bookmarkEnd w:id="134"/>
      <w:bookmarkEnd w:id="135"/>
      <w:bookmarkEnd w:id="136"/>
      <w:bookmarkEnd w:id="137"/>
      <w:bookmarkEnd w:id="138"/>
      <w:bookmarkEnd w:id="139"/>
    </w:p>
    <w:p w:rsidR="00333A1A" w:rsidRDefault="003D29C9">
      <w:pPr>
        <w:pStyle w:val="Text1"/>
        <w:ind w:left="0"/>
        <w:rPr>
          <w:noProof/>
        </w:rPr>
      </w:pPr>
      <w:r>
        <w:rPr>
          <w:noProof/>
        </w:rPr>
        <w:t>In this Impact Assessment (IA) a combination of quantitative and qualitative methods is used. Different types of analysis require different methods/set of tools.</w:t>
      </w:r>
    </w:p>
    <w:p w:rsidR="00333A1A" w:rsidRDefault="003D29C9">
      <w:pPr>
        <w:pStyle w:val="Text1"/>
        <w:ind w:left="993" w:hanging="426"/>
        <w:rPr>
          <w:noProof/>
        </w:rPr>
      </w:pPr>
      <w:r>
        <w:rPr>
          <w:noProof/>
        </w:rPr>
        <w:t xml:space="preserve">1. </w:t>
      </w:r>
      <w:r>
        <w:rPr>
          <w:noProof/>
        </w:rPr>
        <w:tab/>
        <w:t>To quantitatively underpin the problems (and contributi</w:t>
      </w:r>
      <w:r>
        <w:rPr>
          <w:noProof/>
        </w:rPr>
        <w:t xml:space="preserve">on of associated drivers) related to the </w:t>
      </w:r>
      <w:r>
        <w:rPr>
          <w:noProof/>
          <w:u w:val="single"/>
        </w:rPr>
        <w:t>current situation</w:t>
      </w:r>
      <w:r>
        <w:rPr>
          <w:noProof/>
        </w:rPr>
        <w:t xml:space="preserve">, information from indicators, evaluations, studies and prior modelling exercises is combined. </w:t>
      </w:r>
    </w:p>
    <w:p w:rsidR="00333A1A" w:rsidRDefault="003D29C9">
      <w:pPr>
        <w:pStyle w:val="Text1"/>
        <w:spacing w:after="0"/>
        <w:ind w:left="993" w:hanging="426"/>
        <w:rPr>
          <w:noProof/>
        </w:rPr>
      </w:pPr>
      <w:r>
        <w:rPr>
          <w:noProof/>
        </w:rPr>
        <w:t xml:space="preserve">2. </w:t>
      </w:r>
      <w:r>
        <w:rPr>
          <w:noProof/>
        </w:rPr>
        <w:tab/>
        <w:t xml:space="preserve">To analyse the economic, social and environmental </w:t>
      </w:r>
      <w:r>
        <w:rPr>
          <w:noProof/>
          <w:u w:val="single"/>
        </w:rPr>
        <w:t>impact</w:t>
      </w:r>
      <w:r>
        <w:rPr>
          <w:noProof/>
        </w:rPr>
        <w:t xml:space="preserve"> as well as the administrative burden of t</w:t>
      </w:r>
      <w:r>
        <w:rPr>
          <w:noProof/>
        </w:rPr>
        <w:t xml:space="preserve">he different </w:t>
      </w:r>
      <w:r>
        <w:rPr>
          <w:noProof/>
          <w:u w:val="single"/>
        </w:rPr>
        <w:t>options</w:t>
      </w:r>
      <w:r>
        <w:rPr>
          <w:noProof/>
        </w:rPr>
        <w:t xml:space="preserve">, 2 approaches are pursued: </w:t>
      </w:r>
    </w:p>
    <w:p w:rsidR="00333A1A" w:rsidRDefault="00333A1A">
      <w:pPr>
        <w:pStyle w:val="Text1"/>
        <w:spacing w:after="0"/>
        <w:ind w:left="993" w:hanging="426"/>
        <w:rPr>
          <w:noProof/>
        </w:rPr>
      </w:pPr>
    </w:p>
    <w:p w:rsidR="00333A1A" w:rsidRDefault="003D29C9">
      <w:pPr>
        <w:pStyle w:val="Text1"/>
        <w:spacing w:after="0"/>
        <w:ind w:left="1146" w:hanging="426"/>
        <w:rPr>
          <w:noProof/>
        </w:rPr>
      </w:pPr>
      <w:r>
        <w:rPr>
          <w:noProof/>
        </w:rPr>
        <w:t xml:space="preserve">2.1. </w:t>
      </w:r>
      <w:r>
        <w:rPr>
          <w:noProof/>
        </w:rPr>
        <w:tab/>
        <w:t xml:space="preserve">For those elements (instruments) of the options which can be integrated in (one or more of) the models, (some of) the impacts can be quantified. </w:t>
      </w:r>
    </w:p>
    <w:p w:rsidR="00333A1A" w:rsidRDefault="003D29C9">
      <w:pPr>
        <w:pStyle w:val="Text1"/>
        <w:ind w:left="1146" w:hanging="426"/>
        <w:rPr>
          <w:noProof/>
        </w:rPr>
      </w:pPr>
      <w:r>
        <w:rPr>
          <w:noProof/>
        </w:rPr>
        <w:t>2.2. For those elements which cannot be modelled, a se</w:t>
      </w:r>
      <w:r>
        <w:rPr>
          <w:noProof/>
        </w:rPr>
        <w:t>mi-quantitative approach based on internal expert judgement is followed. This entails scoring of the options by different experts (mostly within the Commission) following an intervention logic and informed by available analysis and literature.</w:t>
      </w:r>
    </w:p>
    <w:p w:rsidR="00333A1A" w:rsidRDefault="003D29C9">
      <w:pPr>
        <w:pStyle w:val="Text1"/>
        <w:ind w:left="993" w:hanging="426"/>
        <w:rPr>
          <w:noProof/>
        </w:rPr>
      </w:pPr>
      <w:r>
        <w:rPr>
          <w:noProof/>
        </w:rPr>
        <w:t xml:space="preserve">3. </w:t>
      </w:r>
      <w:r>
        <w:rPr>
          <w:noProof/>
        </w:rPr>
        <w:tab/>
        <w:t>The impa</w:t>
      </w:r>
      <w:r>
        <w:rPr>
          <w:noProof/>
        </w:rPr>
        <w:t xml:space="preserve">cts of the baseline (current CAP) and the options obtained from step 2 are compared and aggregated by means of Multi-Criteria Analysis (MCA)    </w:t>
      </w:r>
    </w:p>
    <w:p w:rsidR="00333A1A" w:rsidRDefault="003D29C9">
      <w:pPr>
        <w:pStyle w:val="Text1"/>
        <w:ind w:left="0"/>
        <w:rPr>
          <w:noProof/>
        </w:rPr>
      </w:pPr>
      <w:r>
        <w:rPr>
          <w:noProof/>
        </w:rPr>
        <w:t>The first part gives a brief outline of the main models used, the expert judgement approach and the multi-crite</w:t>
      </w:r>
      <w:r>
        <w:rPr>
          <w:noProof/>
        </w:rPr>
        <w:t>ria analysis. The second part describes in more detail which methods/models are used in which part of the IA. The caveats of the modelling assessment are described in relevant sections of the analysis.</w:t>
      </w:r>
    </w:p>
    <w:p w:rsidR="00333A1A" w:rsidRDefault="003D29C9">
      <w:pPr>
        <w:pStyle w:val="Heading1"/>
        <w:rPr>
          <w:noProof/>
        </w:rPr>
      </w:pPr>
      <w:bookmarkStart w:id="140" w:name="_Toc508286122"/>
      <w:bookmarkStart w:id="141" w:name="_Toc508286222"/>
      <w:bookmarkStart w:id="142" w:name="_Toc508297458"/>
      <w:bookmarkStart w:id="143" w:name="_Toc513053282"/>
      <w:bookmarkStart w:id="144" w:name="_Toc513053498"/>
      <w:bookmarkStart w:id="145" w:name="_Toc514514629"/>
      <w:r>
        <w:rPr>
          <w:noProof/>
        </w:rPr>
        <w:t>Brief description of the main models and tools used in</w:t>
      </w:r>
      <w:r>
        <w:rPr>
          <w:noProof/>
        </w:rPr>
        <w:t xml:space="preserve"> the IA</w:t>
      </w:r>
      <w:bookmarkEnd w:id="140"/>
      <w:bookmarkEnd w:id="141"/>
      <w:bookmarkEnd w:id="142"/>
      <w:bookmarkEnd w:id="143"/>
      <w:bookmarkEnd w:id="144"/>
      <w:bookmarkEnd w:id="145"/>
    </w:p>
    <w:p w:rsidR="00333A1A" w:rsidRDefault="003D29C9">
      <w:pPr>
        <w:pStyle w:val="Heading2"/>
        <w:rPr>
          <w:noProof/>
        </w:rPr>
      </w:pPr>
      <w:bookmarkStart w:id="146" w:name="_Toc508286123"/>
      <w:bookmarkStart w:id="147" w:name="_Toc508286223"/>
      <w:bookmarkStart w:id="148" w:name="_Toc508297459"/>
      <w:bookmarkStart w:id="149" w:name="_Toc513053283"/>
      <w:bookmarkStart w:id="150" w:name="_Toc513053499"/>
      <w:bookmarkStart w:id="151" w:name="_Toc514514630"/>
      <w:r>
        <w:rPr>
          <w:noProof/>
        </w:rPr>
        <w:t>MAGNET</w:t>
      </w:r>
      <w:bookmarkEnd w:id="146"/>
      <w:bookmarkEnd w:id="147"/>
      <w:bookmarkEnd w:id="148"/>
      <w:bookmarkEnd w:id="149"/>
      <w:bookmarkEnd w:id="150"/>
      <w:bookmarkEnd w:id="151"/>
    </w:p>
    <w:p w:rsidR="00333A1A" w:rsidRDefault="003D29C9">
      <w:pPr>
        <w:pStyle w:val="Text1"/>
        <w:spacing w:after="0"/>
        <w:ind w:left="0"/>
        <w:rPr>
          <w:noProof/>
        </w:rPr>
      </w:pPr>
      <w:r>
        <w:rPr>
          <w:noProof/>
        </w:rPr>
        <w:t>MAGNET (Modular Applied GeNeral Equilibrium Tool) is a global general equilibrium model, whereby the GTAP (Global Trade Analysis Project) model has been augmented with specialist modules tailored to the specific focus of the study. GTAP is a</w:t>
      </w:r>
      <w:r>
        <w:rPr>
          <w:noProof/>
        </w:rPr>
        <w:t xml:space="preserve"> general equilibrium model covering all sectors of the economy (agriculture, manufacturing and services) as opposed to partial equilibrium models such as CAPRI (Common Agricultural Policy Regional Impact model), which focuses on subsets of an economy. MAGN</w:t>
      </w:r>
      <w:r>
        <w:rPr>
          <w:noProof/>
        </w:rPr>
        <w:t xml:space="preserve">ET includes adaptions and extensions that cover: </w:t>
      </w:r>
    </w:p>
    <w:p w:rsidR="00333A1A" w:rsidRDefault="00333A1A">
      <w:pPr>
        <w:pStyle w:val="Text1"/>
        <w:spacing w:after="0"/>
        <w:ind w:left="0"/>
        <w:rPr>
          <w:noProof/>
        </w:rPr>
      </w:pPr>
    </w:p>
    <w:p w:rsidR="00333A1A" w:rsidRDefault="003D29C9">
      <w:pPr>
        <w:pStyle w:val="ListParagraph"/>
        <w:numPr>
          <w:ilvl w:val="0"/>
          <w:numId w:val="22"/>
        </w:numPr>
        <w:spacing w:line="240" w:lineRule="auto"/>
        <w:ind w:left="714" w:hanging="357"/>
        <w:rPr>
          <w:rFonts w:ascii="Times New Roman" w:hAnsi="Times New Roman" w:cs="Times New Roman"/>
          <w:noProof/>
          <w:sz w:val="24"/>
        </w:rPr>
      </w:pPr>
      <w:r>
        <w:rPr>
          <w:rFonts w:ascii="Times New Roman" w:hAnsi="Times New Roman" w:cs="Times New Roman"/>
          <w:noProof/>
          <w:sz w:val="24"/>
        </w:rPr>
        <w:t xml:space="preserve">Differences in substitutability of land between sectors </w:t>
      </w:r>
    </w:p>
    <w:p w:rsidR="00333A1A" w:rsidRDefault="003D29C9">
      <w:pPr>
        <w:pStyle w:val="ListParagraph"/>
        <w:numPr>
          <w:ilvl w:val="0"/>
          <w:numId w:val="22"/>
        </w:numPr>
        <w:spacing w:line="240" w:lineRule="auto"/>
        <w:ind w:left="714" w:hanging="357"/>
        <w:rPr>
          <w:rFonts w:ascii="Times New Roman" w:hAnsi="Times New Roman" w:cs="Times New Roman"/>
          <w:noProof/>
          <w:sz w:val="24"/>
        </w:rPr>
      </w:pPr>
      <w:r>
        <w:rPr>
          <w:rFonts w:ascii="Times New Roman" w:hAnsi="Times New Roman" w:cs="Times New Roman"/>
          <w:noProof/>
          <w:sz w:val="24"/>
        </w:rPr>
        <w:t xml:space="preserve">Imperfect mobility of labour between agricultural and non-agricultural sectors </w:t>
      </w:r>
    </w:p>
    <w:p w:rsidR="00333A1A" w:rsidRDefault="003D29C9">
      <w:pPr>
        <w:pStyle w:val="ListParagraph"/>
        <w:numPr>
          <w:ilvl w:val="0"/>
          <w:numId w:val="22"/>
        </w:numPr>
        <w:spacing w:line="240" w:lineRule="auto"/>
        <w:ind w:left="714" w:hanging="357"/>
        <w:rPr>
          <w:rFonts w:ascii="Times New Roman" w:hAnsi="Times New Roman" w:cs="Times New Roman"/>
          <w:noProof/>
          <w:sz w:val="24"/>
        </w:rPr>
      </w:pPr>
      <w:r>
        <w:rPr>
          <w:rFonts w:ascii="Times New Roman" w:hAnsi="Times New Roman" w:cs="Times New Roman"/>
          <w:noProof/>
          <w:sz w:val="24"/>
        </w:rPr>
        <w:t xml:space="preserve">Endogenous land supply </w:t>
      </w:r>
    </w:p>
    <w:p w:rsidR="00333A1A" w:rsidRDefault="003D29C9">
      <w:pPr>
        <w:pStyle w:val="ListParagraph"/>
        <w:numPr>
          <w:ilvl w:val="0"/>
          <w:numId w:val="22"/>
        </w:numPr>
        <w:spacing w:line="240" w:lineRule="auto"/>
        <w:ind w:left="714" w:hanging="357"/>
        <w:rPr>
          <w:rFonts w:ascii="Times New Roman" w:hAnsi="Times New Roman" w:cs="Times New Roman"/>
          <w:noProof/>
          <w:sz w:val="24"/>
        </w:rPr>
      </w:pPr>
      <w:r>
        <w:rPr>
          <w:rFonts w:ascii="Times New Roman" w:hAnsi="Times New Roman" w:cs="Times New Roman"/>
          <w:noProof/>
          <w:sz w:val="24"/>
        </w:rPr>
        <w:t xml:space="preserve">Biofuel sectors and the biofuel directive </w:t>
      </w:r>
    </w:p>
    <w:p w:rsidR="00333A1A" w:rsidRDefault="003D29C9">
      <w:pPr>
        <w:pStyle w:val="ListParagraph"/>
        <w:numPr>
          <w:ilvl w:val="0"/>
          <w:numId w:val="22"/>
        </w:numPr>
        <w:spacing w:line="240" w:lineRule="auto"/>
        <w:ind w:left="714" w:hanging="357"/>
        <w:rPr>
          <w:rFonts w:ascii="Times New Roman" w:hAnsi="Times New Roman" w:cs="Times New Roman"/>
          <w:noProof/>
          <w:sz w:val="24"/>
        </w:rPr>
      </w:pPr>
      <w:r>
        <w:rPr>
          <w:rFonts w:ascii="Times New Roman" w:hAnsi="Times New Roman" w:cs="Times New Roman"/>
          <w:noProof/>
          <w:sz w:val="24"/>
        </w:rPr>
        <w:t xml:space="preserve">Income elasticities dependent on GDP per capita </w:t>
      </w:r>
    </w:p>
    <w:p w:rsidR="00333A1A" w:rsidRDefault="003D29C9">
      <w:pPr>
        <w:pStyle w:val="ListParagraph"/>
        <w:numPr>
          <w:ilvl w:val="0"/>
          <w:numId w:val="22"/>
        </w:numPr>
        <w:spacing w:line="240" w:lineRule="auto"/>
        <w:ind w:left="714" w:hanging="357"/>
        <w:rPr>
          <w:rFonts w:ascii="Times New Roman" w:hAnsi="Times New Roman" w:cs="Times New Roman"/>
          <w:noProof/>
          <w:sz w:val="24"/>
        </w:rPr>
      </w:pPr>
      <w:r>
        <w:rPr>
          <w:rFonts w:ascii="Times New Roman" w:hAnsi="Times New Roman" w:cs="Times New Roman"/>
          <w:noProof/>
          <w:sz w:val="24"/>
        </w:rPr>
        <w:t>International capital mobility for dynamic analyses</w:t>
      </w:r>
    </w:p>
    <w:p w:rsidR="00333A1A" w:rsidRDefault="003D29C9">
      <w:pPr>
        <w:pStyle w:val="ListParagraph"/>
        <w:numPr>
          <w:ilvl w:val="0"/>
          <w:numId w:val="22"/>
        </w:numPr>
        <w:spacing w:line="240" w:lineRule="auto"/>
        <w:ind w:left="714" w:hanging="357"/>
        <w:rPr>
          <w:rFonts w:ascii="Times New Roman" w:hAnsi="Times New Roman" w:cs="Times New Roman"/>
          <w:noProof/>
          <w:sz w:val="24"/>
        </w:rPr>
      </w:pPr>
      <w:r>
        <w:rPr>
          <w:rFonts w:ascii="Times New Roman" w:hAnsi="Times New Roman" w:cs="Times New Roman"/>
          <w:noProof/>
          <w:sz w:val="24"/>
        </w:rPr>
        <w:t xml:space="preserve">CAP policy </w:t>
      </w:r>
    </w:p>
    <w:p w:rsidR="00333A1A" w:rsidRDefault="003D29C9">
      <w:pPr>
        <w:pStyle w:val="Text1"/>
        <w:ind w:left="0"/>
        <w:rPr>
          <w:noProof/>
        </w:rPr>
      </w:pPr>
      <w:r>
        <w:rPr>
          <w:noProof/>
        </w:rPr>
        <w:t>Beside these adaptions and extensions, MAGNET has also adaptions for investments, bilateral tariff rate quota and alternative consumption funct</w:t>
      </w:r>
      <w:r>
        <w:rPr>
          <w:noProof/>
        </w:rPr>
        <w:t xml:space="preserve">ions. </w:t>
      </w:r>
    </w:p>
    <w:p w:rsidR="00333A1A" w:rsidRDefault="003D29C9">
      <w:pPr>
        <w:pStyle w:val="Heading2"/>
        <w:rPr>
          <w:noProof/>
        </w:rPr>
      </w:pPr>
      <w:bookmarkStart w:id="152" w:name="_Toc508286124"/>
      <w:bookmarkStart w:id="153" w:name="_Toc508286224"/>
      <w:bookmarkStart w:id="154" w:name="_Toc508297460"/>
      <w:bookmarkStart w:id="155" w:name="_Toc513053284"/>
      <w:bookmarkStart w:id="156" w:name="_Toc513053500"/>
      <w:bookmarkStart w:id="157" w:name="_Toc514514631"/>
      <w:r>
        <w:rPr>
          <w:noProof/>
        </w:rPr>
        <w:t>Aglink-Cosimo</w:t>
      </w:r>
      <w:bookmarkEnd w:id="152"/>
      <w:bookmarkEnd w:id="153"/>
      <w:bookmarkEnd w:id="154"/>
      <w:bookmarkEnd w:id="155"/>
      <w:bookmarkEnd w:id="156"/>
      <w:bookmarkEnd w:id="157"/>
    </w:p>
    <w:p w:rsidR="00333A1A" w:rsidRDefault="003D29C9">
      <w:pPr>
        <w:pStyle w:val="Text1"/>
        <w:ind w:left="0"/>
        <w:rPr>
          <w:noProof/>
        </w:rPr>
      </w:pPr>
      <w:r>
        <w:rPr>
          <w:noProof/>
        </w:rPr>
        <w:t xml:space="preserve">Aglink-Cosimo is a recursive-dynamic, partial equilibrium, supply demand model of world agriculture developed by the OECD and FAO Secretariats. The model is used to simulate development of annual supply, demand and prices for the main </w:t>
      </w:r>
      <w:r>
        <w:rPr>
          <w:noProof/>
        </w:rPr>
        <w:t>agricultural commodities produced, consumed and traded worldwide. Aglink-Cosimo covers 44 individual countries and 12 regions, and 40 commodities clearing markets at world level. At EU level, the Aglink-Cosimo model is used to produce the “Prospects for Ag</w:t>
      </w:r>
      <w:r>
        <w:rPr>
          <w:noProof/>
        </w:rPr>
        <w:t>ricultural Markets and Income in the EU”. This is a yearly exercise that provides a detailed overview of EU agricultural markets with a 10 year time horizon. It incorporates information from policy makers and market experts in the European Commission, stak</w:t>
      </w:r>
      <w:r>
        <w:rPr>
          <w:noProof/>
        </w:rPr>
        <w:t>eholders, researchers and modellers. The EU Outlook intends to provide a broad consensus about the evolution of European Agriculture in the medium-term. It serves as reference timeline for counterfactual policy analysis and market analysis done in numerous</w:t>
      </w:r>
      <w:r>
        <w:rPr>
          <w:noProof/>
        </w:rPr>
        <w:t xml:space="preserve"> research sites in Europe, including calibrating the baseline of other models such as CAPRI, AGMEMOD, IFM-CAP. </w:t>
      </w:r>
    </w:p>
    <w:p w:rsidR="00333A1A" w:rsidRDefault="003D29C9">
      <w:pPr>
        <w:pStyle w:val="Text1"/>
        <w:ind w:left="0"/>
        <w:rPr>
          <w:noProof/>
        </w:rPr>
      </w:pPr>
      <w:r>
        <w:rPr>
          <w:noProof/>
        </w:rPr>
        <w:t>There is uncertainty surrounding key drivers of these markets. The partial stochastic analysis addresses part of these uncertainties and its pot</w:t>
      </w:r>
      <w:r>
        <w:rPr>
          <w:noProof/>
        </w:rPr>
        <w:t>ential impact on the projections. This kind of probabilistic analysis quantifies the range of possible outcomes around the central baseline value, by reproducing a portion of the past uncertainty observed for key factors. It can also be used to perform sce</w:t>
      </w:r>
      <w:r>
        <w:rPr>
          <w:noProof/>
        </w:rPr>
        <w:t>nario analysis.</w:t>
      </w:r>
    </w:p>
    <w:p w:rsidR="00333A1A" w:rsidRDefault="003D29C9">
      <w:pPr>
        <w:pStyle w:val="Heading2"/>
        <w:rPr>
          <w:noProof/>
        </w:rPr>
      </w:pPr>
      <w:bookmarkStart w:id="158" w:name="_Toc508286125"/>
      <w:bookmarkStart w:id="159" w:name="_Toc508286225"/>
      <w:bookmarkStart w:id="160" w:name="_Toc508297461"/>
      <w:bookmarkStart w:id="161" w:name="_Toc513053285"/>
      <w:bookmarkStart w:id="162" w:name="_Toc513053501"/>
      <w:bookmarkStart w:id="163" w:name="_Toc514514632"/>
      <w:r>
        <w:rPr>
          <w:noProof/>
        </w:rPr>
        <w:t>CAPRI</w:t>
      </w:r>
      <w:bookmarkEnd w:id="158"/>
      <w:bookmarkEnd w:id="159"/>
      <w:bookmarkEnd w:id="160"/>
      <w:bookmarkEnd w:id="161"/>
      <w:bookmarkEnd w:id="162"/>
      <w:bookmarkEnd w:id="163"/>
      <w:r>
        <w:rPr>
          <w:noProof/>
        </w:rPr>
        <w:t xml:space="preserve"> </w:t>
      </w:r>
    </w:p>
    <w:p w:rsidR="00333A1A" w:rsidRDefault="003D29C9">
      <w:pPr>
        <w:pStyle w:val="Text1"/>
        <w:spacing w:after="0"/>
        <w:ind w:left="0"/>
        <w:rPr>
          <w:noProof/>
        </w:rPr>
      </w:pPr>
      <w:r>
        <w:rPr>
          <w:noProof/>
        </w:rPr>
        <w:t>CAPRI is a global agricultural sector model with focus on EU28, Norway, Turkey and Western Balkans, iteratively linking:</w:t>
      </w:r>
    </w:p>
    <w:p w:rsidR="00333A1A" w:rsidRDefault="003D29C9">
      <w:pPr>
        <w:pStyle w:val="ListParagraph"/>
        <w:numPr>
          <w:ilvl w:val="0"/>
          <w:numId w:val="23"/>
        </w:numPr>
        <w:spacing w:line="240" w:lineRule="auto"/>
        <w:ind w:left="714" w:hanging="357"/>
        <w:rPr>
          <w:rFonts w:ascii="Times New Roman" w:hAnsi="Times New Roman" w:cs="Times New Roman"/>
          <w:noProof/>
          <w:sz w:val="24"/>
        </w:rPr>
      </w:pPr>
      <w:r>
        <w:rPr>
          <w:rFonts w:ascii="Times New Roman" w:hAnsi="Times New Roman" w:cs="Times New Roman"/>
          <w:noProof/>
          <w:sz w:val="24"/>
        </w:rPr>
        <w:t xml:space="preserve">Supply module (EU28+Norway+Western Balkans+Turkey): covering about 280 regions (NUTS 2 level) </w:t>
      </w:r>
    </w:p>
    <w:p w:rsidR="00333A1A" w:rsidRDefault="003D29C9">
      <w:pPr>
        <w:pStyle w:val="ListParagraph"/>
        <w:numPr>
          <w:ilvl w:val="0"/>
          <w:numId w:val="23"/>
        </w:numPr>
        <w:spacing w:line="240" w:lineRule="auto"/>
        <w:ind w:left="714" w:hanging="357"/>
        <w:rPr>
          <w:rFonts w:ascii="Times New Roman" w:hAnsi="Times New Roman" w:cs="Times New Roman"/>
          <w:noProof/>
          <w:sz w:val="24"/>
        </w:rPr>
      </w:pPr>
      <w:r>
        <w:rPr>
          <w:rFonts w:ascii="Times New Roman" w:hAnsi="Times New Roman" w:cs="Times New Roman"/>
          <w:noProof/>
          <w:sz w:val="24"/>
        </w:rPr>
        <w:t>Market module: sp</w:t>
      </w:r>
      <w:r>
        <w:rPr>
          <w:rFonts w:ascii="Times New Roman" w:hAnsi="Times New Roman" w:cs="Times New Roman"/>
          <w:noProof/>
          <w:sz w:val="24"/>
        </w:rPr>
        <w:t>atial, global multi-commodity model for agricultural products, 47 product, 77 countries in 40 trade blocks</w:t>
      </w:r>
    </w:p>
    <w:p w:rsidR="00333A1A" w:rsidRDefault="003D29C9">
      <w:pPr>
        <w:pStyle w:val="Text1"/>
        <w:ind w:left="0"/>
        <w:rPr>
          <w:noProof/>
        </w:rPr>
      </w:pPr>
      <w:r>
        <w:rPr>
          <w:noProof/>
        </w:rPr>
        <w:t>Its objective is to evaluate ex-ante impacts of the Common Agricultural Policy and trade policies on production, income, markets, trade, and the envi</w:t>
      </w:r>
      <w:r>
        <w:rPr>
          <w:noProof/>
        </w:rPr>
        <w:t>ronment, from global to regional scale. It allows for the spatial downscaling for EU-28 of crop shares, yields, stocking densities, fertilizer application rates to 150 000 Homogenous Soil Mapping Units (cluster of 1x1 km grid cells) for environmental impac</w:t>
      </w:r>
      <w:r>
        <w:rPr>
          <w:noProof/>
        </w:rPr>
        <w:t>t assessment and link to bio-physical model DNDC (Denitrification Decomposition, a computer simulation model of carbon and nitrogen biogeochemistry in agro-ecosystems). It follows an open source approach with an active network of developers and users, main</w:t>
      </w:r>
      <w:r>
        <w:rPr>
          <w:noProof/>
        </w:rPr>
        <w:t xml:space="preserve"> client is the EU Commission. JRC contributes to its development, maintenance and use for policy analysis.</w:t>
      </w:r>
    </w:p>
    <w:p w:rsidR="00333A1A" w:rsidRDefault="003D29C9">
      <w:pPr>
        <w:pStyle w:val="Heading2"/>
        <w:rPr>
          <w:noProof/>
        </w:rPr>
      </w:pPr>
      <w:bookmarkStart w:id="164" w:name="_Toc508286126"/>
      <w:bookmarkStart w:id="165" w:name="_Toc508286226"/>
      <w:bookmarkStart w:id="166" w:name="_Toc508297462"/>
      <w:bookmarkStart w:id="167" w:name="_Toc513053286"/>
      <w:bookmarkStart w:id="168" w:name="_Toc513053502"/>
      <w:bookmarkStart w:id="169" w:name="_Toc514514633"/>
      <w:r>
        <w:rPr>
          <w:noProof/>
        </w:rPr>
        <w:t>IFM-CAP</w:t>
      </w:r>
      <w:bookmarkEnd w:id="164"/>
      <w:bookmarkEnd w:id="165"/>
      <w:bookmarkEnd w:id="166"/>
      <w:bookmarkEnd w:id="167"/>
      <w:bookmarkEnd w:id="168"/>
      <w:bookmarkEnd w:id="169"/>
    </w:p>
    <w:p w:rsidR="00333A1A" w:rsidRDefault="003D29C9">
      <w:pPr>
        <w:pStyle w:val="Text1"/>
        <w:ind w:left="0"/>
        <w:rPr>
          <w:noProof/>
        </w:rPr>
      </w:pPr>
      <w:r>
        <w:rPr>
          <w:noProof/>
        </w:rPr>
        <w:t>IFM-CAP, developed and maintained at JRC, is an EU-wide individual farm-level partial equilibrium model (IFM-CAP) aiming to assess the impact</w:t>
      </w:r>
      <w:r>
        <w:rPr>
          <w:noProof/>
        </w:rPr>
        <w:t>s of the CAP on farm economic and environmental performance. The rationale for such a farm-level model is based on the increasing demand for a micro-simulation tool able to model farm-specific policies and to capture farm heterogeneity across the EU in ter</w:t>
      </w:r>
      <w:r>
        <w:rPr>
          <w:noProof/>
        </w:rPr>
        <w:t>ms of policy representation and impacts. Based on positive mathematical programming, IFM-CAP seeks to improve the quality of policy assessment upon existing aggregate and aggregated farm-group models and to assess distributional effects over the EU farm po</w:t>
      </w:r>
      <w:r>
        <w:rPr>
          <w:noProof/>
        </w:rPr>
        <w:t>pulation. To guarantee the highest representativeness of the EU agricultural sector, the model is applied to the majority of EU-FADN (Farm Accountancy Data Network) individual farms (almost 80 000 farms).</w:t>
      </w:r>
    </w:p>
    <w:p w:rsidR="00333A1A" w:rsidRDefault="003D29C9">
      <w:pPr>
        <w:pStyle w:val="Heading2"/>
        <w:rPr>
          <w:noProof/>
        </w:rPr>
      </w:pPr>
      <w:bookmarkStart w:id="170" w:name="_Toc508286127"/>
      <w:bookmarkStart w:id="171" w:name="_Toc508286227"/>
      <w:bookmarkStart w:id="172" w:name="_Toc508297463"/>
      <w:bookmarkStart w:id="173" w:name="_Toc513053287"/>
      <w:bookmarkStart w:id="174" w:name="_Toc513053503"/>
      <w:bookmarkStart w:id="175" w:name="_Toc514514634"/>
      <w:r>
        <w:rPr>
          <w:noProof/>
        </w:rPr>
        <w:t>AIDSK</w:t>
      </w:r>
      <w:bookmarkEnd w:id="170"/>
      <w:bookmarkEnd w:id="171"/>
      <w:bookmarkEnd w:id="172"/>
      <w:bookmarkEnd w:id="173"/>
      <w:bookmarkEnd w:id="174"/>
      <w:bookmarkEnd w:id="175"/>
    </w:p>
    <w:p w:rsidR="00333A1A" w:rsidRDefault="003D29C9">
      <w:pPr>
        <w:pStyle w:val="Text1"/>
        <w:ind w:left="0"/>
        <w:rPr>
          <w:noProof/>
        </w:rPr>
      </w:pPr>
      <w:r>
        <w:rPr>
          <w:noProof/>
        </w:rPr>
        <w:t xml:space="preserve">AidsK is a DG AGRI in-house maintained model </w:t>
      </w:r>
      <w:r>
        <w:rPr>
          <w:noProof/>
        </w:rPr>
        <w:t xml:space="preserve">based on EU-FADN (containing over 86 000 individual farm accounts) with policy as when fully implemented (2019) and possibility to change direct payments, very useful to work on direct payments distribution as well as winners and losers (types of farming, </w:t>
      </w:r>
      <w:r>
        <w:rPr>
          <w:noProof/>
        </w:rPr>
        <w:t>MS…).</w:t>
      </w:r>
    </w:p>
    <w:p w:rsidR="00333A1A" w:rsidRDefault="003D29C9">
      <w:pPr>
        <w:pStyle w:val="Heading2"/>
        <w:rPr>
          <w:noProof/>
        </w:rPr>
      </w:pPr>
      <w:bookmarkStart w:id="176" w:name="_Toc508286128"/>
      <w:bookmarkStart w:id="177" w:name="_Toc508286228"/>
      <w:bookmarkStart w:id="178" w:name="_Toc508297464"/>
      <w:bookmarkStart w:id="179" w:name="_Toc513053288"/>
      <w:bookmarkStart w:id="180" w:name="_Toc513053504"/>
      <w:bookmarkStart w:id="181" w:name="_Toc514514635"/>
      <w:r>
        <w:rPr>
          <w:noProof/>
        </w:rPr>
        <w:t>RUSLE 2015</w:t>
      </w:r>
      <w:bookmarkEnd w:id="176"/>
      <w:bookmarkEnd w:id="177"/>
      <w:bookmarkEnd w:id="178"/>
      <w:bookmarkEnd w:id="179"/>
      <w:bookmarkEnd w:id="180"/>
      <w:bookmarkEnd w:id="181"/>
      <w:r>
        <w:rPr>
          <w:noProof/>
        </w:rPr>
        <w:t xml:space="preserve"> </w:t>
      </w:r>
    </w:p>
    <w:p w:rsidR="00333A1A" w:rsidRDefault="003D29C9">
      <w:pPr>
        <w:pStyle w:val="Text1"/>
        <w:ind w:left="0"/>
        <w:rPr>
          <w:noProof/>
        </w:rPr>
      </w:pPr>
      <w:r>
        <w:rPr>
          <w:noProof/>
        </w:rPr>
        <w:t xml:space="preserve">The Revised Universal Soil Loss Equation (RUSLE) model (Renard et al., 1997) provides an estimate of possible erosion rates and estimates sediment delivery on the basis of accepted scientific knowledge, peer review published manuscripts, </w:t>
      </w:r>
      <w:r>
        <w:rPr>
          <w:noProof/>
        </w:rPr>
        <w:t>technical judgment and input datasets. In this assessment, the basic RUSLE model has been adapted through the improved quality of the input layers.</w:t>
      </w:r>
    </w:p>
    <w:p w:rsidR="00333A1A" w:rsidRDefault="003D29C9">
      <w:pPr>
        <w:pStyle w:val="Text1"/>
        <w:ind w:left="0"/>
        <w:rPr>
          <w:noProof/>
        </w:rPr>
      </w:pPr>
      <w:r>
        <w:rPr>
          <w:noProof/>
        </w:rPr>
        <w:t xml:space="preserve">RUSLE2015 improves the quality of soil erosion estimates by introducing updated, high-resolution (100m) and </w:t>
      </w:r>
      <w:r>
        <w:rPr>
          <w:noProof/>
        </w:rPr>
        <w:t xml:space="preserve">peer-reviewed input layers of Rainfall Erosivity, Soil Erodibility, Slope Steepness and Slope Length, Land Cover and Management and the Support Practices applied to control erosion. </w:t>
      </w:r>
    </w:p>
    <w:p w:rsidR="00333A1A" w:rsidRDefault="003D29C9">
      <w:pPr>
        <w:pStyle w:val="Caption"/>
        <w:keepNext/>
        <w:rPr>
          <w:rFonts w:ascii="Times New Roman" w:hAnsi="Times New Roman" w:cs="Times New Roman"/>
          <w:noProof/>
          <w:color w:val="auto"/>
          <w:sz w:val="22"/>
          <w:szCs w:val="22"/>
        </w:rPr>
      </w:pPr>
      <w:bookmarkStart w:id="182" w:name="_Toc499888041"/>
      <w:r>
        <w:rPr>
          <w:rFonts w:ascii="Times New Roman" w:hAnsi="Times New Roman" w:cs="Times New Roman"/>
          <w:noProof/>
          <w:color w:val="auto"/>
          <w:sz w:val="22"/>
          <w:szCs w:val="22"/>
        </w:rPr>
        <w:t xml:space="preserve">Figure </w:t>
      </w:r>
      <w:r>
        <w:rPr>
          <w:rFonts w:ascii="Times New Roman" w:hAnsi="Times New Roman" w:cs="Times New Roman"/>
          <w:noProof/>
          <w:color w:val="auto"/>
          <w:sz w:val="22"/>
          <w:szCs w:val="22"/>
        </w:rPr>
        <w:fldChar w:fldCharType="begin"/>
      </w:r>
      <w:r>
        <w:rPr>
          <w:rFonts w:ascii="Times New Roman" w:hAnsi="Times New Roman" w:cs="Times New Roman"/>
          <w:noProof/>
          <w:color w:val="auto"/>
          <w:sz w:val="22"/>
          <w:szCs w:val="22"/>
        </w:rPr>
        <w:instrText xml:space="preserve"> SEQ Figure \* ARABIC </w:instrText>
      </w:r>
      <w:r>
        <w:rPr>
          <w:rFonts w:ascii="Times New Roman" w:hAnsi="Times New Roman" w:cs="Times New Roman"/>
          <w:noProof/>
          <w:color w:val="auto"/>
          <w:sz w:val="22"/>
          <w:szCs w:val="22"/>
        </w:rPr>
        <w:fldChar w:fldCharType="separate"/>
      </w:r>
      <w:r>
        <w:rPr>
          <w:rFonts w:ascii="Times New Roman" w:hAnsi="Times New Roman" w:cs="Times New Roman"/>
          <w:noProof/>
          <w:color w:val="auto"/>
          <w:sz w:val="22"/>
          <w:szCs w:val="22"/>
        </w:rPr>
        <w:t>1</w:t>
      </w:r>
      <w:r>
        <w:rPr>
          <w:rFonts w:ascii="Times New Roman" w:hAnsi="Times New Roman" w:cs="Times New Roman"/>
          <w:noProof/>
          <w:color w:val="auto"/>
          <w:sz w:val="22"/>
          <w:szCs w:val="22"/>
        </w:rPr>
        <w:fldChar w:fldCharType="end"/>
      </w:r>
      <w:r>
        <w:rPr>
          <w:rFonts w:ascii="Times New Roman" w:hAnsi="Times New Roman" w:cs="Times New Roman"/>
          <w:noProof/>
          <w:color w:val="auto"/>
          <w:sz w:val="22"/>
          <w:szCs w:val="22"/>
        </w:rPr>
        <w:t>. RUSLE 2015 Model workflow</w:t>
      </w:r>
      <w:bookmarkEnd w:id="182"/>
    </w:p>
    <w:p w:rsidR="00333A1A" w:rsidRDefault="003D29C9">
      <w:pPr>
        <w:pStyle w:val="JRCText"/>
        <w:rPr>
          <w:noProof/>
        </w:rPr>
      </w:pPr>
      <w:r>
        <w:rPr>
          <w:noProof/>
          <w:lang w:eastAsia="en-GB"/>
        </w:rPr>
        <w:drawing>
          <wp:inline distT="0" distB="0" distL="0" distR="0" wp14:anchorId="5879782F" wp14:editId="47047CAB">
            <wp:extent cx="5234861" cy="2913320"/>
            <wp:effectExtent l="19050" t="19050" r="23495" b="209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45882" cy="2919453"/>
                    </a:xfrm>
                    <a:prstGeom prst="rect">
                      <a:avLst/>
                    </a:prstGeom>
                    <a:noFill/>
                    <a:ln w="9525" cmpd="sng">
                      <a:solidFill>
                        <a:srgbClr val="4F81BD"/>
                      </a:solidFill>
                      <a:miter lim="800000"/>
                      <a:headEnd/>
                      <a:tailEnd/>
                    </a:ln>
                    <a:effectLst/>
                  </pic:spPr>
                </pic:pic>
              </a:graphicData>
            </a:graphic>
          </wp:inline>
        </w:drawing>
      </w:r>
    </w:p>
    <w:p w:rsidR="00333A1A" w:rsidRDefault="003D29C9">
      <w:pPr>
        <w:pStyle w:val="Text1"/>
        <w:ind w:left="0"/>
        <w:rPr>
          <w:noProof/>
        </w:rPr>
      </w:pPr>
      <w:r>
        <w:rPr>
          <w:noProof/>
        </w:rPr>
        <w:t xml:space="preserve">Rainfall </w:t>
      </w:r>
      <w:r>
        <w:rPr>
          <w:noProof/>
        </w:rPr>
        <w:t>Erosivity was calculated from high-resolution temporal rainfall data (at intervals of 5, 10, 15, 30 and 60 minutes) collected from 1 541 well-distributed precipitation stations across Europe. Soil Erodibility is estimated for the 20 000 field sampling poin</w:t>
      </w:r>
      <w:r>
        <w:rPr>
          <w:noProof/>
        </w:rPr>
        <w:t>ts including in the Land Use/Cover Area frame (LUCAS) survey. The Land Cover and management accounts for the influence of land use (mainly vegetation type/cover and crop type) and management practices (mainly in arable lands) with the potential to reduce t</w:t>
      </w:r>
      <w:r>
        <w:rPr>
          <w:noProof/>
        </w:rPr>
        <w:t>he rate of soil erosion by water. The Slope Steepness and Slope Length parameters have been calculated using a high resolution Digital Elevation Model (DEM) at 25m. The support practices were estimated for the first time at European level taking into consi</w:t>
      </w:r>
      <w:r>
        <w:rPr>
          <w:noProof/>
        </w:rPr>
        <w:t>deration the Good Agricultural and Environmental Conditions (GAEC). The model is documented in the European Soil Data Centre (ESDAC), plus in 10 peer review Open Access publications.</w:t>
      </w:r>
    </w:p>
    <w:p w:rsidR="00333A1A" w:rsidRDefault="003D29C9">
      <w:pPr>
        <w:pStyle w:val="Heading2"/>
        <w:rPr>
          <w:noProof/>
        </w:rPr>
      </w:pPr>
      <w:bookmarkStart w:id="183" w:name="_Toc508286129"/>
      <w:bookmarkStart w:id="184" w:name="_Toc508286229"/>
      <w:bookmarkStart w:id="185" w:name="_Toc508297465"/>
      <w:bookmarkStart w:id="186" w:name="_Toc513053289"/>
      <w:bookmarkStart w:id="187" w:name="_Toc513053505"/>
      <w:bookmarkStart w:id="188" w:name="_Toc514514636"/>
      <w:r>
        <w:rPr>
          <w:noProof/>
        </w:rPr>
        <w:t>Century model</w:t>
      </w:r>
      <w:bookmarkEnd w:id="183"/>
      <w:bookmarkEnd w:id="184"/>
      <w:bookmarkEnd w:id="185"/>
      <w:bookmarkEnd w:id="186"/>
      <w:bookmarkEnd w:id="187"/>
      <w:bookmarkEnd w:id="188"/>
    </w:p>
    <w:p w:rsidR="00333A1A" w:rsidRDefault="003D29C9">
      <w:pPr>
        <w:pStyle w:val="Text1"/>
        <w:ind w:left="0"/>
        <w:rPr>
          <w:noProof/>
        </w:rPr>
      </w:pPr>
      <w:r>
        <w:rPr>
          <w:noProof/>
        </w:rPr>
        <w:t>CENTURY is a process-based model designed to simulate carbo</w:t>
      </w:r>
      <w:r>
        <w:rPr>
          <w:noProof/>
        </w:rPr>
        <w:t>n (C) and nitrogen (N) dynamics in natural or cultivated systems, using a monthly time step. The soil organic matter sub-model includes three soil organic carbon pools, which decomposition rate is affected by soil temperature and moisture, soil texture and</w:t>
      </w:r>
      <w:r>
        <w:rPr>
          <w:noProof/>
        </w:rPr>
        <w:t xml:space="preserve"> cultivation practices. The model also simulates the soil water balance, using a weekly time step, and a suite of simple plant growth models are included to simulate biomass carbon and nitrogen dynamics of crops, grasses and trees.</w:t>
      </w:r>
    </w:p>
    <w:p w:rsidR="00333A1A" w:rsidRDefault="003D29C9">
      <w:pPr>
        <w:pStyle w:val="Text1"/>
        <w:ind w:left="0"/>
        <w:rPr>
          <w:noProof/>
        </w:rPr>
      </w:pPr>
      <w:r>
        <w:rPr>
          <w:noProof/>
        </w:rPr>
        <w:t>The model is currently r</w:t>
      </w:r>
      <w:r>
        <w:rPr>
          <w:noProof/>
        </w:rPr>
        <w:t>unning in the agricultural soil of the EU on a 1 km</w:t>
      </w:r>
      <w:r>
        <w:rPr>
          <w:noProof/>
          <w:vertAlign w:val="superscript"/>
        </w:rPr>
        <w:t>2</w:t>
      </w:r>
      <w:r>
        <w:rPr>
          <w:noProof/>
        </w:rPr>
        <w:t xml:space="preserve"> grid resolution, implemented by state-of-art official datasets. The land use is based on the Corine Land Cover 1990, 2000 and 2006, supplemented with EUROSTAT and FAO statistics to build up crop rotation</w:t>
      </w:r>
      <w:r>
        <w:rPr>
          <w:noProof/>
        </w:rPr>
        <w:t>s and implement consistent agronomic inputs (fertilization, irrigation etc.). Before 1990, we assumed the same land use but with different agro-techniques characterized by lower productivity crops, lower rates of mineral nitrogen and different rotation sch</w:t>
      </w:r>
      <w:r>
        <w:rPr>
          <w:noProof/>
        </w:rPr>
        <w:t xml:space="preserve">emes. </w:t>
      </w:r>
    </w:p>
    <w:p w:rsidR="00333A1A" w:rsidRDefault="003D29C9">
      <w:pPr>
        <w:pStyle w:val="Text1"/>
        <w:ind w:left="0"/>
        <w:rPr>
          <w:noProof/>
        </w:rPr>
      </w:pPr>
      <w:r>
        <w:rPr>
          <w:noProof/>
        </w:rPr>
        <w:t>Meteorological data were taken from the E-OBS gridded dataset (</w:t>
      </w:r>
      <w:hyperlink r:id="rId67" w:history="1">
        <w:r>
          <w:rPr>
            <w:rStyle w:val="Hyperlink"/>
            <w:noProof/>
            <w:szCs w:val="24"/>
          </w:rPr>
          <w:t>http://www.ecad.eu/download/ensembles/download.php</w:t>
        </w:r>
      </w:hyperlink>
      <w:r>
        <w:rPr>
          <w:noProof/>
        </w:rPr>
        <w:t>), and the climatic projections from the WCR-CORDEX portal (</w:t>
      </w:r>
      <w:hyperlink r:id="rId68" w:history="1">
        <w:r>
          <w:rPr>
            <w:rStyle w:val="Hyperlink"/>
            <w:noProof/>
            <w:szCs w:val="24"/>
          </w:rPr>
          <w:t>https://esgf-node.ipsl.upmc.fr/search/cordex-ipsl/</w:t>
        </w:r>
      </w:hyperlink>
      <w:r>
        <w:rPr>
          <w:noProof/>
        </w:rPr>
        <w:t>). Soil data used by the model were derived from the European Soil Database-ESDB, available at the European Soil Data Centre (</w:t>
      </w:r>
      <w:hyperlink r:id="rId69" w:history="1">
        <w:r>
          <w:rPr>
            <w:rStyle w:val="Hyperlink"/>
            <w:noProof/>
            <w:szCs w:val="24"/>
          </w:rPr>
          <w:t>https://esdac.jrc.ec.europa.eu/</w:t>
        </w:r>
      </w:hyperlink>
      <w:r>
        <w:rPr>
          <w:noProof/>
        </w:rPr>
        <w:t xml:space="preserve">). </w:t>
      </w:r>
    </w:p>
    <w:p w:rsidR="00333A1A" w:rsidRDefault="003D29C9">
      <w:pPr>
        <w:pStyle w:val="Caption"/>
        <w:keepNext/>
        <w:rPr>
          <w:rFonts w:ascii="Times New Roman" w:hAnsi="Times New Roman" w:cs="Times New Roman"/>
          <w:noProof/>
          <w:color w:val="auto"/>
          <w:sz w:val="22"/>
          <w:szCs w:val="24"/>
        </w:rPr>
      </w:pPr>
      <w:r>
        <w:rPr>
          <w:rFonts w:ascii="Times New Roman" w:hAnsi="Times New Roman" w:cs="Times New Roman"/>
          <w:noProof/>
          <w:color w:val="auto"/>
          <w:sz w:val="22"/>
        </w:rPr>
        <w:t xml:space="preserve">Figure </w:t>
      </w:r>
      <w:r>
        <w:rPr>
          <w:rFonts w:ascii="Times New Roman" w:hAnsi="Times New Roman" w:cs="Times New Roman"/>
          <w:noProof/>
          <w:color w:val="auto"/>
          <w:sz w:val="22"/>
        </w:rPr>
        <w:fldChar w:fldCharType="begin"/>
      </w:r>
      <w:r>
        <w:rPr>
          <w:rFonts w:ascii="Times New Roman" w:hAnsi="Times New Roman" w:cs="Times New Roman"/>
          <w:noProof/>
          <w:color w:val="auto"/>
          <w:sz w:val="22"/>
        </w:rPr>
        <w:instrText xml:space="preserve"> SEQ Figure \* ARABIC </w:instrText>
      </w:r>
      <w:r>
        <w:rPr>
          <w:rFonts w:ascii="Times New Roman" w:hAnsi="Times New Roman" w:cs="Times New Roman"/>
          <w:noProof/>
          <w:color w:val="auto"/>
          <w:sz w:val="22"/>
        </w:rPr>
        <w:fldChar w:fldCharType="separate"/>
      </w:r>
      <w:r>
        <w:rPr>
          <w:rFonts w:ascii="Times New Roman" w:hAnsi="Times New Roman" w:cs="Times New Roman"/>
          <w:noProof/>
          <w:color w:val="auto"/>
          <w:sz w:val="22"/>
        </w:rPr>
        <w:t>2</w:t>
      </w:r>
      <w:r>
        <w:rPr>
          <w:rFonts w:ascii="Times New Roman" w:hAnsi="Times New Roman" w:cs="Times New Roman"/>
          <w:noProof/>
          <w:color w:val="auto"/>
          <w:sz w:val="22"/>
        </w:rPr>
        <w:fldChar w:fldCharType="end"/>
      </w:r>
      <w:r>
        <w:rPr>
          <w:rFonts w:ascii="Times New Roman" w:hAnsi="Times New Roman" w:cs="Times New Roman"/>
          <w:noProof/>
          <w:color w:val="auto"/>
          <w:sz w:val="22"/>
        </w:rPr>
        <w:t>. Flow chart of Century model framework</w:t>
      </w:r>
      <w:r>
        <w:rPr>
          <w:rStyle w:val="FootnoteReference"/>
          <w:rFonts w:ascii="Times New Roman" w:hAnsi="Times New Roman" w:cs="Times New Roman"/>
          <w:noProof/>
          <w:color w:val="auto"/>
          <w:sz w:val="22"/>
          <w:szCs w:val="24"/>
        </w:rPr>
        <w:footnoteReference w:id="68"/>
      </w:r>
    </w:p>
    <w:p w:rsidR="00333A1A" w:rsidRDefault="003D29C9">
      <w:pPr>
        <w:pStyle w:val="ListParagraph"/>
        <w:spacing w:line="240" w:lineRule="auto"/>
        <w:ind w:left="0" w:right="288"/>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122F971F" wp14:editId="46C5426C">
            <wp:extent cx="5475767" cy="2103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08212" cy="2115648"/>
                    </a:xfrm>
                    <a:prstGeom prst="rect">
                      <a:avLst/>
                    </a:prstGeom>
                    <a:noFill/>
                  </pic:spPr>
                </pic:pic>
              </a:graphicData>
            </a:graphic>
          </wp:inline>
        </w:drawing>
      </w:r>
    </w:p>
    <w:p w:rsidR="00333A1A" w:rsidRDefault="003D29C9">
      <w:pPr>
        <w:pStyle w:val="Heading2"/>
        <w:rPr>
          <w:noProof/>
        </w:rPr>
      </w:pPr>
      <w:bookmarkStart w:id="189" w:name="_Toc508286130"/>
      <w:bookmarkStart w:id="190" w:name="_Toc508286230"/>
      <w:bookmarkStart w:id="191" w:name="_Toc508297466"/>
      <w:bookmarkStart w:id="192" w:name="_Toc513053290"/>
      <w:bookmarkStart w:id="193" w:name="_Toc513053506"/>
      <w:bookmarkStart w:id="194" w:name="_Toc514514637"/>
      <w:r>
        <w:rPr>
          <w:noProof/>
        </w:rPr>
        <w:t>Standard Cost Model</w:t>
      </w:r>
      <w:bookmarkEnd w:id="189"/>
      <w:bookmarkEnd w:id="190"/>
      <w:bookmarkEnd w:id="191"/>
      <w:bookmarkEnd w:id="192"/>
      <w:bookmarkEnd w:id="193"/>
      <w:bookmarkEnd w:id="194"/>
    </w:p>
    <w:p w:rsidR="00333A1A" w:rsidRDefault="003D29C9">
      <w:pPr>
        <w:pStyle w:val="Text1"/>
        <w:ind w:left="0"/>
        <w:rPr>
          <w:noProof/>
        </w:rPr>
      </w:pPr>
      <w:r>
        <w:rPr>
          <w:noProof/>
        </w:rPr>
        <w:t xml:space="preserve">For the estimation of administrative costs, the "Standard Cost Model" was used as described in the </w:t>
      </w:r>
      <w:r>
        <w:rPr>
          <w:noProof/>
        </w:rPr>
        <w:t>Better Regulation Toolbox (Tool #60)</w:t>
      </w:r>
      <w:r>
        <w:rPr>
          <w:rStyle w:val="FootnoteReference"/>
          <w:noProof/>
        </w:rPr>
        <w:footnoteReference w:id="69"/>
      </w:r>
      <w:r>
        <w:rPr>
          <w:noProof/>
        </w:rPr>
        <w:t>. Administrative costs are costs incurred by enterprises, the voluntary sector, public authorities and citizens in meeting legal obligations to provide information on their activities, either to public authorities or pr</w:t>
      </w:r>
      <w:r>
        <w:rPr>
          <w:noProof/>
        </w:rPr>
        <w:t>ivate parties. The main aim of the model is to assess the net cost of information obligations imposed by EU legislation.</w:t>
      </w:r>
    </w:p>
    <w:p w:rsidR="00333A1A" w:rsidRDefault="003D29C9">
      <w:pPr>
        <w:pStyle w:val="Text1"/>
        <w:ind w:left="0"/>
        <w:rPr>
          <w:noProof/>
        </w:rPr>
      </w:pPr>
      <w:r>
        <w:rPr>
          <w:noProof/>
        </w:rPr>
        <w:t>The EU Standard Cost Model assesses the administrative costs on the basis of the average cost of the required administrative activity m</w:t>
      </w:r>
      <w:r>
        <w:rPr>
          <w:noProof/>
        </w:rPr>
        <w:t>ultiplied by the total number of activities performed per year. The average cost per activity is estimated by multiplying a tariff and the time required per action. The quantity is calculated as the frequency of required actions multiplied by the number of</w:t>
      </w:r>
      <w:r>
        <w:rPr>
          <w:noProof/>
        </w:rPr>
        <w:t xml:space="preserve"> entities concerned. More information can be found in Annex 7 on Simplification.</w:t>
      </w:r>
    </w:p>
    <w:p w:rsidR="00333A1A" w:rsidRDefault="003D29C9">
      <w:pPr>
        <w:pStyle w:val="Heading2"/>
        <w:rPr>
          <w:noProof/>
        </w:rPr>
      </w:pPr>
      <w:bookmarkStart w:id="195" w:name="_Toc508286131"/>
      <w:bookmarkStart w:id="196" w:name="_Toc508286231"/>
      <w:bookmarkStart w:id="197" w:name="_Toc508297467"/>
      <w:bookmarkStart w:id="198" w:name="_Toc513053291"/>
      <w:bookmarkStart w:id="199" w:name="_Toc513053507"/>
      <w:bookmarkStart w:id="200" w:name="_Toc514514638"/>
      <w:r>
        <w:rPr>
          <w:noProof/>
        </w:rPr>
        <w:t>Workshops with experts</w:t>
      </w:r>
      <w:bookmarkEnd w:id="195"/>
      <w:bookmarkEnd w:id="196"/>
      <w:bookmarkEnd w:id="197"/>
      <w:bookmarkEnd w:id="198"/>
      <w:bookmarkEnd w:id="199"/>
      <w:bookmarkEnd w:id="200"/>
    </w:p>
    <w:p w:rsidR="00333A1A" w:rsidRDefault="003D29C9">
      <w:pPr>
        <w:pStyle w:val="Text1"/>
        <w:spacing w:after="0"/>
        <w:ind w:left="0"/>
        <w:rPr>
          <w:noProof/>
        </w:rPr>
      </w:pPr>
      <w:r>
        <w:rPr>
          <w:noProof/>
        </w:rPr>
        <w:t xml:space="preserve">To complement evidence, four workshops were organised on the environmental-climate, social and economic challenges, and one workshop on risk management </w:t>
      </w:r>
      <w:r>
        <w:rPr>
          <w:noProof/>
        </w:rPr>
        <w:t>(see Annex 2). The workshops focused on particular topics where evidence on current state or potential impact was insufficiently conclusive. International experts on these topics were invited to present their views and participate in the discussions. The r</w:t>
      </w:r>
      <w:r>
        <w:rPr>
          <w:noProof/>
        </w:rPr>
        <w:t>ationale of the workshops was the following:</w:t>
      </w:r>
    </w:p>
    <w:p w:rsidR="00333A1A" w:rsidRDefault="003D29C9">
      <w:pPr>
        <w:pStyle w:val="ListParagraph"/>
        <w:numPr>
          <w:ilvl w:val="0"/>
          <w:numId w:val="24"/>
        </w:numPr>
        <w:spacing w:line="240" w:lineRule="auto"/>
        <w:rPr>
          <w:rFonts w:ascii="Times New Roman" w:hAnsi="Times New Roman" w:cs="Times New Roman"/>
          <w:noProof/>
          <w:sz w:val="24"/>
        </w:rPr>
      </w:pPr>
      <w:r>
        <w:rPr>
          <w:rFonts w:ascii="Times New Roman" w:hAnsi="Times New Roman" w:cs="Times New Roman"/>
          <w:noProof/>
          <w:sz w:val="24"/>
        </w:rPr>
        <w:t>definition of the problems;</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identification of desirable measures to address the problems;</w:t>
      </w:r>
    </w:p>
    <w:p w:rsidR="00333A1A" w:rsidRDefault="003D29C9">
      <w:pPr>
        <w:pStyle w:val="ListParagraph"/>
        <w:numPr>
          <w:ilvl w:val="0"/>
          <w:numId w:val="24"/>
        </w:numPr>
        <w:rPr>
          <w:rFonts w:ascii="Times New Roman" w:hAnsi="Times New Roman" w:cs="Times New Roman"/>
          <w:noProof/>
          <w:sz w:val="24"/>
        </w:rPr>
      </w:pPr>
      <w:r>
        <w:rPr>
          <w:rFonts w:ascii="Times New Roman" w:hAnsi="Times New Roman" w:cs="Times New Roman"/>
          <w:noProof/>
          <w:sz w:val="24"/>
        </w:rPr>
        <w:t>consequences for the policy options and the impact assessment.</w:t>
      </w:r>
    </w:p>
    <w:p w:rsidR="00333A1A" w:rsidRDefault="003D29C9">
      <w:pPr>
        <w:pStyle w:val="Heading2"/>
        <w:rPr>
          <w:noProof/>
        </w:rPr>
      </w:pPr>
      <w:bookmarkStart w:id="201" w:name="_Toc481180362"/>
      <w:bookmarkStart w:id="202" w:name="_Toc508286132"/>
      <w:bookmarkStart w:id="203" w:name="_Toc508286232"/>
      <w:bookmarkStart w:id="204" w:name="_Toc508297468"/>
      <w:bookmarkStart w:id="205" w:name="_Toc513053292"/>
      <w:bookmarkStart w:id="206" w:name="_Toc513053508"/>
      <w:bookmarkStart w:id="207" w:name="_Toc514514639"/>
      <w:r>
        <w:rPr>
          <w:noProof/>
        </w:rPr>
        <w:t>Intervention logic based on expert judgement</w:t>
      </w:r>
      <w:bookmarkEnd w:id="201"/>
      <w:bookmarkEnd w:id="202"/>
      <w:bookmarkEnd w:id="203"/>
      <w:bookmarkEnd w:id="204"/>
      <w:bookmarkEnd w:id="205"/>
      <w:bookmarkEnd w:id="206"/>
      <w:bookmarkEnd w:id="207"/>
    </w:p>
    <w:p w:rsidR="00333A1A" w:rsidRDefault="003D29C9">
      <w:pPr>
        <w:pStyle w:val="Text1"/>
        <w:ind w:left="0"/>
        <w:rPr>
          <w:noProof/>
        </w:rPr>
      </w:pPr>
      <w:r>
        <w:rPr>
          <w:noProof/>
        </w:rPr>
        <w:t>For indicator</w:t>
      </w:r>
      <w:r>
        <w:rPr>
          <w:noProof/>
        </w:rPr>
        <w:t>s/instruments for which quantitative data from the models are lacking, each option is scored based on expert judgement. The scoring procedure is embedded in the Multi Criteria Analysis methodology (see below). The latter allows to score the baseline as wel</w:t>
      </w:r>
      <w:r>
        <w:rPr>
          <w:noProof/>
        </w:rPr>
        <w:t>l, useful in absence of an evaluation.</w:t>
      </w:r>
    </w:p>
    <w:p w:rsidR="00333A1A" w:rsidRDefault="003D29C9">
      <w:pPr>
        <w:pStyle w:val="Text1"/>
        <w:spacing w:after="0"/>
        <w:ind w:left="0"/>
        <w:rPr>
          <w:noProof/>
        </w:rPr>
      </w:pPr>
      <w:r>
        <w:rPr>
          <w:noProof/>
        </w:rPr>
        <w:t xml:space="preserve">Basic approach, adapted in function of the available information: </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Informed by the intervention logic, available studies, evaluations, scientific literature, in house and external analysis, experts in DG AGRI score th</w:t>
      </w:r>
      <w:r>
        <w:rPr>
          <w:rFonts w:ascii="Times New Roman" w:hAnsi="Times New Roman" w:cs="Times New Roman"/>
          <w:noProof/>
          <w:sz w:val="24"/>
        </w:rPr>
        <w:t xml:space="preserve">e options </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Aggregation is done when several subitems describe an objective</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Weights are attached to the subitems expressing the relative importance of this subitem in reference to the objective</w:t>
      </w:r>
    </w:p>
    <w:p w:rsidR="00333A1A" w:rsidRDefault="003D29C9">
      <w:pPr>
        <w:pStyle w:val="Text1"/>
        <w:ind w:left="0"/>
        <w:rPr>
          <w:noProof/>
        </w:rPr>
      </w:pPr>
      <w:r>
        <w:rPr>
          <w:noProof/>
        </w:rPr>
        <w:t>Informed by available data and literature, both the weights and</w:t>
      </w:r>
      <w:r>
        <w:rPr>
          <w:noProof/>
        </w:rPr>
        <w:t xml:space="preserve"> subitem scores are generated by experts within DG AGRI in a group scoring exercise. The motivation and documentation of the scores are a key element of the approach.</w:t>
      </w:r>
    </w:p>
    <w:p w:rsidR="00333A1A" w:rsidRDefault="003D29C9">
      <w:pPr>
        <w:pStyle w:val="Heading2"/>
        <w:rPr>
          <w:noProof/>
        </w:rPr>
      </w:pPr>
      <w:bookmarkStart w:id="208" w:name="_Toc481180363"/>
      <w:bookmarkStart w:id="209" w:name="_Toc508286133"/>
      <w:bookmarkStart w:id="210" w:name="_Toc508286233"/>
      <w:bookmarkStart w:id="211" w:name="_Toc508297469"/>
      <w:bookmarkStart w:id="212" w:name="_Toc513053293"/>
      <w:bookmarkStart w:id="213" w:name="_Toc513053509"/>
      <w:bookmarkStart w:id="214" w:name="_Toc514514640"/>
      <w:r>
        <w:rPr>
          <w:noProof/>
        </w:rPr>
        <w:t>Multi-criteria-analysis</w:t>
      </w:r>
      <w:bookmarkEnd w:id="208"/>
      <w:bookmarkEnd w:id="209"/>
      <w:bookmarkEnd w:id="210"/>
      <w:bookmarkEnd w:id="211"/>
      <w:bookmarkEnd w:id="212"/>
      <w:bookmarkEnd w:id="213"/>
      <w:bookmarkEnd w:id="214"/>
    </w:p>
    <w:p w:rsidR="00333A1A" w:rsidRDefault="003D29C9">
      <w:pPr>
        <w:pStyle w:val="Heading3"/>
        <w:rPr>
          <w:noProof/>
        </w:rPr>
      </w:pPr>
      <w:bookmarkStart w:id="215" w:name="_Toc508286134"/>
      <w:r>
        <w:rPr>
          <w:noProof/>
        </w:rPr>
        <w:t>Main objectives</w:t>
      </w:r>
      <w:bookmarkEnd w:id="215"/>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Objective 1: to come to an overall quantitative s</w:t>
      </w:r>
      <w:r>
        <w:rPr>
          <w:rFonts w:ascii="Times New Roman" w:hAnsi="Times New Roman" w:cs="Times New Roman"/>
          <w:noProof/>
          <w:sz w:val="24"/>
        </w:rPr>
        <w:t>core for the options against the new policy objectives</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Objective 2: to provide a procedure which allows scoring options against criteria for which there is no modelling outcome</w:t>
      </w:r>
    </w:p>
    <w:p w:rsidR="00333A1A" w:rsidRDefault="003D29C9">
      <w:pPr>
        <w:pStyle w:val="Heading3"/>
        <w:rPr>
          <w:noProof/>
        </w:rPr>
      </w:pPr>
      <w:bookmarkStart w:id="216" w:name="_Toc508286135"/>
      <w:r>
        <w:rPr>
          <w:noProof/>
        </w:rPr>
        <w:t>Different uses of Multi-criteria Analysis (MCA)</w:t>
      </w:r>
      <w:bookmarkEnd w:id="216"/>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 xml:space="preserve">Identify trade-offs between </w:t>
      </w:r>
      <w:r>
        <w:rPr>
          <w:rFonts w:ascii="Times New Roman" w:hAnsi="Times New Roman" w:cs="Times New Roman"/>
          <w:noProof/>
          <w:sz w:val="24"/>
        </w:rPr>
        <w:t>economic, environmental and social challenges</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Assessment of coherence, effectiveness, efficiency of different options</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Position of different stakeholders</w:t>
      </w:r>
    </w:p>
    <w:p w:rsidR="00333A1A" w:rsidRDefault="003D29C9">
      <w:pPr>
        <w:pStyle w:val="Heading3"/>
        <w:rPr>
          <w:noProof/>
        </w:rPr>
      </w:pPr>
      <w:bookmarkStart w:id="217" w:name="_Toc508286136"/>
      <w:r>
        <w:rPr>
          <w:noProof/>
        </w:rPr>
        <w:t>Main rationale</w:t>
      </w:r>
      <w:bookmarkEnd w:id="217"/>
    </w:p>
    <w:p w:rsidR="00333A1A" w:rsidRDefault="003D29C9">
      <w:pPr>
        <w:pStyle w:val="Text1"/>
        <w:ind w:left="0"/>
        <w:rPr>
          <w:noProof/>
        </w:rPr>
      </w:pPr>
      <w:r>
        <w:rPr>
          <w:noProof/>
        </w:rPr>
        <w:t>Options are scored against a list of criteria/indicators, which are linked to each of th</w:t>
      </w:r>
      <w:r>
        <w:rPr>
          <w:noProof/>
        </w:rPr>
        <w:t>e new CAP main and specific objectives. This allows identifying which option outperforms the other (with how much). An overall score and a score on each criterion is obtained. Weighting allows putting more emphasis on those criteria more important to reach</w:t>
      </w:r>
      <w:r>
        <w:rPr>
          <w:noProof/>
        </w:rPr>
        <w:t xml:space="preserve"> the objective. A sensitivity analysis on weights is possible to see the influence on options' overall score and position.</w:t>
      </w:r>
    </w:p>
    <w:p w:rsidR="00333A1A" w:rsidRDefault="003D29C9">
      <w:pPr>
        <w:pStyle w:val="Text1"/>
        <w:ind w:left="0"/>
        <w:rPr>
          <w:noProof/>
        </w:rPr>
      </w:pPr>
      <w:r>
        <w:rPr>
          <w:noProof/>
        </w:rPr>
        <w:t>The MCA is complementary to a more detailed analysis of individual indicators. The accompanying argumentation why options perform bet</w:t>
      </w:r>
      <w:r>
        <w:rPr>
          <w:noProof/>
        </w:rPr>
        <w:t>ter/worse than others remains pivotal. No direct scoring of instruments within options against criteria will be done, but the intervention logics, linking instruments within options to objectives, will be informative to assess the impact of options on crit</w:t>
      </w:r>
      <w:r>
        <w:rPr>
          <w:noProof/>
        </w:rPr>
        <w:t>eria.</w:t>
      </w:r>
    </w:p>
    <w:p w:rsidR="00333A1A" w:rsidRDefault="003D29C9">
      <w:pPr>
        <w:pStyle w:val="Heading3"/>
        <w:rPr>
          <w:noProof/>
        </w:rPr>
      </w:pPr>
      <w:bookmarkStart w:id="218" w:name="_Toc508286137"/>
      <w:r>
        <w:rPr>
          <w:noProof/>
        </w:rPr>
        <w:t>Software</w:t>
      </w:r>
      <w:bookmarkEnd w:id="218"/>
    </w:p>
    <w:p w:rsidR="00333A1A" w:rsidRDefault="003D29C9">
      <w:pPr>
        <w:pStyle w:val="Text1"/>
        <w:ind w:left="0"/>
        <w:rPr>
          <w:noProof/>
        </w:rPr>
      </w:pPr>
      <w:r>
        <w:rPr>
          <w:noProof/>
        </w:rPr>
        <w:t>The MCA is performed with the help of the MacBeth</w:t>
      </w:r>
      <w:r>
        <w:rPr>
          <w:noProof/>
        </w:rPr>
        <w:footnoteReference w:id="70"/>
      </w:r>
      <w:r>
        <w:rPr>
          <w:noProof/>
        </w:rPr>
        <w:t xml:space="preserve"> software. As it needs only qualitative judgements about the difference of attractiveness between two elements at a time, in order to generate numerical scores for the options in each criteri</w:t>
      </w:r>
      <w:r>
        <w:rPr>
          <w:noProof/>
        </w:rPr>
        <w:t>on and to weight the criteria, it is perfectly suited to assess the options' impact against criteria for which a quantitative modelling outcome is lacking. The software also allows checking for inconsistencies and facilitates a sensitivity analysis on weig</w:t>
      </w:r>
      <w:r>
        <w:rPr>
          <w:noProof/>
        </w:rPr>
        <w:t>hts.</w:t>
      </w:r>
    </w:p>
    <w:p w:rsidR="00333A1A" w:rsidRDefault="003D29C9">
      <w:pPr>
        <w:pStyle w:val="Heading1"/>
        <w:rPr>
          <w:noProof/>
        </w:rPr>
      </w:pPr>
      <w:bookmarkStart w:id="219" w:name="_Toc508286138"/>
      <w:bookmarkStart w:id="220" w:name="_Toc508286234"/>
      <w:bookmarkStart w:id="221" w:name="_Toc508297470"/>
      <w:bookmarkStart w:id="222" w:name="_Toc513053294"/>
      <w:bookmarkStart w:id="223" w:name="_Toc513053510"/>
      <w:bookmarkStart w:id="224" w:name="_Toc514514641"/>
      <w:r>
        <w:rPr>
          <w:noProof/>
        </w:rPr>
        <w:t>Description of tools used in the different phases</w:t>
      </w:r>
      <w:bookmarkEnd w:id="219"/>
      <w:bookmarkEnd w:id="220"/>
      <w:bookmarkEnd w:id="221"/>
      <w:bookmarkEnd w:id="222"/>
      <w:bookmarkEnd w:id="223"/>
      <w:bookmarkEnd w:id="224"/>
    </w:p>
    <w:p w:rsidR="00333A1A" w:rsidRDefault="003D29C9">
      <w:pPr>
        <w:pStyle w:val="Heading2"/>
        <w:rPr>
          <w:noProof/>
        </w:rPr>
      </w:pPr>
      <w:bookmarkStart w:id="225" w:name="_Toc508286139"/>
      <w:bookmarkStart w:id="226" w:name="_Toc508286235"/>
      <w:bookmarkStart w:id="227" w:name="_Toc508297471"/>
      <w:bookmarkStart w:id="228" w:name="_Toc513053295"/>
      <w:bookmarkStart w:id="229" w:name="_Toc513053511"/>
      <w:bookmarkStart w:id="230" w:name="_Toc514514642"/>
      <w:r>
        <w:rPr>
          <w:noProof/>
        </w:rPr>
        <w:t>Evaluation of baseline</w:t>
      </w:r>
      <w:bookmarkEnd w:id="225"/>
      <w:bookmarkEnd w:id="226"/>
      <w:bookmarkEnd w:id="227"/>
      <w:bookmarkEnd w:id="228"/>
      <w:bookmarkEnd w:id="229"/>
      <w:bookmarkEnd w:id="230"/>
    </w:p>
    <w:p w:rsidR="00333A1A" w:rsidRDefault="003D29C9">
      <w:pPr>
        <w:pStyle w:val="Text3"/>
        <w:spacing w:after="0"/>
        <w:ind w:left="0"/>
        <w:rPr>
          <w:noProof/>
        </w:rPr>
      </w:pPr>
      <w:r>
        <w:rPr>
          <w:noProof/>
        </w:rPr>
        <w:t xml:space="preserve">The EU baseline is composed of a combination of sources, more detailed below: </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DG AGRI EU agricultural outlook 2016 and 2017</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AidsK</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Scenar 2030 baseline</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Input from the CAP context</w:t>
      </w:r>
      <w:r>
        <w:rPr>
          <w:rFonts w:ascii="Times New Roman" w:hAnsi="Times New Roman" w:cs="Times New Roman"/>
          <w:noProof/>
          <w:sz w:val="24"/>
        </w:rPr>
        <w:t xml:space="preserve"> and impact indicators, Eurostat indicators, several evaluations and (external) studies. </w:t>
      </w:r>
    </w:p>
    <w:p w:rsidR="00333A1A" w:rsidRDefault="003D29C9">
      <w:pPr>
        <w:pStyle w:val="Text1"/>
        <w:ind w:left="0"/>
        <w:rPr>
          <w:noProof/>
        </w:rPr>
      </w:pPr>
      <w:r>
        <w:rPr>
          <w:noProof/>
        </w:rPr>
        <w:t xml:space="preserve">The </w:t>
      </w:r>
      <w:hyperlink r:id="rId71" w:history="1">
        <w:r>
          <w:rPr>
            <w:rStyle w:val="Hyperlink"/>
            <w:b/>
            <w:noProof/>
          </w:rPr>
          <w:t>EU agricultural outlook</w:t>
        </w:r>
      </w:hyperlink>
      <w:r>
        <w:rPr>
          <w:noProof/>
        </w:rPr>
        <w:t xml:space="preserve"> provides 10-year projections of agricultural ma</w:t>
      </w:r>
      <w:r>
        <w:rPr>
          <w:noProof/>
        </w:rPr>
        <w:t>rkets and income, with focus on the EU. Its main uses are to better understand markets and their dynamics, to identify key issues for market and policy developments and to have a benchmark for assessing the medium-term impact of future market and policy is</w:t>
      </w:r>
      <w:r>
        <w:rPr>
          <w:noProof/>
        </w:rPr>
        <w:t>sues.</w:t>
      </w:r>
    </w:p>
    <w:p w:rsidR="00333A1A" w:rsidRDefault="003D29C9">
      <w:pPr>
        <w:pStyle w:val="Text1"/>
        <w:ind w:left="0"/>
        <w:rPr>
          <w:noProof/>
        </w:rPr>
      </w:pPr>
      <w:r>
        <w:rPr>
          <w:noProof/>
        </w:rPr>
        <w:t>It offers a description of what may happen under a specific set of assumptions, which at the time of making the projections were judged plausible. It covers the main commodities (grains, meats, dairy, biofuels, sugar – being extended to olive oil, wi</w:t>
      </w:r>
      <w:r>
        <w:rPr>
          <w:noProof/>
        </w:rPr>
        <w:t>ne and some fruit &amp; vegetables). The underlying model is Aglink-Cosimo (OECD-FAO). The Outlook provides results in terms of supply balance sheets (production, consumption, imports, exports, stocks) and prices. The starting point is the OECD-FAO Outlook, in</w:t>
      </w:r>
      <w:r>
        <w:rPr>
          <w:noProof/>
        </w:rPr>
        <w:t xml:space="preserve"> which the DG AGRI Short-Term Outlook is incorporated, as well as the new macro-economic and policy assumptions. It is a joint production between DG AGRI and the JRC. The Outlook is extensively discussed with AGRI market experts and hierarchy, as well as w</w:t>
      </w:r>
      <w:r>
        <w:rPr>
          <w:noProof/>
        </w:rPr>
        <w:t xml:space="preserve">ith international experts during the Outlook workshop. The final result is presented during the EU Agricultural Outlook Conference, in presence of Commissioners and international organisations.    </w:t>
      </w:r>
    </w:p>
    <w:p w:rsidR="00333A1A" w:rsidRDefault="003D29C9">
      <w:pPr>
        <w:pStyle w:val="Text1"/>
        <w:ind w:left="0"/>
        <w:rPr>
          <w:noProof/>
        </w:rPr>
      </w:pPr>
      <w:r>
        <w:rPr>
          <w:noProof/>
        </w:rPr>
        <w:t>Within this IA, the EU agricultural outlook 2017-2030 prov</w:t>
      </w:r>
      <w:r>
        <w:rPr>
          <w:noProof/>
        </w:rPr>
        <w:t>ides the price environment and main market trends. Its main underlying assumptions are:</w:t>
      </w:r>
    </w:p>
    <w:p w:rsidR="00333A1A" w:rsidRDefault="003D29C9">
      <w:pPr>
        <w:pStyle w:val="ListParagraph"/>
        <w:numPr>
          <w:ilvl w:val="0"/>
          <w:numId w:val="24"/>
        </w:numPr>
        <w:spacing w:line="240" w:lineRule="auto"/>
        <w:ind w:left="714" w:hanging="357"/>
        <w:jc w:val="both"/>
        <w:rPr>
          <w:rFonts w:ascii="Times New Roman" w:hAnsi="Times New Roman" w:cs="Times New Roman"/>
          <w:noProof/>
          <w:sz w:val="24"/>
        </w:rPr>
      </w:pPr>
      <w:r>
        <w:rPr>
          <w:rFonts w:ascii="Times New Roman" w:hAnsi="Times New Roman" w:cs="Times New Roman"/>
          <w:noProof/>
          <w:sz w:val="24"/>
        </w:rPr>
        <w:t>CAP 2013 (but limited modelling, AGLINK is aggregated at EU-15 and EU-N13 level)</w:t>
      </w:r>
    </w:p>
    <w:p w:rsidR="00333A1A" w:rsidRDefault="003D29C9">
      <w:pPr>
        <w:pStyle w:val="ListParagraph"/>
        <w:numPr>
          <w:ilvl w:val="0"/>
          <w:numId w:val="24"/>
        </w:numPr>
        <w:spacing w:line="240" w:lineRule="auto"/>
        <w:ind w:left="714" w:hanging="357"/>
        <w:jc w:val="both"/>
        <w:rPr>
          <w:rFonts w:ascii="Times New Roman" w:hAnsi="Times New Roman" w:cs="Times New Roman"/>
          <w:noProof/>
          <w:sz w:val="24"/>
        </w:rPr>
      </w:pPr>
      <w:r>
        <w:rPr>
          <w:rFonts w:ascii="Times New Roman" w:hAnsi="Times New Roman" w:cs="Times New Roman"/>
          <w:noProof/>
          <w:sz w:val="24"/>
        </w:rPr>
        <w:t>Only ratified FTAs (including Canada)</w:t>
      </w:r>
    </w:p>
    <w:p w:rsidR="00333A1A" w:rsidRDefault="003D29C9">
      <w:pPr>
        <w:pStyle w:val="ListParagraph"/>
        <w:numPr>
          <w:ilvl w:val="0"/>
          <w:numId w:val="24"/>
        </w:numPr>
        <w:spacing w:line="240" w:lineRule="auto"/>
        <w:ind w:left="714" w:hanging="357"/>
        <w:jc w:val="both"/>
        <w:rPr>
          <w:rFonts w:ascii="Times New Roman" w:hAnsi="Times New Roman" w:cs="Times New Roman"/>
          <w:noProof/>
          <w:sz w:val="24"/>
        </w:rPr>
      </w:pPr>
      <w:r>
        <w:rPr>
          <w:rFonts w:ascii="Times New Roman" w:hAnsi="Times New Roman" w:cs="Times New Roman"/>
          <w:noProof/>
          <w:sz w:val="24"/>
        </w:rPr>
        <w:t xml:space="preserve">For the IA, CAP assumptions include OMNIBUS </w:t>
      </w:r>
      <w:r>
        <w:rPr>
          <w:rFonts w:ascii="Times New Roman" w:hAnsi="Times New Roman" w:cs="Times New Roman"/>
          <w:noProof/>
          <w:sz w:val="24"/>
        </w:rPr>
        <w:t>(common proposal on simplification of CAP), i.e. Income Stabilisation Tool (IST) changes, but this has no real implications on market developments, only when assessing different ways to provide IST.</w:t>
      </w:r>
    </w:p>
    <w:p w:rsidR="00333A1A" w:rsidRDefault="003D29C9">
      <w:pPr>
        <w:pStyle w:val="ListParagraph"/>
        <w:numPr>
          <w:ilvl w:val="0"/>
          <w:numId w:val="24"/>
        </w:numPr>
        <w:spacing w:line="240" w:lineRule="auto"/>
        <w:ind w:left="714" w:hanging="357"/>
        <w:jc w:val="both"/>
        <w:rPr>
          <w:rFonts w:ascii="Times New Roman" w:hAnsi="Times New Roman" w:cs="Times New Roman"/>
          <w:noProof/>
          <w:sz w:val="24"/>
        </w:rPr>
      </w:pPr>
      <w:r>
        <w:rPr>
          <w:rFonts w:ascii="Times New Roman" w:hAnsi="Times New Roman" w:cs="Times New Roman"/>
          <w:noProof/>
          <w:sz w:val="24"/>
        </w:rPr>
        <w:t xml:space="preserve">COP21, air quality, energy package are not incorporated. </w:t>
      </w:r>
      <w:r>
        <w:rPr>
          <w:rFonts w:ascii="Times New Roman" w:hAnsi="Times New Roman" w:cs="Times New Roman"/>
          <w:noProof/>
          <w:sz w:val="24"/>
        </w:rPr>
        <w:t>The Paris Agreement (as a result of the 21st Conference of Parties of the UN Framework Conference on Climate Change) and subsequent Commission proposals on Climate/Energy are not embedded in the baseline. Indeed, they form part of the contextual elements t</w:t>
      </w:r>
      <w:r>
        <w:rPr>
          <w:rFonts w:ascii="Times New Roman" w:hAnsi="Times New Roman" w:cs="Times New Roman"/>
          <w:noProof/>
          <w:sz w:val="24"/>
        </w:rPr>
        <w:t>hat have changed since the last reform. Changes related to Climate Change, Energy or Environment are addressed in options.</w:t>
      </w:r>
    </w:p>
    <w:p w:rsidR="00333A1A" w:rsidRDefault="003D29C9">
      <w:pPr>
        <w:pStyle w:val="Text1"/>
        <w:ind w:left="0"/>
        <w:rPr>
          <w:noProof/>
        </w:rPr>
      </w:pPr>
      <w:r>
        <w:rPr>
          <w:b/>
          <w:noProof/>
        </w:rPr>
        <w:t>Scenar 2030</w:t>
      </w:r>
      <w:r>
        <w:rPr>
          <w:noProof/>
        </w:rPr>
        <w:t xml:space="preserve"> is a JRC D4 (Unit Economics of Agriculture) study outlining projections for EU agriculture in 2030. It considers 3 scenar</w:t>
      </w:r>
      <w:r>
        <w:rPr>
          <w:noProof/>
        </w:rPr>
        <w:t>ios: Status quo, Strong reduction of EU Agricultural policy (liberalisation scenario of the IA) and Sustainable Competitiveness (enhanced greening). In the Scenar 2030 exercise the analytical power of three models (MAGNET, CAPRI and IFM-CAP) is combined th</w:t>
      </w:r>
      <w:r>
        <w:rPr>
          <w:noProof/>
        </w:rPr>
        <w:t xml:space="preserve">rough soft links. </w:t>
      </w:r>
    </w:p>
    <w:p w:rsidR="00333A1A" w:rsidRDefault="003D29C9">
      <w:pPr>
        <w:pStyle w:val="Caption"/>
        <w:keepNext/>
        <w:rPr>
          <w:rFonts w:ascii="Times New Roman" w:hAnsi="Times New Roman" w:cs="Times New Roman"/>
          <w:noProof/>
          <w:color w:val="auto"/>
          <w:sz w:val="22"/>
        </w:rPr>
      </w:pPr>
      <w:r>
        <w:rPr>
          <w:rFonts w:ascii="Times New Roman" w:hAnsi="Times New Roman" w:cs="Times New Roman"/>
          <w:noProof/>
          <w:color w:val="auto"/>
          <w:sz w:val="22"/>
        </w:rPr>
        <w:t xml:space="preserve">Figure </w:t>
      </w:r>
      <w:r>
        <w:rPr>
          <w:rFonts w:ascii="Times New Roman" w:hAnsi="Times New Roman" w:cs="Times New Roman"/>
          <w:noProof/>
          <w:color w:val="auto"/>
          <w:sz w:val="22"/>
        </w:rPr>
        <w:fldChar w:fldCharType="begin"/>
      </w:r>
      <w:r>
        <w:rPr>
          <w:rFonts w:ascii="Times New Roman" w:hAnsi="Times New Roman" w:cs="Times New Roman"/>
          <w:noProof/>
          <w:color w:val="auto"/>
          <w:sz w:val="22"/>
        </w:rPr>
        <w:instrText xml:space="preserve"> SEQ Figure \* ARABIC </w:instrText>
      </w:r>
      <w:r>
        <w:rPr>
          <w:rFonts w:ascii="Times New Roman" w:hAnsi="Times New Roman" w:cs="Times New Roman"/>
          <w:noProof/>
          <w:color w:val="auto"/>
          <w:sz w:val="22"/>
        </w:rPr>
        <w:fldChar w:fldCharType="separate"/>
      </w:r>
      <w:r>
        <w:rPr>
          <w:rFonts w:ascii="Times New Roman" w:hAnsi="Times New Roman" w:cs="Times New Roman"/>
          <w:noProof/>
          <w:color w:val="auto"/>
          <w:sz w:val="22"/>
        </w:rPr>
        <w:t>3</w:t>
      </w:r>
      <w:r>
        <w:rPr>
          <w:rFonts w:ascii="Times New Roman" w:hAnsi="Times New Roman" w:cs="Times New Roman"/>
          <w:noProof/>
          <w:color w:val="auto"/>
          <w:sz w:val="22"/>
        </w:rPr>
        <w:fldChar w:fldCharType="end"/>
      </w:r>
      <w:r>
        <w:rPr>
          <w:rFonts w:ascii="Times New Roman" w:hAnsi="Times New Roman" w:cs="Times New Roman"/>
          <w:noProof/>
          <w:color w:val="auto"/>
          <w:sz w:val="22"/>
        </w:rPr>
        <w:t>. Scenar 2030 model chain</w:t>
      </w:r>
    </w:p>
    <w:p w:rsidR="00333A1A" w:rsidRDefault="003D29C9">
      <w:pPr>
        <w:rPr>
          <w:noProof/>
        </w:rPr>
      </w:pPr>
      <w:r>
        <w:rPr>
          <w:noProof/>
          <w:lang w:eastAsia="en-GB"/>
        </w:rPr>
        <w:drawing>
          <wp:inline distT="0" distB="0" distL="0" distR="0" wp14:anchorId="189211FD" wp14:editId="36C8C7D7">
            <wp:extent cx="5534107" cy="20196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b="50769"/>
                    <a:stretch/>
                  </pic:blipFill>
                  <pic:spPr bwMode="auto">
                    <a:xfrm>
                      <a:off x="0" y="0"/>
                      <a:ext cx="5539063" cy="2021440"/>
                    </a:xfrm>
                    <a:prstGeom prst="rect">
                      <a:avLst/>
                    </a:prstGeom>
                    <a:noFill/>
                    <a:ln>
                      <a:noFill/>
                    </a:ln>
                    <a:extLst>
                      <a:ext uri="{53640926-AAD7-44D8-BBD7-CCE9431645EC}">
                        <a14:shadowObscured xmlns:a14="http://schemas.microsoft.com/office/drawing/2010/main"/>
                      </a:ext>
                    </a:extLst>
                  </pic:spPr>
                </pic:pic>
              </a:graphicData>
            </a:graphic>
          </wp:inline>
        </w:drawing>
      </w:r>
    </w:p>
    <w:p w:rsidR="00333A1A" w:rsidRDefault="00333A1A">
      <w:pPr>
        <w:spacing w:after="0"/>
        <w:rPr>
          <w:noProof/>
        </w:rPr>
      </w:pPr>
    </w:p>
    <w:p w:rsidR="00333A1A" w:rsidRDefault="003D29C9">
      <w:pPr>
        <w:spacing w:after="0" w:line="240" w:lineRule="auto"/>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For the baseline, the status quo, Magnet, CAPRI and IFM-CAP are projected towards 2030 and calibrated to the 'EU agricultural outlook 2016-2026': </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 xml:space="preserve">For Magnet (CGE model, MS, </w:t>
      </w:r>
      <w:r>
        <w:rPr>
          <w:rFonts w:ascii="Times New Roman" w:hAnsi="Times New Roman" w:cs="Times New Roman"/>
          <w:noProof/>
          <w:sz w:val="24"/>
        </w:rPr>
        <w:t>base year 2011) it means simulating 2030, checking trade position, price and production developments to make sure that they align with the agricultural outlook;</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For CAPRI (PE model, MS, Nuts2) it means EU production/trade/consumption levels close to 'EU ag</w:t>
      </w:r>
      <w:r>
        <w:rPr>
          <w:rFonts w:ascii="Times New Roman" w:hAnsi="Times New Roman" w:cs="Times New Roman"/>
          <w:noProof/>
          <w:sz w:val="24"/>
        </w:rPr>
        <w:t xml:space="preserve">ricultural outlook 2016-2026', the CAP policy as in 2019. </w:t>
      </w:r>
    </w:p>
    <w:p w:rsidR="00333A1A" w:rsidRDefault="003D29C9">
      <w:pPr>
        <w:pStyle w:val="ListParagraph"/>
        <w:numPr>
          <w:ilvl w:val="0"/>
          <w:numId w:val="24"/>
        </w:numPr>
        <w:spacing w:line="240" w:lineRule="auto"/>
        <w:ind w:left="714" w:hanging="357"/>
        <w:rPr>
          <w:rFonts w:ascii="Times New Roman" w:hAnsi="Times New Roman" w:cs="Times New Roman"/>
          <w:noProof/>
          <w:sz w:val="24"/>
        </w:rPr>
      </w:pPr>
      <w:r>
        <w:rPr>
          <w:rFonts w:ascii="Times New Roman" w:hAnsi="Times New Roman" w:cs="Times New Roman"/>
          <w:noProof/>
          <w:sz w:val="24"/>
        </w:rPr>
        <w:t>For IFM-CAP (farm model, base = FADN 2012), the CAP policy as in 2019 (most detailed model on CAP), calibrated to CAPRI (production, prices)</w:t>
      </w:r>
    </w:p>
    <w:p w:rsidR="00333A1A" w:rsidRDefault="003D29C9">
      <w:pPr>
        <w:pStyle w:val="Text1"/>
        <w:ind w:left="0"/>
        <w:rPr>
          <w:noProof/>
        </w:rPr>
      </w:pPr>
      <w:r>
        <w:rPr>
          <w:b/>
          <w:noProof/>
        </w:rPr>
        <w:t>AidsK</w:t>
      </w:r>
      <w:r>
        <w:rPr>
          <w:noProof/>
        </w:rPr>
        <w:t xml:space="preserve"> (see previous description) is based on FADN 2012 d</w:t>
      </w:r>
      <w:r>
        <w:rPr>
          <w:noProof/>
        </w:rPr>
        <w:t>ata with CAP fully implemented (2019). It considers the same farm structure as in 2012.</w:t>
      </w:r>
    </w:p>
    <w:p w:rsidR="00333A1A" w:rsidRDefault="003D29C9">
      <w:pPr>
        <w:spacing w:after="0" w:line="240" w:lineRule="auto"/>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Input from </w:t>
      </w:r>
      <w:r>
        <w:rPr>
          <w:rFonts w:ascii="Times New Roman" w:eastAsia="Times New Roman" w:hAnsi="Times New Roman" w:cs="Times New Roman"/>
          <w:b/>
          <w:noProof/>
          <w:sz w:val="24"/>
          <w:szCs w:val="20"/>
        </w:rPr>
        <w:t>CAP indicators, evaluations and other studies</w:t>
      </w:r>
      <w:r>
        <w:rPr>
          <w:rFonts w:ascii="Times New Roman" w:eastAsia="Times New Roman" w:hAnsi="Times New Roman" w:cs="Times New Roman"/>
          <w:noProof/>
          <w:sz w:val="24"/>
          <w:szCs w:val="20"/>
        </w:rPr>
        <w:t xml:space="preserve"> is extensively taken on board, most notably during the MCA-analysis. Main references used for the evidence base</w:t>
      </w:r>
      <w:r>
        <w:rPr>
          <w:rFonts w:ascii="Times New Roman" w:eastAsia="Times New Roman" w:hAnsi="Times New Roman" w:cs="Times New Roman"/>
          <w:noProof/>
          <w:sz w:val="24"/>
          <w:szCs w:val="20"/>
        </w:rPr>
        <w:t xml:space="preserve"> can be found in Annex 1 to the IA report.</w:t>
      </w:r>
    </w:p>
    <w:p w:rsidR="00333A1A" w:rsidRDefault="00333A1A">
      <w:pPr>
        <w:spacing w:after="0"/>
        <w:rPr>
          <w:noProof/>
        </w:rPr>
      </w:pPr>
    </w:p>
    <w:p w:rsidR="00333A1A" w:rsidRDefault="003D29C9">
      <w:pPr>
        <w:pStyle w:val="Heading2"/>
        <w:rPr>
          <w:noProof/>
        </w:rPr>
      </w:pPr>
      <w:bookmarkStart w:id="231" w:name="_Toc508286140"/>
      <w:bookmarkStart w:id="232" w:name="_Toc508286236"/>
      <w:bookmarkStart w:id="233" w:name="_Toc508297472"/>
      <w:bookmarkStart w:id="234" w:name="_Toc513053296"/>
      <w:bookmarkStart w:id="235" w:name="_Toc513053512"/>
      <w:bookmarkStart w:id="236" w:name="_Toc514514643"/>
      <w:r>
        <w:rPr>
          <w:noProof/>
        </w:rPr>
        <w:t>Assessing the impact of options</w:t>
      </w:r>
      <w:bookmarkEnd w:id="231"/>
      <w:bookmarkEnd w:id="232"/>
      <w:bookmarkEnd w:id="233"/>
      <w:bookmarkEnd w:id="234"/>
      <w:bookmarkEnd w:id="235"/>
      <w:bookmarkEnd w:id="236"/>
    </w:p>
    <w:p w:rsidR="00333A1A" w:rsidRDefault="003D29C9">
      <w:pPr>
        <w:pStyle w:val="Caption"/>
        <w:spacing w:after="0"/>
        <w:rPr>
          <w:rFonts w:ascii="Times New Roman" w:hAnsi="Times New Roman" w:cs="Times New Roman"/>
          <w:noProof/>
          <w:color w:val="auto"/>
          <w:sz w:val="22"/>
        </w:rPr>
      </w:pPr>
      <w:r>
        <w:rPr>
          <w:rFonts w:ascii="Times New Roman" w:hAnsi="Times New Roman" w:cs="Times New Roman"/>
          <w:noProof/>
          <w:color w:val="auto"/>
          <w:sz w:val="22"/>
        </w:rPr>
        <w:t>Table 1. Options modelling and other analysis</w:t>
      </w:r>
    </w:p>
    <w:tbl>
      <w:tblPr>
        <w:tblStyle w:val="TableGrid"/>
        <w:tblW w:w="8789" w:type="dxa"/>
        <w:tblInd w:w="108" w:type="dxa"/>
        <w:tblLook w:val="04A0" w:firstRow="1" w:lastRow="0" w:firstColumn="1" w:lastColumn="0" w:noHBand="0" w:noVBand="1"/>
      </w:tblPr>
      <w:tblGrid>
        <w:gridCol w:w="2552"/>
        <w:gridCol w:w="6237"/>
      </w:tblGrid>
      <w:tr w:rsidR="00333A1A">
        <w:trPr>
          <w:trHeight w:val="331"/>
          <w:tblHeader/>
        </w:trPr>
        <w:tc>
          <w:tcPr>
            <w:tcW w:w="2552" w:type="dxa"/>
          </w:tcPr>
          <w:p w:rsidR="00333A1A" w:rsidRDefault="003D29C9">
            <w:pPr>
              <w:rPr>
                <w:b/>
                <w:noProof/>
              </w:rPr>
            </w:pPr>
            <w:r>
              <w:rPr>
                <w:b/>
                <w:bCs/>
                <w:noProof/>
              </w:rPr>
              <w:t>Which model</w:t>
            </w:r>
          </w:p>
        </w:tc>
        <w:tc>
          <w:tcPr>
            <w:tcW w:w="6237" w:type="dxa"/>
          </w:tcPr>
          <w:p w:rsidR="00333A1A" w:rsidRDefault="003D29C9">
            <w:pPr>
              <w:rPr>
                <w:b/>
                <w:noProof/>
              </w:rPr>
            </w:pPr>
            <w:r>
              <w:rPr>
                <w:b/>
                <w:noProof/>
              </w:rPr>
              <w:t>What for</w:t>
            </w:r>
          </w:p>
        </w:tc>
      </w:tr>
      <w:tr w:rsidR="00333A1A">
        <w:trPr>
          <w:trHeight w:val="311"/>
        </w:trPr>
        <w:tc>
          <w:tcPr>
            <w:tcW w:w="2552" w:type="dxa"/>
          </w:tcPr>
          <w:p w:rsidR="00333A1A" w:rsidRDefault="003D29C9">
            <w:pPr>
              <w:rPr>
                <w:noProof/>
              </w:rPr>
            </w:pPr>
            <w:r>
              <w:rPr>
                <w:bCs/>
                <w:noProof/>
              </w:rPr>
              <w:t>Scenar 2030</w:t>
            </w:r>
          </w:p>
        </w:tc>
        <w:tc>
          <w:tcPr>
            <w:tcW w:w="6237" w:type="dxa"/>
          </w:tcPr>
          <w:p w:rsidR="00333A1A" w:rsidRDefault="003D29C9">
            <w:pPr>
              <w:rPr>
                <w:noProof/>
              </w:rPr>
            </w:pPr>
            <w:r>
              <w:rPr>
                <w:noProof/>
              </w:rPr>
              <w:t>The market liberalisation scenario*</w:t>
            </w:r>
          </w:p>
        </w:tc>
      </w:tr>
      <w:tr w:rsidR="00333A1A">
        <w:trPr>
          <w:trHeight w:val="592"/>
        </w:trPr>
        <w:tc>
          <w:tcPr>
            <w:tcW w:w="2552" w:type="dxa"/>
          </w:tcPr>
          <w:p w:rsidR="00333A1A" w:rsidRDefault="003D29C9">
            <w:pPr>
              <w:rPr>
                <w:bCs/>
                <w:noProof/>
              </w:rPr>
            </w:pPr>
            <w:r>
              <w:rPr>
                <w:bCs/>
                <w:noProof/>
              </w:rPr>
              <w:t>AidsK analysis</w:t>
            </w:r>
          </w:p>
        </w:tc>
        <w:tc>
          <w:tcPr>
            <w:tcW w:w="6237" w:type="dxa"/>
          </w:tcPr>
          <w:p w:rsidR="00333A1A" w:rsidRDefault="003D29C9">
            <w:pPr>
              <w:rPr>
                <w:noProof/>
              </w:rPr>
            </w:pPr>
            <w:r>
              <w:rPr>
                <w:noProof/>
              </w:rPr>
              <w:t xml:space="preserve">DP distribution in option 3/4/5 </w:t>
            </w:r>
          </w:p>
          <w:p w:rsidR="00333A1A" w:rsidRDefault="003D29C9">
            <w:pPr>
              <w:rPr>
                <w:noProof/>
              </w:rPr>
            </w:pPr>
            <w:r>
              <w:rPr>
                <w:noProof/>
              </w:rPr>
              <w:t xml:space="preserve">Income </w:t>
            </w:r>
            <w:r>
              <w:rPr>
                <w:noProof/>
              </w:rPr>
              <w:t>stabilization tool</w:t>
            </w:r>
          </w:p>
          <w:p w:rsidR="00333A1A" w:rsidRDefault="003D29C9">
            <w:pPr>
              <w:rPr>
                <w:noProof/>
              </w:rPr>
            </w:pPr>
            <w:r>
              <w:rPr>
                <w:noProof/>
              </w:rPr>
              <w:t>Income variability</w:t>
            </w:r>
          </w:p>
        </w:tc>
      </w:tr>
      <w:tr w:rsidR="00333A1A">
        <w:trPr>
          <w:trHeight w:val="592"/>
        </w:trPr>
        <w:tc>
          <w:tcPr>
            <w:tcW w:w="2552" w:type="dxa"/>
          </w:tcPr>
          <w:p w:rsidR="00333A1A" w:rsidRDefault="003D29C9">
            <w:pPr>
              <w:rPr>
                <w:bCs/>
                <w:noProof/>
              </w:rPr>
            </w:pPr>
            <w:r>
              <w:rPr>
                <w:bCs/>
                <w:noProof/>
              </w:rPr>
              <w:t>CAPRI</w:t>
            </w:r>
          </w:p>
        </w:tc>
        <w:tc>
          <w:tcPr>
            <w:tcW w:w="6237" w:type="dxa"/>
          </w:tcPr>
          <w:p w:rsidR="00333A1A" w:rsidRDefault="003D29C9">
            <w:pPr>
              <w:rPr>
                <w:noProof/>
              </w:rPr>
            </w:pPr>
            <w:r>
              <w:rPr>
                <w:noProof/>
              </w:rPr>
              <w:t>Land prices</w:t>
            </w:r>
          </w:p>
          <w:p w:rsidR="00333A1A" w:rsidRDefault="003D29C9">
            <w:pPr>
              <w:rPr>
                <w:noProof/>
              </w:rPr>
            </w:pPr>
            <w:r>
              <w:rPr>
                <w:noProof/>
              </w:rPr>
              <w:t>Production and productivity changes</w:t>
            </w:r>
          </w:p>
          <w:p w:rsidR="00333A1A" w:rsidRDefault="003D29C9">
            <w:pPr>
              <w:rPr>
                <w:noProof/>
              </w:rPr>
            </w:pPr>
            <w:r>
              <w:rPr>
                <w:noProof/>
              </w:rPr>
              <w:t>Trade</w:t>
            </w:r>
          </w:p>
          <w:p w:rsidR="00333A1A" w:rsidRDefault="003D29C9">
            <w:pPr>
              <w:rPr>
                <w:noProof/>
              </w:rPr>
            </w:pPr>
            <w:r>
              <w:rPr>
                <w:noProof/>
              </w:rPr>
              <w:t xml:space="preserve">Price gap analysis </w:t>
            </w:r>
          </w:p>
          <w:p w:rsidR="00333A1A" w:rsidRDefault="003D29C9">
            <w:pPr>
              <w:rPr>
                <w:noProof/>
              </w:rPr>
            </w:pPr>
            <w:r>
              <w:rPr>
                <w:noProof/>
              </w:rPr>
              <w:t>GHG emissions</w:t>
            </w:r>
          </w:p>
          <w:p w:rsidR="00333A1A" w:rsidRDefault="003D29C9">
            <w:pPr>
              <w:rPr>
                <w:noProof/>
              </w:rPr>
            </w:pPr>
            <w:r>
              <w:rPr>
                <w:noProof/>
              </w:rPr>
              <w:t>Ammonia emissions</w:t>
            </w:r>
          </w:p>
          <w:p w:rsidR="00333A1A" w:rsidRDefault="003D29C9">
            <w:pPr>
              <w:rPr>
                <w:noProof/>
              </w:rPr>
            </w:pPr>
            <w:r>
              <w:rPr>
                <w:noProof/>
              </w:rPr>
              <w:t>Nitrogen balance</w:t>
            </w:r>
          </w:p>
        </w:tc>
      </w:tr>
      <w:tr w:rsidR="00333A1A">
        <w:trPr>
          <w:trHeight w:val="592"/>
        </w:trPr>
        <w:tc>
          <w:tcPr>
            <w:tcW w:w="2552" w:type="dxa"/>
          </w:tcPr>
          <w:p w:rsidR="00333A1A" w:rsidRDefault="003D29C9">
            <w:pPr>
              <w:rPr>
                <w:bCs/>
                <w:noProof/>
              </w:rPr>
            </w:pPr>
            <w:r>
              <w:rPr>
                <w:bCs/>
                <w:noProof/>
              </w:rPr>
              <w:t>IFM-CAP</w:t>
            </w:r>
          </w:p>
        </w:tc>
        <w:tc>
          <w:tcPr>
            <w:tcW w:w="6237" w:type="dxa"/>
          </w:tcPr>
          <w:p w:rsidR="00333A1A" w:rsidRDefault="003D29C9">
            <w:pPr>
              <w:rPr>
                <w:noProof/>
              </w:rPr>
            </w:pPr>
            <w:r>
              <w:rPr>
                <w:noProof/>
              </w:rPr>
              <w:t>Land allocation and activities</w:t>
            </w:r>
          </w:p>
          <w:p w:rsidR="00333A1A" w:rsidRDefault="003D29C9">
            <w:pPr>
              <w:rPr>
                <w:noProof/>
              </w:rPr>
            </w:pPr>
            <w:r>
              <w:rPr>
                <w:noProof/>
              </w:rPr>
              <w:t>Agricultural income</w:t>
            </w:r>
          </w:p>
          <w:p w:rsidR="00333A1A" w:rsidRDefault="003D29C9">
            <w:pPr>
              <w:rPr>
                <w:noProof/>
              </w:rPr>
            </w:pPr>
            <w:r>
              <w:rPr>
                <w:noProof/>
              </w:rPr>
              <w:t xml:space="preserve">Share of farmers with low profitability (in difficulty) </w:t>
            </w:r>
          </w:p>
        </w:tc>
      </w:tr>
      <w:tr w:rsidR="00333A1A">
        <w:trPr>
          <w:trHeight w:val="592"/>
        </w:trPr>
        <w:tc>
          <w:tcPr>
            <w:tcW w:w="2552" w:type="dxa"/>
          </w:tcPr>
          <w:p w:rsidR="00333A1A" w:rsidRDefault="003D29C9">
            <w:pPr>
              <w:rPr>
                <w:bCs/>
                <w:noProof/>
              </w:rPr>
            </w:pPr>
            <w:r>
              <w:rPr>
                <w:bCs/>
                <w:noProof/>
              </w:rPr>
              <w:t>Magnet</w:t>
            </w:r>
          </w:p>
        </w:tc>
        <w:tc>
          <w:tcPr>
            <w:tcW w:w="6237" w:type="dxa"/>
          </w:tcPr>
          <w:p w:rsidR="00333A1A" w:rsidRDefault="003D29C9">
            <w:pPr>
              <w:rPr>
                <w:noProof/>
                <w:color w:val="00B050"/>
              </w:rPr>
            </w:pPr>
            <w:r>
              <w:rPr>
                <w:noProof/>
              </w:rPr>
              <w:t>Scenar 2030</w:t>
            </w:r>
          </w:p>
        </w:tc>
      </w:tr>
      <w:tr w:rsidR="00333A1A">
        <w:trPr>
          <w:trHeight w:val="592"/>
        </w:trPr>
        <w:tc>
          <w:tcPr>
            <w:tcW w:w="2552" w:type="dxa"/>
          </w:tcPr>
          <w:p w:rsidR="00333A1A" w:rsidRDefault="003D29C9">
            <w:pPr>
              <w:rPr>
                <w:bCs/>
                <w:noProof/>
              </w:rPr>
            </w:pPr>
            <w:r>
              <w:rPr>
                <w:bCs/>
                <w:noProof/>
              </w:rPr>
              <w:t>AGLINK-COSIMO stochastic</w:t>
            </w:r>
          </w:p>
        </w:tc>
        <w:tc>
          <w:tcPr>
            <w:tcW w:w="6237" w:type="dxa"/>
          </w:tcPr>
          <w:p w:rsidR="00333A1A" w:rsidRDefault="003D29C9">
            <w:pPr>
              <w:rPr>
                <w:noProof/>
              </w:rPr>
            </w:pPr>
            <w:r>
              <w:rPr>
                <w:noProof/>
              </w:rPr>
              <w:t>Baseline</w:t>
            </w:r>
          </w:p>
          <w:p w:rsidR="00333A1A" w:rsidRDefault="003D29C9">
            <w:pPr>
              <w:rPr>
                <w:noProof/>
              </w:rPr>
            </w:pPr>
            <w:r>
              <w:rPr>
                <w:noProof/>
              </w:rPr>
              <w:t>Effect of countercyclical payments</w:t>
            </w:r>
          </w:p>
        </w:tc>
      </w:tr>
      <w:tr w:rsidR="00333A1A">
        <w:trPr>
          <w:trHeight w:val="348"/>
        </w:trPr>
        <w:tc>
          <w:tcPr>
            <w:tcW w:w="2552" w:type="dxa"/>
          </w:tcPr>
          <w:p w:rsidR="00333A1A" w:rsidRDefault="003D29C9">
            <w:pPr>
              <w:rPr>
                <w:bCs/>
                <w:noProof/>
              </w:rPr>
            </w:pPr>
            <w:r>
              <w:rPr>
                <w:bCs/>
                <w:noProof/>
              </w:rPr>
              <w:t>RUSLE 2015</w:t>
            </w:r>
          </w:p>
        </w:tc>
        <w:tc>
          <w:tcPr>
            <w:tcW w:w="6237" w:type="dxa"/>
          </w:tcPr>
          <w:p w:rsidR="00333A1A" w:rsidRDefault="003D29C9">
            <w:pPr>
              <w:rPr>
                <w:noProof/>
              </w:rPr>
            </w:pPr>
            <w:r>
              <w:rPr>
                <w:noProof/>
              </w:rPr>
              <w:t>Soil erosion by water</w:t>
            </w:r>
          </w:p>
        </w:tc>
      </w:tr>
      <w:tr w:rsidR="00333A1A">
        <w:trPr>
          <w:trHeight w:val="348"/>
        </w:trPr>
        <w:tc>
          <w:tcPr>
            <w:tcW w:w="2552" w:type="dxa"/>
          </w:tcPr>
          <w:p w:rsidR="00333A1A" w:rsidRDefault="003D29C9">
            <w:pPr>
              <w:rPr>
                <w:bCs/>
                <w:noProof/>
              </w:rPr>
            </w:pPr>
            <w:r>
              <w:rPr>
                <w:bCs/>
                <w:noProof/>
              </w:rPr>
              <w:t>Century</w:t>
            </w:r>
          </w:p>
        </w:tc>
        <w:tc>
          <w:tcPr>
            <w:tcW w:w="6237" w:type="dxa"/>
          </w:tcPr>
          <w:p w:rsidR="00333A1A" w:rsidRDefault="003D29C9">
            <w:pPr>
              <w:rPr>
                <w:noProof/>
              </w:rPr>
            </w:pPr>
            <w:r>
              <w:rPr>
                <w:noProof/>
              </w:rPr>
              <w:t>Soil organic carbon</w:t>
            </w:r>
          </w:p>
        </w:tc>
      </w:tr>
      <w:tr w:rsidR="00333A1A">
        <w:trPr>
          <w:trHeight w:val="348"/>
        </w:trPr>
        <w:tc>
          <w:tcPr>
            <w:tcW w:w="2552" w:type="dxa"/>
          </w:tcPr>
          <w:p w:rsidR="00333A1A" w:rsidRDefault="003D29C9">
            <w:pPr>
              <w:rPr>
                <w:bCs/>
                <w:noProof/>
              </w:rPr>
            </w:pPr>
            <w:r>
              <w:rPr>
                <w:bCs/>
                <w:noProof/>
              </w:rPr>
              <w:t>RD budget allocation</w:t>
            </w:r>
          </w:p>
        </w:tc>
        <w:tc>
          <w:tcPr>
            <w:tcW w:w="6237" w:type="dxa"/>
          </w:tcPr>
          <w:p w:rsidR="00333A1A" w:rsidRDefault="003D29C9">
            <w:pPr>
              <w:rPr>
                <w:noProof/>
              </w:rPr>
            </w:pPr>
            <w:r>
              <w:rPr>
                <w:noProof/>
              </w:rPr>
              <w:t xml:space="preserve">Effect on various </w:t>
            </w:r>
            <w:r>
              <w:rPr>
                <w:noProof/>
              </w:rPr>
              <w:t>indicators from different models</w:t>
            </w:r>
          </w:p>
        </w:tc>
      </w:tr>
    </w:tbl>
    <w:p w:rsidR="00333A1A" w:rsidRDefault="003D29C9">
      <w:pPr>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sz w:val="20"/>
        </w:rPr>
        <w:t>this scenario is described in the Scenar 2030 study</w:t>
      </w:r>
      <w:r>
        <w:rPr>
          <w:rFonts w:ascii="Times New Roman" w:hAnsi="Times New Roman" w:cs="Times New Roman"/>
          <w:noProof/>
          <w:sz w:val="20"/>
          <w:vertAlign w:val="superscript"/>
        </w:rPr>
        <w:t>4</w:t>
      </w:r>
    </w:p>
    <w:p w:rsidR="00333A1A" w:rsidRDefault="003D29C9">
      <w:pPr>
        <w:pStyle w:val="Text1"/>
        <w:ind w:left="0"/>
        <w:rPr>
          <w:noProof/>
        </w:rPr>
      </w:pPr>
      <w:r>
        <w:rPr>
          <w:noProof/>
        </w:rPr>
        <w:t xml:space="preserve">Within the scenarios only CAP policy measures or market access instruments are altered. All other policies are kept stable throughout the projection period. This </w:t>
      </w:r>
      <w:r>
        <w:rPr>
          <w:noProof/>
        </w:rPr>
        <w:t>includes biofuels policies which are assumed not to alter in 2021. Macro-economic assumptions are identical to the assumptions in the DG AGRI outlook 2015-2025 or DG AGRI outlook 2016-2026, depending on the model.</w:t>
      </w:r>
    </w:p>
    <w:p w:rsidR="00333A1A" w:rsidRDefault="003D29C9">
      <w:pPr>
        <w:pStyle w:val="Text1"/>
        <w:ind w:left="0"/>
        <w:rPr>
          <w:noProof/>
        </w:rPr>
      </w:pPr>
      <w:r>
        <w:rPr>
          <w:noProof/>
        </w:rPr>
        <w:t>GHG policies are external to the scenarios</w:t>
      </w:r>
      <w:r>
        <w:rPr>
          <w:noProof/>
        </w:rPr>
        <w:t xml:space="preserve">. The modelling framework is brought in line with the EC </w:t>
      </w:r>
      <w:hyperlink r:id="rId73" w:history="1">
        <w:r>
          <w:rPr>
            <w:noProof/>
          </w:rPr>
          <w:t xml:space="preserve">reference scenario for EU energy, Transport and GHG emission trends to </w:t>
        </w:r>
        <w:r>
          <w:rPr>
            <w:noProof/>
          </w:rPr>
          <w:t>2025</w:t>
        </w:r>
      </w:hyperlink>
      <w:r>
        <w:rPr>
          <w:noProof/>
        </w:rPr>
        <w:t>. Agriculture is responsible for about half of all non-CO2 GHG emissions and is expected to increase its share in total non-CO2 until 2030. The Common Agricultural Policy influences, inter alia, livestock numbers/intensities. The Nitrogen Directive and</w:t>
      </w:r>
      <w:r>
        <w:rPr>
          <w:noProof/>
        </w:rPr>
        <w:t xml:space="preserve"> the Water Framework Directive impact on the use of fertilizer.</w:t>
      </w:r>
    </w:p>
    <w:p w:rsidR="00333A1A" w:rsidRDefault="003D29C9">
      <w:pPr>
        <w:pStyle w:val="Text1"/>
        <w:ind w:left="0"/>
        <w:rPr>
          <w:noProof/>
        </w:rPr>
      </w:pPr>
      <w:r>
        <w:rPr>
          <w:noProof/>
        </w:rPr>
        <w:t>For the indicators and instruments for which quantitative data from the models is missing, expert judgement is used, following the procedure outlined under 1.2.10. A list of Operational Object</w:t>
      </w:r>
      <w:r>
        <w:rPr>
          <w:noProof/>
        </w:rPr>
        <w:t>ives for which the qualitative analysis was used is provided in Annex 5.3.</w:t>
      </w:r>
    </w:p>
    <w:p w:rsidR="00333A1A" w:rsidRDefault="003D29C9">
      <w:pPr>
        <w:pStyle w:val="Heading2"/>
        <w:rPr>
          <w:noProof/>
        </w:rPr>
      </w:pPr>
      <w:bookmarkStart w:id="237" w:name="_Toc508286141"/>
      <w:bookmarkStart w:id="238" w:name="_Toc508286237"/>
      <w:bookmarkStart w:id="239" w:name="_Toc508297473"/>
      <w:bookmarkStart w:id="240" w:name="_Toc513053297"/>
      <w:bookmarkStart w:id="241" w:name="_Toc513053513"/>
      <w:bookmarkStart w:id="242" w:name="_Toc514514644"/>
      <w:r>
        <w:rPr>
          <w:noProof/>
        </w:rPr>
        <w:t>Addressing uncertainties</w:t>
      </w:r>
      <w:bookmarkEnd w:id="237"/>
      <w:bookmarkEnd w:id="238"/>
      <w:bookmarkEnd w:id="239"/>
      <w:bookmarkEnd w:id="240"/>
      <w:bookmarkEnd w:id="241"/>
      <w:bookmarkEnd w:id="242"/>
    </w:p>
    <w:p w:rsidR="00333A1A" w:rsidRDefault="003D29C9">
      <w:pPr>
        <w:pStyle w:val="Text1"/>
        <w:ind w:left="0"/>
        <w:rPr>
          <w:noProof/>
        </w:rPr>
      </w:pPr>
      <w:r>
        <w:rPr>
          <w:noProof/>
        </w:rPr>
        <w:t xml:space="preserve">Macro-economic uncertainty (or price volatility) is incorporated into the modelling exercise for the CAP instruments for which this is a key issue, such as </w:t>
      </w:r>
      <w:r>
        <w:rPr>
          <w:noProof/>
        </w:rPr>
        <w:t xml:space="preserve">risk management tools. For example, to analyse the potential use of the Income Stabilisation Tool, farm income is shocked in AidsK with two different sets of output assumptions.  </w:t>
      </w:r>
    </w:p>
    <w:p w:rsidR="00333A1A" w:rsidRDefault="003D29C9">
      <w:pPr>
        <w:pStyle w:val="Heading2"/>
        <w:rPr>
          <w:noProof/>
        </w:rPr>
      </w:pPr>
      <w:bookmarkStart w:id="243" w:name="_Toc508286142"/>
      <w:bookmarkStart w:id="244" w:name="_Toc508286238"/>
      <w:bookmarkStart w:id="245" w:name="_Toc508297474"/>
      <w:bookmarkStart w:id="246" w:name="_Toc513053298"/>
      <w:bookmarkStart w:id="247" w:name="_Toc513053514"/>
      <w:bookmarkStart w:id="248" w:name="_Toc514514645"/>
      <w:r>
        <w:rPr>
          <w:noProof/>
        </w:rPr>
        <w:t>Comparing the baseline and the options</w:t>
      </w:r>
      <w:bookmarkEnd w:id="243"/>
      <w:bookmarkEnd w:id="244"/>
      <w:bookmarkEnd w:id="245"/>
      <w:bookmarkEnd w:id="246"/>
      <w:bookmarkEnd w:id="247"/>
      <w:bookmarkEnd w:id="248"/>
    </w:p>
    <w:p w:rsidR="00333A1A" w:rsidRDefault="003D29C9">
      <w:pPr>
        <w:pStyle w:val="Text1"/>
        <w:ind w:left="0"/>
        <w:rPr>
          <w:noProof/>
        </w:rPr>
      </w:pPr>
      <w:r>
        <w:rPr>
          <w:noProof/>
        </w:rPr>
        <w:t>In addition to the modelling analysis</w:t>
      </w:r>
      <w:r>
        <w:rPr>
          <w:noProof/>
        </w:rPr>
        <w:t xml:space="preserve">, to cover the items which are not sufficiently captured by the models, and to summarize the impact of the options vis-à-vis the baseline, Multicriteria Analysis is used. </w:t>
      </w:r>
    </w:p>
    <w:p w:rsidR="00333A1A" w:rsidRDefault="003D29C9">
      <w:pPr>
        <w:pStyle w:val="Text1"/>
        <w:spacing w:after="0"/>
        <w:ind w:left="0"/>
        <w:rPr>
          <w:noProof/>
        </w:rPr>
      </w:pPr>
      <w:r>
        <w:rPr>
          <w:noProof/>
        </w:rPr>
        <w:t>In total, more than 50 DG AGRI experts, as well as scientists from JRC for the envir</w:t>
      </w:r>
      <w:r>
        <w:rPr>
          <w:noProof/>
        </w:rPr>
        <w:t>onmental objectives, participated in the MCA-exercise. The DG AGRI experts contributed to the IA from the beginning onwards and were selected based on their expertise regarding CAP interventions and challenges. They represent units from all across the DG (</w:t>
      </w:r>
      <w:r>
        <w:rPr>
          <w:noProof/>
        </w:rPr>
        <w:t>unit A1, A2, B1, B2, C, C1, C2, C3, C4, D1, D2, D3, D4, E4, F1, G, G1, G2, G3, G4, H1, I4, R1, R3). Throughout the IA process these experts further built up their expertise on the future CAP as they were part of challenge teams from the start of the IA:</w:t>
      </w:r>
    </w:p>
    <w:p w:rsidR="00333A1A" w:rsidRDefault="003D29C9">
      <w:pPr>
        <w:pStyle w:val="Text1"/>
        <w:numPr>
          <w:ilvl w:val="0"/>
          <w:numId w:val="39"/>
        </w:numPr>
        <w:spacing w:after="0"/>
        <w:rPr>
          <w:noProof/>
        </w:rPr>
      </w:pPr>
      <w:r>
        <w:rPr>
          <w:noProof/>
        </w:rPr>
        <w:t>In</w:t>
      </w:r>
      <w:r>
        <w:rPr>
          <w:noProof/>
        </w:rPr>
        <w:t xml:space="preserve"> these teams, which met on a regular basis from beginning of 2017 onwards, challenges were identified, background documents on challenges drafted, intervention logics and explanatory fiches on options prepared. </w:t>
      </w:r>
    </w:p>
    <w:p w:rsidR="00333A1A" w:rsidRDefault="003D29C9">
      <w:pPr>
        <w:pStyle w:val="Text1"/>
        <w:numPr>
          <w:ilvl w:val="0"/>
          <w:numId w:val="39"/>
        </w:numPr>
        <w:spacing w:after="0"/>
        <w:rPr>
          <w:noProof/>
        </w:rPr>
      </w:pPr>
      <w:r>
        <w:rPr>
          <w:noProof/>
        </w:rPr>
        <w:t>The experts participated in the different wo</w:t>
      </w:r>
      <w:r>
        <w:rPr>
          <w:noProof/>
        </w:rPr>
        <w:t xml:space="preserve">rkshops organized with academics and other DGs, bringing the lessons learnt into the challenge teams. </w:t>
      </w:r>
    </w:p>
    <w:p w:rsidR="00333A1A" w:rsidRDefault="003D29C9">
      <w:pPr>
        <w:pStyle w:val="Text1"/>
        <w:numPr>
          <w:ilvl w:val="0"/>
          <w:numId w:val="39"/>
        </w:numPr>
        <w:spacing w:after="0"/>
        <w:rPr>
          <w:noProof/>
        </w:rPr>
      </w:pPr>
      <w:r>
        <w:rPr>
          <w:noProof/>
        </w:rPr>
        <w:t>Several of them, especially the group coordinators, also participated in different ISG-meetings and bilateral exchanges with relevant other DGs, also all</w:t>
      </w:r>
      <w:r>
        <w:rPr>
          <w:noProof/>
        </w:rPr>
        <w:t xml:space="preserve">owing that information was transmitted to inform the expert judgement. </w:t>
      </w:r>
    </w:p>
    <w:p w:rsidR="00333A1A" w:rsidRDefault="003D29C9">
      <w:pPr>
        <w:pStyle w:val="Text1"/>
        <w:numPr>
          <w:ilvl w:val="0"/>
          <w:numId w:val="39"/>
        </w:numPr>
        <w:spacing w:after="0"/>
        <w:rPr>
          <w:noProof/>
        </w:rPr>
      </w:pPr>
      <w:r>
        <w:rPr>
          <w:noProof/>
        </w:rPr>
        <w:t>One of the main tasks of the challenge team experts was the screening of relevant scientific literature from academics and public institutions to scientifically underpin the expert opi</w:t>
      </w:r>
      <w:r>
        <w:rPr>
          <w:noProof/>
        </w:rPr>
        <w:t xml:space="preserve">nions.   </w:t>
      </w:r>
    </w:p>
    <w:p w:rsidR="00333A1A" w:rsidRDefault="00333A1A">
      <w:pPr>
        <w:pStyle w:val="Text1"/>
        <w:spacing w:after="0"/>
        <w:ind w:left="0"/>
        <w:rPr>
          <w:noProof/>
        </w:rPr>
      </w:pPr>
    </w:p>
    <w:p w:rsidR="00333A1A" w:rsidRDefault="003D29C9">
      <w:pPr>
        <w:pStyle w:val="Text1"/>
        <w:spacing w:after="0"/>
        <w:ind w:left="0"/>
        <w:rPr>
          <w:noProof/>
        </w:rPr>
      </w:pPr>
      <w:r>
        <w:rPr>
          <w:noProof/>
        </w:rPr>
        <w:t xml:space="preserve">The experts were also involved in the actual scoring exercise. Emphasis rested upon the qualitative underpinning of ranking and scoring. The experts also performed the weighting exercise and provided explanations for the attributed weights. In </w:t>
      </w:r>
      <w:r>
        <w:rPr>
          <w:noProof/>
        </w:rPr>
        <w:t>total 5 group exercises were organized, each focusing on a different policy objective:</w:t>
      </w:r>
    </w:p>
    <w:p w:rsidR="00333A1A" w:rsidRDefault="003D29C9">
      <w:pPr>
        <w:pStyle w:val="ListParagraph"/>
        <w:numPr>
          <w:ilvl w:val="0"/>
          <w:numId w:val="25"/>
        </w:numPr>
        <w:tabs>
          <w:tab w:val="left" w:pos="3261"/>
        </w:tabs>
        <w:spacing w:line="240" w:lineRule="auto"/>
        <w:ind w:hanging="357"/>
        <w:rPr>
          <w:rFonts w:ascii="Times New Roman" w:hAnsi="Times New Roman" w:cs="Times New Roman"/>
          <w:noProof/>
          <w:sz w:val="24"/>
          <w:szCs w:val="24"/>
        </w:rPr>
      </w:pPr>
      <w:r>
        <w:rPr>
          <w:rFonts w:ascii="Times New Roman" w:hAnsi="Times New Roman" w:cs="Times New Roman"/>
          <w:noProof/>
          <w:sz w:val="24"/>
          <w:szCs w:val="24"/>
        </w:rPr>
        <w:t>For effectiveness:</w:t>
      </w:r>
    </w:p>
    <w:p w:rsidR="00333A1A" w:rsidRDefault="003D29C9">
      <w:pPr>
        <w:pStyle w:val="ListParagraph"/>
        <w:numPr>
          <w:ilvl w:val="1"/>
          <w:numId w:val="27"/>
        </w:numPr>
        <w:tabs>
          <w:tab w:val="left" w:pos="3261"/>
        </w:tabs>
        <w:spacing w:line="240" w:lineRule="auto"/>
        <w:ind w:hanging="357"/>
        <w:rPr>
          <w:rFonts w:ascii="Times New Roman" w:hAnsi="Times New Roman" w:cs="Times New Roman"/>
          <w:noProof/>
          <w:sz w:val="24"/>
          <w:szCs w:val="24"/>
        </w:rPr>
      </w:pPr>
      <w:r>
        <w:rPr>
          <w:rFonts w:ascii="Times New Roman" w:hAnsi="Times New Roman" w:cs="Times New Roman"/>
          <w:noProof/>
          <w:sz w:val="24"/>
          <w:szCs w:val="24"/>
        </w:rPr>
        <w:t>Group focusing on Economic Policy Objective</w:t>
      </w:r>
    </w:p>
    <w:p w:rsidR="00333A1A" w:rsidRDefault="003D29C9">
      <w:pPr>
        <w:pStyle w:val="ListParagraph"/>
        <w:numPr>
          <w:ilvl w:val="1"/>
          <w:numId w:val="27"/>
        </w:numPr>
        <w:tabs>
          <w:tab w:val="left" w:pos="3261"/>
        </w:tabs>
        <w:spacing w:line="240" w:lineRule="auto"/>
        <w:ind w:hanging="357"/>
        <w:rPr>
          <w:rFonts w:ascii="Times New Roman" w:hAnsi="Times New Roman" w:cs="Times New Roman"/>
          <w:noProof/>
          <w:sz w:val="24"/>
          <w:szCs w:val="24"/>
        </w:rPr>
      </w:pPr>
      <w:r>
        <w:rPr>
          <w:rFonts w:ascii="Times New Roman" w:hAnsi="Times New Roman" w:cs="Times New Roman"/>
          <w:noProof/>
          <w:sz w:val="24"/>
          <w:szCs w:val="24"/>
        </w:rPr>
        <w:t>Group focusing on Environmental Policy Objective</w:t>
      </w:r>
    </w:p>
    <w:p w:rsidR="00333A1A" w:rsidRDefault="003D29C9">
      <w:pPr>
        <w:pStyle w:val="ListParagraph"/>
        <w:numPr>
          <w:ilvl w:val="1"/>
          <w:numId w:val="27"/>
        </w:numPr>
        <w:tabs>
          <w:tab w:val="left" w:pos="3261"/>
        </w:tabs>
        <w:spacing w:line="240" w:lineRule="auto"/>
        <w:ind w:hanging="357"/>
        <w:rPr>
          <w:rFonts w:ascii="Times New Roman" w:hAnsi="Times New Roman" w:cs="Times New Roman"/>
          <w:noProof/>
          <w:sz w:val="24"/>
          <w:szCs w:val="24"/>
        </w:rPr>
      </w:pPr>
      <w:r>
        <w:rPr>
          <w:rFonts w:ascii="Times New Roman" w:hAnsi="Times New Roman" w:cs="Times New Roman"/>
          <w:noProof/>
          <w:sz w:val="24"/>
          <w:szCs w:val="24"/>
        </w:rPr>
        <w:t>Group focusing on Social Policy Objective</w:t>
      </w:r>
    </w:p>
    <w:p w:rsidR="00333A1A" w:rsidRDefault="003D29C9">
      <w:pPr>
        <w:pStyle w:val="ListParagraph"/>
        <w:numPr>
          <w:ilvl w:val="0"/>
          <w:numId w:val="25"/>
        </w:numPr>
        <w:tabs>
          <w:tab w:val="left" w:pos="3261"/>
        </w:tabs>
        <w:spacing w:line="240" w:lineRule="auto"/>
        <w:ind w:hanging="357"/>
        <w:rPr>
          <w:rFonts w:ascii="Times New Roman" w:hAnsi="Times New Roman" w:cs="Times New Roman"/>
          <w:noProof/>
          <w:sz w:val="24"/>
          <w:szCs w:val="24"/>
        </w:rPr>
      </w:pPr>
      <w:r>
        <w:rPr>
          <w:rFonts w:ascii="Times New Roman" w:hAnsi="Times New Roman" w:cs="Times New Roman"/>
          <w:noProof/>
          <w:sz w:val="24"/>
          <w:szCs w:val="24"/>
        </w:rPr>
        <w:t>For efficiency</w:t>
      </w:r>
    </w:p>
    <w:p w:rsidR="00333A1A" w:rsidRDefault="003D29C9">
      <w:pPr>
        <w:pStyle w:val="ListParagraph"/>
        <w:numPr>
          <w:ilvl w:val="1"/>
          <w:numId w:val="27"/>
        </w:numPr>
        <w:tabs>
          <w:tab w:val="left" w:pos="3261"/>
        </w:tabs>
        <w:spacing w:line="240" w:lineRule="auto"/>
        <w:ind w:hanging="357"/>
        <w:rPr>
          <w:rFonts w:ascii="Times New Roman" w:hAnsi="Times New Roman" w:cs="Times New Roman"/>
          <w:noProof/>
          <w:sz w:val="24"/>
          <w:szCs w:val="24"/>
        </w:rPr>
      </w:pPr>
      <w:r>
        <w:rPr>
          <w:rFonts w:ascii="Times New Roman" w:hAnsi="Times New Roman" w:cs="Times New Roman"/>
          <w:noProof/>
          <w:sz w:val="24"/>
          <w:szCs w:val="24"/>
        </w:rPr>
        <w:t>Group focusing on Simplification objective</w:t>
      </w:r>
    </w:p>
    <w:p w:rsidR="00333A1A" w:rsidRDefault="003D29C9">
      <w:pPr>
        <w:pStyle w:val="ListParagraph"/>
        <w:numPr>
          <w:ilvl w:val="0"/>
          <w:numId w:val="25"/>
        </w:numPr>
        <w:tabs>
          <w:tab w:val="left" w:pos="3261"/>
        </w:tabs>
        <w:spacing w:line="240" w:lineRule="auto"/>
        <w:ind w:hanging="357"/>
        <w:rPr>
          <w:rFonts w:ascii="Times New Roman" w:hAnsi="Times New Roman" w:cs="Times New Roman"/>
          <w:noProof/>
          <w:sz w:val="24"/>
          <w:szCs w:val="24"/>
        </w:rPr>
      </w:pPr>
      <w:r>
        <w:rPr>
          <w:rFonts w:ascii="Times New Roman" w:hAnsi="Times New Roman" w:cs="Times New Roman"/>
          <w:noProof/>
          <w:sz w:val="24"/>
          <w:szCs w:val="24"/>
        </w:rPr>
        <w:t>For Future Proofing</w:t>
      </w:r>
    </w:p>
    <w:p w:rsidR="00333A1A" w:rsidRDefault="003D29C9">
      <w:pPr>
        <w:pStyle w:val="ListParagraph"/>
        <w:numPr>
          <w:ilvl w:val="1"/>
          <w:numId w:val="27"/>
        </w:numPr>
        <w:tabs>
          <w:tab w:val="left" w:pos="3261"/>
        </w:tabs>
        <w:spacing w:line="240" w:lineRule="auto"/>
        <w:ind w:hanging="357"/>
        <w:rPr>
          <w:rFonts w:ascii="Times New Roman" w:hAnsi="Times New Roman" w:cs="Times New Roman"/>
          <w:noProof/>
          <w:sz w:val="24"/>
          <w:szCs w:val="24"/>
        </w:rPr>
      </w:pPr>
      <w:r>
        <w:rPr>
          <w:rFonts w:ascii="Times New Roman" w:hAnsi="Times New Roman" w:cs="Times New Roman"/>
          <w:noProof/>
          <w:sz w:val="24"/>
          <w:szCs w:val="24"/>
        </w:rPr>
        <w:t>Group focusing on Modernization objective</w:t>
      </w:r>
    </w:p>
    <w:p w:rsidR="00333A1A" w:rsidRDefault="003D29C9">
      <w:pPr>
        <w:pStyle w:val="Text1"/>
        <w:ind w:left="0"/>
        <w:rPr>
          <w:noProof/>
        </w:rPr>
      </w:pPr>
      <w:r>
        <w:rPr>
          <w:noProof/>
        </w:rPr>
        <w:t>The JRC experts were also involved since spring 2017 in many of the group discussions regarding the Environmental Policy Objective. They also participa</w:t>
      </w:r>
      <w:r>
        <w:rPr>
          <w:noProof/>
        </w:rPr>
        <w:t>ted in the preparation of fiches and the scoring exercise.</w:t>
      </w:r>
    </w:p>
    <w:p w:rsidR="00333A1A" w:rsidRDefault="003D29C9">
      <w:pPr>
        <w:rPr>
          <w:rFonts w:ascii="Times New Roman" w:eastAsia="Times New Roman" w:hAnsi="Times New Roman" w:cs="Times New Roman"/>
          <w:noProof/>
          <w:sz w:val="24"/>
          <w:szCs w:val="20"/>
        </w:rPr>
      </w:pPr>
      <w:r>
        <w:rPr>
          <w:noProof/>
        </w:rPr>
        <w:br w:type="page"/>
      </w:r>
    </w:p>
    <w:p w:rsidR="00333A1A" w:rsidRDefault="003D29C9">
      <w:pPr>
        <w:pStyle w:val="Text1"/>
        <w:ind w:left="0"/>
        <w:rPr>
          <w:noProof/>
        </w:rPr>
      </w:pPr>
      <w:r>
        <w:rPr>
          <w:noProof/>
        </w:rPr>
        <w:t>The overall followed procedure is:</w:t>
      </w:r>
    </w:p>
    <w:p w:rsidR="00333A1A" w:rsidRDefault="003D29C9">
      <w:pPr>
        <w:pStyle w:val="Heading3"/>
        <w:rPr>
          <w:noProof/>
        </w:rPr>
      </w:pPr>
      <w:bookmarkStart w:id="249" w:name="_Toc508286143"/>
      <w:r>
        <w:rPr>
          <w:noProof/>
        </w:rPr>
        <w:t>Step 1: identification of options</w:t>
      </w:r>
      <w:bookmarkEnd w:id="249"/>
    </w:p>
    <w:p w:rsidR="00333A1A" w:rsidRDefault="003D29C9">
      <w:pPr>
        <w:pStyle w:val="Text1"/>
        <w:ind w:left="0"/>
        <w:rPr>
          <w:noProof/>
        </w:rPr>
      </w:pPr>
      <w:r>
        <w:rPr>
          <w:noProof/>
        </w:rPr>
        <w:t>5 options, including 2 sub-options, the current CAP baseline for EU27 and a baseline with linear cuts (after Brexit), are comp</w:t>
      </w:r>
      <w:r>
        <w:rPr>
          <w:noProof/>
        </w:rPr>
        <w:t>ared. Effects of the No CAP scenario are described in Scenar 2030</w:t>
      </w:r>
      <w:r>
        <w:rPr>
          <w:noProof/>
          <w:vertAlign w:val="superscript"/>
        </w:rPr>
        <w:footnoteReference w:id="71"/>
      </w:r>
      <w:r>
        <w:rPr>
          <w:noProof/>
        </w:rPr>
        <w:t>. Alternative options are described in detail in Annex 5.1. Each option contains the same/different elements/instruments. The design and combination of these instruments determines an option</w:t>
      </w:r>
      <w:r>
        <w:rPr>
          <w:noProof/>
        </w:rPr>
        <w:t>'s ability to reach the set objectives.</w:t>
      </w:r>
    </w:p>
    <w:p w:rsidR="00333A1A" w:rsidRDefault="003D29C9">
      <w:pPr>
        <w:pStyle w:val="Caption"/>
        <w:keepNext/>
        <w:rPr>
          <w:rFonts w:ascii="Times New Roman" w:hAnsi="Times New Roman" w:cs="Times New Roman"/>
          <w:noProof/>
          <w:color w:val="auto"/>
          <w:sz w:val="22"/>
        </w:rPr>
      </w:pPr>
      <w:r>
        <w:rPr>
          <w:rFonts w:ascii="Times New Roman" w:hAnsi="Times New Roman" w:cs="Times New Roman"/>
          <w:noProof/>
          <w:color w:val="auto"/>
          <w:sz w:val="22"/>
        </w:rPr>
        <w:t xml:space="preserve">Figure </w:t>
      </w:r>
      <w:r>
        <w:rPr>
          <w:rFonts w:ascii="Times New Roman" w:hAnsi="Times New Roman" w:cs="Times New Roman"/>
          <w:noProof/>
          <w:color w:val="auto"/>
          <w:sz w:val="22"/>
        </w:rPr>
        <w:fldChar w:fldCharType="begin"/>
      </w:r>
      <w:r>
        <w:rPr>
          <w:rFonts w:ascii="Times New Roman" w:hAnsi="Times New Roman" w:cs="Times New Roman"/>
          <w:noProof/>
          <w:color w:val="auto"/>
          <w:sz w:val="22"/>
        </w:rPr>
        <w:instrText xml:space="preserve"> SEQ Figure \* ARABIC </w:instrText>
      </w:r>
      <w:r>
        <w:rPr>
          <w:rFonts w:ascii="Times New Roman" w:hAnsi="Times New Roman" w:cs="Times New Roman"/>
          <w:noProof/>
          <w:color w:val="auto"/>
          <w:sz w:val="22"/>
        </w:rPr>
        <w:fldChar w:fldCharType="separate"/>
      </w:r>
      <w:r>
        <w:rPr>
          <w:rFonts w:ascii="Times New Roman" w:hAnsi="Times New Roman" w:cs="Times New Roman"/>
          <w:noProof/>
          <w:color w:val="auto"/>
          <w:sz w:val="22"/>
        </w:rPr>
        <w:t>4</w:t>
      </w:r>
      <w:r>
        <w:rPr>
          <w:rFonts w:ascii="Times New Roman" w:hAnsi="Times New Roman" w:cs="Times New Roman"/>
          <w:noProof/>
          <w:color w:val="auto"/>
          <w:sz w:val="22"/>
        </w:rPr>
        <w:fldChar w:fldCharType="end"/>
      </w:r>
      <w:r>
        <w:rPr>
          <w:rFonts w:ascii="Times New Roman" w:hAnsi="Times New Roman" w:cs="Times New Roman"/>
          <w:noProof/>
          <w:color w:val="auto"/>
          <w:sz w:val="22"/>
        </w:rPr>
        <w:t>. Synthetic overview of the options</w:t>
      </w:r>
    </w:p>
    <w:p w:rsidR="00333A1A" w:rsidRDefault="003D29C9">
      <w:pPr>
        <w:rPr>
          <w:noProof/>
        </w:rPr>
      </w:pPr>
      <w:r>
        <w:rPr>
          <w:noProof/>
          <w:lang w:eastAsia="en-GB"/>
        </w:rPr>
        <w:drawing>
          <wp:inline distT="0" distB="0" distL="0" distR="0" wp14:anchorId="4FA74E08" wp14:editId="60697B52">
            <wp:extent cx="5472430" cy="29933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72430" cy="2993372"/>
                    </a:xfrm>
                    <a:prstGeom prst="rect">
                      <a:avLst/>
                    </a:prstGeom>
                  </pic:spPr>
                </pic:pic>
              </a:graphicData>
            </a:graphic>
          </wp:inline>
        </w:drawing>
      </w:r>
    </w:p>
    <w:p w:rsidR="00333A1A" w:rsidRDefault="003D29C9">
      <w:pPr>
        <w:pStyle w:val="Heading3"/>
        <w:rPr>
          <w:noProof/>
        </w:rPr>
      </w:pPr>
      <w:bookmarkStart w:id="250" w:name="_Toc508286144"/>
      <w:r>
        <w:rPr>
          <w:noProof/>
        </w:rPr>
        <w:t>Step 2: construction of value tree</w:t>
      </w:r>
      <w:bookmarkEnd w:id="250"/>
    </w:p>
    <w:p w:rsidR="00333A1A" w:rsidRDefault="003D29C9">
      <w:pPr>
        <w:pStyle w:val="Text1"/>
        <w:ind w:left="0"/>
        <w:rPr>
          <w:noProof/>
        </w:rPr>
      </w:pPr>
      <w:r>
        <w:rPr>
          <w:noProof/>
        </w:rPr>
        <w:t xml:space="preserve">Starting from the identified main CAP objectives (MO), the specific objectives (SO) and the Operational </w:t>
      </w:r>
      <w:r>
        <w:rPr>
          <w:noProof/>
        </w:rPr>
        <w:t>Objectives (OO) associated to each SO (see Annex), a value tree is constructed. These OOs are also considered as criteria entering the MCA. The value tree links criteria (or OOs) to specific objectives and specific objectives to a main objective.</w:t>
      </w:r>
    </w:p>
    <w:p w:rsidR="00333A1A" w:rsidRDefault="003D29C9">
      <w:pPr>
        <w:pStyle w:val="Heading3"/>
        <w:rPr>
          <w:noProof/>
        </w:rPr>
      </w:pPr>
      <w:bookmarkStart w:id="251" w:name="_Toc508286145"/>
      <w:r>
        <w:rPr>
          <w:noProof/>
        </w:rPr>
        <w:t>Step 3: i</w:t>
      </w:r>
      <w:r>
        <w:rPr>
          <w:noProof/>
        </w:rPr>
        <w:t>dentification of criterion properties</w:t>
      </w:r>
      <w:bookmarkEnd w:id="251"/>
    </w:p>
    <w:p w:rsidR="00333A1A" w:rsidRDefault="003D29C9">
      <w:pPr>
        <w:pStyle w:val="Text1"/>
        <w:ind w:left="0"/>
        <w:rPr>
          <w:noProof/>
        </w:rPr>
      </w:pPr>
      <w:r>
        <w:rPr>
          <w:noProof/>
        </w:rPr>
        <w:t>Criteria are equal to the Operational Objectives. Depending on the criterion, we can distinguish between 3 situations:</w:t>
      </w:r>
    </w:p>
    <w:p w:rsidR="00333A1A" w:rsidRDefault="003D29C9">
      <w:pPr>
        <w:pStyle w:val="Text1"/>
        <w:keepNext/>
        <w:ind w:left="0"/>
        <w:rPr>
          <w:b/>
          <w:noProof/>
        </w:rPr>
      </w:pPr>
      <w:r>
        <w:rPr>
          <w:b/>
          <w:noProof/>
        </w:rPr>
        <w:t xml:space="preserve">1. The criterion has quantitative performance levels </w:t>
      </w:r>
    </w:p>
    <w:p w:rsidR="00333A1A" w:rsidRDefault="003D29C9">
      <w:pPr>
        <w:pStyle w:val="Text1"/>
        <w:ind w:left="0"/>
        <w:rPr>
          <w:noProof/>
        </w:rPr>
      </w:pPr>
      <w:r>
        <w:rPr>
          <w:noProof/>
        </w:rPr>
        <w:t>This is the case when a model-driven score can be obtained for the options. Minimum and maximum levels for the criterion are based on the model outcome for the different options or on legal requirements/EU targets. By means of a transformation function (li</w:t>
      </w:r>
      <w:r>
        <w:rPr>
          <w:noProof/>
        </w:rPr>
        <w:t xml:space="preserve">near, exponential, logarithmic, stepwise,…), the option scores are translated to scores between zero (for the minimum) and hundred (for the maximum).  </w:t>
      </w:r>
    </w:p>
    <w:p w:rsidR="00333A1A" w:rsidRDefault="003D29C9">
      <w:pPr>
        <w:pStyle w:val="Text1"/>
        <w:ind w:left="0"/>
        <w:rPr>
          <w:b/>
          <w:noProof/>
        </w:rPr>
      </w:pPr>
      <w:r>
        <w:rPr>
          <w:b/>
          <w:noProof/>
        </w:rPr>
        <w:t>2. The criterion has qualitative performance levels which allow ranking</w:t>
      </w:r>
    </w:p>
    <w:p w:rsidR="00333A1A" w:rsidRDefault="003D29C9">
      <w:pPr>
        <w:pStyle w:val="Text1"/>
        <w:ind w:left="0"/>
        <w:rPr>
          <w:noProof/>
        </w:rPr>
      </w:pPr>
      <w:r>
        <w:rPr>
          <w:noProof/>
        </w:rPr>
        <w:t xml:space="preserve">Examples are: the situation has </w:t>
      </w:r>
      <w:r>
        <w:rPr>
          <w:noProof/>
        </w:rPr>
        <w:t>much improved, status quo, worsened etc. These qualitative levels are translated to scores between 0 and 100 based on a (linear) transformation function.</w:t>
      </w:r>
    </w:p>
    <w:p w:rsidR="00333A1A" w:rsidRDefault="003D29C9">
      <w:pPr>
        <w:pStyle w:val="Text1"/>
        <w:ind w:left="0"/>
        <w:rPr>
          <w:b/>
          <w:noProof/>
        </w:rPr>
      </w:pPr>
      <w:r>
        <w:rPr>
          <w:b/>
          <w:noProof/>
        </w:rPr>
        <w:t>3. No qualitative performance levels can be assigned to the criterion</w:t>
      </w:r>
    </w:p>
    <w:p w:rsidR="00333A1A" w:rsidRDefault="003D29C9">
      <w:pPr>
        <w:pStyle w:val="Text1"/>
        <w:spacing w:after="0"/>
        <w:ind w:left="0"/>
        <w:rPr>
          <w:noProof/>
        </w:rPr>
      </w:pPr>
      <w:r>
        <w:rPr>
          <w:noProof/>
        </w:rPr>
        <w:t xml:space="preserve">When a criterion is too complex </w:t>
      </w:r>
      <w:r>
        <w:rPr>
          <w:noProof/>
        </w:rPr>
        <w:t>to assign ordinal levels to it, options are directly compared against each other. This approach was used most frequently. This is done as such:</w:t>
      </w:r>
    </w:p>
    <w:p w:rsidR="00333A1A" w:rsidRDefault="003D29C9">
      <w:pPr>
        <w:pStyle w:val="ListParagraph"/>
        <w:numPr>
          <w:ilvl w:val="0"/>
          <w:numId w:val="25"/>
        </w:numPr>
        <w:tabs>
          <w:tab w:val="left" w:pos="3261"/>
        </w:tabs>
        <w:spacing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Within the group of experts, evidence is presented on how options perform against the criterion. This evidence i</w:t>
      </w:r>
      <w:r>
        <w:rPr>
          <w:rFonts w:ascii="Times New Roman" w:hAnsi="Times New Roman" w:cs="Times New Roman"/>
          <w:noProof/>
          <w:sz w:val="24"/>
          <w:szCs w:val="24"/>
        </w:rPr>
        <w:t>s based on internal and external analysis, scientific papers, H2020 insights, evaluations, DG AGRI and EP studies, grey literature and informed by the intervention logic (explaining the link between instruments in options and specific objectives).</w:t>
      </w:r>
    </w:p>
    <w:p w:rsidR="00333A1A" w:rsidRDefault="003D29C9">
      <w:pPr>
        <w:pStyle w:val="ListParagraph"/>
        <w:numPr>
          <w:ilvl w:val="0"/>
          <w:numId w:val="25"/>
        </w:numPr>
        <w:tabs>
          <w:tab w:val="left" w:pos="3261"/>
        </w:tabs>
        <w:spacing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Based on</w:t>
      </w:r>
      <w:r>
        <w:rPr>
          <w:rFonts w:ascii="Times New Roman" w:hAnsi="Times New Roman" w:cs="Times New Roman"/>
          <w:noProof/>
          <w:sz w:val="24"/>
          <w:szCs w:val="24"/>
        </w:rPr>
        <w:t xml:space="preserve"> group expert judgement, options are ranked from best to worst. </w:t>
      </w:r>
    </w:p>
    <w:p w:rsidR="00333A1A" w:rsidRDefault="003D29C9">
      <w:pPr>
        <w:pStyle w:val="ListParagraph"/>
        <w:numPr>
          <w:ilvl w:val="0"/>
          <w:numId w:val="25"/>
        </w:numPr>
        <w:tabs>
          <w:tab w:val="left" w:pos="3261"/>
        </w:tabs>
        <w:spacing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Based on group expert judgement, a preference matrix is completed. This matrix expresses how strongly (varying from extreme to no preference) the best performing option is preferred over the </w:t>
      </w:r>
      <w:r>
        <w:rPr>
          <w:rFonts w:ascii="Times New Roman" w:hAnsi="Times New Roman" w:cs="Times New Roman"/>
          <w:noProof/>
          <w:sz w:val="24"/>
          <w:szCs w:val="24"/>
        </w:rPr>
        <w:t>second best and so on.</w:t>
      </w:r>
    </w:p>
    <w:p w:rsidR="00333A1A" w:rsidRDefault="003D29C9">
      <w:pPr>
        <w:pStyle w:val="ListParagraph"/>
        <w:numPr>
          <w:ilvl w:val="0"/>
          <w:numId w:val="25"/>
        </w:numPr>
        <w:tabs>
          <w:tab w:val="left" w:pos="3261"/>
        </w:tabs>
        <w:spacing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Based on these qualitative scorings, a software based consistency check is performed and quantitative scores are calculated for the options by means of linear programming.</w:t>
      </w:r>
    </w:p>
    <w:p w:rsidR="00333A1A" w:rsidRDefault="003D29C9">
      <w:pPr>
        <w:pStyle w:val="ListParagraph"/>
        <w:numPr>
          <w:ilvl w:val="0"/>
          <w:numId w:val="25"/>
        </w:numPr>
        <w:tabs>
          <w:tab w:val="left" w:pos="3261"/>
        </w:tabs>
        <w:spacing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During this process, notes are taken documenting why the opti</w:t>
      </w:r>
      <w:r>
        <w:rPr>
          <w:rFonts w:ascii="Times New Roman" w:hAnsi="Times New Roman" w:cs="Times New Roman"/>
          <w:noProof/>
          <w:sz w:val="24"/>
          <w:szCs w:val="24"/>
        </w:rPr>
        <w:t>ons are scored as such.</w:t>
      </w:r>
    </w:p>
    <w:p w:rsidR="00333A1A" w:rsidRDefault="003D29C9">
      <w:pPr>
        <w:pStyle w:val="Heading3"/>
        <w:rPr>
          <w:noProof/>
        </w:rPr>
      </w:pPr>
      <w:bookmarkStart w:id="252" w:name="_Toc508286146"/>
      <w:r>
        <w:rPr>
          <w:noProof/>
        </w:rPr>
        <w:t>Step 4: determination of options' scores</w:t>
      </w:r>
      <w:bookmarkEnd w:id="252"/>
    </w:p>
    <w:p w:rsidR="00333A1A" w:rsidRDefault="003D29C9">
      <w:pPr>
        <w:pStyle w:val="Text1"/>
        <w:ind w:left="0"/>
        <w:rPr>
          <w:noProof/>
        </w:rPr>
      </w:pPr>
      <w:r>
        <w:rPr>
          <w:noProof/>
        </w:rPr>
        <w:t>When a model-based quantitative score for the options is available, the scores immediately emerge after entering these in the transformation function accompanying the criterion. When a criter</w:t>
      </w:r>
      <w:r>
        <w:rPr>
          <w:noProof/>
        </w:rPr>
        <w:t>ion has qualitative levels, each option is assigned to a specific level based on group expert judgement, again informed by the intervention logic, the available information sources and a group discussion. The process and choices are well documented in fich</w:t>
      </w:r>
      <w:r>
        <w:rPr>
          <w:noProof/>
        </w:rPr>
        <w:t xml:space="preserve">es. For options directly scored against a criterion, we refer to step 3.3. </w:t>
      </w:r>
    </w:p>
    <w:p w:rsidR="00333A1A" w:rsidRDefault="003D29C9">
      <w:pPr>
        <w:pStyle w:val="Heading3"/>
        <w:rPr>
          <w:noProof/>
        </w:rPr>
      </w:pPr>
      <w:bookmarkStart w:id="253" w:name="_Toc508286147"/>
      <w:r>
        <w:rPr>
          <w:noProof/>
        </w:rPr>
        <w:t>Step 5: determination of weights for criteria and objectives</w:t>
      </w:r>
      <w:bookmarkEnd w:id="253"/>
    </w:p>
    <w:p w:rsidR="00333A1A" w:rsidRDefault="003D29C9">
      <w:pPr>
        <w:pStyle w:val="Text1"/>
        <w:ind w:left="0"/>
        <w:rPr>
          <w:noProof/>
        </w:rPr>
      </w:pPr>
      <w:r>
        <w:rPr>
          <w:noProof/>
        </w:rPr>
        <w:t xml:space="preserve">The weighing aims to give a different importance to different criteria depending on their contribution to the specific </w:t>
      </w:r>
      <w:r>
        <w:rPr>
          <w:noProof/>
        </w:rPr>
        <w:t xml:space="preserve">and main objectives. A stepwise approach is applied: first the criteria within a specific objective are weighed, and after that the specific objectives within the main policy objectives. </w:t>
      </w:r>
    </w:p>
    <w:p w:rsidR="00333A1A" w:rsidRDefault="003D29C9">
      <w:pPr>
        <w:pStyle w:val="Text1"/>
        <w:ind w:left="0"/>
        <w:rPr>
          <w:noProof/>
        </w:rPr>
      </w:pPr>
      <w:r>
        <w:rPr>
          <w:noProof/>
        </w:rPr>
        <w:t>Each individual expert provided weights together with a justificatio</w:t>
      </w:r>
      <w:r>
        <w:rPr>
          <w:noProof/>
        </w:rPr>
        <w:t xml:space="preserve">n. The final weights applied were obtained by averaging over the weights assigned by the individual experts. This step is informed by relevant studies and literature, and the reasoning to come to a certain scoring is documented. </w:t>
      </w:r>
    </w:p>
    <w:p w:rsidR="00333A1A" w:rsidRDefault="003D29C9">
      <w:pPr>
        <w:pStyle w:val="Heading3"/>
        <w:rPr>
          <w:noProof/>
        </w:rPr>
      </w:pPr>
      <w:bookmarkStart w:id="254" w:name="_Toc508286148"/>
      <w:r>
        <w:rPr>
          <w:noProof/>
        </w:rPr>
        <w:t>Step 6: analysis of result</w:t>
      </w:r>
      <w:r>
        <w:rPr>
          <w:noProof/>
        </w:rPr>
        <w:t>s</w:t>
      </w:r>
      <w:bookmarkEnd w:id="254"/>
    </w:p>
    <w:p w:rsidR="00333A1A" w:rsidRDefault="003D29C9">
      <w:pPr>
        <w:pStyle w:val="Text1"/>
        <w:ind w:left="0"/>
        <w:rPr>
          <w:noProof/>
        </w:rPr>
      </w:pPr>
      <w:r>
        <w:rPr>
          <w:noProof/>
        </w:rPr>
        <w:t>In a final step, both overall scores of the options as well as the scores on particular criteria can be analysed.</w:t>
      </w:r>
    </w:p>
    <w:p w:rsidR="00333A1A" w:rsidRDefault="003D29C9">
      <w:pPr>
        <w:pStyle w:val="Text1"/>
        <w:ind w:left="0"/>
        <w:rPr>
          <w:noProof/>
        </w:rPr>
      </w:pPr>
      <w:r>
        <w:rPr>
          <w:noProof/>
        </w:rPr>
        <w:t xml:space="preserve">An overall robustness check shows how robust the obtained result is, i.e. whether an option strictly dominates another (scores better on all criteria) or additively (scores better on some but not on others). </w:t>
      </w:r>
    </w:p>
    <w:p w:rsidR="00333A1A" w:rsidRDefault="003D29C9">
      <w:pPr>
        <w:pStyle w:val="Text1"/>
        <w:ind w:left="0"/>
        <w:rPr>
          <w:noProof/>
        </w:rPr>
      </w:pPr>
      <w:r>
        <w:rPr>
          <w:noProof/>
        </w:rPr>
        <w:t>To analyse the importance of the applied weight</w:t>
      </w:r>
      <w:r>
        <w:rPr>
          <w:noProof/>
        </w:rPr>
        <w:t xml:space="preserve">s, sensitivity analysis is performed. This analysis reveals with how much the weight of a criterion should change for 2 options to switch position. </w:t>
      </w:r>
    </w:p>
    <w:p w:rsidR="00333A1A" w:rsidRDefault="003D29C9">
      <w:pPr>
        <w:pStyle w:val="Caption"/>
        <w:keepNext/>
        <w:rPr>
          <w:rFonts w:ascii="Times New Roman" w:hAnsi="Times New Roman" w:cs="Times New Roman"/>
          <w:b w:val="0"/>
          <w:noProof/>
          <w:color w:val="auto"/>
          <w:sz w:val="22"/>
        </w:rPr>
      </w:pPr>
      <w:r>
        <w:rPr>
          <w:rFonts w:ascii="Times New Roman" w:hAnsi="Times New Roman" w:cs="Times New Roman"/>
          <w:noProof/>
          <w:color w:val="auto"/>
          <w:sz w:val="22"/>
        </w:rPr>
        <w:t xml:space="preserve">Figure </w:t>
      </w:r>
      <w:r>
        <w:rPr>
          <w:rFonts w:ascii="Times New Roman" w:hAnsi="Times New Roman" w:cs="Times New Roman"/>
          <w:noProof/>
          <w:color w:val="auto"/>
          <w:sz w:val="22"/>
        </w:rPr>
        <w:fldChar w:fldCharType="begin"/>
      </w:r>
      <w:r>
        <w:rPr>
          <w:rFonts w:ascii="Times New Roman" w:hAnsi="Times New Roman" w:cs="Times New Roman"/>
          <w:noProof/>
          <w:color w:val="auto"/>
          <w:sz w:val="22"/>
        </w:rPr>
        <w:instrText xml:space="preserve"> SEQ Figure \* ARABIC </w:instrText>
      </w:r>
      <w:r>
        <w:rPr>
          <w:rFonts w:ascii="Times New Roman" w:hAnsi="Times New Roman" w:cs="Times New Roman"/>
          <w:noProof/>
          <w:color w:val="auto"/>
          <w:sz w:val="22"/>
        </w:rPr>
        <w:fldChar w:fldCharType="separate"/>
      </w:r>
      <w:r>
        <w:rPr>
          <w:rFonts w:ascii="Times New Roman" w:hAnsi="Times New Roman" w:cs="Times New Roman"/>
          <w:noProof/>
          <w:color w:val="auto"/>
          <w:sz w:val="22"/>
        </w:rPr>
        <w:t>5</w:t>
      </w:r>
      <w:r>
        <w:rPr>
          <w:rFonts w:ascii="Times New Roman" w:hAnsi="Times New Roman" w:cs="Times New Roman"/>
          <w:noProof/>
          <w:color w:val="auto"/>
          <w:sz w:val="22"/>
        </w:rPr>
        <w:fldChar w:fldCharType="end"/>
      </w:r>
      <w:r>
        <w:rPr>
          <w:rFonts w:ascii="Times New Roman" w:hAnsi="Times New Roman" w:cs="Times New Roman"/>
          <w:noProof/>
          <w:color w:val="auto"/>
          <w:sz w:val="22"/>
        </w:rPr>
        <w:t>. Example of scoring exercise for Economic Operational Objective 2.1</w:t>
      </w:r>
    </w:p>
    <w:p w:rsidR="00333A1A" w:rsidRDefault="003D29C9">
      <w:pPr>
        <w:rPr>
          <w:noProof/>
        </w:rPr>
      </w:pPr>
      <w:r>
        <w:rPr>
          <w:noProof/>
          <w:lang w:eastAsia="en-GB"/>
        </w:rPr>
        <w:drawing>
          <wp:inline distT="0" distB="0" distL="0" distR="0" wp14:anchorId="49ACE0A4" wp14:editId="0832C3FB">
            <wp:extent cx="5472430" cy="3009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MCA ECO OO2.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72430" cy="3009265"/>
                    </a:xfrm>
                    <a:prstGeom prst="rect">
                      <a:avLst/>
                    </a:prstGeom>
                  </pic:spPr>
                </pic:pic>
              </a:graphicData>
            </a:graphic>
          </wp:inline>
        </w:drawing>
      </w:r>
    </w:p>
    <w:p w:rsidR="00333A1A" w:rsidRDefault="00333A1A">
      <w:pPr>
        <w:rPr>
          <w:noProof/>
        </w:rPr>
      </w:pPr>
    </w:p>
    <w:p w:rsidR="00333A1A" w:rsidRDefault="00333A1A">
      <w:pPr>
        <w:rPr>
          <w:noProof/>
        </w:rPr>
      </w:pPr>
    </w:p>
    <w:p w:rsidR="00333A1A" w:rsidRDefault="00333A1A">
      <w:pPr>
        <w:rPr>
          <w:noProof/>
        </w:rPr>
      </w:pPr>
    </w:p>
    <w:p w:rsidR="00333A1A" w:rsidRDefault="00333A1A">
      <w:pPr>
        <w:rPr>
          <w:noProof/>
        </w:rPr>
      </w:pPr>
    </w:p>
    <w:p w:rsidR="00333A1A" w:rsidRDefault="003D29C9">
      <w:pPr>
        <w:rPr>
          <w:b/>
          <w:noProof/>
        </w:rPr>
      </w:pPr>
      <w:r>
        <w:rPr>
          <w:b/>
          <w:noProof/>
        </w:rPr>
        <w:br w:type="page"/>
      </w:r>
    </w:p>
    <w:p w:rsidR="00333A1A" w:rsidRDefault="003D29C9">
      <w:pPr>
        <w:pStyle w:val="AnnexTitle"/>
        <w:rPr>
          <w:noProof/>
        </w:rPr>
      </w:pPr>
      <w:bookmarkStart w:id="255" w:name="_Toc513053299"/>
      <w:bookmarkStart w:id="256" w:name="_Toc513053515"/>
      <w:bookmarkStart w:id="257" w:name="_Toc514514646"/>
      <w:r>
        <w:rPr>
          <w:noProof/>
        </w:rPr>
        <w:t>Annex 5.3: Objectives used in the MCA</w:t>
      </w:r>
      <w:bookmarkEnd w:id="255"/>
      <w:bookmarkEnd w:id="256"/>
      <w:bookmarkEnd w:id="257"/>
    </w:p>
    <w:tbl>
      <w:tblPr>
        <w:tblW w:w="5000" w:type="pct"/>
        <w:tblLayout w:type="fixed"/>
        <w:tblLook w:val="04A0" w:firstRow="1" w:lastRow="0" w:firstColumn="1" w:lastColumn="0" w:noHBand="0" w:noVBand="1"/>
      </w:tblPr>
      <w:tblGrid>
        <w:gridCol w:w="2094"/>
        <w:gridCol w:w="2975"/>
        <w:gridCol w:w="3765"/>
      </w:tblGrid>
      <w:tr w:rsidR="00333A1A">
        <w:trPr>
          <w:trHeight w:val="315"/>
          <w:tblHead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33A1A" w:rsidRDefault="003D29C9">
            <w:pPr>
              <w:spacing w:after="0"/>
              <w:jc w:val="center"/>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Impact Assessment</w:t>
            </w:r>
          </w:p>
        </w:tc>
      </w:tr>
      <w:tr w:rsidR="00333A1A">
        <w:trPr>
          <w:trHeight w:val="315"/>
          <w:tblHeader/>
        </w:trPr>
        <w:tc>
          <w:tcPr>
            <w:tcW w:w="1185" w:type="pct"/>
            <w:tcBorders>
              <w:top w:val="nil"/>
              <w:left w:val="single" w:sz="8" w:space="0" w:color="auto"/>
              <w:bottom w:val="single" w:sz="8" w:space="0" w:color="auto"/>
              <w:right w:val="single"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Policy objectives</w:t>
            </w:r>
          </w:p>
        </w:tc>
        <w:tc>
          <w:tcPr>
            <w:tcW w:w="1684" w:type="pct"/>
            <w:tcBorders>
              <w:top w:val="nil"/>
              <w:left w:val="nil"/>
              <w:bottom w:val="single" w:sz="8" w:space="0" w:color="auto"/>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Specific objectives</w:t>
            </w:r>
          </w:p>
        </w:tc>
        <w:tc>
          <w:tcPr>
            <w:tcW w:w="2130" w:type="pct"/>
            <w:tcBorders>
              <w:top w:val="nil"/>
              <w:left w:val="nil"/>
              <w:bottom w:val="single" w:sz="8" w:space="0" w:color="auto"/>
              <w:right w:val="single" w:sz="8"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Operational objectives</w:t>
            </w:r>
          </w:p>
        </w:tc>
      </w:tr>
      <w:tr w:rsidR="00333A1A">
        <w:trPr>
          <w:trHeight w:val="300"/>
        </w:trPr>
        <w:tc>
          <w:tcPr>
            <w:tcW w:w="1185" w:type="pct"/>
            <w:tcBorders>
              <w:top w:val="dashed" w:sz="4" w:space="0" w:color="auto"/>
              <w:left w:val="single" w:sz="8" w:space="0" w:color="auto"/>
              <w:bottom w:val="nil"/>
              <w:right w:val="single" w:sz="4" w:space="0" w:color="auto"/>
            </w:tcBorders>
            <w:shd w:val="clear" w:color="000000" w:fill="FFFF99"/>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ECO</w:t>
            </w:r>
          </w:p>
        </w:tc>
        <w:tc>
          <w:tcPr>
            <w:tcW w:w="1684" w:type="pct"/>
            <w:tcBorders>
              <w:top w:val="nil"/>
              <w:left w:val="nil"/>
              <w:bottom w:val="nil"/>
              <w:right w:val="dashed" w:sz="4" w:space="0" w:color="auto"/>
            </w:tcBorders>
            <w:shd w:val="clear" w:color="000000" w:fill="FFFF99"/>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000000" w:fill="FFFF99"/>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r>
      <w:tr w:rsidR="00333A1A">
        <w:trPr>
          <w:trHeight w:val="300"/>
        </w:trPr>
        <w:tc>
          <w:tcPr>
            <w:tcW w:w="1185" w:type="pct"/>
            <w:vMerge w:val="restart"/>
            <w:tcBorders>
              <w:top w:val="nil"/>
              <w:left w:val="single" w:sz="8" w:space="0" w:color="auto"/>
              <w:right w:val="single" w:sz="4" w:space="0" w:color="auto"/>
            </w:tcBorders>
            <w:shd w:val="clear" w:color="000000" w:fill="FFFF99"/>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Foster</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a smart and</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resilient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agricultural sector ensuring food security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xml:space="preserve">Support viable farm income and resilience </w:t>
            </w:r>
            <w:r>
              <w:rPr>
                <w:rFonts w:ascii="Times New Roman" w:hAnsi="Times New Roman" w:cs="Times New Roman"/>
                <w:b/>
                <w:bCs/>
                <w:noProof/>
                <w:color w:val="000000"/>
                <w:lang w:eastAsia="en-GB"/>
              </w:rPr>
              <w:t>throughout the territory</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Cope with price volatility</w:t>
            </w:r>
          </w:p>
        </w:tc>
      </w:tr>
      <w:tr w:rsidR="00333A1A">
        <w:trPr>
          <w:trHeight w:val="300"/>
        </w:trPr>
        <w:tc>
          <w:tcPr>
            <w:tcW w:w="1185" w:type="pct"/>
            <w:vMerge/>
            <w:tcBorders>
              <w:left w:val="single" w:sz="8" w:space="0" w:color="auto"/>
              <w:right w:val="single" w:sz="4" w:space="0" w:color="auto"/>
            </w:tcBorders>
            <w:shd w:val="clear" w:color="000000" w:fill="FFFF99"/>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Improve risk management </w:t>
            </w:r>
          </w:p>
        </w:tc>
      </w:tr>
      <w:tr w:rsidR="00333A1A">
        <w:trPr>
          <w:trHeight w:val="300"/>
        </w:trPr>
        <w:tc>
          <w:tcPr>
            <w:tcW w:w="1185" w:type="pct"/>
            <w:vMerge/>
            <w:tcBorders>
              <w:left w:val="single" w:sz="8" w:space="0" w:color="auto"/>
              <w:right w:val="single" w:sz="4" w:space="0" w:color="auto"/>
            </w:tcBorders>
            <w:shd w:val="clear" w:color="000000" w:fill="FFFF99"/>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Provide income support in a targeted way</w:t>
            </w:r>
          </w:p>
        </w:tc>
      </w:tr>
      <w:tr w:rsidR="00333A1A">
        <w:trPr>
          <w:trHeight w:val="300"/>
        </w:trPr>
        <w:tc>
          <w:tcPr>
            <w:tcW w:w="1185" w:type="pct"/>
            <w:vMerge/>
            <w:tcBorders>
              <w:left w:val="single" w:sz="8" w:space="0" w:color="auto"/>
              <w:right w:val="single" w:sz="4" w:space="0" w:color="auto"/>
            </w:tcBorders>
            <w:shd w:val="clear" w:color="000000" w:fill="FFFF99"/>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Increase competitiveness and market orientation</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Productivity and Efficiency gains</w:t>
            </w:r>
          </w:p>
        </w:tc>
      </w:tr>
      <w:tr w:rsidR="00333A1A">
        <w:trPr>
          <w:trHeight w:val="300"/>
        </w:trPr>
        <w:tc>
          <w:tcPr>
            <w:tcW w:w="1185" w:type="pct"/>
            <w:vMerge/>
            <w:tcBorders>
              <w:left w:val="single" w:sz="8" w:space="0" w:color="auto"/>
              <w:right w:val="single" w:sz="4" w:space="0" w:color="auto"/>
            </w:tcBorders>
            <w:shd w:val="clear" w:color="000000" w:fill="FFFF99"/>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Demand-driven production models</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Add value to agricultural products</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Improve farmers position in value chains</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noProof/>
                <w:color w:val="000000"/>
                <w:lang w:eastAsia="en-GB"/>
              </w:rPr>
              <w:t> </w:t>
            </w:r>
          </w:p>
        </w:tc>
        <w:tc>
          <w:tcPr>
            <w:tcW w:w="2130" w:type="pct"/>
            <w:tcBorders>
              <w:top w:val="nil"/>
              <w:left w:val="nil"/>
              <w:bottom w:val="nil"/>
              <w:right w:val="single" w:sz="8"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Strengthen cooperation amongst farmers</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Enhance synergies within value chain</w:t>
            </w:r>
          </w:p>
        </w:tc>
      </w:tr>
      <w:tr w:rsidR="00333A1A">
        <w:trPr>
          <w:trHeight w:val="300"/>
        </w:trPr>
        <w:tc>
          <w:tcPr>
            <w:tcW w:w="1185" w:type="pct"/>
            <w:vMerge/>
            <w:tcBorders>
              <w:left w:val="single" w:sz="8" w:space="0" w:color="auto"/>
              <w:bottom w:val="nil"/>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2130" w:type="pct"/>
            <w:tcBorders>
              <w:top w:val="nil"/>
              <w:left w:val="nil"/>
              <w:bottom w:val="dashed" w:sz="4" w:space="0" w:color="auto"/>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Development of alternative value chains</w:t>
            </w:r>
          </w:p>
        </w:tc>
      </w:tr>
      <w:tr w:rsidR="00333A1A">
        <w:trPr>
          <w:trHeight w:val="405"/>
        </w:trPr>
        <w:tc>
          <w:tcPr>
            <w:tcW w:w="1185" w:type="pct"/>
            <w:tcBorders>
              <w:top w:val="dashed" w:sz="4" w:space="0" w:color="auto"/>
              <w:left w:val="single" w:sz="8" w:space="0" w:color="auto"/>
              <w:bottom w:val="nil"/>
              <w:right w:val="single" w:sz="4" w:space="0" w:color="auto"/>
            </w:tcBorders>
            <w:shd w:val="clear" w:color="000000" w:fill="D8E4BC"/>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ENV-CLIM</w:t>
            </w:r>
          </w:p>
        </w:tc>
        <w:tc>
          <w:tcPr>
            <w:tcW w:w="1684" w:type="pct"/>
            <w:tcBorders>
              <w:top w:val="dashed" w:sz="4" w:space="0" w:color="auto"/>
              <w:left w:val="nil"/>
              <w:bottom w:val="nil"/>
              <w:right w:val="dashed" w:sz="4" w:space="0" w:color="auto"/>
            </w:tcBorders>
            <w:shd w:val="clear" w:color="000000" w:fill="C4D79B"/>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000000" w:fill="C4D79B"/>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r>
      <w:tr w:rsidR="00333A1A">
        <w:trPr>
          <w:trHeight w:val="300"/>
        </w:trPr>
        <w:tc>
          <w:tcPr>
            <w:tcW w:w="1185" w:type="pct"/>
            <w:vMerge w:val="restart"/>
            <w:tcBorders>
              <w:top w:val="nil"/>
              <w:left w:val="single" w:sz="8" w:space="0" w:color="auto"/>
              <w:right w:val="single" w:sz="4" w:space="0" w:color="auto"/>
            </w:tcBorders>
            <w:shd w:val="clear" w:color="000000" w:fill="D8E4BC"/>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Bolster</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environmental care</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and </w:t>
            </w:r>
            <w:r>
              <w:rPr>
                <w:rFonts w:ascii="Times New Roman" w:hAnsi="Times New Roman" w:cs="Times New Roman"/>
                <w:noProof/>
                <w:color w:val="000000"/>
                <w:lang w:eastAsia="en-GB"/>
              </w:rPr>
              <w:t>climate action and contribute to the environmental and climate objectives of the EU</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1684" w:type="pct"/>
            <w:vMerge w:val="restart"/>
            <w:tcBorders>
              <w:top w:val="nil"/>
              <w:left w:val="nil"/>
              <w:right w:val="dashed" w:sz="4" w:space="0" w:color="auto"/>
            </w:tcBorders>
            <w:shd w:val="clear" w:color="auto" w:fill="auto"/>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Contribute to climate change mitigation &amp; adaptation</w:t>
            </w:r>
          </w:p>
          <w:p w:rsidR="00333A1A" w:rsidRDefault="003D29C9">
            <w:pPr>
              <w:spacing w:after="0"/>
              <w:rPr>
                <w:rFonts w:ascii="Times New Roman" w:hAnsi="Times New Roman" w:cs="Times New Roman"/>
                <w:b/>
                <w:bCs/>
                <w:i/>
                <w:iCs/>
                <w:noProof/>
                <w:color w:val="000000"/>
                <w:lang w:eastAsia="en-GB"/>
              </w:rPr>
            </w:pPr>
            <w:r>
              <w:rPr>
                <w:rFonts w:ascii="Times New Roman" w:hAnsi="Times New Roman" w:cs="Times New Roman"/>
                <w:b/>
                <w:bCs/>
                <w:i/>
                <w:i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Prevent/reduce GHG emissions</w:t>
            </w:r>
          </w:p>
        </w:tc>
      </w:tr>
      <w:tr w:rsidR="00333A1A">
        <w:trPr>
          <w:trHeight w:val="300"/>
        </w:trPr>
        <w:tc>
          <w:tcPr>
            <w:tcW w:w="1185" w:type="pct"/>
            <w:vMerge/>
            <w:tcBorders>
              <w:left w:val="single" w:sz="8" w:space="0" w:color="auto"/>
              <w:right w:val="single" w:sz="4" w:space="0" w:color="auto"/>
            </w:tcBorders>
            <w:shd w:val="clear" w:color="000000" w:fill="D8E4BC"/>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i/>
                <w:i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Increase carbon storage</w:t>
            </w:r>
          </w:p>
        </w:tc>
      </w:tr>
      <w:tr w:rsidR="00333A1A">
        <w:trPr>
          <w:trHeight w:val="300"/>
        </w:trPr>
        <w:tc>
          <w:tcPr>
            <w:tcW w:w="1185" w:type="pct"/>
            <w:vMerge/>
            <w:tcBorders>
              <w:left w:val="single" w:sz="8" w:space="0" w:color="auto"/>
              <w:right w:val="single" w:sz="4" w:space="0" w:color="auto"/>
            </w:tcBorders>
            <w:shd w:val="clear" w:color="000000" w:fill="D8E4BC"/>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Enhance farms adaptation capacity</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Foster</w:t>
            </w:r>
            <w:r>
              <w:rPr>
                <w:rFonts w:ascii="Times New Roman" w:hAnsi="Times New Roman" w:cs="Times New Roman"/>
                <w:b/>
                <w:bCs/>
                <w:noProof/>
                <w:color w:val="000000"/>
                <w:lang w:eastAsia="en-GB"/>
              </w:rPr>
              <w:t xml:space="preserve"> sustainable</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and efficient management of resources</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Improve soil condition</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Reduce air pollution</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Improve water quality/use</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Sustainable use of pesticides and antibiotics</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Preserve agricultural genetic resources</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xml:space="preserve">Preserve nature and </w:t>
            </w:r>
            <w:r>
              <w:rPr>
                <w:rFonts w:ascii="Times New Roman" w:hAnsi="Times New Roman" w:cs="Times New Roman"/>
                <w:b/>
                <w:bCs/>
                <w:noProof/>
                <w:color w:val="000000"/>
                <w:lang w:eastAsia="en-GB"/>
              </w:rPr>
              <w:t>landscapes</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Improve farm and forest biodiversity</w:t>
            </w:r>
          </w:p>
        </w:tc>
      </w:tr>
      <w:tr w:rsidR="00333A1A">
        <w:trPr>
          <w:trHeight w:val="600"/>
        </w:trPr>
        <w:tc>
          <w:tcPr>
            <w:tcW w:w="1185" w:type="pct"/>
            <w:vMerge/>
            <w:tcBorders>
              <w:left w:val="single" w:sz="8" w:space="0" w:color="auto"/>
              <w:bottom w:val="nil"/>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dotted" w:sz="4" w:space="0" w:color="auto"/>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dotted" w:sz="4" w:space="0" w:color="auto"/>
              <w:right w:val="single" w:sz="8" w:space="0" w:color="auto"/>
            </w:tcBorders>
            <w:shd w:val="clear" w:color="auto" w:fill="auto"/>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Maintain and improve culturally valued landscapes (including HNV Farming)</w:t>
            </w:r>
          </w:p>
        </w:tc>
      </w:tr>
      <w:tr w:rsidR="00333A1A">
        <w:trPr>
          <w:trHeight w:val="300"/>
        </w:trPr>
        <w:tc>
          <w:tcPr>
            <w:tcW w:w="1185" w:type="pct"/>
            <w:tcBorders>
              <w:top w:val="dashed" w:sz="4" w:space="0" w:color="auto"/>
              <w:left w:val="single" w:sz="8" w:space="0" w:color="auto"/>
              <w:bottom w:val="nil"/>
              <w:right w:val="single" w:sz="4" w:space="0" w:color="auto"/>
            </w:tcBorders>
            <w:shd w:val="clear" w:color="000000" w:fill="B7DEE8"/>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SOCIO</w:t>
            </w:r>
          </w:p>
        </w:tc>
        <w:tc>
          <w:tcPr>
            <w:tcW w:w="1684" w:type="pct"/>
            <w:tcBorders>
              <w:top w:val="nil"/>
              <w:left w:val="nil"/>
              <w:bottom w:val="nil"/>
              <w:right w:val="dashed" w:sz="4" w:space="0" w:color="auto"/>
            </w:tcBorders>
            <w:shd w:val="clear" w:color="000000" w:fill="B7DEE8"/>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000000" w:fill="B7DEE8"/>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r>
      <w:tr w:rsidR="00333A1A">
        <w:trPr>
          <w:trHeight w:val="300"/>
        </w:trPr>
        <w:tc>
          <w:tcPr>
            <w:tcW w:w="1185" w:type="pct"/>
            <w:vMerge w:val="restart"/>
            <w:tcBorders>
              <w:top w:val="nil"/>
              <w:left w:val="single" w:sz="8" w:space="0" w:color="auto"/>
              <w:right w:val="single" w:sz="4" w:space="0" w:color="auto"/>
            </w:tcBorders>
            <w:shd w:val="clear" w:color="000000" w:fill="B7DEE8"/>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Strengthen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the socio-economic</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fabric</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of rural areas</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b/>
                <w:bCs/>
                <w:noProof/>
                <w:color w:val="000000"/>
                <w:lang w:eastAsia="en-GB"/>
              </w:rPr>
              <w:t xml:space="preserve">Attract new farmers and facilitate business </w:t>
            </w:r>
            <w:r>
              <w:rPr>
                <w:rFonts w:ascii="Times New Roman" w:hAnsi="Times New Roman" w:cs="Times New Roman"/>
                <w:b/>
                <w:bCs/>
                <w:noProof/>
                <w:color w:val="000000"/>
                <w:lang w:eastAsia="en-GB"/>
              </w:rPr>
              <w:t>development, as well as generational renewal</w:t>
            </w: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Foster in rural areas</w:t>
            </w:r>
          </w:p>
        </w:tc>
      </w:tr>
      <w:tr w:rsidR="00333A1A">
        <w:trPr>
          <w:trHeight w:val="300"/>
        </w:trPr>
        <w:tc>
          <w:tcPr>
            <w:tcW w:w="1185" w:type="pct"/>
            <w:vMerge/>
            <w:tcBorders>
              <w:left w:val="single" w:sz="8" w:space="0" w:color="auto"/>
              <w:right w:val="single" w:sz="4" w:space="0" w:color="auto"/>
            </w:tcBorders>
            <w:shd w:val="clear" w:color="000000" w:fill="B7DEE8"/>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generational renewal</w:t>
            </w:r>
          </w:p>
        </w:tc>
      </w:tr>
      <w:tr w:rsidR="00333A1A">
        <w:trPr>
          <w:trHeight w:val="300"/>
        </w:trPr>
        <w:tc>
          <w:tcPr>
            <w:tcW w:w="1185" w:type="pct"/>
            <w:vMerge/>
            <w:tcBorders>
              <w:left w:val="single" w:sz="8" w:space="0" w:color="auto"/>
              <w:right w:val="single" w:sz="4" w:space="0" w:color="auto"/>
            </w:tcBorders>
            <w:shd w:val="clear" w:color="000000" w:fill="B7DEE8"/>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xml:space="preserve">Promote employment, growth and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local development in rural areas</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jc w:val="center"/>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auto" w:fill="auto"/>
            <w:noWrap/>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employment</w:t>
            </w:r>
          </w:p>
        </w:tc>
      </w:tr>
      <w:tr w:rsidR="00333A1A">
        <w:trPr>
          <w:trHeight w:val="300"/>
        </w:trPr>
        <w:tc>
          <w:tcPr>
            <w:tcW w:w="1185" w:type="pct"/>
            <w:vMerge/>
            <w:tcBorders>
              <w:left w:val="single" w:sz="8" w:space="0" w:color="auto"/>
              <w:right w:val="single" w:sz="4" w:space="0" w:color="auto"/>
            </w:tcBorders>
            <w:shd w:val="clear" w:color="000000" w:fill="B7DEE8"/>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jc w:val="center"/>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inclusive growth</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jc w:val="center"/>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value added (e.g. bio-economy)</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jc w:val="center"/>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Improve</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jc w:val="center"/>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w:t>
            </w:r>
            <w:r>
              <w:rPr>
                <w:rFonts w:ascii="Times New Roman" w:hAnsi="Times New Roman" w:cs="Times New Roman"/>
                <w:noProof/>
                <w:color w:val="000000"/>
                <w:lang w:eastAsia="en-GB"/>
              </w:rPr>
              <w:t xml:space="preserve">  access to infrastructure</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jc w:val="center"/>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access to services</w:t>
            </w:r>
          </w:p>
          <w:p w:rsidR="00333A1A" w:rsidRDefault="00333A1A">
            <w:pPr>
              <w:spacing w:after="0"/>
              <w:rPr>
                <w:rFonts w:ascii="Times New Roman" w:hAnsi="Times New Roman" w:cs="Times New Roman"/>
                <w:noProof/>
                <w:color w:val="000000"/>
                <w:lang w:eastAsia="en-GB"/>
              </w:rPr>
            </w:pP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contribution to healthier lifestyles</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nil"/>
              <w:right w:val="dashed" w:sz="4" w:space="0" w:color="auto"/>
            </w:tcBorders>
            <w:shd w:val="clear" w:color="auto" w:fill="auto"/>
            <w:noWrap/>
            <w:vAlign w:val="bottom"/>
            <w:hideMark/>
          </w:tcPr>
          <w:p w:rsidR="00333A1A" w:rsidRDefault="00333A1A">
            <w:pPr>
              <w:spacing w:after="0"/>
              <w:jc w:val="center"/>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i/>
                <w:iCs/>
                <w:noProof/>
                <w:color w:val="000000"/>
                <w:lang w:eastAsia="en-GB"/>
              </w:rPr>
            </w:pPr>
            <w:r>
              <w:rPr>
                <w:rFonts w:ascii="Times New Roman" w:hAnsi="Times New Roman" w:cs="Times New Roman"/>
                <w:b/>
                <w:bCs/>
                <w:i/>
                <w:i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Address territorial imbalances,</w:t>
            </w:r>
          </w:p>
          <w:p w:rsidR="00333A1A" w:rsidRDefault="003D29C9">
            <w:pPr>
              <w:spacing w:after="0"/>
              <w:rPr>
                <w:rFonts w:ascii="Times New Roman" w:hAnsi="Times New Roman" w:cs="Times New Roman"/>
                <w:b/>
                <w:bCs/>
                <w:i/>
                <w:iCs/>
                <w:noProof/>
                <w:color w:val="000000"/>
                <w:lang w:eastAsia="en-GB"/>
              </w:rPr>
            </w:pPr>
            <w:r>
              <w:rPr>
                <w:rFonts w:ascii="Times New Roman" w:hAnsi="Times New Roman" w:cs="Times New Roman"/>
                <w:b/>
                <w:bCs/>
                <w:noProof/>
                <w:color w:val="000000"/>
                <w:lang w:eastAsia="en-GB"/>
              </w:rPr>
              <w:t>rural poverty and social inclusion</w:t>
            </w:r>
          </w:p>
        </w:tc>
        <w:tc>
          <w:tcPr>
            <w:tcW w:w="2130" w:type="pct"/>
            <w:tcBorders>
              <w:top w:val="nil"/>
              <w:left w:val="nil"/>
              <w:bottom w:val="nil"/>
              <w:right w:val="single" w:sz="8"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Reduce inequalities between</w:t>
            </w:r>
          </w:p>
        </w:tc>
      </w:tr>
      <w:tr w:rsidR="00333A1A">
        <w:trPr>
          <w:trHeight w:val="300"/>
        </w:trPr>
        <w:tc>
          <w:tcPr>
            <w:tcW w:w="1185" w:type="pct"/>
            <w:vMerge/>
            <w:tcBorders>
              <w:left w:val="single" w:sz="8"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territories - rural/urban divide</w:t>
            </w:r>
          </w:p>
        </w:tc>
      </w:tr>
      <w:tr w:rsidR="00333A1A">
        <w:trPr>
          <w:trHeight w:val="300"/>
        </w:trPr>
        <w:tc>
          <w:tcPr>
            <w:tcW w:w="1185" w:type="pct"/>
            <w:vMerge/>
            <w:tcBorders>
              <w:left w:val="single" w:sz="8" w:space="0" w:color="auto"/>
              <w:bottom w:val="dashed" w:sz="4" w:space="0" w:color="auto"/>
              <w:right w:val="single"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dashed" w:sz="4" w:space="0" w:color="auto"/>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dashed" w:sz="4" w:space="0" w:color="auto"/>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 groups (rural </w:t>
            </w:r>
            <w:r>
              <w:rPr>
                <w:rFonts w:ascii="Times New Roman" w:hAnsi="Times New Roman" w:cs="Times New Roman"/>
                <w:noProof/>
                <w:color w:val="000000"/>
                <w:lang w:eastAsia="en-GB"/>
              </w:rPr>
              <w:t>poverty, social inclusion)</w:t>
            </w:r>
          </w:p>
        </w:tc>
      </w:tr>
      <w:tr w:rsidR="00333A1A">
        <w:trPr>
          <w:trHeight w:val="300"/>
        </w:trPr>
        <w:tc>
          <w:tcPr>
            <w:tcW w:w="1185" w:type="pct"/>
            <w:tcBorders>
              <w:top w:val="nil"/>
              <w:left w:val="single" w:sz="8" w:space="0" w:color="auto"/>
              <w:bottom w:val="dotted" w:sz="4" w:space="0" w:color="auto"/>
              <w:right w:val="single" w:sz="4" w:space="0" w:color="auto"/>
            </w:tcBorders>
            <w:shd w:val="clear" w:color="000000" w:fill="F2DCDB"/>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CROSS CUTTING</w:t>
            </w:r>
          </w:p>
        </w:tc>
        <w:tc>
          <w:tcPr>
            <w:tcW w:w="1684" w:type="pct"/>
            <w:tcBorders>
              <w:top w:val="nil"/>
              <w:left w:val="nil"/>
              <w:bottom w:val="dotted" w:sz="4" w:space="0" w:color="auto"/>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i/>
                <w:iCs/>
                <w:noProof/>
                <w:color w:val="000000"/>
                <w:lang w:eastAsia="en-GB"/>
              </w:rPr>
            </w:pPr>
            <w:r>
              <w:rPr>
                <w:rFonts w:ascii="Times New Roman" w:hAnsi="Times New Roman" w:cs="Times New Roman"/>
                <w:b/>
                <w:bCs/>
                <w:i/>
                <w:iCs/>
                <w:noProof/>
                <w:color w:val="000000"/>
                <w:lang w:eastAsia="en-GB"/>
              </w:rPr>
              <w:t> </w:t>
            </w:r>
          </w:p>
        </w:tc>
        <w:tc>
          <w:tcPr>
            <w:tcW w:w="2130" w:type="pct"/>
            <w:tcBorders>
              <w:top w:val="nil"/>
              <w:left w:val="nil"/>
              <w:bottom w:val="dotted" w:sz="4" w:space="0" w:color="auto"/>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333A1A">
        <w:trPr>
          <w:trHeight w:val="300"/>
        </w:trPr>
        <w:tc>
          <w:tcPr>
            <w:tcW w:w="1185" w:type="pct"/>
            <w:vMerge w:val="restart"/>
            <w:tcBorders>
              <w:top w:val="nil"/>
              <w:left w:val="single" w:sz="8" w:space="0" w:color="auto"/>
              <w:right w:val="single" w:sz="4" w:space="0" w:color="auto"/>
            </w:tcBorders>
            <w:shd w:val="clear" w:color="auto" w:fill="F2DBDB" w:themeFill="accent2" w:themeFillTint="33"/>
            <w:noWrap/>
            <w:vAlign w:val="center"/>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xml:space="preserve">Improve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sustainable development</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for farming, food and rural areas</w:t>
            </w:r>
          </w:p>
        </w:tc>
        <w:tc>
          <w:tcPr>
            <w:tcW w:w="1684" w:type="pct"/>
            <w:tcBorders>
              <w:top w:val="nil"/>
              <w:left w:val="nil"/>
              <w:bottom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Maximise contributions to EU priorities and SDGs</w:t>
            </w: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Strengthen links to EU objectives</w:t>
            </w:r>
          </w:p>
        </w:tc>
      </w:tr>
      <w:tr w:rsidR="00333A1A">
        <w:trPr>
          <w:trHeight w:val="300"/>
        </w:trPr>
        <w:tc>
          <w:tcPr>
            <w:tcW w:w="1185" w:type="pct"/>
            <w:vMerge/>
            <w:tcBorders>
              <w:left w:val="single" w:sz="8" w:space="0" w:color="auto"/>
              <w:right w:val="single" w:sz="4" w:space="0" w:color="auto"/>
            </w:tcBorders>
            <w:shd w:val="clear" w:color="auto" w:fill="F2DBDB" w:themeFill="accent2" w:themeFillTint="33"/>
            <w:noWrap/>
            <w:vAlign w:val="bottom"/>
            <w:hideMark/>
          </w:tcPr>
          <w:p w:rsidR="00333A1A" w:rsidRDefault="00333A1A">
            <w:pPr>
              <w:spacing w:after="0"/>
              <w:rPr>
                <w:rFonts w:ascii="Times New Roman" w:hAnsi="Times New Roman" w:cs="Times New Roman"/>
                <w:b/>
                <w:bCs/>
                <w:noProof/>
                <w:color w:val="000000"/>
                <w:lang w:eastAsia="en-GB"/>
              </w:rPr>
            </w:pPr>
          </w:p>
        </w:tc>
        <w:tc>
          <w:tcPr>
            <w:tcW w:w="1684" w:type="pct"/>
            <w:tcBorders>
              <w:top w:val="nil"/>
              <w:left w:val="nil"/>
              <w:bottom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i/>
                <w:iCs/>
                <w:noProof/>
                <w:color w:val="000000"/>
                <w:lang w:eastAsia="en-GB"/>
              </w:rPr>
            </w:pPr>
            <w:r>
              <w:rPr>
                <w:rFonts w:ascii="Times New Roman" w:hAnsi="Times New Roman" w:cs="Times New Roman"/>
                <w:i/>
                <w:iCs/>
                <w:noProof/>
                <w:color w:val="000000"/>
                <w:lang w:eastAsia="en-GB"/>
              </w:rPr>
              <w:t xml:space="preserve">This includes </w:t>
            </w: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Streamline Common Indicators (including </w:t>
            </w:r>
            <w:r>
              <w:rPr>
                <w:rFonts w:ascii="Times New Roman" w:hAnsi="Times New Roman" w:cs="Times New Roman"/>
                <w:noProof/>
                <w:color w:val="000000"/>
                <w:lang w:eastAsia="en-GB"/>
              </w:rPr>
              <w:t>SDG indicators)</w:t>
            </w:r>
          </w:p>
        </w:tc>
      </w:tr>
      <w:tr w:rsidR="00333A1A">
        <w:trPr>
          <w:trHeight w:val="300"/>
        </w:trPr>
        <w:tc>
          <w:tcPr>
            <w:tcW w:w="1185" w:type="pct"/>
            <w:vMerge/>
            <w:tcBorders>
              <w:left w:val="single" w:sz="8" w:space="0" w:color="auto"/>
              <w:bottom w:val="dotted" w:sz="4" w:space="0" w:color="auto"/>
              <w:right w:val="single" w:sz="4" w:space="0" w:color="auto"/>
            </w:tcBorders>
            <w:shd w:val="clear" w:color="auto" w:fill="F2DBDB" w:themeFill="accent2" w:themeFillTint="33"/>
            <w:noWrap/>
            <w:vAlign w:val="bottom"/>
            <w:hideMark/>
          </w:tcPr>
          <w:p w:rsidR="00333A1A" w:rsidRDefault="00333A1A">
            <w:pPr>
              <w:spacing w:after="0"/>
              <w:rPr>
                <w:rFonts w:ascii="Times New Roman" w:hAnsi="Times New Roman" w:cs="Times New Roman"/>
                <w:noProof/>
                <w:color w:val="000000"/>
                <w:lang w:eastAsia="en-GB"/>
              </w:rPr>
            </w:pPr>
          </w:p>
        </w:tc>
        <w:tc>
          <w:tcPr>
            <w:tcW w:w="1684" w:type="pct"/>
            <w:tcBorders>
              <w:top w:val="nil"/>
              <w:left w:val="nil"/>
              <w:bottom w:val="dotted" w:sz="4" w:space="0" w:color="auto"/>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Address societal expectations on food and health (security, safety, quality, sustainability…)</w:t>
            </w:r>
          </w:p>
        </w:tc>
        <w:tc>
          <w:tcPr>
            <w:tcW w:w="2130" w:type="pct"/>
            <w:tcBorders>
              <w:top w:val="nil"/>
              <w:left w:val="nil"/>
              <w:bottom w:val="dotted" w:sz="4" w:space="0" w:color="auto"/>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e.g. demand-driven, pesticides, antibiotics, healthier lifestyles</w:t>
            </w:r>
          </w:p>
        </w:tc>
      </w:tr>
      <w:tr w:rsidR="00333A1A">
        <w:trPr>
          <w:trHeight w:val="300"/>
        </w:trPr>
        <w:tc>
          <w:tcPr>
            <w:tcW w:w="1185" w:type="pct"/>
            <w:tcBorders>
              <w:top w:val="nil"/>
              <w:left w:val="single" w:sz="8" w:space="0" w:color="auto"/>
              <w:bottom w:val="nil"/>
              <w:right w:val="single" w:sz="4" w:space="0" w:color="auto"/>
            </w:tcBorders>
            <w:shd w:val="clear" w:color="000000" w:fill="F2DCDB"/>
            <w:noWrap/>
            <w:vAlign w:val="bottom"/>
            <w:hideMark/>
          </w:tcPr>
          <w:p w:rsidR="00333A1A" w:rsidRDefault="003D29C9">
            <w:pPr>
              <w:spacing w:after="0"/>
              <w:rPr>
                <w:rFonts w:ascii="Times New Roman" w:hAnsi="Times New Roman" w:cs="Times New Roman"/>
                <w:b/>
                <w:bCs/>
                <w:i/>
                <w:iCs/>
                <w:noProof/>
                <w:color w:val="000000"/>
                <w:lang w:eastAsia="en-GB"/>
              </w:rPr>
            </w:pPr>
            <w:r>
              <w:rPr>
                <w:rFonts w:ascii="Times New Roman" w:hAnsi="Times New Roman" w:cs="Times New Roman"/>
                <w:b/>
                <w:bCs/>
                <w:i/>
                <w:iCs/>
                <w:noProof/>
                <w:color w:val="000000"/>
                <w:lang w:eastAsia="en-GB"/>
              </w:rPr>
              <w:t>SIMPL-INNO</w:t>
            </w:r>
          </w:p>
        </w:tc>
        <w:tc>
          <w:tcPr>
            <w:tcW w:w="1684" w:type="pct"/>
            <w:tcBorders>
              <w:top w:val="nil"/>
              <w:left w:val="nil"/>
              <w:bottom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i/>
                <w:iCs/>
                <w:noProof/>
                <w:color w:val="000000"/>
                <w:lang w:eastAsia="en-GB"/>
              </w:rPr>
            </w:pPr>
            <w:r>
              <w:rPr>
                <w:rFonts w:ascii="Times New Roman" w:hAnsi="Times New Roman" w:cs="Times New Roman"/>
                <w:b/>
                <w:bCs/>
                <w:i/>
                <w:iCs/>
                <w:noProof/>
                <w:color w:val="000000"/>
                <w:lang w:eastAsia="en-GB"/>
              </w:rPr>
              <w:t> </w:t>
            </w:r>
          </w:p>
        </w:tc>
        <w:tc>
          <w:tcPr>
            <w:tcW w:w="2130" w:type="pct"/>
            <w:tcBorders>
              <w:top w:val="nil"/>
              <w:left w:val="nil"/>
              <w:bottom w:val="nil"/>
              <w:right w:val="single" w:sz="8"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333A1A">
        <w:trPr>
          <w:trHeight w:val="390"/>
        </w:trPr>
        <w:tc>
          <w:tcPr>
            <w:tcW w:w="1185" w:type="pct"/>
            <w:vMerge w:val="restart"/>
            <w:tcBorders>
              <w:top w:val="nil"/>
              <w:left w:val="single" w:sz="8" w:space="0" w:color="auto"/>
              <w:right w:val="single" w:sz="4" w:space="0" w:color="auto"/>
            </w:tcBorders>
            <w:shd w:val="clear" w:color="000000" w:fill="F2DCDB"/>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Promote Knowledge &amp; Innovation</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in agriculture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and rural </w:t>
            </w:r>
            <w:r>
              <w:rPr>
                <w:rFonts w:ascii="Times New Roman" w:hAnsi="Times New Roman" w:cs="Times New Roman"/>
                <w:noProof/>
                <w:color w:val="000000"/>
                <w:lang w:eastAsia="en-GB"/>
              </w:rPr>
              <w:t>areas</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noProof/>
                <w:color w:val="000000"/>
                <w:lang w:eastAsia="en-GB"/>
              </w:rPr>
              <w:t> </w:t>
            </w: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Co-create innovation and share knowledge, including across generations</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w:t>
            </w:r>
          </w:p>
        </w:tc>
        <w:tc>
          <w:tcPr>
            <w:tcW w:w="2130" w:type="pct"/>
            <w:tcBorders>
              <w:top w:val="nil"/>
              <w:left w:val="nil"/>
              <w:bottom w:val="nil"/>
              <w:right w:val="single" w:sz="8" w:space="0" w:color="auto"/>
            </w:tcBorders>
            <w:shd w:val="clear" w:color="auto" w:fill="auto"/>
            <w:vAlign w:val="bottom"/>
            <w:hideMark/>
          </w:tcPr>
          <w:p w:rsidR="00333A1A" w:rsidRDefault="003D29C9">
            <w:pPr>
              <w:spacing w:after="0"/>
              <w:rPr>
                <w:rFonts w:ascii="Times New Roman" w:hAnsi="Times New Roman" w:cs="Times New Roman"/>
                <w:iCs/>
                <w:noProof/>
                <w:color w:val="000000"/>
                <w:lang w:eastAsia="en-GB"/>
              </w:rPr>
            </w:pPr>
            <w:r>
              <w:rPr>
                <w:rFonts w:ascii="Times New Roman" w:hAnsi="Times New Roman" w:cs="Times New Roman"/>
                <w:iCs/>
                <w:noProof/>
                <w:color w:val="000000"/>
                <w:lang w:eastAsia="en-GB"/>
              </w:rPr>
              <w:t>Enhance Agricultural Knowledge and Innovation Systems and strengthen links with research</w:t>
            </w:r>
          </w:p>
        </w:tc>
      </w:tr>
      <w:tr w:rsidR="00333A1A">
        <w:trPr>
          <w:trHeight w:val="300"/>
        </w:trPr>
        <w:tc>
          <w:tcPr>
            <w:tcW w:w="1185" w:type="pct"/>
            <w:vMerge/>
            <w:tcBorders>
              <w:left w:val="single" w:sz="8" w:space="0" w:color="auto"/>
              <w:right w:val="single" w:sz="4" w:space="0" w:color="auto"/>
            </w:tcBorders>
            <w:shd w:val="clear" w:color="000000" w:fill="F2DCDB"/>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vAlign w:val="bottom"/>
            <w:hideMark/>
          </w:tcPr>
          <w:p w:rsidR="00333A1A" w:rsidRDefault="003D29C9">
            <w:pPr>
              <w:spacing w:after="0"/>
              <w:rPr>
                <w:rFonts w:ascii="Times New Roman" w:hAnsi="Times New Roman" w:cs="Times New Roman"/>
                <w:iCs/>
                <w:noProof/>
                <w:color w:val="000000"/>
                <w:lang w:eastAsia="en-GB"/>
              </w:rPr>
            </w:pPr>
            <w:r>
              <w:rPr>
                <w:rFonts w:ascii="Times New Roman" w:hAnsi="Times New Roman" w:cs="Times New Roman"/>
                <w:iCs/>
                <w:noProof/>
                <w:color w:val="000000"/>
                <w:lang w:eastAsia="en-GB"/>
              </w:rPr>
              <w:t>Strengthen farm advisory services within the AKIS systems</w:t>
            </w:r>
          </w:p>
        </w:tc>
      </w:tr>
      <w:tr w:rsidR="00333A1A">
        <w:trPr>
          <w:trHeight w:val="300"/>
        </w:trPr>
        <w:tc>
          <w:tcPr>
            <w:tcW w:w="1185" w:type="pct"/>
            <w:vMerge/>
            <w:tcBorders>
              <w:left w:val="single" w:sz="8" w:space="0" w:color="auto"/>
              <w:right w:val="single" w:sz="4" w:space="0" w:color="auto"/>
            </w:tcBorders>
            <w:shd w:val="clear" w:color="000000" w:fill="F2DCDB"/>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right w:val="dashed" w:sz="4" w:space="0" w:color="auto"/>
            </w:tcBorders>
            <w:shd w:val="clear" w:color="auto" w:fill="auto"/>
            <w:vAlign w:val="bottom"/>
            <w:hideMark/>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vAlign w:val="bottom"/>
            <w:hideMark/>
          </w:tcPr>
          <w:p w:rsidR="00333A1A" w:rsidRDefault="003D29C9">
            <w:pPr>
              <w:spacing w:after="0"/>
              <w:rPr>
                <w:rFonts w:ascii="Times New Roman" w:hAnsi="Times New Roman" w:cs="Times New Roman"/>
                <w:iCs/>
                <w:noProof/>
                <w:color w:val="000000"/>
                <w:lang w:eastAsia="en-GB"/>
              </w:rPr>
            </w:pPr>
            <w:r>
              <w:rPr>
                <w:rFonts w:ascii="Times New Roman" w:hAnsi="Times New Roman" w:cs="Times New Roman"/>
                <w:iCs/>
                <w:noProof/>
                <w:color w:val="000000"/>
                <w:lang w:eastAsia="en-GB"/>
              </w:rPr>
              <w:t xml:space="preserve">Enhance </w:t>
            </w:r>
            <w:r>
              <w:rPr>
                <w:rFonts w:ascii="Times New Roman" w:hAnsi="Times New Roman" w:cs="Times New Roman"/>
                <w:iCs/>
                <w:noProof/>
                <w:color w:val="000000"/>
                <w:lang w:eastAsia="en-GB"/>
              </w:rPr>
              <w:t>interactive innovation</w:t>
            </w:r>
          </w:p>
        </w:tc>
      </w:tr>
      <w:tr w:rsidR="00333A1A">
        <w:trPr>
          <w:trHeight w:val="557"/>
        </w:trPr>
        <w:tc>
          <w:tcPr>
            <w:tcW w:w="1185" w:type="pct"/>
            <w:vMerge/>
            <w:tcBorders>
              <w:left w:val="single" w:sz="8" w:space="0" w:color="auto"/>
              <w:bottom w:val="nil"/>
              <w:right w:val="single" w:sz="4" w:space="0" w:color="auto"/>
            </w:tcBorders>
            <w:shd w:val="clear" w:color="000000" w:fill="F2DCDB"/>
            <w:noWrap/>
            <w:vAlign w:val="bottom"/>
            <w:hideMark/>
          </w:tcPr>
          <w:p w:rsidR="00333A1A" w:rsidRDefault="00333A1A">
            <w:pPr>
              <w:spacing w:after="0"/>
              <w:rPr>
                <w:rFonts w:ascii="Times New Roman" w:hAnsi="Times New Roman" w:cs="Times New Roman"/>
                <w:noProof/>
                <w:color w:val="000000"/>
                <w:lang w:eastAsia="en-GB"/>
              </w:rPr>
            </w:pPr>
          </w:p>
        </w:tc>
        <w:tc>
          <w:tcPr>
            <w:tcW w:w="1684" w:type="pct"/>
            <w:vMerge/>
            <w:tcBorders>
              <w:left w:val="nil"/>
              <w:bottom w:val="nil"/>
              <w:right w:val="dashed" w:sz="4" w:space="0" w:color="auto"/>
            </w:tcBorders>
            <w:shd w:val="clear" w:color="auto" w:fill="auto"/>
            <w:noWrap/>
            <w:vAlign w:val="bottom"/>
            <w:hideMark/>
          </w:tcPr>
          <w:p w:rsidR="00333A1A" w:rsidRDefault="00333A1A">
            <w:pPr>
              <w:spacing w:after="0"/>
              <w:rPr>
                <w:rFonts w:ascii="Times New Roman" w:hAnsi="Times New Roman" w:cs="Times New Roman"/>
                <w:noProof/>
                <w:color w:val="000000"/>
                <w:lang w:eastAsia="en-GB"/>
              </w:rPr>
            </w:pPr>
          </w:p>
        </w:tc>
        <w:tc>
          <w:tcPr>
            <w:tcW w:w="2130" w:type="pct"/>
            <w:tcBorders>
              <w:top w:val="nil"/>
              <w:left w:val="dashed" w:sz="4" w:space="0" w:color="auto"/>
              <w:right w:val="single" w:sz="8" w:space="0" w:color="auto"/>
            </w:tcBorders>
            <w:shd w:val="clear" w:color="auto" w:fill="auto"/>
            <w:hideMark/>
          </w:tcPr>
          <w:p w:rsidR="00333A1A" w:rsidRDefault="003D29C9">
            <w:pPr>
              <w:spacing w:after="0"/>
              <w:rPr>
                <w:rFonts w:ascii="Times New Roman" w:hAnsi="Times New Roman" w:cs="Times New Roman"/>
                <w:iCs/>
                <w:noProof/>
                <w:color w:val="000000"/>
                <w:lang w:eastAsia="en-GB"/>
              </w:rPr>
            </w:pPr>
            <w:r>
              <w:rPr>
                <w:rFonts w:ascii="Times New Roman" w:hAnsi="Times New Roman" w:cs="Times New Roman"/>
                <w:iCs/>
                <w:noProof/>
                <w:color w:val="000000"/>
                <w:lang w:eastAsia="en-GB"/>
              </w:rPr>
              <w:t>Support digital transition in agriculture</w:t>
            </w:r>
          </w:p>
        </w:tc>
      </w:tr>
      <w:tr w:rsidR="00333A1A">
        <w:trPr>
          <w:trHeight w:val="300"/>
        </w:trPr>
        <w:tc>
          <w:tcPr>
            <w:tcW w:w="1185" w:type="pct"/>
            <w:vMerge w:val="restart"/>
            <w:tcBorders>
              <w:top w:val="nil"/>
              <w:left w:val="single" w:sz="8" w:space="0" w:color="auto"/>
              <w:right w:val="single" w:sz="4" w:space="0" w:color="auto"/>
            </w:tcBorders>
            <w:shd w:val="clear" w:color="000000" w:fill="F2DCDB"/>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Simplify the CAP</w:t>
            </w:r>
          </w:p>
        </w:tc>
        <w:tc>
          <w:tcPr>
            <w:tcW w:w="1684" w:type="pct"/>
            <w:vMerge w:val="restart"/>
            <w:tcBorders>
              <w:top w:val="nil"/>
              <w:left w:val="nil"/>
              <w:right w:val="dashed" w:sz="4" w:space="0" w:color="auto"/>
            </w:tcBorders>
            <w:shd w:val="clear" w:color="auto" w:fill="auto"/>
            <w:noWrap/>
            <w:vAlign w:val="bottom"/>
            <w:hideMark/>
          </w:tcPr>
          <w:p w:rsidR="00333A1A" w:rsidRDefault="003D29C9">
            <w:pPr>
              <w:spacing w:after="0"/>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Streamline CAP design and delivery on relevant EU objectives</w:t>
            </w:r>
          </w:p>
        </w:tc>
        <w:tc>
          <w:tcPr>
            <w:tcW w:w="2130" w:type="pct"/>
            <w:tcBorders>
              <w:top w:val="nil"/>
              <w:left w:val="nil"/>
              <w:bottom w:val="nil"/>
              <w:right w:val="single" w:sz="8" w:space="0" w:color="auto"/>
            </w:tcBorders>
            <w:shd w:val="clear" w:color="auto" w:fill="auto"/>
            <w:hideMark/>
          </w:tcPr>
          <w:p w:rsidR="00333A1A" w:rsidRDefault="00333A1A">
            <w:pPr>
              <w:spacing w:after="0"/>
              <w:rPr>
                <w:rFonts w:ascii="Times New Roman" w:hAnsi="Times New Roman" w:cs="Times New Roman"/>
                <w:noProof/>
                <w:color w:val="000000"/>
                <w:lang w:eastAsia="en-GB"/>
              </w:rPr>
            </w:pPr>
          </w:p>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Shift from compliance to performance</w:t>
            </w:r>
          </w:p>
        </w:tc>
      </w:tr>
      <w:tr w:rsidR="00333A1A">
        <w:trPr>
          <w:trHeight w:val="300"/>
        </w:trPr>
        <w:tc>
          <w:tcPr>
            <w:tcW w:w="1185" w:type="pct"/>
            <w:vMerge/>
            <w:tcBorders>
              <w:left w:val="single" w:sz="8" w:space="0" w:color="auto"/>
              <w:right w:val="single" w:sz="4" w:space="0" w:color="auto"/>
            </w:tcBorders>
            <w:shd w:val="clear" w:color="000000" w:fill="F2DCDB"/>
            <w:noWrap/>
            <w:vAlign w:val="bottom"/>
          </w:tcPr>
          <w:p w:rsidR="00333A1A" w:rsidRDefault="00333A1A">
            <w:pPr>
              <w:spacing w:after="0"/>
              <w:rPr>
                <w:rFonts w:ascii="Times New Roman" w:hAnsi="Times New Roman" w:cs="Times New Roman"/>
                <w:b/>
                <w:bCs/>
                <w:noProof/>
                <w:color w:val="000000"/>
                <w:lang w:eastAsia="en-GB"/>
              </w:rPr>
            </w:pPr>
          </w:p>
        </w:tc>
        <w:tc>
          <w:tcPr>
            <w:tcW w:w="1684" w:type="pct"/>
            <w:vMerge/>
            <w:tcBorders>
              <w:left w:val="nil"/>
              <w:right w:val="dashed" w:sz="4" w:space="0" w:color="auto"/>
            </w:tcBorders>
            <w:shd w:val="clear" w:color="auto" w:fill="auto"/>
            <w:noWrap/>
            <w:vAlign w:val="bottom"/>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Reduce administrative burden</w:t>
            </w:r>
          </w:p>
        </w:tc>
      </w:tr>
      <w:tr w:rsidR="00333A1A">
        <w:trPr>
          <w:trHeight w:val="300"/>
        </w:trPr>
        <w:tc>
          <w:tcPr>
            <w:tcW w:w="1185" w:type="pct"/>
            <w:vMerge/>
            <w:tcBorders>
              <w:left w:val="single" w:sz="8" w:space="0" w:color="auto"/>
              <w:bottom w:val="nil"/>
              <w:right w:val="single" w:sz="4" w:space="0" w:color="auto"/>
            </w:tcBorders>
            <w:shd w:val="clear" w:color="000000" w:fill="F2DCDB"/>
            <w:noWrap/>
            <w:vAlign w:val="bottom"/>
          </w:tcPr>
          <w:p w:rsidR="00333A1A" w:rsidRDefault="00333A1A">
            <w:pPr>
              <w:spacing w:after="0"/>
              <w:rPr>
                <w:rFonts w:ascii="Times New Roman" w:hAnsi="Times New Roman" w:cs="Times New Roman"/>
                <w:b/>
                <w:bCs/>
                <w:noProof/>
                <w:color w:val="000000"/>
                <w:lang w:eastAsia="en-GB"/>
              </w:rPr>
            </w:pPr>
          </w:p>
        </w:tc>
        <w:tc>
          <w:tcPr>
            <w:tcW w:w="1684" w:type="pct"/>
            <w:vMerge/>
            <w:tcBorders>
              <w:left w:val="nil"/>
              <w:bottom w:val="nil"/>
              <w:right w:val="dashed" w:sz="4" w:space="0" w:color="auto"/>
            </w:tcBorders>
            <w:shd w:val="clear" w:color="auto" w:fill="auto"/>
            <w:noWrap/>
            <w:vAlign w:val="bottom"/>
          </w:tcPr>
          <w:p w:rsidR="00333A1A" w:rsidRDefault="00333A1A">
            <w:pPr>
              <w:spacing w:after="0"/>
              <w:rPr>
                <w:rFonts w:ascii="Times New Roman" w:hAnsi="Times New Roman" w:cs="Times New Roman"/>
                <w:b/>
                <w:bCs/>
                <w:noProof/>
                <w:color w:val="000000"/>
                <w:lang w:eastAsia="en-GB"/>
              </w:rPr>
            </w:pPr>
          </w:p>
        </w:tc>
        <w:tc>
          <w:tcPr>
            <w:tcW w:w="2130" w:type="pct"/>
            <w:tcBorders>
              <w:top w:val="nil"/>
              <w:left w:val="nil"/>
              <w:bottom w:val="nil"/>
              <w:right w:val="single" w:sz="8" w:space="0" w:color="auto"/>
            </w:tcBorders>
            <w:shd w:val="clear" w:color="auto" w:fill="auto"/>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Enhance proportionality of </w:t>
            </w:r>
            <w:r>
              <w:rPr>
                <w:rFonts w:ascii="Times New Roman" w:hAnsi="Times New Roman" w:cs="Times New Roman"/>
                <w:noProof/>
                <w:color w:val="000000"/>
                <w:lang w:eastAsia="en-GB"/>
              </w:rPr>
              <w:t>administrative costs</w:t>
            </w:r>
          </w:p>
        </w:tc>
      </w:tr>
      <w:tr w:rsidR="00333A1A">
        <w:trPr>
          <w:trHeight w:val="315"/>
        </w:trPr>
        <w:tc>
          <w:tcPr>
            <w:tcW w:w="1185" w:type="pct"/>
            <w:tcBorders>
              <w:top w:val="nil"/>
              <w:left w:val="single" w:sz="8" w:space="0" w:color="auto"/>
              <w:bottom w:val="single" w:sz="8" w:space="0" w:color="auto"/>
              <w:right w:val="single" w:sz="4"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1684" w:type="pct"/>
            <w:tcBorders>
              <w:top w:val="nil"/>
              <w:left w:val="nil"/>
              <w:bottom w:val="single" w:sz="8" w:space="0" w:color="auto"/>
              <w:right w:val="dashed" w:sz="4" w:space="0" w:color="auto"/>
            </w:tcBorders>
            <w:shd w:val="clear" w:color="auto" w:fill="auto"/>
            <w:noWrap/>
            <w:vAlign w:val="bottom"/>
            <w:hideMark/>
          </w:tcPr>
          <w:p w:rsidR="00333A1A" w:rsidRDefault="003D29C9">
            <w:pPr>
              <w:spacing w:after="0"/>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2130" w:type="pct"/>
            <w:tcBorders>
              <w:top w:val="nil"/>
              <w:left w:val="nil"/>
              <w:bottom w:val="single" w:sz="8" w:space="0" w:color="auto"/>
              <w:right w:val="single" w:sz="8" w:space="0" w:color="auto"/>
            </w:tcBorders>
            <w:shd w:val="clear" w:color="auto" w:fill="auto"/>
            <w:noWrap/>
            <w:vAlign w:val="bottom"/>
            <w:hideMark/>
          </w:tcPr>
          <w:p w:rsidR="00333A1A" w:rsidRDefault="003D29C9">
            <w:pPr>
              <w:spacing w:after="0"/>
              <w:rPr>
                <w:rFonts w:ascii="Times New Roman" w:hAnsi="Times New Roman" w:cs="Times New Roman"/>
                <w:i/>
                <w:iCs/>
                <w:noProof/>
                <w:color w:val="000000"/>
                <w:lang w:eastAsia="en-GB"/>
              </w:rPr>
            </w:pPr>
            <w:r>
              <w:rPr>
                <w:rFonts w:ascii="Times New Roman" w:hAnsi="Times New Roman" w:cs="Times New Roman"/>
                <w:i/>
                <w:iCs/>
                <w:noProof/>
                <w:color w:val="000000"/>
                <w:lang w:eastAsia="en-GB"/>
              </w:rPr>
              <w:t> </w:t>
            </w:r>
          </w:p>
        </w:tc>
      </w:tr>
    </w:tbl>
    <w:p w:rsidR="00333A1A" w:rsidRDefault="00333A1A">
      <w:pPr>
        <w:pStyle w:val="AnnexTitle"/>
        <w:rPr>
          <w:noProof/>
        </w:rPr>
      </w:pPr>
    </w:p>
    <w:p w:rsidR="00333A1A" w:rsidRDefault="003D29C9">
      <w:pPr>
        <w:pStyle w:val="AnnexTitle"/>
        <w:rPr>
          <w:noProof/>
        </w:rPr>
      </w:pPr>
      <w:r>
        <w:rPr>
          <w:noProof/>
        </w:rPr>
        <w:br w:type="page"/>
      </w:r>
    </w:p>
    <w:p w:rsidR="00333A1A" w:rsidRDefault="003D29C9">
      <w:pPr>
        <w:pStyle w:val="AnnexTitle"/>
        <w:rPr>
          <w:noProof/>
        </w:rPr>
      </w:pPr>
      <w:bookmarkStart w:id="258" w:name="_Toc513053300"/>
      <w:bookmarkStart w:id="259" w:name="_Toc513053516"/>
      <w:bookmarkStart w:id="260" w:name="_Toc514514647"/>
      <w:r>
        <w:rPr>
          <w:noProof/>
        </w:rPr>
        <w:t>Annex 5.4 – Non-productive elements in the EU</w:t>
      </w:r>
      <w:bookmarkEnd w:id="258"/>
      <w:bookmarkEnd w:id="259"/>
      <w:bookmarkEnd w:id="260"/>
    </w:p>
    <w:tbl>
      <w:tblPr>
        <w:tblW w:w="6984" w:type="dxa"/>
        <w:tblLook w:val="04A0" w:firstRow="1" w:lastRow="0" w:firstColumn="1" w:lastColumn="0" w:noHBand="0" w:noVBand="1"/>
      </w:tblPr>
      <w:tblGrid>
        <w:gridCol w:w="960"/>
        <w:gridCol w:w="960"/>
        <w:gridCol w:w="1047"/>
        <w:gridCol w:w="1013"/>
        <w:gridCol w:w="705"/>
        <w:gridCol w:w="1215"/>
        <w:gridCol w:w="1084"/>
      </w:tblGrid>
      <w:tr w:rsidR="00333A1A">
        <w:trPr>
          <w:trHeight w:val="288"/>
        </w:trPr>
        <w:tc>
          <w:tcPr>
            <w:tcW w:w="960" w:type="dxa"/>
            <w:tcBorders>
              <w:top w:val="nil"/>
              <w:left w:val="nil"/>
              <w:bottom w:val="nil"/>
              <w:right w:val="nil"/>
            </w:tcBorders>
            <w:shd w:val="clear" w:color="auto" w:fill="auto"/>
            <w:noWrap/>
            <w:vAlign w:val="bottom"/>
            <w:hideMark/>
          </w:tcPr>
          <w:p w:rsidR="00333A1A" w:rsidRDefault="00333A1A">
            <w:pPr>
              <w:spacing w:after="0" w:line="240" w:lineRule="auto"/>
              <w:rPr>
                <w:rFonts w:ascii="Times New Roman" w:eastAsia="Times New Roman" w:hAnsi="Times New Roman" w:cs="Times New Roman"/>
                <w:noProof/>
                <w:color w:val="000000"/>
                <w:sz w:val="20"/>
                <w:lang w:eastAsia="en-GB"/>
              </w:rPr>
            </w:pP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UAA</w:t>
            </w:r>
          </w:p>
        </w:tc>
        <w:tc>
          <w:tcPr>
            <w:tcW w:w="20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Fallow land</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Landscape elements</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Fallow and landscape elements</w:t>
            </w:r>
          </w:p>
        </w:tc>
      </w:tr>
      <w:tr w:rsidR="00333A1A">
        <w:trPr>
          <w:trHeight w:val="576"/>
        </w:trPr>
        <w:tc>
          <w:tcPr>
            <w:tcW w:w="960" w:type="dxa"/>
            <w:tcBorders>
              <w:top w:val="nil"/>
              <w:left w:val="nil"/>
              <w:bottom w:val="nil"/>
              <w:right w:val="nil"/>
            </w:tcBorders>
            <w:shd w:val="clear" w:color="auto" w:fill="auto"/>
            <w:noWrap/>
            <w:vAlign w:val="bottom"/>
            <w:hideMark/>
          </w:tcPr>
          <w:p w:rsidR="00333A1A" w:rsidRDefault="00333A1A">
            <w:pPr>
              <w:spacing w:after="0" w:line="240" w:lineRule="auto"/>
              <w:rPr>
                <w:rFonts w:ascii="Times New Roman" w:eastAsia="Times New Roman" w:hAnsi="Times New Roman" w:cs="Times New Roman"/>
                <w:noProof/>
                <w:color w:val="000000"/>
                <w:sz w:val="20"/>
                <w:lang w:eastAsia="en-GB"/>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33A1A" w:rsidRDefault="00333A1A">
            <w:pPr>
              <w:spacing w:after="0" w:line="240" w:lineRule="auto"/>
              <w:rPr>
                <w:rFonts w:ascii="Times New Roman" w:eastAsia="Times New Roman" w:hAnsi="Times New Roman" w:cs="Times New Roman"/>
                <w:noProof/>
                <w:color w:val="000000"/>
                <w:sz w:val="20"/>
                <w:lang w:eastAsia="en-GB"/>
              </w:rPr>
            </w:pPr>
          </w:p>
        </w:tc>
        <w:tc>
          <w:tcPr>
            <w:tcW w:w="1047"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Area</w:t>
            </w:r>
          </w:p>
        </w:tc>
        <w:tc>
          <w:tcPr>
            <w:tcW w:w="1013" w:type="dxa"/>
            <w:vMerge w:val="restart"/>
            <w:tcBorders>
              <w:top w:val="nil"/>
              <w:left w:val="single" w:sz="4" w:space="0" w:color="auto"/>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Share in UAA</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Estimation excluding dubious cases* (JRC)</w:t>
            </w: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333A1A" w:rsidRDefault="00333A1A">
            <w:pPr>
              <w:spacing w:after="0" w:line="240" w:lineRule="auto"/>
              <w:rPr>
                <w:rFonts w:ascii="Times New Roman" w:eastAsia="Times New Roman" w:hAnsi="Times New Roman" w:cs="Times New Roman"/>
                <w:noProof/>
                <w:color w:val="000000"/>
                <w:sz w:val="20"/>
                <w:lang w:eastAsia="en-GB"/>
              </w:rPr>
            </w:pPr>
          </w:p>
        </w:tc>
      </w:tr>
      <w:tr w:rsidR="00333A1A">
        <w:trPr>
          <w:trHeight w:val="288"/>
        </w:trPr>
        <w:tc>
          <w:tcPr>
            <w:tcW w:w="960" w:type="dxa"/>
            <w:tcBorders>
              <w:top w:val="nil"/>
              <w:left w:val="nil"/>
              <w:bottom w:val="nil"/>
              <w:right w:val="nil"/>
            </w:tcBorders>
            <w:shd w:val="clear" w:color="auto" w:fill="auto"/>
            <w:noWrap/>
            <w:vAlign w:val="bottom"/>
            <w:hideMark/>
          </w:tcPr>
          <w:p w:rsidR="00333A1A" w:rsidRDefault="00333A1A">
            <w:pPr>
              <w:spacing w:after="0" w:line="240" w:lineRule="auto"/>
              <w:rPr>
                <w:rFonts w:ascii="Times New Roman" w:eastAsia="Times New Roman" w:hAnsi="Times New Roman" w:cs="Times New Roman"/>
                <w:noProof/>
                <w:color w:val="000000"/>
                <w:sz w:val="2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Eurostat</w:t>
            </w:r>
          </w:p>
        </w:tc>
        <w:tc>
          <w:tcPr>
            <w:tcW w:w="1047"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Eurostat</w:t>
            </w:r>
          </w:p>
        </w:tc>
        <w:tc>
          <w:tcPr>
            <w:tcW w:w="1013" w:type="dxa"/>
            <w:vMerge/>
            <w:tcBorders>
              <w:top w:val="nil"/>
              <w:left w:val="single" w:sz="4" w:space="0" w:color="auto"/>
              <w:bottom w:val="single" w:sz="4" w:space="0" w:color="auto"/>
              <w:right w:val="single" w:sz="4" w:space="0" w:color="auto"/>
            </w:tcBorders>
            <w:vAlign w:val="center"/>
            <w:hideMark/>
          </w:tcPr>
          <w:p w:rsidR="00333A1A" w:rsidRDefault="00333A1A">
            <w:pPr>
              <w:spacing w:after="0" w:line="240" w:lineRule="auto"/>
              <w:rPr>
                <w:rFonts w:ascii="Times New Roman" w:eastAsia="Times New Roman" w:hAnsi="Times New Roman" w:cs="Times New Roman"/>
                <w:noProof/>
                <w:color w:val="000000"/>
                <w:sz w:val="20"/>
                <w:lang w:eastAsia="en-GB"/>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333A1A" w:rsidRDefault="00333A1A">
            <w:pPr>
              <w:spacing w:after="0" w:line="240" w:lineRule="auto"/>
              <w:rPr>
                <w:rFonts w:ascii="Times New Roman" w:eastAsia="Times New Roman" w:hAnsi="Times New Roman" w:cs="Times New Roman"/>
                <w:noProof/>
                <w:color w:val="000000"/>
                <w:sz w:val="20"/>
                <w:lang w:eastAsia="en-GB"/>
              </w:rPr>
            </w:pP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Share in UAA</w:t>
            </w:r>
          </w:p>
        </w:tc>
      </w:tr>
      <w:tr w:rsidR="00333A1A">
        <w:trPr>
          <w:trHeight w:val="576"/>
        </w:trPr>
        <w:tc>
          <w:tcPr>
            <w:tcW w:w="960" w:type="dxa"/>
            <w:tcBorders>
              <w:top w:val="nil"/>
              <w:left w:val="nil"/>
              <w:bottom w:val="nil"/>
              <w:right w:val="nil"/>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1 000 ha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2013</w:t>
            </w:r>
          </w:p>
        </w:tc>
        <w:tc>
          <w:tcPr>
            <w:tcW w:w="1047"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2013</w:t>
            </w:r>
          </w:p>
        </w:tc>
        <w:tc>
          <w:tcPr>
            <w:tcW w:w="1013"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2013</w:t>
            </w:r>
          </w:p>
        </w:tc>
        <w:tc>
          <w:tcPr>
            <w:tcW w:w="705"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Area</w:t>
            </w:r>
          </w:p>
        </w:tc>
        <w:tc>
          <w:tcPr>
            <w:tcW w:w="1215" w:type="dxa"/>
            <w:tcBorders>
              <w:top w:val="nil"/>
              <w:left w:val="nil"/>
              <w:bottom w:val="single" w:sz="4" w:space="0" w:color="auto"/>
              <w:right w:val="single" w:sz="4" w:space="0" w:color="auto"/>
            </w:tcBorders>
            <w:shd w:val="clear" w:color="auto" w:fill="auto"/>
            <w:vAlign w:val="center"/>
            <w:hideMark/>
          </w:tcPr>
          <w:p w:rsidR="00333A1A" w:rsidRDefault="003D29C9">
            <w:pPr>
              <w:spacing w:after="0" w:line="240" w:lineRule="auto"/>
              <w:jc w:val="center"/>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Share in UAA</w:t>
            </w:r>
          </w:p>
        </w:tc>
        <w:tc>
          <w:tcPr>
            <w:tcW w:w="1084" w:type="dxa"/>
            <w:vMerge/>
            <w:tcBorders>
              <w:top w:val="nil"/>
              <w:left w:val="single" w:sz="4" w:space="0" w:color="auto"/>
              <w:bottom w:val="single" w:sz="4" w:space="0" w:color="auto"/>
              <w:right w:val="single" w:sz="4" w:space="0" w:color="auto"/>
            </w:tcBorders>
            <w:vAlign w:val="center"/>
            <w:hideMark/>
          </w:tcPr>
          <w:p w:rsidR="00333A1A" w:rsidRDefault="00333A1A">
            <w:pPr>
              <w:spacing w:after="0" w:line="240" w:lineRule="auto"/>
              <w:rPr>
                <w:rFonts w:ascii="Times New Roman" w:eastAsia="Times New Roman" w:hAnsi="Times New Roman" w:cs="Times New Roman"/>
                <w:noProof/>
                <w:color w:val="000000"/>
                <w:sz w:val="20"/>
                <w:lang w:eastAsia="en-GB"/>
              </w:rPr>
            </w:pPr>
          </w:p>
        </w:tc>
      </w:tr>
      <w:tr w:rsidR="00333A1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EU</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154 200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5 840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4%</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860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4%</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BE</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1 300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BG</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4 700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50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CZ</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3 500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DK</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2 600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DE</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16 700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200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90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EE</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1 000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4%</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5%</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IE</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5 000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EL</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4 900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140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3%</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ES</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23 300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2 420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10%</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11%</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FR</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27 700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490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HR</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1 600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IT</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12 100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370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3%</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180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4%</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CY</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9%</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10%</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LV</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1 900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60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3%</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4%</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LT</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2 900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90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3%</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4%</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LU</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HU</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4 700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130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3%</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MT</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5%</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6%</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NL</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1 800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60</w:t>
            </w:r>
          </w:p>
        </w:tc>
        <w:tc>
          <w:tcPr>
            <w:tcW w:w="1215"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3%</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4%</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AT</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2 700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PL</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14 400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450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3%</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80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4%</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PT</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3 600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330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9%</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9%</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RO</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13 100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670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5%</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40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5%</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SI</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500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r>
      <w:tr w:rsidR="00333A1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SK</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1 900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20</w:t>
            </w:r>
          </w:p>
        </w:tc>
        <w:tc>
          <w:tcPr>
            <w:tcW w:w="1013"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0%</w:t>
            </w:r>
          </w:p>
        </w:tc>
        <w:tc>
          <w:tcPr>
            <w:tcW w:w="108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w:t>
            </w:r>
          </w:p>
        </w:tc>
      </w:tr>
      <w:tr w:rsidR="00333A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FI</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2 300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250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11%</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120</w:t>
            </w:r>
          </w:p>
        </w:tc>
        <w:tc>
          <w:tcPr>
            <w:tcW w:w="1215"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5%</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17%</w:t>
            </w:r>
          </w:p>
        </w:tc>
      </w:tr>
      <w:tr w:rsidR="00333A1A">
        <w:trPr>
          <w:trHeight w:val="32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SE</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3 000</w:t>
            </w:r>
          </w:p>
        </w:tc>
        <w:tc>
          <w:tcPr>
            <w:tcW w:w="1047"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160</w:t>
            </w:r>
          </w:p>
        </w:tc>
        <w:tc>
          <w:tcPr>
            <w:tcW w:w="101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5%</w:t>
            </w:r>
          </w:p>
        </w:tc>
        <w:tc>
          <w:tcPr>
            <w:tcW w:w="70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50</w:t>
            </w:r>
          </w:p>
        </w:tc>
        <w:tc>
          <w:tcPr>
            <w:tcW w:w="1215"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lang w:eastAsia="en-GB"/>
              </w:rPr>
            </w:pPr>
            <w:r>
              <w:rPr>
                <w:rFonts w:ascii="Times New Roman" w:eastAsia="Times New Roman" w:hAnsi="Times New Roman" w:cs="Times New Roman"/>
                <w:noProof/>
                <w:color w:val="000000"/>
                <w:sz w:val="20"/>
                <w:lang w:eastAsia="en-GB"/>
              </w:rPr>
              <w:t>2%</w:t>
            </w:r>
          </w:p>
        </w:tc>
        <w:tc>
          <w:tcPr>
            <w:tcW w:w="108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0" w:line="240" w:lineRule="auto"/>
              <w:jc w:val="right"/>
              <w:rPr>
                <w:rFonts w:ascii="Times New Roman" w:eastAsia="Times New Roman" w:hAnsi="Times New Roman" w:cs="Times New Roman"/>
                <w:noProof/>
                <w:color w:val="006100"/>
                <w:sz w:val="20"/>
                <w:lang w:eastAsia="en-GB"/>
              </w:rPr>
            </w:pPr>
            <w:r>
              <w:rPr>
                <w:rFonts w:ascii="Times New Roman" w:eastAsia="Times New Roman" w:hAnsi="Times New Roman" w:cs="Times New Roman"/>
                <w:noProof/>
                <w:color w:val="006100"/>
                <w:sz w:val="20"/>
                <w:lang w:eastAsia="en-GB"/>
              </w:rPr>
              <w:t>7%</w:t>
            </w:r>
          </w:p>
        </w:tc>
      </w:tr>
    </w:tbl>
    <w:p w:rsidR="00333A1A" w:rsidRDefault="003D29C9">
      <w:pPr>
        <w:spacing w:after="120" w:line="240" w:lineRule="auto"/>
        <w:ind w:left="-142"/>
        <w:jc w:val="both"/>
        <w:rPr>
          <w:rFonts w:ascii="Times New Roman" w:hAnsi="Times New Roman" w:cs="Times New Roman"/>
          <w:noProof/>
          <w:sz w:val="20"/>
        </w:rPr>
      </w:pPr>
      <w:r>
        <w:rPr>
          <w:rFonts w:ascii="Times New Roman" w:hAnsi="Times New Roman" w:cs="Times New Roman"/>
          <w:noProof/>
          <w:sz w:val="20"/>
        </w:rPr>
        <w:t xml:space="preserve">Note: Linear </w:t>
      </w:r>
      <w:r>
        <w:rPr>
          <w:rFonts w:ascii="Times New Roman" w:hAnsi="Times New Roman" w:cs="Times New Roman"/>
          <w:noProof/>
          <w:sz w:val="20"/>
        </w:rPr>
        <w:t>elements considered here: Grass margins, shrub margins, single trees bushes, lines of trees, hedges and ditches. Dubious cases refer to the difficulty to assess if one linear element belongs to agricultural area or not. In case of doubt, the JRC removed th</w:t>
      </w:r>
      <w:r>
        <w:rPr>
          <w:rFonts w:ascii="Times New Roman" w:hAnsi="Times New Roman" w:cs="Times New Roman"/>
          <w:noProof/>
          <w:sz w:val="20"/>
        </w:rPr>
        <w:t>is element from the estimation. Numbers are to be taken with caution; additional work would be required to improve the quality of this estimate.</w:t>
      </w:r>
    </w:p>
    <w:p w:rsidR="00333A1A" w:rsidRDefault="003D29C9">
      <w:pPr>
        <w:spacing w:after="120" w:line="240" w:lineRule="auto"/>
        <w:ind w:left="-142"/>
        <w:rPr>
          <w:rFonts w:ascii="Times New Roman" w:hAnsi="Times New Roman" w:cs="Times New Roman"/>
          <w:noProof/>
          <w:sz w:val="20"/>
        </w:rPr>
      </w:pPr>
      <w:r>
        <w:rPr>
          <w:rFonts w:ascii="Times New Roman" w:hAnsi="Times New Roman" w:cs="Times New Roman"/>
          <w:noProof/>
          <w:sz w:val="20"/>
        </w:rPr>
        <w:t>Source: DG AGRI based on Eurostat and JRC based on LUCAS survey</w:t>
      </w:r>
    </w:p>
    <w:p w:rsidR="00333A1A" w:rsidRDefault="003D29C9">
      <w:pPr>
        <w:pStyle w:val="AnnexTitle"/>
        <w:rPr>
          <w:noProof/>
        </w:rPr>
      </w:pPr>
      <w:r>
        <w:rPr>
          <w:noProof/>
        </w:rPr>
        <w:br w:type="page"/>
      </w:r>
      <w:bookmarkStart w:id="261" w:name="_Toc513053301"/>
      <w:bookmarkStart w:id="262" w:name="_Toc513053517"/>
      <w:bookmarkStart w:id="263" w:name="_Toc514514648"/>
      <w:r>
        <w:rPr>
          <w:noProof/>
        </w:rPr>
        <w:t>Annex 5.5: Capping</w:t>
      </w:r>
      <w:bookmarkEnd w:id="261"/>
      <w:bookmarkEnd w:id="262"/>
      <w:bookmarkEnd w:id="263"/>
    </w:p>
    <w:tbl>
      <w:tblPr>
        <w:tblW w:w="7220" w:type="dxa"/>
        <w:tblInd w:w="108" w:type="dxa"/>
        <w:tblLook w:val="04A0" w:firstRow="1" w:lastRow="0" w:firstColumn="1" w:lastColumn="0" w:noHBand="0" w:noVBand="1"/>
      </w:tblPr>
      <w:tblGrid>
        <w:gridCol w:w="1760"/>
        <w:gridCol w:w="1280"/>
        <w:gridCol w:w="1140"/>
        <w:gridCol w:w="1040"/>
        <w:gridCol w:w="1040"/>
        <w:gridCol w:w="960"/>
      </w:tblGrid>
      <w:tr w:rsidR="00333A1A">
        <w:trPr>
          <w:trHeight w:val="288"/>
        </w:trPr>
        <w:tc>
          <w:tcPr>
            <w:tcW w:w="1760" w:type="dxa"/>
            <w:tcBorders>
              <w:top w:val="nil"/>
              <w:left w:val="nil"/>
              <w:bottom w:val="single" w:sz="4" w:space="0" w:color="auto"/>
              <w:right w:val="nil"/>
            </w:tcBorders>
            <w:shd w:val="clear" w:color="auto" w:fill="auto"/>
            <w:noWrap/>
            <w:vAlign w:val="bottom"/>
            <w:hideMark/>
          </w:tcPr>
          <w:p w:rsidR="00333A1A" w:rsidRDefault="00333A1A">
            <w:pPr>
              <w:spacing w:after="0" w:line="240" w:lineRule="auto"/>
              <w:rPr>
                <w:rFonts w:ascii="Times New Roman" w:eastAsia="Times New Roman" w:hAnsi="Times New Roman" w:cs="Times New Roman"/>
                <w:noProof/>
                <w:color w:val="000000"/>
                <w:sz w:val="20"/>
                <w:szCs w:val="20"/>
                <w:lang w:eastAsia="en-GB"/>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Baseline</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Option 3a</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Option </w:t>
            </w:r>
            <w:r>
              <w:rPr>
                <w:rFonts w:ascii="Times New Roman" w:eastAsia="Times New Roman" w:hAnsi="Times New Roman" w:cs="Times New Roman"/>
                <w:noProof/>
                <w:color w:val="000000"/>
                <w:sz w:val="20"/>
                <w:szCs w:val="20"/>
                <w:lang w:eastAsia="en-GB"/>
              </w:rPr>
              <w:t>3b</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Option 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Option 5</w:t>
            </w:r>
          </w:p>
        </w:tc>
      </w:tr>
      <w:tr w:rsidR="00333A1A">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Farmers capped</w:t>
            </w:r>
          </w:p>
        </w:tc>
        <w:tc>
          <w:tcPr>
            <w:tcW w:w="128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3 140</w:t>
            </w:r>
          </w:p>
        </w:tc>
        <w:tc>
          <w:tcPr>
            <w:tcW w:w="114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4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130</w:t>
            </w:r>
          </w:p>
        </w:tc>
        <w:tc>
          <w:tcPr>
            <w:tcW w:w="104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4 380</w:t>
            </w:r>
          </w:p>
        </w:tc>
        <w:tc>
          <w:tcPr>
            <w:tcW w:w="96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1 380</w:t>
            </w:r>
          </w:p>
        </w:tc>
      </w:tr>
      <w:tr w:rsidR="00333A1A">
        <w:trPr>
          <w:trHeight w:val="576"/>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Product of capping (Million EUR)</w:t>
            </w:r>
          </w:p>
        </w:tc>
        <w:tc>
          <w:tcPr>
            <w:tcW w:w="128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120</w:t>
            </w:r>
          </w:p>
        </w:tc>
        <w:tc>
          <w:tcPr>
            <w:tcW w:w="114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40" w:type="dxa"/>
            <w:tcBorders>
              <w:top w:val="nil"/>
              <w:left w:val="nil"/>
              <w:bottom w:val="nil"/>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w:t>
            </w:r>
          </w:p>
        </w:tc>
        <w:tc>
          <w:tcPr>
            <w:tcW w:w="104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50</w:t>
            </w:r>
          </w:p>
        </w:tc>
      </w:tr>
      <w:tr w:rsidR="00333A1A">
        <w:trPr>
          <w:trHeight w:val="576"/>
        </w:trPr>
        <w:tc>
          <w:tcPr>
            <w:tcW w:w="1760" w:type="dxa"/>
            <w:tcBorders>
              <w:top w:val="single" w:sz="4" w:space="0" w:color="auto"/>
              <w:left w:val="single" w:sz="4" w:space="0" w:color="auto"/>
              <w:bottom w:val="nil"/>
              <w:right w:val="nil"/>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Share of MS in capped amount</w:t>
            </w:r>
          </w:p>
        </w:tc>
        <w:tc>
          <w:tcPr>
            <w:tcW w:w="1280" w:type="dxa"/>
            <w:tcBorders>
              <w:top w:val="nil"/>
              <w:left w:val="single" w:sz="4" w:space="0" w:color="auto"/>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single" w:sz="4" w:space="0" w:color="auto"/>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r>
      <w:tr w:rsidR="00333A1A">
        <w:trPr>
          <w:trHeight w:val="288"/>
        </w:trPr>
        <w:tc>
          <w:tcPr>
            <w:tcW w:w="1760" w:type="dxa"/>
            <w:tcBorders>
              <w:top w:val="nil"/>
              <w:left w:val="single" w:sz="4" w:space="0" w:color="auto"/>
              <w:bottom w:val="nil"/>
              <w:right w:val="nil"/>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HU</w:t>
            </w:r>
          </w:p>
        </w:tc>
        <w:tc>
          <w:tcPr>
            <w:tcW w:w="1280" w:type="dxa"/>
            <w:tcBorders>
              <w:top w:val="nil"/>
              <w:left w:val="single" w:sz="4" w:space="0" w:color="auto"/>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61%</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r>
      <w:tr w:rsidR="00333A1A">
        <w:trPr>
          <w:trHeight w:val="288"/>
        </w:trPr>
        <w:tc>
          <w:tcPr>
            <w:tcW w:w="1760" w:type="dxa"/>
            <w:tcBorders>
              <w:top w:val="nil"/>
              <w:left w:val="single" w:sz="4" w:space="0" w:color="auto"/>
              <w:bottom w:val="nil"/>
              <w:right w:val="nil"/>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PL</w:t>
            </w:r>
          </w:p>
        </w:tc>
        <w:tc>
          <w:tcPr>
            <w:tcW w:w="1280" w:type="dxa"/>
            <w:tcBorders>
              <w:top w:val="nil"/>
              <w:left w:val="single" w:sz="4" w:space="0" w:color="auto"/>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17%</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rsidR="00333A1A">
        <w:trPr>
          <w:trHeight w:val="288"/>
        </w:trPr>
        <w:tc>
          <w:tcPr>
            <w:tcW w:w="1760" w:type="dxa"/>
            <w:tcBorders>
              <w:top w:val="nil"/>
              <w:left w:val="single" w:sz="4" w:space="0" w:color="auto"/>
              <w:bottom w:val="nil"/>
              <w:right w:val="nil"/>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BG</w:t>
            </w:r>
          </w:p>
        </w:tc>
        <w:tc>
          <w:tcPr>
            <w:tcW w:w="1280" w:type="dxa"/>
            <w:tcBorders>
              <w:top w:val="nil"/>
              <w:left w:val="single" w:sz="4" w:space="0" w:color="auto"/>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84%</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58%</w:t>
            </w:r>
          </w:p>
        </w:tc>
      </w:tr>
      <w:tr w:rsidR="00333A1A">
        <w:trPr>
          <w:trHeight w:val="288"/>
        </w:trPr>
        <w:tc>
          <w:tcPr>
            <w:tcW w:w="1760" w:type="dxa"/>
            <w:tcBorders>
              <w:top w:val="nil"/>
              <w:left w:val="single" w:sz="4" w:space="0" w:color="auto"/>
              <w:bottom w:val="nil"/>
              <w:right w:val="nil"/>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CZ</w:t>
            </w:r>
          </w:p>
        </w:tc>
        <w:tc>
          <w:tcPr>
            <w:tcW w:w="1280" w:type="dxa"/>
            <w:tcBorders>
              <w:top w:val="nil"/>
              <w:left w:val="single" w:sz="4" w:space="0" w:color="auto"/>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r>
      <w:tr w:rsidR="00333A1A">
        <w:trPr>
          <w:trHeight w:val="288"/>
        </w:trPr>
        <w:tc>
          <w:tcPr>
            <w:tcW w:w="1760" w:type="dxa"/>
            <w:tcBorders>
              <w:top w:val="nil"/>
              <w:left w:val="single" w:sz="4" w:space="0" w:color="auto"/>
              <w:bottom w:val="nil"/>
              <w:right w:val="nil"/>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SK</w:t>
            </w:r>
          </w:p>
        </w:tc>
        <w:tc>
          <w:tcPr>
            <w:tcW w:w="1280" w:type="dxa"/>
            <w:tcBorders>
              <w:top w:val="nil"/>
              <w:left w:val="single" w:sz="4" w:space="0" w:color="auto"/>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r>
      <w:tr w:rsidR="00333A1A">
        <w:trPr>
          <w:trHeight w:val="288"/>
        </w:trPr>
        <w:tc>
          <w:tcPr>
            <w:tcW w:w="1760" w:type="dxa"/>
            <w:tcBorders>
              <w:top w:val="nil"/>
              <w:left w:val="single" w:sz="4" w:space="0" w:color="auto"/>
              <w:bottom w:val="nil"/>
              <w:right w:val="nil"/>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IT</w:t>
            </w:r>
          </w:p>
        </w:tc>
        <w:tc>
          <w:tcPr>
            <w:tcW w:w="1280" w:type="dxa"/>
            <w:tcBorders>
              <w:top w:val="nil"/>
              <w:left w:val="single" w:sz="4" w:space="0" w:color="auto"/>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r>
      <w:tr w:rsidR="00333A1A">
        <w:trPr>
          <w:trHeight w:val="288"/>
        </w:trPr>
        <w:tc>
          <w:tcPr>
            <w:tcW w:w="1760" w:type="dxa"/>
            <w:tcBorders>
              <w:top w:val="nil"/>
              <w:left w:val="single" w:sz="4" w:space="0" w:color="auto"/>
              <w:bottom w:val="nil"/>
              <w:right w:val="nil"/>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RO</w:t>
            </w:r>
          </w:p>
        </w:tc>
        <w:tc>
          <w:tcPr>
            <w:tcW w:w="1280" w:type="dxa"/>
            <w:tcBorders>
              <w:top w:val="nil"/>
              <w:left w:val="single" w:sz="4" w:space="0" w:color="auto"/>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30%</w:t>
            </w:r>
          </w:p>
        </w:tc>
      </w:tr>
      <w:tr w:rsidR="00333A1A">
        <w:trPr>
          <w:trHeight w:val="288"/>
        </w:trPr>
        <w:tc>
          <w:tcPr>
            <w:tcW w:w="1760" w:type="dxa"/>
            <w:tcBorders>
              <w:top w:val="nil"/>
              <w:left w:val="single" w:sz="4" w:space="0" w:color="auto"/>
              <w:bottom w:val="nil"/>
              <w:right w:val="nil"/>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DE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104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r>
      <w:tr w:rsidR="00333A1A">
        <w:trPr>
          <w:trHeight w:val="576"/>
        </w:trPr>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Income of capped farms</w:t>
            </w:r>
          </w:p>
        </w:tc>
        <w:tc>
          <w:tcPr>
            <w:tcW w:w="128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31 800</w:t>
            </w:r>
          </w:p>
        </w:tc>
        <w:tc>
          <w:tcPr>
            <w:tcW w:w="114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50 500</w:t>
            </w:r>
          </w:p>
        </w:tc>
        <w:tc>
          <w:tcPr>
            <w:tcW w:w="104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32 800</w:t>
            </w:r>
          </w:p>
        </w:tc>
        <w:tc>
          <w:tcPr>
            <w:tcW w:w="96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44 600</w:t>
            </w:r>
          </w:p>
        </w:tc>
      </w:tr>
      <w:tr w:rsidR="00333A1A">
        <w:trPr>
          <w:trHeight w:val="576"/>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Income of non capped farms</w:t>
            </w:r>
          </w:p>
        </w:tc>
        <w:tc>
          <w:tcPr>
            <w:tcW w:w="128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28 600</w:t>
            </w:r>
          </w:p>
        </w:tc>
        <w:tc>
          <w:tcPr>
            <w:tcW w:w="114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26 700</w:t>
            </w:r>
          </w:p>
        </w:tc>
        <w:tc>
          <w:tcPr>
            <w:tcW w:w="104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25 800</w:t>
            </w:r>
          </w:p>
        </w:tc>
        <w:tc>
          <w:tcPr>
            <w:tcW w:w="960" w:type="dxa"/>
            <w:tcBorders>
              <w:top w:val="nil"/>
              <w:left w:val="nil"/>
              <w:bottom w:val="single" w:sz="4" w:space="0" w:color="auto"/>
              <w:right w:val="single" w:sz="4" w:space="0" w:color="auto"/>
            </w:tcBorders>
            <w:shd w:val="clear" w:color="auto" w:fill="auto"/>
            <w:noWrap/>
            <w:vAlign w:val="center"/>
            <w:hideMark/>
          </w:tcPr>
          <w:p w:rsidR="00333A1A" w:rsidRDefault="003D29C9">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26 500</w:t>
            </w:r>
          </w:p>
        </w:tc>
      </w:tr>
      <w:tr w:rsidR="00333A1A">
        <w:trPr>
          <w:trHeight w:val="864"/>
        </w:trPr>
        <w:tc>
          <w:tcPr>
            <w:tcW w:w="1760" w:type="dxa"/>
            <w:tcBorders>
              <w:top w:val="single" w:sz="4" w:space="0" w:color="auto"/>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Average employment in capped farms</w:t>
            </w:r>
          </w:p>
        </w:tc>
        <w:tc>
          <w:tcPr>
            <w:tcW w:w="128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r>
      <w:tr w:rsidR="00333A1A">
        <w:trPr>
          <w:trHeight w:val="288"/>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EU</w:t>
            </w:r>
          </w:p>
        </w:tc>
        <w:tc>
          <w:tcPr>
            <w:tcW w:w="128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47</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w:t>
            </w:r>
          </w:p>
        </w:tc>
      </w:tr>
      <w:tr w:rsidR="00333A1A">
        <w:trPr>
          <w:trHeight w:val="288"/>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HU</w:t>
            </w:r>
          </w:p>
        </w:tc>
        <w:tc>
          <w:tcPr>
            <w:tcW w:w="128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51</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w:t>
            </w:r>
          </w:p>
        </w:tc>
      </w:tr>
      <w:tr w:rsidR="00333A1A">
        <w:trPr>
          <w:trHeight w:val="288"/>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PL</w:t>
            </w:r>
          </w:p>
        </w:tc>
        <w:tc>
          <w:tcPr>
            <w:tcW w:w="128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64</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r>
      <w:tr w:rsidR="00333A1A">
        <w:trPr>
          <w:trHeight w:val="288"/>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BG</w:t>
            </w:r>
          </w:p>
        </w:tc>
        <w:tc>
          <w:tcPr>
            <w:tcW w:w="128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40</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16</w:t>
            </w:r>
          </w:p>
        </w:tc>
      </w:tr>
      <w:tr w:rsidR="00333A1A">
        <w:trPr>
          <w:trHeight w:val="288"/>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CZ</w:t>
            </w:r>
          </w:p>
        </w:tc>
        <w:tc>
          <w:tcPr>
            <w:tcW w:w="128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54</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r>
      <w:tr w:rsidR="00333A1A">
        <w:trPr>
          <w:trHeight w:val="288"/>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SK</w:t>
            </w:r>
          </w:p>
        </w:tc>
        <w:tc>
          <w:tcPr>
            <w:tcW w:w="128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50</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r>
      <w:tr w:rsidR="00333A1A">
        <w:trPr>
          <w:trHeight w:val="288"/>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IT</w:t>
            </w:r>
          </w:p>
        </w:tc>
        <w:tc>
          <w:tcPr>
            <w:tcW w:w="128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15</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r>
      <w:tr w:rsidR="00333A1A">
        <w:trPr>
          <w:trHeight w:val="288"/>
        </w:trPr>
        <w:tc>
          <w:tcPr>
            <w:tcW w:w="1760" w:type="dxa"/>
            <w:tcBorders>
              <w:top w:val="nil"/>
              <w:left w:val="single" w:sz="4" w:space="0" w:color="auto"/>
              <w:bottom w:val="nil"/>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RO</w:t>
            </w:r>
          </w:p>
        </w:tc>
        <w:tc>
          <w:tcPr>
            <w:tcW w:w="128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1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15</w:t>
            </w:r>
          </w:p>
        </w:tc>
        <w:tc>
          <w:tcPr>
            <w:tcW w:w="104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w:t>
            </w:r>
          </w:p>
        </w:tc>
        <w:tc>
          <w:tcPr>
            <w:tcW w:w="960" w:type="dxa"/>
            <w:tcBorders>
              <w:top w:val="nil"/>
              <w:left w:val="nil"/>
              <w:bottom w:val="nil"/>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w:t>
            </w:r>
          </w:p>
        </w:tc>
      </w:tr>
      <w:tr w:rsidR="00333A1A">
        <w:trPr>
          <w:trHeight w:val="288"/>
        </w:trPr>
        <w:tc>
          <w:tcPr>
            <w:tcW w:w="1760" w:type="dxa"/>
            <w:tcBorders>
              <w:top w:val="nil"/>
              <w:left w:val="single" w:sz="4" w:space="0" w:color="auto"/>
              <w:bottom w:val="single" w:sz="4" w:space="0" w:color="auto"/>
              <w:right w:val="single" w:sz="4" w:space="0" w:color="auto"/>
            </w:tcBorders>
            <w:shd w:val="clear" w:color="auto" w:fill="auto"/>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DE</w:t>
            </w:r>
          </w:p>
        </w:tc>
        <w:tc>
          <w:tcPr>
            <w:tcW w:w="128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104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0" w:line="240" w:lineRule="auto"/>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w:t>
            </w:r>
          </w:p>
        </w:tc>
      </w:tr>
    </w:tbl>
    <w:p w:rsidR="00333A1A" w:rsidRDefault="003D29C9">
      <w:pPr>
        <w:spacing w:after="120" w:line="240" w:lineRule="auto"/>
        <w:rPr>
          <w:rFonts w:ascii="Times New Roman" w:hAnsi="Times New Roman" w:cs="Times New Roman"/>
          <w:noProof/>
          <w:sz w:val="18"/>
        </w:rPr>
      </w:pPr>
      <w:r>
        <w:rPr>
          <w:rFonts w:ascii="Times New Roman" w:hAnsi="Times New Roman" w:cs="Times New Roman"/>
          <w:noProof/>
          <w:sz w:val="18"/>
        </w:rPr>
        <w:t>Source: JRC, IFM-CAP model</w:t>
      </w:r>
    </w:p>
    <w:p w:rsidR="00333A1A" w:rsidRDefault="003D29C9">
      <w:pPr>
        <w:spacing w:after="120" w:line="240" w:lineRule="auto"/>
        <w:rPr>
          <w:rFonts w:ascii="Times New Roman" w:hAnsi="Times New Roman" w:cs="Times New Roman"/>
          <w:noProof/>
          <w:sz w:val="24"/>
        </w:rPr>
      </w:pPr>
      <w:r>
        <w:rPr>
          <w:rFonts w:ascii="Times New Roman" w:hAnsi="Times New Roman" w:cs="Times New Roman"/>
          <w:noProof/>
          <w:sz w:val="24"/>
        </w:rPr>
        <w:br w:type="page"/>
      </w:r>
    </w:p>
    <w:p w:rsidR="00333A1A" w:rsidRDefault="003D29C9">
      <w:pPr>
        <w:pStyle w:val="AnnexTitle"/>
        <w:rPr>
          <w:noProof/>
        </w:rPr>
      </w:pPr>
      <w:bookmarkStart w:id="264" w:name="_Toc513053302"/>
      <w:bookmarkStart w:id="265" w:name="_Toc513053518"/>
      <w:bookmarkStart w:id="266" w:name="_Toc514514649"/>
      <w:r>
        <w:rPr>
          <w:noProof/>
        </w:rPr>
        <w:t>Annex 5.6: Share of direct payments received by biggest beneficiaries and biggest farms</w:t>
      </w:r>
      <w:bookmarkEnd w:id="264"/>
      <w:bookmarkEnd w:id="265"/>
      <w:bookmarkEnd w:id="266"/>
    </w:p>
    <w:tbl>
      <w:tblPr>
        <w:tblStyle w:val="TableGrid"/>
        <w:tblW w:w="0" w:type="auto"/>
        <w:tblLook w:val="04A0" w:firstRow="1" w:lastRow="0" w:firstColumn="1" w:lastColumn="0" w:noHBand="0" w:noVBand="1"/>
      </w:tblPr>
      <w:tblGrid>
        <w:gridCol w:w="4447"/>
        <w:gridCol w:w="4387"/>
      </w:tblGrid>
      <w:tr w:rsidR="00333A1A">
        <w:tc>
          <w:tcPr>
            <w:tcW w:w="4644" w:type="dxa"/>
            <w:tcBorders>
              <w:top w:val="nil"/>
              <w:left w:val="nil"/>
              <w:bottom w:val="nil"/>
              <w:right w:val="nil"/>
            </w:tcBorders>
          </w:tcPr>
          <w:p w:rsidR="00333A1A" w:rsidRDefault="003D29C9">
            <w:pPr>
              <w:spacing w:after="120"/>
              <w:jc w:val="center"/>
              <w:rPr>
                <w:noProof/>
                <w:color w:val="000000"/>
                <w:szCs w:val="18"/>
              </w:rPr>
            </w:pPr>
            <w:r>
              <w:rPr>
                <w:noProof/>
                <w:color w:val="000000"/>
                <w:szCs w:val="18"/>
              </w:rPr>
              <w:t>Share of direct payments granted to 20% biggest beneficiaries</w:t>
            </w:r>
          </w:p>
        </w:tc>
        <w:tc>
          <w:tcPr>
            <w:tcW w:w="4644" w:type="dxa"/>
            <w:tcBorders>
              <w:top w:val="nil"/>
              <w:left w:val="nil"/>
              <w:bottom w:val="nil"/>
              <w:right w:val="nil"/>
            </w:tcBorders>
          </w:tcPr>
          <w:p w:rsidR="00333A1A" w:rsidRDefault="003D29C9">
            <w:pPr>
              <w:spacing w:after="120"/>
              <w:jc w:val="center"/>
              <w:rPr>
                <w:b/>
                <w:noProof/>
              </w:rPr>
            </w:pPr>
            <w:r>
              <w:rPr>
                <w:noProof/>
                <w:color w:val="000000"/>
                <w:szCs w:val="18"/>
              </w:rPr>
              <w:t>Share of direct payments granted to 20% largest farms in terms of UAA</w:t>
            </w:r>
          </w:p>
        </w:tc>
      </w:tr>
      <w:tr w:rsidR="00333A1A">
        <w:tc>
          <w:tcPr>
            <w:tcW w:w="4644" w:type="dxa"/>
            <w:tcBorders>
              <w:top w:val="nil"/>
              <w:left w:val="nil"/>
              <w:bottom w:val="nil"/>
              <w:right w:val="nil"/>
            </w:tcBorders>
          </w:tcPr>
          <w:tbl>
            <w:tblPr>
              <w:tblW w:w="3960" w:type="dxa"/>
              <w:tblLook w:val="04A0" w:firstRow="1" w:lastRow="0" w:firstColumn="1" w:lastColumn="0" w:noHBand="0" w:noVBand="1"/>
            </w:tblPr>
            <w:tblGrid>
              <w:gridCol w:w="960"/>
              <w:gridCol w:w="905"/>
              <w:gridCol w:w="448"/>
              <w:gridCol w:w="564"/>
              <w:gridCol w:w="564"/>
              <w:gridCol w:w="564"/>
            </w:tblGrid>
            <w:tr w:rsidR="00333A1A">
              <w:trPr>
                <w:trHeight w:val="264"/>
              </w:trPr>
              <w:tc>
                <w:tcPr>
                  <w:tcW w:w="960" w:type="dxa"/>
                  <w:tcBorders>
                    <w:top w:val="nil"/>
                    <w:left w:val="nil"/>
                    <w:right w:val="nil"/>
                  </w:tcBorders>
                  <w:shd w:val="clear" w:color="auto" w:fill="auto"/>
                  <w:noWrap/>
                  <w:vAlign w:val="bottom"/>
                  <w:hideMark/>
                </w:tcPr>
                <w:p w:rsidR="00333A1A" w:rsidRDefault="00333A1A">
                  <w:pPr>
                    <w:spacing w:after="120" w:line="240" w:lineRule="auto"/>
                    <w:rPr>
                      <w:rFonts w:ascii="Times New Roman" w:eastAsia="Times New Roman" w:hAnsi="Times New Roman" w:cs="Times New Roman"/>
                      <w:noProof/>
                      <w:color w:val="000000"/>
                      <w:szCs w:val="20"/>
                      <w:lang w:eastAsia="en-GB"/>
                    </w:rPr>
                  </w:pP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Share</w:t>
                  </w:r>
                </w:p>
              </w:tc>
              <w:tc>
                <w:tcPr>
                  <w:tcW w:w="2140" w:type="dxa"/>
                  <w:gridSpan w:val="4"/>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Change relative to baseline</w:t>
                  </w:r>
                </w:p>
              </w:tc>
            </w:tr>
            <w:tr w:rsidR="00333A1A">
              <w:trPr>
                <w:trHeight w:val="264"/>
              </w:trPr>
              <w:tc>
                <w:tcPr>
                  <w:tcW w:w="960" w:type="dxa"/>
                  <w:tcBorders>
                    <w:left w:val="nil"/>
                    <w:bottom w:val="single" w:sz="4" w:space="0" w:color="auto"/>
                    <w:right w:val="nil"/>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Cs w:val="20"/>
                      <w:lang w:eastAsia="en-GB"/>
                    </w:rPr>
                  </w:pPr>
                  <w:r>
                    <w:rPr>
                      <w:rFonts w:ascii="Times New Roman" w:eastAsia="Times New Roman" w:hAnsi="Times New Roman" w:cs="Times New Roman"/>
                      <w:noProof/>
                      <w:color w:val="000000"/>
                      <w:szCs w:val="20"/>
                      <w:lang w:eastAsia="en-GB"/>
                    </w:rPr>
                    <w:t> </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33A1A" w:rsidRDefault="003D29C9">
                  <w:pPr>
                    <w:spacing w:after="120" w:line="240" w:lineRule="auto"/>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Baseline</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3a</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3b</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4</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EU</w:t>
                  </w:r>
                </w:p>
              </w:tc>
              <w:tc>
                <w:tcPr>
                  <w:tcW w:w="8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73</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2</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-6</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BEL</w:t>
                  </w:r>
                </w:p>
              </w:tc>
              <w:tc>
                <w:tcPr>
                  <w:tcW w:w="8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45</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4</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4</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-6</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DK</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57</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-14</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DE</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58</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-11</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EL</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54</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12</w:t>
                  </w:r>
                </w:p>
              </w:tc>
              <w:tc>
                <w:tcPr>
                  <w:tcW w:w="56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3</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ES</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59</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-6</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-8</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FR</w:t>
                  </w:r>
                </w:p>
              </w:tc>
              <w:tc>
                <w:tcPr>
                  <w:tcW w:w="8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44</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8</w:t>
                  </w:r>
                </w:p>
              </w:tc>
              <w:tc>
                <w:tcPr>
                  <w:tcW w:w="56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4</w:t>
                  </w:r>
                </w:p>
              </w:tc>
              <w:tc>
                <w:tcPr>
                  <w:tcW w:w="56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5</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IE</w:t>
                  </w:r>
                </w:p>
              </w:tc>
              <w:tc>
                <w:tcPr>
                  <w:tcW w:w="8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44</w:t>
                  </w:r>
                </w:p>
              </w:tc>
              <w:tc>
                <w:tcPr>
                  <w:tcW w:w="448"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-9</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-7</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-5</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-9</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IT</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72</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-15</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NL</w:t>
                  </w:r>
                </w:p>
              </w:tc>
              <w:tc>
                <w:tcPr>
                  <w:tcW w:w="8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48</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-9</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AT</w:t>
                  </w:r>
                </w:p>
              </w:tc>
              <w:tc>
                <w:tcPr>
                  <w:tcW w:w="8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49</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-5</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-5</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PT</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62</w:t>
                  </w:r>
                </w:p>
              </w:tc>
              <w:tc>
                <w:tcPr>
                  <w:tcW w:w="448"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-5</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-6</w:t>
                  </w:r>
                </w:p>
              </w:tc>
              <w:tc>
                <w:tcPr>
                  <w:tcW w:w="56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5</w:t>
                  </w:r>
                </w:p>
              </w:tc>
              <w:tc>
                <w:tcPr>
                  <w:tcW w:w="56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3</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SE</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52</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5</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FI</w:t>
                  </w:r>
                </w:p>
              </w:tc>
              <w:tc>
                <w:tcPr>
                  <w:tcW w:w="8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46</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-10</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CZ</w:t>
                  </w:r>
                </w:p>
              </w:tc>
              <w:tc>
                <w:tcPr>
                  <w:tcW w:w="8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81</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-14</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HU</w:t>
                  </w:r>
                </w:p>
              </w:tc>
              <w:tc>
                <w:tcPr>
                  <w:tcW w:w="8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76</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-13</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PL</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55</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-13</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SI</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50</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SK</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71</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EE</w:t>
                  </w:r>
                </w:p>
              </w:tc>
              <w:tc>
                <w:tcPr>
                  <w:tcW w:w="8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76</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-10</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-17</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LT</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57</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6</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-6</w:t>
                  </w:r>
                </w:p>
              </w:tc>
              <w:tc>
                <w:tcPr>
                  <w:tcW w:w="56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5</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-8</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LV</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64</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-9</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-14</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CY</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72</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3</w:t>
                  </w:r>
                </w:p>
              </w:tc>
              <w:tc>
                <w:tcPr>
                  <w:tcW w:w="56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4</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-13</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MT</w:t>
                  </w:r>
                </w:p>
              </w:tc>
              <w:tc>
                <w:tcPr>
                  <w:tcW w:w="8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60</w:t>
                  </w:r>
                </w:p>
              </w:tc>
              <w:tc>
                <w:tcPr>
                  <w:tcW w:w="448"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-5</w:t>
                  </w:r>
                </w:p>
              </w:tc>
              <w:tc>
                <w:tcPr>
                  <w:tcW w:w="56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-10</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-24</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BG</w:t>
                  </w:r>
                </w:p>
              </w:tc>
              <w:tc>
                <w:tcPr>
                  <w:tcW w:w="8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90</w:t>
                  </w:r>
                </w:p>
              </w:tc>
              <w:tc>
                <w:tcPr>
                  <w:tcW w:w="44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3</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w:t>
                  </w:r>
                </w:p>
              </w:tc>
            </w:tr>
            <w:tr w:rsidR="00333A1A">
              <w:trPr>
                <w:trHeight w:val="264"/>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RO</w:t>
                  </w:r>
                </w:p>
              </w:tc>
              <w:tc>
                <w:tcPr>
                  <w:tcW w:w="8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right"/>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77</w:t>
                  </w:r>
                </w:p>
              </w:tc>
              <w:tc>
                <w:tcPr>
                  <w:tcW w:w="448"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56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right"/>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-2</w:t>
                  </w:r>
                </w:p>
              </w:tc>
              <w:tc>
                <w:tcPr>
                  <w:tcW w:w="56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right"/>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-13</w:t>
                  </w:r>
                </w:p>
              </w:tc>
            </w:tr>
          </w:tbl>
          <w:p w:rsidR="00333A1A" w:rsidRDefault="00333A1A">
            <w:pPr>
              <w:spacing w:after="120"/>
              <w:jc w:val="both"/>
              <w:rPr>
                <w:b/>
                <w:noProof/>
              </w:rPr>
            </w:pPr>
          </w:p>
        </w:tc>
        <w:tc>
          <w:tcPr>
            <w:tcW w:w="4644" w:type="dxa"/>
            <w:tcBorders>
              <w:top w:val="nil"/>
              <w:left w:val="nil"/>
              <w:bottom w:val="nil"/>
              <w:right w:val="nil"/>
            </w:tcBorders>
          </w:tcPr>
          <w:tbl>
            <w:tblPr>
              <w:tblW w:w="3880" w:type="dxa"/>
              <w:tblLook w:val="04A0" w:firstRow="1" w:lastRow="0" w:firstColumn="1" w:lastColumn="0" w:noHBand="0" w:noVBand="1"/>
            </w:tblPr>
            <w:tblGrid>
              <w:gridCol w:w="680"/>
              <w:gridCol w:w="960"/>
              <w:gridCol w:w="496"/>
              <w:gridCol w:w="624"/>
              <w:gridCol w:w="496"/>
              <w:gridCol w:w="624"/>
            </w:tblGrid>
            <w:tr w:rsidR="00333A1A">
              <w:trPr>
                <w:trHeight w:val="264"/>
              </w:trPr>
              <w:tc>
                <w:tcPr>
                  <w:tcW w:w="680" w:type="dxa"/>
                  <w:tcBorders>
                    <w:top w:val="nil"/>
                    <w:left w:val="nil"/>
                    <w:bottom w:val="nil"/>
                    <w:right w:val="nil"/>
                  </w:tcBorders>
                  <w:shd w:val="clear" w:color="auto" w:fill="auto"/>
                  <w:noWrap/>
                  <w:vAlign w:val="bottom"/>
                  <w:hideMark/>
                </w:tcPr>
                <w:p w:rsidR="00333A1A" w:rsidRDefault="00333A1A">
                  <w:pPr>
                    <w:spacing w:after="120" w:line="240" w:lineRule="auto"/>
                    <w:rPr>
                      <w:rFonts w:ascii="Times New Roman" w:eastAsia="Times New Roman" w:hAnsi="Times New Roman" w:cs="Times New Roman"/>
                      <w:noProof/>
                      <w:color w:val="000000"/>
                      <w:sz w:val="20"/>
                      <w:szCs w:val="18"/>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Share</w:t>
                  </w:r>
                </w:p>
              </w:tc>
              <w:tc>
                <w:tcPr>
                  <w:tcW w:w="2240" w:type="dxa"/>
                  <w:gridSpan w:val="4"/>
                  <w:tcBorders>
                    <w:top w:val="single" w:sz="4" w:space="0" w:color="auto"/>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Change relative to baseline</w:t>
                  </w:r>
                </w:p>
              </w:tc>
            </w:tr>
            <w:tr w:rsidR="00333A1A">
              <w:trPr>
                <w:trHeight w:val="264"/>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Baseline</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3a</w:t>
                  </w:r>
                </w:p>
              </w:tc>
              <w:tc>
                <w:tcPr>
                  <w:tcW w:w="62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3b</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4</w:t>
                  </w:r>
                </w:p>
              </w:tc>
              <w:tc>
                <w:tcPr>
                  <w:tcW w:w="62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EU</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70</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-2</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-5</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BEL</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44</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4</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3</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-6</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DK</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56</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DE</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58</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-11</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EL</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45</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15</w:t>
                  </w:r>
                </w:p>
              </w:tc>
              <w:tc>
                <w:tcPr>
                  <w:tcW w:w="62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11</w:t>
                  </w:r>
                </w:p>
              </w:tc>
              <w:tc>
                <w:tcPr>
                  <w:tcW w:w="62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6</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ES</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51</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-5</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8</w:t>
                  </w:r>
                </w:p>
              </w:tc>
              <w:tc>
                <w:tcPr>
                  <w:tcW w:w="62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FR</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41</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4</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-2</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IE</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40</w:t>
                  </w:r>
                </w:p>
              </w:tc>
              <w:tc>
                <w:tcPr>
                  <w:tcW w:w="496"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-7</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-6</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-7</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IT</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68</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NL</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48</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-10</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AT</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48</w:t>
                  </w:r>
                </w:p>
              </w:tc>
              <w:tc>
                <w:tcPr>
                  <w:tcW w:w="496"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-8</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-7</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-7</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PT</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57</w:t>
                  </w:r>
                </w:p>
              </w:tc>
              <w:tc>
                <w:tcPr>
                  <w:tcW w:w="496"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-6</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w:t>
                  </w:r>
                </w:p>
              </w:tc>
              <w:tc>
                <w:tcPr>
                  <w:tcW w:w="62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4</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SE</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49</w:t>
                  </w:r>
                </w:p>
              </w:tc>
              <w:tc>
                <w:tcPr>
                  <w:tcW w:w="496"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-6</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-9</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FI</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44</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62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-9</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CZ</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80</w:t>
                  </w:r>
                </w:p>
              </w:tc>
              <w:tc>
                <w:tcPr>
                  <w:tcW w:w="496"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-13</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HU</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76</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3</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-5</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-13</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PL</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54</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SI</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49</w:t>
                  </w:r>
                </w:p>
              </w:tc>
              <w:tc>
                <w:tcPr>
                  <w:tcW w:w="496"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-5</w:t>
                  </w:r>
                </w:p>
              </w:tc>
              <w:tc>
                <w:tcPr>
                  <w:tcW w:w="62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SK</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70</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EE</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75</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-9</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-16</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LT</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57</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5</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-8</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5</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-7</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LV</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64</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-10</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-14</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CY</w:t>
                  </w:r>
                </w:p>
              </w:tc>
              <w:tc>
                <w:tcPr>
                  <w:tcW w:w="960"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71</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3</w:t>
                  </w:r>
                </w:p>
              </w:tc>
              <w:tc>
                <w:tcPr>
                  <w:tcW w:w="624"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2</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MT</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49</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4</w:t>
                  </w:r>
                </w:p>
              </w:tc>
              <w:tc>
                <w:tcPr>
                  <w:tcW w:w="62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-12</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BG</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89</w:t>
                  </w:r>
                </w:p>
              </w:tc>
              <w:tc>
                <w:tcPr>
                  <w:tcW w:w="49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1</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r>
            <w:tr w:rsidR="00333A1A">
              <w:trPr>
                <w:trHeight w:val="264"/>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RO</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333A1A" w:rsidRDefault="003D29C9">
                  <w:pPr>
                    <w:spacing w:after="120" w:line="240" w:lineRule="auto"/>
                    <w:jc w:val="center"/>
                    <w:rPr>
                      <w:rFonts w:ascii="Times New Roman" w:eastAsia="Times New Roman" w:hAnsi="Times New Roman" w:cs="Times New Roman"/>
                      <w:noProof/>
                      <w:color w:val="9C0006"/>
                      <w:sz w:val="20"/>
                      <w:szCs w:val="18"/>
                      <w:lang w:eastAsia="en-GB"/>
                    </w:rPr>
                  </w:pPr>
                  <w:r>
                    <w:rPr>
                      <w:rFonts w:ascii="Times New Roman" w:eastAsia="Times New Roman" w:hAnsi="Times New Roman" w:cs="Times New Roman"/>
                      <w:noProof/>
                      <w:color w:val="9C0006"/>
                      <w:sz w:val="20"/>
                      <w:szCs w:val="18"/>
                      <w:lang w:eastAsia="en-GB"/>
                    </w:rPr>
                    <w:t>76</w:t>
                  </w:r>
                </w:p>
              </w:tc>
              <w:tc>
                <w:tcPr>
                  <w:tcW w:w="496" w:type="dxa"/>
                  <w:tcBorders>
                    <w:top w:val="nil"/>
                    <w:left w:val="nil"/>
                    <w:bottom w:val="single" w:sz="4" w:space="0" w:color="auto"/>
                    <w:right w:val="single" w:sz="4" w:space="0" w:color="auto"/>
                  </w:tcBorders>
                  <w:shd w:val="clear" w:color="auto" w:fill="auto"/>
                  <w:noWrap/>
                  <w:vAlign w:val="bottom"/>
                  <w:hideMark/>
                </w:tcPr>
                <w:p w:rsidR="00333A1A" w:rsidRDefault="003D29C9">
                  <w:pPr>
                    <w:spacing w:after="120" w:line="240" w:lineRule="auto"/>
                    <w:jc w:val="center"/>
                    <w:rPr>
                      <w:rFonts w:ascii="Times New Roman" w:eastAsia="Times New Roman" w:hAnsi="Times New Roman" w:cs="Times New Roman"/>
                      <w:noProof/>
                      <w:color w:val="000000"/>
                      <w:sz w:val="20"/>
                      <w:szCs w:val="18"/>
                      <w:lang w:eastAsia="en-GB"/>
                    </w:rPr>
                  </w:pPr>
                  <w:r>
                    <w:rPr>
                      <w:rFonts w:ascii="Times New Roman" w:eastAsia="Times New Roman" w:hAnsi="Times New Roman" w:cs="Times New Roman"/>
                      <w:noProof/>
                      <w:color w:val="000000"/>
                      <w:sz w:val="20"/>
                      <w:szCs w:val="18"/>
                      <w:lang w:eastAsia="en-GB"/>
                    </w:rPr>
                    <w:t>0</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-3</w:t>
                  </w:r>
                </w:p>
              </w:tc>
              <w:tc>
                <w:tcPr>
                  <w:tcW w:w="496"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-2</w:t>
                  </w:r>
                </w:p>
              </w:tc>
              <w:tc>
                <w:tcPr>
                  <w:tcW w:w="62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333A1A" w:rsidRDefault="003D29C9">
                  <w:pPr>
                    <w:spacing w:after="120" w:line="240" w:lineRule="auto"/>
                    <w:jc w:val="center"/>
                    <w:rPr>
                      <w:rFonts w:ascii="Times New Roman" w:eastAsia="Times New Roman" w:hAnsi="Times New Roman" w:cs="Times New Roman"/>
                      <w:noProof/>
                      <w:color w:val="006100"/>
                      <w:sz w:val="20"/>
                      <w:szCs w:val="18"/>
                      <w:lang w:eastAsia="en-GB"/>
                    </w:rPr>
                  </w:pPr>
                  <w:r>
                    <w:rPr>
                      <w:rFonts w:ascii="Times New Roman" w:eastAsia="Times New Roman" w:hAnsi="Times New Roman" w:cs="Times New Roman"/>
                      <w:noProof/>
                      <w:color w:val="006100"/>
                      <w:sz w:val="20"/>
                      <w:szCs w:val="18"/>
                      <w:lang w:eastAsia="en-GB"/>
                    </w:rPr>
                    <w:t>-13</w:t>
                  </w:r>
                </w:p>
              </w:tc>
            </w:tr>
          </w:tbl>
          <w:p w:rsidR="00333A1A" w:rsidRDefault="00333A1A">
            <w:pPr>
              <w:spacing w:after="120"/>
              <w:jc w:val="both"/>
              <w:rPr>
                <w:b/>
                <w:noProof/>
              </w:rPr>
            </w:pPr>
          </w:p>
        </w:tc>
      </w:tr>
    </w:tbl>
    <w:p w:rsidR="00333A1A" w:rsidRDefault="003D29C9">
      <w:pPr>
        <w:spacing w:after="120" w:line="240" w:lineRule="auto"/>
        <w:jc w:val="both"/>
        <w:rPr>
          <w:rFonts w:ascii="Times New Roman" w:hAnsi="Times New Roman" w:cs="Times New Roman"/>
          <w:b/>
          <w:noProof/>
          <w:sz w:val="24"/>
        </w:rPr>
      </w:pPr>
      <w:r>
        <w:rPr>
          <w:rFonts w:ascii="Times New Roman" w:hAnsi="Times New Roman" w:cs="Times New Roman"/>
          <w:noProof/>
          <w:sz w:val="18"/>
        </w:rPr>
        <w:t>Source: JRC, IFM-CAP, based on professional farms (FADN data)</w:t>
      </w:r>
    </w:p>
    <w:p w:rsidR="00333A1A" w:rsidRDefault="00333A1A">
      <w:pPr>
        <w:spacing w:after="120" w:line="240" w:lineRule="auto"/>
        <w:rPr>
          <w:rFonts w:ascii="Times New Roman" w:hAnsi="Times New Roman" w:cs="Times New Roman"/>
          <w:noProof/>
          <w:sz w:val="24"/>
        </w:rPr>
      </w:pPr>
    </w:p>
    <w:p w:rsidR="00333A1A" w:rsidRDefault="00333A1A">
      <w:pPr>
        <w:spacing w:after="120" w:line="240" w:lineRule="auto"/>
        <w:rPr>
          <w:rFonts w:ascii="Times New Roman" w:hAnsi="Times New Roman" w:cs="Times New Roman"/>
          <w:noProof/>
          <w:sz w:val="24"/>
        </w:rPr>
      </w:pPr>
    </w:p>
    <w:p w:rsidR="00333A1A" w:rsidRDefault="003D29C9">
      <w:pPr>
        <w:rPr>
          <w:rFonts w:ascii="Times New Roman" w:eastAsia="Times New Roman" w:hAnsi="Times New Roman" w:cs="Times New Roman"/>
          <w:b/>
          <w:noProof/>
          <w:sz w:val="32"/>
          <w:szCs w:val="20"/>
        </w:rPr>
      </w:pPr>
      <w:r>
        <w:rPr>
          <w:noProof/>
        </w:rPr>
        <w:br w:type="page"/>
      </w:r>
    </w:p>
    <w:p w:rsidR="00333A1A" w:rsidRDefault="003D29C9">
      <w:pPr>
        <w:pStyle w:val="AnnexTitle"/>
        <w:rPr>
          <w:noProof/>
        </w:rPr>
      </w:pPr>
      <w:bookmarkStart w:id="267" w:name="_Toc513053303"/>
      <w:bookmarkStart w:id="268" w:name="_Toc513053519"/>
      <w:bookmarkStart w:id="269" w:name="_Toc514514650"/>
      <w:r>
        <w:rPr>
          <w:noProof/>
        </w:rPr>
        <w:t>Annex 5.7 – Income variability</w:t>
      </w:r>
      <w:bookmarkEnd w:id="267"/>
      <w:bookmarkEnd w:id="268"/>
      <w:bookmarkEnd w:id="2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9"/>
      </w:tblGrid>
      <w:tr w:rsidR="00333A1A">
        <w:tc>
          <w:tcPr>
            <w:tcW w:w="4644" w:type="dxa"/>
          </w:tcPr>
          <w:p w:rsidR="00333A1A" w:rsidRDefault="003D29C9">
            <w:pPr>
              <w:spacing w:after="120"/>
              <w:jc w:val="center"/>
              <w:rPr>
                <w:noProof/>
              </w:rPr>
            </w:pPr>
            <w:r>
              <w:rPr>
                <w:noProof/>
              </w:rPr>
              <w:t>Share of farms with a gross farm income drop beyond</w:t>
            </w:r>
            <w:r>
              <w:rPr>
                <w:noProof/>
              </w:rPr>
              <w:t xml:space="preserve"> 30% compared to the 3 previous years</w:t>
            </w:r>
          </w:p>
        </w:tc>
        <w:tc>
          <w:tcPr>
            <w:tcW w:w="4644" w:type="dxa"/>
          </w:tcPr>
          <w:p w:rsidR="00333A1A" w:rsidRDefault="003D29C9">
            <w:pPr>
              <w:spacing w:after="120"/>
              <w:jc w:val="center"/>
              <w:rPr>
                <w:noProof/>
              </w:rPr>
            </w:pPr>
            <w:r>
              <w:rPr>
                <w:noProof/>
              </w:rPr>
              <w:t>Share of farms with a sector income drop beyond 20% compared to the 3 previous years</w:t>
            </w:r>
          </w:p>
        </w:tc>
      </w:tr>
      <w:tr w:rsidR="00333A1A">
        <w:tc>
          <w:tcPr>
            <w:tcW w:w="4644" w:type="dxa"/>
          </w:tcPr>
          <w:p w:rsidR="00333A1A" w:rsidRDefault="003D29C9">
            <w:pPr>
              <w:spacing w:after="120"/>
              <w:rPr>
                <w:noProof/>
              </w:rPr>
            </w:pPr>
            <w:r>
              <w:rPr>
                <w:noProof/>
              </w:rPr>
              <w:drawing>
                <wp:inline distT="0" distB="0" distL="0" distR="0" wp14:anchorId="1E9523D7" wp14:editId="5A8CB6A9">
                  <wp:extent cx="2805430" cy="21545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05430" cy="2154555"/>
                          </a:xfrm>
                          <a:prstGeom prst="rect">
                            <a:avLst/>
                          </a:prstGeom>
                          <a:noFill/>
                          <a:ln>
                            <a:noFill/>
                          </a:ln>
                        </pic:spPr>
                      </pic:pic>
                    </a:graphicData>
                  </a:graphic>
                </wp:inline>
              </w:drawing>
            </w:r>
          </w:p>
        </w:tc>
        <w:tc>
          <w:tcPr>
            <w:tcW w:w="4644" w:type="dxa"/>
          </w:tcPr>
          <w:p w:rsidR="00333A1A" w:rsidRDefault="003D29C9">
            <w:pPr>
              <w:spacing w:after="120"/>
              <w:rPr>
                <w:noProof/>
              </w:rPr>
            </w:pPr>
            <w:r>
              <w:rPr>
                <w:noProof/>
              </w:rPr>
              <w:drawing>
                <wp:inline distT="0" distB="0" distL="0" distR="0" wp14:anchorId="63485D24" wp14:editId="6A2A0F8F">
                  <wp:extent cx="2808000" cy="21600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rsidR="00333A1A" w:rsidRDefault="003D29C9">
      <w:pPr>
        <w:spacing w:after="120" w:line="240" w:lineRule="auto"/>
        <w:rPr>
          <w:rFonts w:ascii="Times New Roman" w:hAnsi="Times New Roman" w:cs="Times New Roman"/>
          <w:noProof/>
          <w:sz w:val="18"/>
          <w:lang w:val="fr-BE"/>
        </w:rPr>
      </w:pPr>
      <w:r>
        <w:rPr>
          <w:rFonts w:ascii="Times New Roman" w:hAnsi="Times New Roman" w:cs="Times New Roman"/>
          <w:noProof/>
          <w:sz w:val="18"/>
          <w:lang w:val="fr-BE"/>
        </w:rPr>
        <w:t>Source: DG AGRI, FADN</w:t>
      </w:r>
    </w:p>
    <w:p w:rsidR="00333A1A" w:rsidRDefault="00333A1A">
      <w:pPr>
        <w:pStyle w:val="Text1"/>
        <w:spacing w:after="120"/>
        <w:ind w:left="0"/>
        <w:jc w:val="center"/>
        <w:rPr>
          <w:noProof/>
          <w:sz w:val="28"/>
          <w:lang w:val="fr-BE"/>
        </w:rPr>
      </w:pPr>
    </w:p>
    <w:p w:rsidR="00333A1A" w:rsidRDefault="003D29C9">
      <w:pPr>
        <w:rPr>
          <w:noProof/>
          <w:lang w:val="fr-BE"/>
        </w:rPr>
      </w:pPr>
      <w:r>
        <w:rPr>
          <w:noProof/>
          <w:lang w:val="fr-BE"/>
        </w:rPr>
        <w:br w:type="page"/>
      </w:r>
    </w:p>
    <w:p w:rsidR="00333A1A" w:rsidRDefault="003D29C9">
      <w:pPr>
        <w:pStyle w:val="AnnexTitle"/>
        <w:rPr>
          <w:noProof/>
          <w:lang w:val="fr-BE"/>
        </w:rPr>
      </w:pPr>
      <w:bookmarkStart w:id="270" w:name="_Toc513053304"/>
      <w:bookmarkStart w:id="271" w:name="_Toc513053520"/>
      <w:bookmarkStart w:id="272" w:name="_Toc514514651"/>
      <w:r>
        <w:rPr>
          <w:noProof/>
          <w:lang w:val="fr-BE"/>
        </w:rPr>
        <w:t>Annex 6: Promoting Modernisation</w:t>
      </w:r>
      <w:bookmarkEnd w:id="270"/>
      <w:bookmarkEnd w:id="271"/>
      <w:bookmarkEnd w:id="272"/>
      <w:r>
        <w:rPr>
          <w:noProof/>
          <w:lang w:val="fr-BE"/>
        </w:rPr>
        <w:t xml:space="preserve">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Modernisation is a cross-cutting objective, for both EU agriculture </w:t>
      </w:r>
      <w:r>
        <w:rPr>
          <w:rFonts w:ascii="Times New Roman" w:hAnsi="Times New Roman" w:cs="Times New Roman"/>
          <w:noProof/>
          <w:sz w:val="24"/>
          <w:szCs w:val="24"/>
        </w:rPr>
        <w:t xml:space="preserve">and food systems, as well as for rural areas. They face many challenges that require new solutions. Innovation is necessary to foster a smart and resilient agriculture sector ensuring food security, to bolster environmental care and climate action, and to </w:t>
      </w:r>
      <w:r>
        <w:rPr>
          <w:rFonts w:ascii="Times New Roman" w:hAnsi="Times New Roman" w:cs="Times New Roman"/>
          <w:noProof/>
          <w:sz w:val="24"/>
          <w:szCs w:val="24"/>
        </w:rPr>
        <w:t>strengthen the socio-economic fabric of rural areas. Innovations - along with the corresponding innovation systems - are needed (e.g. on  the use of nature based solutions, breeding, vertical farming, zootechnics, biological, technological, digital, develo</w:t>
      </w:r>
      <w:r>
        <w:rPr>
          <w:rFonts w:ascii="Times New Roman" w:hAnsi="Times New Roman" w:cs="Times New Roman"/>
          <w:noProof/>
          <w:sz w:val="24"/>
          <w:szCs w:val="24"/>
        </w:rPr>
        <w:t>ping new chains for bio-economy, organisational and product related) to serve a multi-functional EU agriculture delivering food and non-food products, public goods as well as contributing to vibrant rural areas.</w:t>
      </w:r>
      <w:r>
        <w:rPr>
          <w:noProof/>
          <w:sz w:val="23"/>
          <w:szCs w:val="23"/>
        </w:rPr>
        <w:t xml:space="preserve">  </w:t>
      </w:r>
      <w:r>
        <w:rPr>
          <w:rFonts w:ascii="Times New Roman" w:hAnsi="Times New Roman" w:cs="Times New Roman"/>
          <w:noProof/>
          <w:sz w:val="24"/>
          <w:szCs w:val="24"/>
        </w:rPr>
        <w:t>Although substantial knowledge exists it st</w:t>
      </w:r>
      <w:r>
        <w:rPr>
          <w:rFonts w:ascii="Times New Roman" w:hAnsi="Times New Roman" w:cs="Times New Roman"/>
          <w:noProof/>
          <w:sz w:val="24"/>
          <w:szCs w:val="24"/>
        </w:rPr>
        <w:t>ays fragmented and insufficiently applied. Agriculture research may deliver new insights which stay within the scientific world only and also the agricultural sector itself has a considerable and under-used innovation capacity. Overall, take up of new know</w:t>
      </w:r>
      <w:r>
        <w:rPr>
          <w:rFonts w:ascii="Times New Roman" w:hAnsi="Times New Roman" w:cs="Times New Roman"/>
          <w:noProof/>
          <w:sz w:val="24"/>
          <w:szCs w:val="24"/>
        </w:rPr>
        <w:t xml:space="preserve">ledge and technology is absent or slow, bridging the gap between research and farming practice is key.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the purpose of impact assessment, the following objectives were formulated:</w:t>
      </w:r>
    </w:p>
    <w:p w:rsidR="00333A1A" w:rsidRDefault="003D29C9">
      <w:pPr>
        <w:spacing w:line="240" w:lineRule="auto"/>
        <w:rPr>
          <w:rFonts w:ascii="Times New Roman" w:hAnsi="Times New Roman"/>
          <w:noProof/>
          <w:sz w:val="24"/>
          <w:szCs w:val="24"/>
        </w:rPr>
      </w:pPr>
      <w:r>
        <w:rPr>
          <w:rFonts w:ascii="Times New Roman" w:hAnsi="Times New Roman"/>
          <w:noProof/>
          <w:sz w:val="24"/>
          <w:szCs w:val="24"/>
          <w:u w:val="single"/>
        </w:rPr>
        <w:t>Cross-cutting objective</w:t>
      </w:r>
      <w:r>
        <w:rPr>
          <w:rFonts w:ascii="Times New Roman" w:hAnsi="Times New Roman"/>
          <w:noProof/>
          <w:sz w:val="24"/>
          <w:szCs w:val="24"/>
        </w:rPr>
        <w:t>: Promote knowledge and innovation in agriculture</w:t>
      </w:r>
      <w:r>
        <w:rPr>
          <w:rFonts w:ascii="Times New Roman" w:hAnsi="Times New Roman"/>
          <w:noProof/>
          <w:sz w:val="24"/>
          <w:szCs w:val="24"/>
        </w:rPr>
        <w:t xml:space="preserve"> and rural areas</w:t>
      </w:r>
    </w:p>
    <w:p w:rsidR="00333A1A" w:rsidRDefault="003D29C9">
      <w:pPr>
        <w:spacing w:line="240" w:lineRule="auto"/>
        <w:rPr>
          <w:rFonts w:ascii="Times New Roman" w:hAnsi="Times New Roman"/>
          <w:noProof/>
          <w:sz w:val="24"/>
          <w:szCs w:val="24"/>
        </w:rPr>
      </w:pPr>
      <w:r>
        <w:rPr>
          <w:rFonts w:ascii="Times New Roman" w:hAnsi="Times New Roman"/>
          <w:noProof/>
          <w:sz w:val="24"/>
          <w:szCs w:val="24"/>
          <w:u w:val="single"/>
        </w:rPr>
        <w:t>Specific objective</w:t>
      </w:r>
      <w:r>
        <w:rPr>
          <w:rFonts w:ascii="Times New Roman" w:hAnsi="Times New Roman"/>
          <w:noProof/>
          <w:sz w:val="24"/>
          <w:szCs w:val="24"/>
        </w:rPr>
        <w:t>: Co-creating innovation and sharing knowledge, including across generations</w:t>
      </w:r>
    </w:p>
    <w:p w:rsidR="00333A1A" w:rsidRDefault="003D29C9">
      <w:pPr>
        <w:spacing w:line="240" w:lineRule="auto"/>
        <w:rPr>
          <w:rFonts w:ascii="Times New Roman" w:hAnsi="Times New Roman"/>
          <w:noProof/>
          <w:sz w:val="24"/>
          <w:szCs w:val="24"/>
          <w:u w:val="single"/>
        </w:rPr>
      </w:pPr>
      <w:r>
        <w:rPr>
          <w:rFonts w:ascii="Times New Roman" w:hAnsi="Times New Roman"/>
          <w:noProof/>
          <w:sz w:val="24"/>
          <w:szCs w:val="24"/>
          <w:u w:val="single"/>
        </w:rPr>
        <w:t>Operational objectives</w:t>
      </w:r>
      <w:r>
        <w:rPr>
          <w:rFonts w:ascii="Times New Roman" w:hAnsi="Times New Roman"/>
          <w:noProof/>
          <w:sz w:val="24"/>
          <w:szCs w:val="24"/>
        </w:rPr>
        <w:t>:</w:t>
      </w:r>
    </w:p>
    <w:p w:rsidR="00333A1A" w:rsidRDefault="003D29C9">
      <w:pPr>
        <w:numPr>
          <w:ilvl w:val="0"/>
          <w:numId w:val="48"/>
        </w:numPr>
        <w:spacing w:after="0" w:line="240" w:lineRule="auto"/>
        <w:ind w:left="1800"/>
        <w:jc w:val="both"/>
        <w:rPr>
          <w:rFonts w:ascii="Times New Roman" w:hAnsi="Times New Roman"/>
          <w:noProof/>
          <w:sz w:val="24"/>
          <w:szCs w:val="24"/>
        </w:rPr>
      </w:pPr>
      <w:r>
        <w:rPr>
          <w:rFonts w:ascii="Times New Roman" w:hAnsi="Times New Roman"/>
          <w:noProof/>
          <w:sz w:val="24"/>
          <w:szCs w:val="24"/>
        </w:rPr>
        <w:t xml:space="preserve">Enhancing Agricultural Knowledge and Innovation Systems and strengthening links with research </w:t>
      </w:r>
    </w:p>
    <w:p w:rsidR="00333A1A" w:rsidRDefault="003D29C9">
      <w:pPr>
        <w:numPr>
          <w:ilvl w:val="0"/>
          <w:numId w:val="48"/>
        </w:numPr>
        <w:spacing w:after="0" w:line="240" w:lineRule="auto"/>
        <w:ind w:left="1800"/>
        <w:jc w:val="both"/>
        <w:rPr>
          <w:rFonts w:ascii="Times New Roman" w:hAnsi="Times New Roman"/>
          <w:noProof/>
          <w:sz w:val="24"/>
          <w:szCs w:val="24"/>
        </w:rPr>
      </w:pPr>
      <w:r>
        <w:rPr>
          <w:rFonts w:ascii="Times New Roman" w:hAnsi="Times New Roman"/>
          <w:noProof/>
          <w:sz w:val="24"/>
          <w:szCs w:val="24"/>
        </w:rPr>
        <w:t>Strengthening of farm adv</w:t>
      </w:r>
      <w:r>
        <w:rPr>
          <w:rFonts w:ascii="Times New Roman" w:hAnsi="Times New Roman"/>
          <w:noProof/>
          <w:sz w:val="24"/>
          <w:szCs w:val="24"/>
        </w:rPr>
        <w:t xml:space="preserve">isory services within the Agricultural Knowledge and Innovation Systems </w:t>
      </w:r>
    </w:p>
    <w:p w:rsidR="00333A1A" w:rsidRDefault="003D29C9">
      <w:pPr>
        <w:numPr>
          <w:ilvl w:val="0"/>
          <w:numId w:val="48"/>
        </w:numPr>
        <w:spacing w:after="0" w:line="240" w:lineRule="auto"/>
        <w:ind w:left="1800"/>
        <w:jc w:val="both"/>
        <w:rPr>
          <w:rFonts w:ascii="Times New Roman" w:hAnsi="Times New Roman"/>
          <w:noProof/>
          <w:sz w:val="24"/>
          <w:szCs w:val="24"/>
        </w:rPr>
      </w:pPr>
      <w:r>
        <w:rPr>
          <w:rFonts w:ascii="Times New Roman" w:hAnsi="Times New Roman"/>
          <w:noProof/>
          <w:color w:val="000000"/>
          <w:sz w:val="24"/>
          <w:szCs w:val="24"/>
          <w:lang w:eastAsia="en-GB"/>
        </w:rPr>
        <w:t>Enhancing interactive innovation</w:t>
      </w:r>
    </w:p>
    <w:p w:rsidR="00333A1A" w:rsidRDefault="003D29C9">
      <w:pPr>
        <w:numPr>
          <w:ilvl w:val="0"/>
          <w:numId w:val="48"/>
        </w:numPr>
        <w:spacing w:after="0" w:line="240" w:lineRule="auto"/>
        <w:ind w:left="1800"/>
        <w:jc w:val="both"/>
        <w:rPr>
          <w:rFonts w:ascii="Times New Roman" w:hAnsi="Times New Roman"/>
          <w:noProof/>
          <w:sz w:val="24"/>
          <w:szCs w:val="24"/>
        </w:rPr>
      </w:pPr>
      <w:r>
        <w:rPr>
          <w:rFonts w:ascii="Times New Roman" w:hAnsi="Times New Roman"/>
          <w:noProof/>
          <w:sz w:val="24"/>
          <w:szCs w:val="24"/>
        </w:rPr>
        <w:t>Supporting digital transition in agriculture</w:t>
      </w:r>
    </w:p>
    <w:p w:rsidR="00333A1A" w:rsidRDefault="00333A1A">
      <w:pPr>
        <w:spacing w:line="240" w:lineRule="auto"/>
        <w:jc w:val="both"/>
        <w:rPr>
          <w:rFonts w:ascii="Times New Roman" w:hAnsi="Times New Roman" w:cs="Times New Roman"/>
          <w:noProof/>
          <w:sz w:val="24"/>
          <w:szCs w:val="24"/>
        </w:rPr>
      </w:pPr>
    </w:p>
    <w:p w:rsidR="00333A1A" w:rsidRDefault="003D29C9">
      <w:pPr>
        <w:pStyle w:val="Heading1"/>
        <w:numPr>
          <w:ilvl w:val="0"/>
          <w:numId w:val="0"/>
        </w:numPr>
        <w:ind w:left="482" w:hanging="482"/>
        <w:rPr>
          <w:noProof/>
        </w:rPr>
      </w:pPr>
      <w:bookmarkStart w:id="273" w:name="_Toc509419139"/>
      <w:bookmarkStart w:id="274" w:name="_Toc513053305"/>
      <w:bookmarkStart w:id="275" w:name="_Toc513053521"/>
      <w:bookmarkStart w:id="276" w:name="_Toc514514652"/>
      <w:r>
        <w:rPr>
          <w:noProof/>
          <w:lang w:eastAsia="en-GB"/>
        </w:rPr>
        <w:t xml:space="preserve">1. </w:t>
      </w:r>
      <w:r>
        <w:rPr>
          <w:noProof/>
          <w:lang w:eastAsia="en-GB"/>
        </w:rPr>
        <w:tab/>
      </w:r>
      <w:r>
        <w:rPr>
          <w:noProof/>
        </w:rPr>
        <w:t>Enhancing Agricultural Knowledge and Innovation Systems (AKIS) and strengthening links with research</w:t>
      </w:r>
      <w:bookmarkEnd w:id="273"/>
      <w:bookmarkEnd w:id="274"/>
      <w:bookmarkEnd w:id="275"/>
      <w:bookmarkEnd w:id="276"/>
      <w:r>
        <w:rPr>
          <w:noProof/>
        </w:rPr>
        <w:t xml:space="preserve">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is a cross-cutting objective equally relevant for all clusters (economic, environmental and social) and all policy options. Reflections now focus on improving the Agricultural Knowledge and Innovation Systems (AKIS), the systems of people and organi</w:t>
      </w:r>
      <w:r>
        <w:rPr>
          <w:rFonts w:ascii="Times New Roman" w:hAnsi="Times New Roman" w:cs="Times New Roman"/>
          <w:noProof/>
          <w:sz w:val="24"/>
          <w:szCs w:val="24"/>
        </w:rPr>
        <w:t>sations in countries/regions that generate, share, and use agriculture-related knowledge and information. The main difference is the budgetary allocation that will have an impact on the long-term knowledge infrastructure and the number of projects/interact</w:t>
      </w:r>
      <w:r>
        <w:rPr>
          <w:rFonts w:ascii="Times New Roman" w:hAnsi="Times New Roman" w:cs="Times New Roman"/>
          <w:noProof/>
          <w:sz w:val="24"/>
          <w:szCs w:val="24"/>
        </w:rPr>
        <w:t>ions that can be supported and as such on the resulting level of innovation and sharing of knowledge. Therefore targeting CAP funding to that kind of measures would be important. The type of knowledge/advice to be supported will be chosen by the MS/region,</w:t>
      </w:r>
      <w:r>
        <w:rPr>
          <w:rFonts w:ascii="Times New Roman" w:hAnsi="Times New Roman" w:cs="Times New Roman"/>
          <w:noProof/>
          <w:sz w:val="24"/>
          <w:szCs w:val="24"/>
        </w:rPr>
        <w:t xml:space="preserve"> depending on their needs and the final CAP option and consequently it may have a stronger economic, environmental or social focus. Flexibility is important and is much appreciated by MS (conclusion EIP Evaluation Study</w:t>
      </w:r>
      <w:r>
        <w:rPr>
          <w:rFonts w:ascii="Times New Roman" w:hAnsi="Times New Roman" w:cs="Times New Roman"/>
          <w:iCs/>
          <w:noProof/>
          <w:sz w:val="24"/>
          <w:szCs w:val="24"/>
          <w:vertAlign w:val="superscript"/>
        </w:rPr>
        <w:footnoteReference w:id="72"/>
      </w:r>
      <w:r>
        <w:rPr>
          <w:rFonts w:ascii="Times New Roman" w:hAnsi="Times New Roman" w:cs="Times New Roman"/>
          <w:noProof/>
          <w:sz w:val="24"/>
          <w:szCs w:val="24"/>
        </w:rPr>
        <w:t>). Knowledge and innovation is horiz</w:t>
      </w:r>
      <w:r>
        <w:rPr>
          <w:rFonts w:ascii="Times New Roman" w:hAnsi="Times New Roman" w:cs="Times New Roman"/>
          <w:noProof/>
          <w:sz w:val="24"/>
          <w:szCs w:val="24"/>
        </w:rPr>
        <w:t xml:space="preserve">ontal and cross-cutting and can equally be used for pursuing economic, environmental or social strands. </w:t>
      </w:r>
    </w:p>
    <w:p w:rsidR="00333A1A" w:rsidRDefault="003D29C9">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Rural development has several measures that fund training, the exchange of information, the use of advice and training of advisors, demonstration, farm</w:t>
      </w:r>
      <w:r>
        <w:rPr>
          <w:rFonts w:ascii="Times New Roman" w:hAnsi="Times New Roman" w:cs="Times New Roman"/>
          <w:noProof/>
          <w:sz w:val="24"/>
          <w:szCs w:val="24"/>
        </w:rPr>
        <w:t xml:space="preserve"> exchange and piloting and testing new ideas as well as results from research in EIP operational groups (OGs). </w:t>
      </w:r>
    </w:p>
    <w:p w:rsidR="00333A1A" w:rsidRDefault="003D29C9">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2017 EIP evaluation study</w:t>
      </w:r>
      <w:r>
        <w:rPr>
          <w:rFonts w:ascii="Times New Roman" w:hAnsi="Times New Roman" w:cs="Times New Roman"/>
          <w:noProof/>
          <w:sz w:val="24"/>
          <w:szCs w:val="24"/>
          <w:vertAlign w:val="superscript"/>
        </w:rPr>
        <w:footnoteReference w:id="73"/>
      </w:r>
      <w:r>
        <w:rPr>
          <w:rFonts w:ascii="Times New Roman" w:hAnsi="Times New Roman" w:cs="Times New Roman"/>
          <w:noProof/>
          <w:sz w:val="24"/>
          <w:szCs w:val="24"/>
        </w:rPr>
        <w:t>, the Policy brief on Advisory services</w:t>
      </w:r>
      <w:r>
        <w:rPr>
          <w:rFonts w:ascii="Times New Roman" w:hAnsi="Times New Roman" w:cs="Times New Roman"/>
          <w:noProof/>
          <w:sz w:val="24"/>
          <w:szCs w:val="24"/>
          <w:vertAlign w:val="superscript"/>
        </w:rPr>
        <w:footnoteReference w:id="74"/>
      </w:r>
      <w:r>
        <w:rPr>
          <w:rFonts w:ascii="Times New Roman" w:hAnsi="Times New Roman" w:cs="Times New Roman"/>
          <w:noProof/>
          <w:sz w:val="24"/>
          <w:szCs w:val="24"/>
        </w:rPr>
        <w:t xml:space="preserve"> from the SCAR</w:t>
      </w:r>
      <w:r>
        <w:rPr>
          <w:rFonts w:ascii="Times New Roman" w:hAnsi="Times New Roman" w:cs="Times New Roman"/>
          <w:noProof/>
          <w:sz w:val="24"/>
          <w:szCs w:val="24"/>
          <w:vertAlign w:val="superscript"/>
        </w:rPr>
        <w:footnoteReference w:id="75"/>
      </w:r>
      <w:r>
        <w:rPr>
          <w:rFonts w:ascii="Times New Roman" w:hAnsi="Times New Roman" w:cs="Times New Roman"/>
          <w:noProof/>
          <w:sz w:val="24"/>
          <w:szCs w:val="24"/>
        </w:rPr>
        <w:t xml:space="preserve"> Strategic Working Group on AKIS and the recently concluded</w:t>
      </w:r>
      <w:r>
        <w:rPr>
          <w:rFonts w:ascii="Times New Roman" w:hAnsi="Times New Roman" w:cs="Times New Roman"/>
          <w:noProof/>
          <w:sz w:val="24"/>
          <w:szCs w:val="24"/>
        </w:rPr>
        <w:t xml:space="preserve"> FP7-funded PRO AKIS project, the SCAR Foresight and the SCAR-AKIS reports</w:t>
      </w:r>
      <w:r>
        <w:rPr>
          <w:rFonts w:ascii="Times New Roman" w:hAnsi="Times New Roman" w:cs="Times New Roman"/>
          <w:noProof/>
          <w:sz w:val="24"/>
          <w:szCs w:val="24"/>
          <w:vertAlign w:val="superscript"/>
        </w:rPr>
        <w:footnoteReference w:id="76"/>
      </w:r>
      <w:r>
        <w:rPr>
          <w:rFonts w:ascii="Times New Roman" w:hAnsi="Times New Roman" w:cs="Times New Roman"/>
          <w:noProof/>
          <w:sz w:val="24"/>
          <w:szCs w:val="24"/>
        </w:rPr>
        <w:t xml:space="preserve"> provide some background:  </w:t>
      </w:r>
      <w:r>
        <w:rPr>
          <w:rFonts w:ascii="Times New Roman" w:hAnsi="Times New Roman" w:cs="Times New Roman"/>
          <w:b/>
          <w:noProof/>
          <w:sz w:val="24"/>
          <w:szCs w:val="24"/>
        </w:rPr>
        <w:t>the weaker and more fragmented the AKIS is in a country, the less actors are interconnected and the more difficult innovative projects such as EIP OGs eme</w:t>
      </w:r>
      <w:r>
        <w:rPr>
          <w:rFonts w:ascii="Times New Roman" w:hAnsi="Times New Roman" w:cs="Times New Roman"/>
          <w:b/>
          <w:noProof/>
          <w:sz w:val="24"/>
          <w:szCs w:val="24"/>
        </w:rPr>
        <w:t xml:space="preserve">rge. </w:t>
      </w:r>
      <w:r>
        <w:rPr>
          <w:rFonts w:ascii="Times New Roman" w:hAnsi="Times New Roman" w:cs="Times New Roman"/>
          <w:noProof/>
          <w:sz w:val="24"/>
          <w:szCs w:val="24"/>
        </w:rPr>
        <w:t xml:space="preserve"> It was observed that innovation under the EIP-AGRI is most successful in regions / Member States where a dedicated innovation environment is created and the AKIS is strong and integrated</w:t>
      </w:r>
      <w:r>
        <w:rPr>
          <w:rFonts w:ascii="Times New Roman" w:hAnsi="Times New Roman" w:cs="Times New Roman"/>
          <w:noProof/>
          <w:sz w:val="24"/>
          <w:szCs w:val="24"/>
          <w:vertAlign w:val="superscript"/>
        </w:rPr>
        <w:footnoteReference w:id="77"/>
      </w:r>
      <w:r>
        <w:rPr>
          <w:rFonts w:ascii="Times New Roman" w:hAnsi="Times New Roman" w:cs="Times New Roman"/>
          <w:noProof/>
          <w:sz w:val="24"/>
          <w:szCs w:val="24"/>
        </w:rPr>
        <w:t>.</w:t>
      </w:r>
    </w:p>
    <w:p w:rsidR="00333A1A" w:rsidRDefault="00333A1A">
      <w:pPr>
        <w:spacing w:after="0" w:line="240" w:lineRule="auto"/>
        <w:jc w:val="both"/>
        <w:rPr>
          <w:rFonts w:ascii="Times New Roman" w:hAnsi="Times New Roman" w:cs="Times New Roman"/>
          <w:b/>
          <w:noProof/>
          <w:sz w:val="24"/>
          <w:szCs w:val="24"/>
        </w:rPr>
      </w:pPr>
    </w:p>
    <w:p w:rsidR="00333A1A" w:rsidRDefault="003D29C9">
      <w:pPr>
        <w:spacing w:after="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The available information suggests</w:t>
      </w:r>
    </w:p>
    <w:p w:rsidR="00333A1A" w:rsidRDefault="00333A1A">
      <w:pPr>
        <w:spacing w:after="0" w:line="240" w:lineRule="auto"/>
        <w:jc w:val="both"/>
        <w:rPr>
          <w:rFonts w:ascii="Times New Roman" w:hAnsi="Times New Roman" w:cs="Times New Roman"/>
          <w:noProof/>
          <w:sz w:val="24"/>
          <w:szCs w:val="24"/>
          <w:u w:val="single"/>
        </w:rPr>
      </w:pPr>
    </w:p>
    <w:p w:rsidR="00333A1A" w:rsidRDefault="003D29C9">
      <w:pPr>
        <w:numPr>
          <w:ilvl w:val="0"/>
          <w:numId w:val="43"/>
        </w:numPr>
        <w:spacing w:after="0" w:line="240" w:lineRule="auto"/>
        <w:ind w:left="714" w:hanging="35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Different Member States </w:t>
      </w:r>
      <w:r>
        <w:rPr>
          <w:rFonts w:ascii="Times New Roman" w:hAnsi="Times New Roman" w:cs="Times New Roman"/>
          <w:noProof/>
          <w:sz w:val="24"/>
          <w:szCs w:val="24"/>
        </w:rPr>
        <w:t>(MS) have different, mostly very fragmented AKISs responding to different historical developments and circumstances. Some links between particular AKIS models and the performance of those models are emerging</w:t>
      </w:r>
      <w:r>
        <w:rPr>
          <w:rFonts w:ascii="Times New Roman" w:hAnsi="Times New Roman" w:cs="Times New Roman"/>
          <w:noProof/>
          <w:sz w:val="24"/>
          <w:szCs w:val="24"/>
          <w:vertAlign w:val="superscript"/>
        </w:rPr>
        <w:t>6</w:t>
      </w:r>
      <w:r>
        <w:rPr>
          <w:rFonts w:ascii="Times New Roman" w:hAnsi="Times New Roman" w:cs="Times New Roman"/>
          <w:noProof/>
          <w:sz w:val="24"/>
          <w:szCs w:val="24"/>
        </w:rPr>
        <w:t>.</w:t>
      </w:r>
    </w:p>
    <w:p w:rsidR="00333A1A" w:rsidRDefault="003D29C9">
      <w:pPr>
        <w:numPr>
          <w:ilvl w:val="0"/>
          <w:numId w:val="43"/>
        </w:num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exchange of information between different </w:t>
      </w:r>
      <w:r>
        <w:rPr>
          <w:rFonts w:ascii="Times New Roman" w:hAnsi="Times New Roman" w:cs="Times New Roman"/>
          <w:noProof/>
          <w:sz w:val="24"/>
          <w:szCs w:val="24"/>
        </w:rPr>
        <w:t>parts of AKISs in MS and regions (advisory services, farmer organisations, research, educational systems, etc) needs to be improved. Networking and cooperation, in particular between research, advisors and farmers is crucial to allow for co-creation of new</w:t>
      </w:r>
      <w:r>
        <w:rPr>
          <w:rFonts w:ascii="Times New Roman" w:hAnsi="Times New Roman" w:cs="Times New Roman"/>
          <w:noProof/>
          <w:sz w:val="24"/>
          <w:szCs w:val="24"/>
        </w:rPr>
        <w:t xml:space="preserve"> knowledge, and the rural networks should support this to a larger extent and in a more structured way supporting connections between all relevant geographical levels and actors. </w:t>
      </w:r>
    </w:p>
    <w:p w:rsidR="00333A1A" w:rsidRDefault="003D29C9">
      <w:pPr>
        <w:numPr>
          <w:ilvl w:val="0"/>
          <w:numId w:val="43"/>
        </w:num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 system merely focusing on provision of advice is no longer sufficient. The</w:t>
      </w:r>
      <w:r>
        <w:rPr>
          <w:rFonts w:ascii="Times New Roman" w:hAnsi="Times New Roman" w:cs="Times New Roman"/>
          <w:noProof/>
          <w:sz w:val="24"/>
          <w:szCs w:val="24"/>
        </w:rPr>
        <w:t>re is a need for continued public support to maintain and further stimulate the exchange of information within the agriculture sector, and in particular to enable an EU wide interconnected AKIS</w:t>
      </w:r>
      <w:r>
        <w:rPr>
          <w:rFonts w:ascii="Times New Roman" w:hAnsi="Times New Roman" w:cs="Times New Roman"/>
          <w:noProof/>
          <w:sz w:val="24"/>
          <w:szCs w:val="24"/>
          <w:vertAlign w:val="superscript"/>
        </w:rPr>
        <w:t>1</w:t>
      </w:r>
      <w:r>
        <w:rPr>
          <w:rFonts w:ascii="Times New Roman" w:hAnsi="Times New Roman" w:cs="Times New Roman"/>
          <w:noProof/>
          <w:sz w:val="24"/>
          <w:szCs w:val="24"/>
        </w:rPr>
        <w:t>, as started up under the EIP.</w:t>
      </w:r>
    </w:p>
    <w:p w:rsidR="00333A1A" w:rsidRDefault="003D29C9">
      <w:pPr>
        <w:numPr>
          <w:ilvl w:val="0"/>
          <w:numId w:val="43"/>
        </w:num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EIP approach of interactive</w:t>
      </w:r>
      <w:r>
        <w:rPr>
          <w:rFonts w:ascii="Times New Roman" w:hAnsi="Times New Roman" w:cs="Times New Roman"/>
          <w:noProof/>
          <w:sz w:val="24"/>
          <w:szCs w:val="24"/>
        </w:rPr>
        <w:t xml:space="preserve"> innovation and co-creation via hands-on operational groups (RD), complemented by linking research and practice in networks and by funding Horizon 2020 interactive projects, is well appreciated by the sector. The EIP measure in rural development has been t</w:t>
      </w:r>
      <w:r>
        <w:rPr>
          <w:rFonts w:ascii="Times New Roman" w:hAnsi="Times New Roman" w:cs="Times New Roman"/>
          <w:noProof/>
          <w:sz w:val="24"/>
          <w:szCs w:val="24"/>
        </w:rPr>
        <w:t xml:space="preserve">aken up successfully and is evaluated positively. </w:t>
      </w:r>
    </w:p>
    <w:p w:rsidR="00333A1A" w:rsidRDefault="003D29C9">
      <w:pPr>
        <w:numPr>
          <w:ilvl w:val="0"/>
          <w:numId w:val="43"/>
        </w:num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EIP-AGRI’s bottom-up and farmer-led approach is assessed "</w:t>
      </w:r>
      <w:r>
        <w:rPr>
          <w:rFonts w:ascii="Times New Roman" w:hAnsi="Times New Roman" w:cs="Times New Roman"/>
          <w:i/>
          <w:noProof/>
          <w:sz w:val="24"/>
          <w:szCs w:val="24"/>
        </w:rPr>
        <w:t>truly distinctive and highly appreciated by farmers and stakeholders</w:t>
      </w:r>
      <w:r>
        <w:rPr>
          <w:rFonts w:ascii="Times New Roman" w:hAnsi="Times New Roman" w:cs="Times New Roman"/>
          <w:noProof/>
          <w:sz w:val="24"/>
          <w:szCs w:val="24"/>
        </w:rPr>
        <w:t xml:space="preserve">", which demonstrates the need for its distinctive approach to innovation. </w:t>
      </w:r>
      <w:r>
        <w:rPr>
          <w:rFonts w:ascii="Times New Roman" w:hAnsi="Times New Roman" w:cs="Times New Roman"/>
          <w:noProof/>
          <w:sz w:val="24"/>
          <w:szCs w:val="24"/>
        </w:rPr>
        <w:t>"</w:t>
      </w:r>
      <w:r>
        <w:rPr>
          <w:rFonts w:ascii="Times New Roman" w:hAnsi="Times New Roman" w:cs="Times New Roman"/>
          <w:i/>
          <w:noProof/>
          <w:sz w:val="24"/>
          <w:szCs w:val="24"/>
        </w:rPr>
        <w:t>The flexibility of the EIP-AGRI allows it to tackle this and to be shaped to widely different circumstances</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78"/>
      </w:r>
      <w:r>
        <w:rPr>
          <w:rFonts w:ascii="Times New Roman" w:hAnsi="Times New Roman" w:cs="Times New Roman"/>
          <w:noProof/>
          <w:sz w:val="24"/>
          <w:szCs w:val="24"/>
        </w:rPr>
        <w:t>. Therefore MS and Europe needs an “AKIS 2.0” (see EIP brochure</w:t>
      </w:r>
      <w:r>
        <w:rPr>
          <w:rFonts w:ascii="Times New Roman" w:hAnsi="Times New Roman" w:cs="Times New Roman"/>
          <w:noProof/>
          <w:sz w:val="24"/>
          <w:szCs w:val="24"/>
          <w:vertAlign w:val="superscript"/>
        </w:rPr>
        <w:footnoteReference w:id="79"/>
      </w:r>
      <w:r>
        <w:rPr>
          <w:rFonts w:ascii="Times New Roman" w:hAnsi="Times New Roman" w:cs="Times New Roman"/>
          <w:noProof/>
          <w:sz w:val="24"/>
          <w:szCs w:val="24"/>
        </w:rPr>
        <w:t>)</w:t>
      </w:r>
    </w:p>
    <w:p w:rsidR="00333A1A" w:rsidRDefault="003D29C9">
      <w:pPr>
        <w:numPr>
          <w:ilvl w:val="0"/>
          <w:numId w:val="43"/>
        </w:num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measures related to the advisory services under Rural Development face diffi</w:t>
      </w:r>
      <w:r>
        <w:rPr>
          <w:rFonts w:ascii="Times New Roman" w:hAnsi="Times New Roman" w:cs="Times New Roman"/>
          <w:noProof/>
          <w:sz w:val="24"/>
          <w:szCs w:val="24"/>
        </w:rPr>
        <w:t>culties among others as a result of the rigidity of the measure (list of elements to be covered, need to apply public procurement rules etc) and the enhanced profiling of commercial businesses as “advisory services” providing advice “for free”.</w:t>
      </w:r>
    </w:p>
    <w:p w:rsidR="00333A1A" w:rsidRDefault="00333A1A">
      <w:pPr>
        <w:spacing w:after="0" w:line="240" w:lineRule="auto"/>
        <w:ind w:left="720"/>
        <w:contextualSpacing/>
        <w:jc w:val="both"/>
        <w:rPr>
          <w:rFonts w:ascii="Times New Roman" w:hAnsi="Times New Roman" w:cs="Times New Roman"/>
          <w:noProof/>
          <w:sz w:val="24"/>
          <w:szCs w:val="24"/>
        </w:rPr>
      </w:pPr>
    </w:p>
    <w:p w:rsidR="00333A1A" w:rsidRDefault="003D29C9">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EU value a</w:t>
      </w:r>
      <w:r>
        <w:rPr>
          <w:rFonts w:ascii="Times New Roman" w:hAnsi="Times New Roman" w:cs="Times New Roman"/>
          <w:noProof/>
          <w:sz w:val="24"/>
          <w:szCs w:val="24"/>
          <w:u w:val="single"/>
        </w:rPr>
        <w:t>dded</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Currently, a few Member States have a well-functioning AKIS, whereas in most parts of Europe it is less provided for. One could argue that the AKIS is a national responsibility, where the EU does not have a role to play. However, the successful </w:t>
      </w:r>
      <w:r>
        <w:rPr>
          <w:rFonts w:ascii="Times New Roman" w:hAnsi="Times New Roman" w:cs="Times New Roman"/>
          <w:noProof/>
          <w:sz w:val="24"/>
          <w:szCs w:val="24"/>
        </w:rPr>
        <w:t>implementation of the CAP, in particular when it comes to innovation, requires well-functioning and EU wide interconnected AKISs. Therefore, the EU has an interest in ensuring that such an AKIS exists to address EU level objectives supports the realisation</w:t>
      </w:r>
      <w:r>
        <w:rPr>
          <w:rFonts w:ascii="Times New Roman" w:hAnsi="Times New Roman" w:cs="Times New Roman"/>
          <w:noProof/>
          <w:sz w:val="24"/>
          <w:szCs w:val="24"/>
        </w:rPr>
        <w:t xml:space="preserve"> of CAP objectives.</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Secondly, the EU has a role in complementing the national and regional AKIS systems and to ensure that information is exchanged between different Member States about new technologies, new ideas for marketing, land management, management</w:t>
      </w:r>
      <w:r>
        <w:rPr>
          <w:rFonts w:ascii="Times New Roman" w:hAnsi="Times New Roman" w:cs="Times New Roman"/>
          <w:noProof/>
          <w:sz w:val="24"/>
          <w:szCs w:val="24"/>
        </w:rPr>
        <w:t xml:space="preserve"> and preservation of public goods etc. This is a part of the EIP that is particularly appreciated, also by farmers.</w:t>
      </w:r>
      <w:r>
        <w:rPr>
          <w:rFonts w:ascii="Times New Roman" w:hAnsi="Times New Roman" w:cs="Times New Roman"/>
          <w:noProof/>
          <w:sz w:val="24"/>
          <w:szCs w:val="24"/>
        </w:rPr>
        <w:br/>
        <w:t>Finally, the CAP can make synergies with EU research policy and results. This can help co-creating new knowledge responding to farmers' need</w:t>
      </w:r>
      <w:r>
        <w:rPr>
          <w:rFonts w:ascii="Times New Roman" w:hAnsi="Times New Roman" w:cs="Times New Roman"/>
          <w:noProof/>
          <w:sz w:val="24"/>
          <w:szCs w:val="24"/>
        </w:rPr>
        <w:t>s in a more cost-efficient way through the multi-actor approach, and support making new knowledge available in all parts of the EU in a better organised way.</w:t>
      </w:r>
    </w:p>
    <w:p w:rsidR="00333A1A" w:rsidRDefault="003D29C9">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Policy implications</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Any new policy on AKIS should create EU added value by:</w:t>
      </w:r>
    </w:p>
    <w:p w:rsidR="00333A1A" w:rsidRDefault="003D29C9">
      <w:pPr>
        <w:numPr>
          <w:ilvl w:val="0"/>
          <w:numId w:val="44"/>
        </w:numPr>
        <w:spacing w:after="0" w:line="240" w:lineRule="auto"/>
        <w:ind w:left="714" w:hanging="357"/>
        <w:contextualSpacing/>
        <w:jc w:val="both"/>
        <w:rPr>
          <w:rFonts w:ascii="Times New Roman" w:hAnsi="Times New Roman" w:cs="Times New Roman"/>
          <w:noProof/>
          <w:sz w:val="24"/>
          <w:szCs w:val="24"/>
        </w:rPr>
      </w:pPr>
      <w:r>
        <w:rPr>
          <w:rFonts w:ascii="Times New Roman" w:hAnsi="Times New Roman" w:cs="Times New Roman"/>
          <w:noProof/>
          <w:sz w:val="24"/>
          <w:szCs w:val="24"/>
        </w:rPr>
        <w:t>incentivising interact</w:t>
      </w:r>
      <w:r>
        <w:rPr>
          <w:rFonts w:ascii="Times New Roman" w:hAnsi="Times New Roman" w:cs="Times New Roman"/>
          <w:noProof/>
          <w:sz w:val="24"/>
          <w:szCs w:val="24"/>
        </w:rPr>
        <w:t>ive innovation projects (CAP policy – dedicated knowledge and innovation actions creating new knowledge – EIP OGs)</w:t>
      </w:r>
    </w:p>
    <w:p w:rsidR="00333A1A" w:rsidRDefault="003D29C9">
      <w:pPr>
        <w:numPr>
          <w:ilvl w:val="0"/>
          <w:numId w:val="44"/>
        </w:numPr>
        <w:spacing w:after="0" w:line="240" w:lineRule="auto"/>
        <w:ind w:left="714" w:hanging="35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organising and structuring knowledge exchange at national / regional level, as well as at EU level (CAP policy – networking, advisory </w:t>
      </w:r>
      <w:r>
        <w:rPr>
          <w:rFonts w:ascii="Times New Roman" w:hAnsi="Times New Roman" w:cs="Times New Roman"/>
          <w:noProof/>
          <w:sz w:val="24"/>
          <w:szCs w:val="24"/>
        </w:rPr>
        <w:t>services and information actions).</w:t>
      </w:r>
    </w:p>
    <w:p w:rsidR="00333A1A" w:rsidRDefault="003D29C9">
      <w:pPr>
        <w:numPr>
          <w:ilvl w:val="0"/>
          <w:numId w:val="44"/>
        </w:numPr>
        <w:spacing w:after="0" w:line="240" w:lineRule="auto"/>
        <w:ind w:left="714" w:hanging="357"/>
        <w:contextualSpacing/>
        <w:jc w:val="both"/>
        <w:rPr>
          <w:rFonts w:ascii="Times New Roman" w:hAnsi="Times New Roman" w:cs="Times New Roman"/>
          <w:noProof/>
          <w:sz w:val="24"/>
          <w:szCs w:val="24"/>
        </w:rPr>
      </w:pPr>
      <w:r>
        <w:rPr>
          <w:rFonts w:ascii="Times New Roman" w:hAnsi="Times New Roman" w:cs="Times New Roman"/>
          <w:noProof/>
          <w:sz w:val="24"/>
          <w:szCs w:val="24"/>
        </w:rPr>
        <w:t>pooling resources to address EU level objectives (EIP networking activities, Research policy, in particular multi-actor research projects and Thematic Networks)</w:t>
      </w:r>
    </w:p>
    <w:p w:rsidR="00333A1A" w:rsidRDefault="003D29C9">
      <w:pPr>
        <w:numPr>
          <w:ilvl w:val="0"/>
          <w:numId w:val="44"/>
        </w:numPr>
        <w:spacing w:after="0" w:line="240" w:lineRule="auto"/>
        <w:ind w:left="714" w:hanging="35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maintaining / reinforcing the links between the CAP and the </w:t>
      </w:r>
      <w:r>
        <w:rPr>
          <w:rFonts w:ascii="Times New Roman" w:hAnsi="Times New Roman" w:cs="Times New Roman"/>
          <w:noProof/>
          <w:sz w:val="24"/>
          <w:szCs w:val="24"/>
        </w:rPr>
        <w:t>new Research and Innovation Framework Programme 9 (FP9) and possibly other policy areas (ESIF, LIFE, national and regional research). In particular, continuing to reinforce the links between the CAP and FP9 will be key to boost synergies between the 2 poli</w:t>
      </w:r>
      <w:r>
        <w:rPr>
          <w:rFonts w:ascii="Times New Roman" w:hAnsi="Times New Roman" w:cs="Times New Roman"/>
          <w:noProof/>
          <w:sz w:val="24"/>
          <w:szCs w:val="24"/>
        </w:rPr>
        <w:t>cies and build a comprehensive research and innovation system in agriculture in the wide sense of the word</w:t>
      </w:r>
    </w:p>
    <w:p w:rsidR="00333A1A" w:rsidRDefault="003D29C9">
      <w:pPr>
        <w:numPr>
          <w:ilvl w:val="0"/>
          <w:numId w:val="44"/>
        </w:numPr>
        <w:spacing w:after="0" w:line="240" w:lineRule="auto"/>
        <w:ind w:left="714" w:hanging="357"/>
        <w:contextualSpacing/>
        <w:jc w:val="both"/>
        <w:rPr>
          <w:rFonts w:ascii="Times New Roman" w:hAnsi="Times New Roman" w:cs="Times New Roman"/>
          <w:noProof/>
          <w:sz w:val="24"/>
          <w:szCs w:val="24"/>
        </w:rPr>
      </w:pPr>
      <w:r>
        <w:rPr>
          <w:rFonts w:ascii="Times New Roman" w:hAnsi="Times New Roman" w:cs="Times New Roman"/>
          <w:noProof/>
          <w:sz w:val="24"/>
          <w:szCs w:val="24"/>
        </w:rPr>
        <w:t>being flexible enough to address national differences</w:t>
      </w:r>
    </w:p>
    <w:p w:rsidR="00333A1A" w:rsidRDefault="00333A1A">
      <w:pPr>
        <w:spacing w:line="240" w:lineRule="auto"/>
        <w:ind w:left="714"/>
        <w:contextualSpacing/>
        <w:jc w:val="both"/>
        <w:rPr>
          <w:rFonts w:ascii="Times New Roman" w:hAnsi="Times New Roman" w:cs="Times New Roman"/>
          <w:noProof/>
          <w:sz w:val="24"/>
          <w:szCs w:val="24"/>
        </w:rPr>
      </w:pP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view of the EU value added, EU support should be focussed on the areas where EU interventio</w:t>
      </w:r>
      <w:r>
        <w:rPr>
          <w:rFonts w:ascii="Times New Roman" w:hAnsi="Times New Roman" w:cs="Times New Roman"/>
          <w:noProof/>
          <w:sz w:val="24"/>
          <w:szCs w:val="24"/>
        </w:rPr>
        <w:t>n can make the difference. The fostering of knowledge exchange and innovation should be linked to EU level objectives and a related performance framework with clear reporting obligations.</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Innovation can be a </w:t>
      </w:r>
      <w:r>
        <w:rPr>
          <w:rFonts w:ascii="Times New Roman" w:hAnsi="Times New Roman" w:cs="Times New Roman"/>
          <w:noProof/>
          <w:sz w:val="24"/>
          <w:szCs w:val="24"/>
          <w:u w:val="single"/>
        </w:rPr>
        <w:t>central objective</w:t>
      </w:r>
      <w:r>
        <w:rPr>
          <w:rFonts w:ascii="Times New Roman" w:hAnsi="Times New Roman" w:cs="Times New Roman"/>
          <w:noProof/>
          <w:sz w:val="24"/>
          <w:szCs w:val="24"/>
        </w:rPr>
        <w:t xml:space="preserve"> to be achieved in a programmed</w:t>
      </w:r>
      <w:r>
        <w:rPr>
          <w:rFonts w:ascii="Times New Roman" w:hAnsi="Times New Roman" w:cs="Times New Roman"/>
          <w:noProof/>
          <w:sz w:val="24"/>
          <w:szCs w:val="24"/>
        </w:rPr>
        <w:t xml:space="preserve"> approach by Member States / regions.   </w:t>
      </w:r>
      <w:r>
        <w:rPr>
          <w:rFonts w:ascii="Times New Roman" w:hAnsi="Times New Roman" w:cs="Times New Roman"/>
          <w:b/>
          <w:noProof/>
          <w:sz w:val="24"/>
          <w:szCs w:val="24"/>
        </w:rPr>
        <w:t>Member States and regions would programme knowledge hubs, interactive advisory services and other elements of AKIS with a view to achieve innovation</w:t>
      </w:r>
      <w:r>
        <w:rPr>
          <w:rFonts w:ascii="Times New Roman" w:hAnsi="Times New Roman" w:cs="Times New Roman"/>
          <w:noProof/>
          <w:sz w:val="24"/>
          <w:szCs w:val="24"/>
        </w:rPr>
        <w:t xml:space="preserve">.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support would focus on ensuring the exchange of information a</w:t>
      </w:r>
      <w:r>
        <w:rPr>
          <w:rFonts w:ascii="Times New Roman" w:hAnsi="Times New Roman" w:cs="Times New Roman"/>
          <w:noProof/>
          <w:sz w:val="24"/>
          <w:szCs w:val="24"/>
        </w:rPr>
        <w:t>nd ideas in projects but also at national / regional level and at EU level. The EIP experience has demonstrated that the Commission can steer Member States' attention towards innovation via the interactive approaches (the EIP network, high co-financing rat</w:t>
      </w:r>
      <w:r>
        <w:rPr>
          <w:rFonts w:ascii="Times New Roman" w:hAnsi="Times New Roman" w:cs="Times New Roman"/>
          <w:noProof/>
          <w:sz w:val="24"/>
          <w:szCs w:val="24"/>
        </w:rPr>
        <w:t xml:space="preserve">es for knowledge and innovation projects for EIP OGs) and sufficient flexibility to adapt to the existing AKISs. </w:t>
      </w:r>
    </w:p>
    <w:p w:rsidR="00333A1A" w:rsidRDefault="003D29C9">
      <w:pPr>
        <w:numPr>
          <w:ilvl w:val="0"/>
          <w:numId w:val="45"/>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CAP Plans</w:t>
      </w:r>
      <w:r>
        <w:rPr>
          <w:rFonts w:ascii="Times New Roman" w:hAnsi="Times New Roman" w:cs="Times New Roman"/>
          <w:noProof/>
          <w:sz w:val="24"/>
          <w:szCs w:val="24"/>
        </w:rPr>
        <w:t xml:space="preserve"> should have an obligatory section where each Member State explains how it is going to stimulate knowledge exchange and innovatio</w:t>
      </w:r>
      <w:r>
        <w:rPr>
          <w:rFonts w:ascii="Times New Roman" w:hAnsi="Times New Roman" w:cs="Times New Roman"/>
          <w:noProof/>
          <w:sz w:val="24"/>
          <w:szCs w:val="24"/>
        </w:rPr>
        <w:t xml:space="preserve">n. Specifically, </w:t>
      </w:r>
      <w:r>
        <w:rPr>
          <w:rFonts w:ascii="Times New Roman" w:hAnsi="Times New Roman" w:cs="Times New Roman"/>
          <w:b/>
          <w:noProof/>
          <w:sz w:val="24"/>
          <w:szCs w:val="24"/>
        </w:rPr>
        <w:t>the CAP Plan will have to provide information on how advisory services, research and rural networks will work together and on how innovation support services will be provided.</w:t>
      </w:r>
      <w:r>
        <w:rPr>
          <w:rFonts w:ascii="Times New Roman" w:hAnsi="Times New Roman" w:cs="Times New Roman"/>
          <w:noProof/>
          <w:sz w:val="24"/>
          <w:szCs w:val="24"/>
        </w:rPr>
        <w:t xml:space="preserve"> The scope of the knowledge exchange and innovation should cover</w:t>
      </w:r>
      <w:r>
        <w:rPr>
          <w:rFonts w:ascii="Times New Roman" w:hAnsi="Times New Roman" w:cs="Times New Roman"/>
          <w:noProof/>
          <w:sz w:val="24"/>
          <w:szCs w:val="24"/>
        </w:rPr>
        <w:t xml:space="preserve"> agricultural issues at large and the wider rural community (including environment climate change, energy, agri-food or bio-based value chains and the creation of possibilities for rural businesses). </w:t>
      </w:r>
    </w:p>
    <w:p w:rsidR="00333A1A" w:rsidRDefault="003D29C9">
      <w:pPr>
        <w:numPr>
          <w:ilvl w:val="0"/>
          <w:numId w:val="45"/>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Under the CAP Plan each Member State or region </w:t>
      </w:r>
      <w:r>
        <w:rPr>
          <w:rFonts w:ascii="Times New Roman" w:hAnsi="Times New Roman" w:cs="Times New Roman"/>
          <w:b/>
          <w:noProof/>
          <w:sz w:val="24"/>
          <w:szCs w:val="24"/>
        </w:rPr>
        <w:t xml:space="preserve">funds a </w:t>
      </w:r>
      <w:r>
        <w:rPr>
          <w:rFonts w:ascii="Times New Roman" w:hAnsi="Times New Roman" w:cs="Times New Roman"/>
          <w:b/>
          <w:noProof/>
          <w:sz w:val="24"/>
          <w:szCs w:val="24"/>
        </w:rPr>
        <w:t xml:space="preserve">number of actions </w:t>
      </w:r>
      <w:r>
        <w:rPr>
          <w:rFonts w:ascii="Times New Roman" w:hAnsi="Times New Roman" w:cs="Times New Roman"/>
          <w:noProof/>
          <w:sz w:val="24"/>
          <w:szCs w:val="24"/>
        </w:rPr>
        <w:t>related to information actions, demonstration, farmers' exchange, training, advice, pilot projects, EIP-AGRI operational groups, etc. aimed at knowledge exchange and innovation, using the types of intervention to be developed in the regul</w:t>
      </w:r>
      <w:r>
        <w:rPr>
          <w:rFonts w:ascii="Times New Roman" w:hAnsi="Times New Roman" w:cs="Times New Roman"/>
          <w:noProof/>
          <w:sz w:val="24"/>
          <w:szCs w:val="24"/>
        </w:rPr>
        <w:t xml:space="preserve">ation. </w:t>
      </w:r>
    </w:p>
    <w:p w:rsidR="00333A1A" w:rsidRDefault="003D29C9">
      <w:pPr>
        <w:pStyle w:val="Text1"/>
        <w:numPr>
          <w:ilvl w:val="0"/>
          <w:numId w:val="45"/>
        </w:numPr>
        <w:spacing w:after="120"/>
        <w:contextualSpacing/>
        <w:rPr>
          <w:b/>
          <w:noProof/>
          <w:szCs w:val="24"/>
        </w:rPr>
      </w:pPr>
      <w:r>
        <w:rPr>
          <w:b/>
          <w:noProof/>
          <w:szCs w:val="24"/>
        </w:rPr>
        <w:t>Beyond the CAP, delivery on knowledge and innovation will be conditional on the capacity of the FP to fund the necessary knowledge generation and communication at EU level</w:t>
      </w:r>
      <w:r>
        <w:rPr>
          <w:noProof/>
          <w:szCs w:val="24"/>
        </w:rPr>
        <w:t>. This will be achieved only if the synergies that have been established betw</w:t>
      </w:r>
      <w:r>
        <w:rPr>
          <w:noProof/>
          <w:szCs w:val="24"/>
        </w:rPr>
        <w:t xml:space="preserve">een the CAP and Horizon 2020 to establish a </w:t>
      </w:r>
      <w:r>
        <w:rPr>
          <w:b/>
          <w:noProof/>
          <w:szCs w:val="24"/>
        </w:rPr>
        <w:t>comprehensive agricultural research and innovation ecosystem will be maintained and/or reinforced in FP9. A</w:t>
      </w:r>
      <w:r>
        <w:rPr>
          <w:noProof/>
        </w:rPr>
        <w:t>mbitious R&amp;I activities need to be developed under FP 9 to promote food and nutrition security and the su</w:t>
      </w:r>
      <w:r>
        <w:rPr>
          <w:noProof/>
        </w:rPr>
        <w:t>stainable management of natural resources, building on the Strategic approach to EU agricultural R&amp;I</w:t>
      </w:r>
      <w:r>
        <w:rPr>
          <w:rStyle w:val="FootnoteReference"/>
          <w:noProof/>
        </w:rPr>
        <w:footnoteReference w:id="80"/>
      </w:r>
      <w:r>
        <w:rPr>
          <w:noProof/>
        </w:rPr>
        <w:t>, the EU Bioeconomy Strategy</w:t>
      </w:r>
      <w:r>
        <w:rPr>
          <w:rStyle w:val="FootnoteReference"/>
          <w:noProof/>
        </w:rPr>
        <w:footnoteReference w:id="81"/>
      </w:r>
      <w:r>
        <w:rPr>
          <w:noProof/>
        </w:rPr>
        <w:t>, and Food 2030</w:t>
      </w:r>
      <w:r>
        <w:rPr>
          <w:rStyle w:val="FootnoteReference"/>
          <w:noProof/>
        </w:rPr>
        <w:footnoteReference w:id="82"/>
      </w:r>
      <w:r>
        <w:rPr>
          <w:noProof/>
        </w:rPr>
        <w:t>.</w:t>
      </w:r>
    </w:p>
    <w:p w:rsidR="00333A1A" w:rsidRDefault="003D29C9">
      <w:pPr>
        <w:pStyle w:val="Heading1"/>
        <w:numPr>
          <w:ilvl w:val="0"/>
          <w:numId w:val="0"/>
        </w:numPr>
        <w:ind w:left="482" w:hanging="482"/>
        <w:rPr>
          <w:noProof/>
        </w:rPr>
      </w:pPr>
      <w:bookmarkStart w:id="277" w:name="_Toc509419140"/>
      <w:bookmarkStart w:id="278" w:name="_Toc513053306"/>
      <w:bookmarkStart w:id="279" w:name="_Toc513053522"/>
      <w:bookmarkStart w:id="280" w:name="_Toc514514653"/>
      <w:r>
        <w:rPr>
          <w:noProof/>
        </w:rPr>
        <w:t xml:space="preserve">2. </w:t>
      </w:r>
      <w:r>
        <w:rPr>
          <w:noProof/>
        </w:rPr>
        <w:tab/>
        <w:t>Strengthening of farm advisory services within the Agricultural Knowledge and Innovation Systems</w:t>
      </w:r>
      <w:bookmarkEnd w:id="277"/>
      <w:bookmarkEnd w:id="278"/>
      <w:bookmarkEnd w:id="279"/>
      <w:bookmarkEnd w:id="280"/>
      <w:r>
        <w:rPr>
          <w:noProof/>
        </w:rPr>
        <w:t xml:space="preserve"> </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w:t>
      </w:r>
      <w:r>
        <w:rPr>
          <w:rFonts w:ascii="Times New Roman" w:eastAsia="Times New Roman" w:hAnsi="Times New Roman" w:cs="Times New Roman"/>
          <w:noProof/>
          <w:sz w:val="24"/>
          <w:szCs w:val="24"/>
          <w:lang w:eastAsia="en-GB"/>
        </w:rPr>
        <w:t xml:space="preserve">mmunication mentions the exchange of knowledge and focus on innovation is a </w:t>
      </w:r>
      <w:r>
        <w:rPr>
          <w:rFonts w:ascii="Times New Roman" w:eastAsia="Times New Roman" w:hAnsi="Times New Roman" w:cs="Times New Roman"/>
          <w:b/>
          <w:noProof/>
          <w:sz w:val="24"/>
          <w:szCs w:val="24"/>
          <w:lang w:eastAsia="en-GB"/>
        </w:rPr>
        <w:t>cross cutting objective</w:t>
      </w:r>
      <w:r>
        <w:rPr>
          <w:rFonts w:ascii="Times New Roman" w:eastAsia="Times New Roman" w:hAnsi="Times New Roman" w:cs="Times New Roman"/>
          <w:noProof/>
          <w:sz w:val="24"/>
          <w:szCs w:val="24"/>
          <w:lang w:eastAsia="en-GB"/>
        </w:rPr>
        <w:t xml:space="preserve"> for the new CAP. The CAP should continue to support the </w:t>
      </w:r>
      <w:r>
        <w:rPr>
          <w:rFonts w:ascii="Times New Roman" w:eastAsia="Times New Roman" w:hAnsi="Times New Roman" w:cs="Times New Roman"/>
          <w:noProof/>
          <w:sz w:val="24"/>
          <w:szCs w:val="24"/>
          <w:u w:val="single"/>
          <w:lang w:eastAsia="en-GB"/>
        </w:rPr>
        <w:t>interactive innovation</w:t>
      </w:r>
      <w:r>
        <w:rPr>
          <w:rFonts w:ascii="Times New Roman" w:eastAsia="Times New Roman" w:hAnsi="Times New Roman" w:cs="Times New Roman"/>
          <w:noProof/>
          <w:sz w:val="24"/>
          <w:szCs w:val="24"/>
          <w:lang w:eastAsia="en-GB"/>
        </w:rPr>
        <w:t xml:space="preserve"> model, as applied in EIP Operational Groups and in H2020 multi-actor projects and thematic networks. In essence, this model stands for tackling real practice needs/opportunities through collaboration between actors to make best use of specific complementa</w:t>
      </w:r>
      <w:r>
        <w:rPr>
          <w:rFonts w:ascii="Times New Roman" w:eastAsia="Times New Roman" w:hAnsi="Times New Roman" w:cs="Times New Roman"/>
          <w:noProof/>
          <w:sz w:val="24"/>
          <w:szCs w:val="24"/>
          <w:lang w:eastAsia="en-GB"/>
        </w:rPr>
        <w:t>ry types of knowledge (scientific, practical, organisational, etc) in view of co-creation and diffusion of solutions/opportunities ready to implement in practice. Farm advisory services should be strengthened within the AKIS. The farm advice given should b</w:t>
      </w:r>
      <w:r>
        <w:rPr>
          <w:rFonts w:ascii="Times New Roman" w:eastAsia="Times New Roman" w:hAnsi="Times New Roman" w:cs="Times New Roman"/>
          <w:noProof/>
          <w:sz w:val="24"/>
          <w:szCs w:val="24"/>
          <w:lang w:eastAsia="en-GB"/>
        </w:rPr>
        <w:t>e impartial, advisors should have no conflict of interest with commercial activities.</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current legal framework obliges Member States to have a </w:t>
      </w:r>
      <w:r>
        <w:rPr>
          <w:rFonts w:ascii="Times New Roman" w:eastAsia="Times New Roman" w:hAnsi="Times New Roman" w:cs="Times New Roman"/>
          <w:b/>
          <w:noProof/>
          <w:sz w:val="24"/>
          <w:szCs w:val="24"/>
          <w:lang w:eastAsia="en-GB"/>
        </w:rPr>
        <w:t>Farm Advisory System</w:t>
      </w:r>
      <w:r>
        <w:rPr>
          <w:rFonts w:ascii="Times New Roman" w:eastAsia="Times New Roman" w:hAnsi="Times New Roman" w:cs="Times New Roman"/>
          <w:noProof/>
          <w:sz w:val="24"/>
          <w:szCs w:val="24"/>
          <w:lang w:eastAsia="en-GB"/>
        </w:rPr>
        <w:t xml:space="preserve"> (FAS) in place. However, the use and uptake of the knowledge and advice measures remains </w:t>
      </w:r>
      <w:r>
        <w:rPr>
          <w:rFonts w:ascii="Times New Roman" w:eastAsia="Times New Roman" w:hAnsi="Times New Roman" w:cs="Times New Roman"/>
          <w:noProof/>
          <w:sz w:val="24"/>
          <w:szCs w:val="24"/>
          <w:lang w:eastAsia="en-GB"/>
        </w:rPr>
        <w:t xml:space="preserve">limited in the current programming period.  The </w:t>
      </w:r>
      <w:r>
        <w:rPr>
          <w:rFonts w:ascii="Times New Roman" w:eastAsia="Times New Roman" w:hAnsi="Times New Roman" w:cs="Times New Roman"/>
          <w:b/>
          <w:noProof/>
          <w:sz w:val="24"/>
          <w:szCs w:val="24"/>
          <w:lang w:eastAsia="en-GB"/>
        </w:rPr>
        <w:t>EIP-AGRI</w:t>
      </w:r>
      <w:r>
        <w:rPr>
          <w:rFonts w:ascii="Times New Roman" w:eastAsia="Times New Roman" w:hAnsi="Times New Roman" w:cs="Times New Roman"/>
          <w:noProof/>
          <w:sz w:val="24"/>
          <w:szCs w:val="24"/>
          <w:lang w:eastAsia="en-GB"/>
        </w:rPr>
        <w:t xml:space="preserve"> initiative has led to considerable attention for innovation and the exchange of knowledge. Horizon 2020 projects and CAP interactive innovation projects have helped bringing in new knowledge and comp</w:t>
      </w:r>
      <w:r>
        <w:rPr>
          <w:rFonts w:ascii="Times New Roman" w:eastAsia="Times New Roman" w:hAnsi="Times New Roman" w:cs="Times New Roman"/>
          <w:noProof/>
          <w:sz w:val="24"/>
          <w:szCs w:val="24"/>
          <w:lang w:eastAsia="en-GB"/>
        </w:rPr>
        <w:t>iling knowledge ready to use and also by connecting Horizon 2020 to EIP funded projects.  The EIP-AGRI aims to ensure better uptake of results of H2020 projects through the multi-actor approach which produces practice-oriented recommendations in a language</w:t>
      </w:r>
      <w:r>
        <w:rPr>
          <w:rFonts w:ascii="Times New Roman" w:eastAsia="Times New Roman" w:hAnsi="Times New Roman" w:cs="Times New Roman"/>
          <w:noProof/>
          <w:sz w:val="24"/>
          <w:szCs w:val="24"/>
          <w:lang w:eastAsia="en-GB"/>
        </w:rPr>
        <w:t xml:space="preserve"> easy to understand for farmers/foresters and advisors. These recommendations are then communicated through the EIP website and EIP networking activities.</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the current CAP period, it is observed that innovation under the EIP-AGRI is most successful in Me</w:t>
      </w:r>
      <w:r>
        <w:rPr>
          <w:rFonts w:ascii="Times New Roman" w:eastAsia="Times New Roman" w:hAnsi="Times New Roman" w:cs="Times New Roman"/>
          <w:noProof/>
          <w:sz w:val="24"/>
          <w:szCs w:val="24"/>
          <w:lang w:eastAsia="en-GB"/>
        </w:rPr>
        <w:t>mber States where a dedicated innovation environment is created and the AKIS is strong and integrated</w:t>
      </w:r>
      <w:r>
        <w:rPr>
          <w:rFonts w:ascii="Times New Roman" w:eastAsia="Times New Roman" w:hAnsi="Times New Roman" w:cs="Times New Roman"/>
          <w:noProof/>
          <w:sz w:val="24"/>
          <w:szCs w:val="24"/>
          <w:vertAlign w:val="superscript"/>
          <w:lang w:eastAsia="en-GB"/>
        </w:rPr>
        <w:footnoteReference w:id="83"/>
      </w:r>
      <w:r>
        <w:rPr>
          <w:rFonts w:ascii="Times New Roman" w:eastAsia="Times New Roman" w:hAnsi="Times New Roman" w:cs="Times New Roman"/>
          <w:noProof/>
          <w:sz w:val="24"/>
          <w:szCs w:val="24"/>
          <w:lang w:eastAsia="en-GB"/>
        </w:rPr>
        <w:t xml:space="preserve">. </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efficiency and effectiveness of advisory services can best be upgraded by improving their connections within the Agricultural Knowledge and </w:t>
      </w:r>
      <w:r>
        <w:rPr>
          <w:rFonts w:ascii="Times New Roman" w:eastAsia="Times New Roman" w:hAnsi="Times New Roman" w:cs="Times New Roman"/>
          <w:noProof/>
          <w:sz w:val="24"/>
          <w:szCs w:val="24"/>
          <w:lang w:eastAsia="en-GB"/>
        </w:rPr>
        <w:t>Innovation Systems and sharing knowledge and innovative applications more intensively. To perform such an upgrade of advisory services, a transition period is needed. Such a transition plan will form a part of the CAP Strategic Plans to be approved.</w:t>
      </w:r>
    </w:p>
    <w:p w:rsidR="00333A1A" w:rsidRDefault="003D29C9">
      <w:pPr>
        <w:spacing w:line="240" w:lineRule="auto"/>
        <w:jc w:val="both"/>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Contex</w:t>
      </w:r>
      <w:r>
        <w:rPr>
          <w:rFonts w:ascii="Times New Roman" w:eastAsia="Times New Roman" w:hAnsi="Times New Roman" w:cs="Times New Roman"/>
          <w:b/>
          <w:noProof/>
          <w:sz w:val="24"/>
          <w:szCs w:val="24"/>
          <w:u w:val="single"/>
          <w:lang w:eastAsia="en-GB"/>
        </w:rPr>
        <w:t>t</w:t>
      </w:r>
    </w:p>
    <w:p w:rsidR="00333A1A" w:rsidRDefault="003D29C9">
      <w:pPr>
        <w:numPr>
          <w:ilvl w:val="0"/>
          <w:numId w:val="40"/>
        </w:numPr>
        <w:spacing w:line="240" w:lineRule="auto"/>
        <w:jc w:val="both"/>
        <w:rPr>
          <w:rFonts w:ascii="Times New Roman" w:eastAsia="Times New Roman" w:hAnsi="Times New Roman" w:cs="Times New Roman"/>
          <w:iCs/>
          <w:noProof/>
          <w:sz w:val="24"/>
          <w:szCs w:val="24"/>
          <w:lang w:eastAsia="en-GB"/>
        </w:rPr>
      </w:pPr>
      <w:r>
        <w:rPr>
          <w:rFonts w:ascii="Times New Roman" w:eastAsia="Times New Roman" w:hAnsi="Times New Roman" w:cs="Times New Roman"/>
          <w:iCs/>
          <w:noProof/>
          <w:sz w:val="24"/>
          <w:szCs w:val="24"/>
          <w:lang w:eastAsia="en-GB"/>
        </w:rPr>
        <w:t>Traditionally advisory services were used to "</w:t>
      </w:r>
      <w:r>
        <w:rPr>
          <w:rFonts w:ascii="Times New Roman" w:eastAsia="Times New Roman" w:hAnsi="Times New Roman" w:cs="Times New Roman"/>
          <w:iCs/>
          <w:noProof/>
          <w:sz w:val="24"/>
          <w:szCs w:val="24"/>
          <w:u w:val="single"/>
          <w:lang w:eastAsia="en-GB"/>
        </w:rPr>
        <w:t>transfer</w:t>
      </w:r>
      <w:r>
        <w:rPr>
          <w:rFonts w:ascii="Times New Roman" w:eastAsia="Times New Roman" w:hAnsi="Times New Roman" w:cs="Times New Roman"/>
          <w:iCs/>
          <w:noProof/>
          <w:sz w:val="24"/>
          <w:szCs w:val="24"/>
          <w:lang w:eastAsia="en-GB"/>
        </w:rPr>
        <w:t>" knowledge to farmers in order to make them perform better. Knowledge no longer only flows in one direction from research to farmers. Nowadays challenges have become much more complex and knowledge i</w:t>
      </w:r>
      <w:r>
        <w:rPr>
          <w:rFonts w:ascii="Times New Roman" w:eastAsia="Times New Roman" w:hAnsi="Times New Roman" w:cs="Times New Roman"/>
          <w:iCs/>
          <w:noProof/>
          <w:sz w:val="24"/>
          <w:szCs w:val="24"/>
          <w:lang w:eastAsia="en-GB"/>
        </w:rPr>
        <w:t xml:space="preserve">s less concentrated, therefore this </w:t>
      </w:r>
      <w:r>
        <w:rPr>
          <w:rFonts w:ascii="Times New Roman" w:eastAsia="Times New Roman" w:hAnsi="Times New Roman" w:cs="Times New Roman"/>
          <w:b/>
          <w:iCs/>
          <w:noProof/>
          <w:sz w:val="24"/>
          <w:szCs w:val="24"/>
          <w:lang w:eastAsia="en-GB"/>
        </w:rPr>
        <w:t>" linear" knowledge transfer model is failing</w:t>
      </w:r>
      <w:r>
        <w:rPr>
          <w:rFonts w:ascii="Times New Roman" w:eastAsia="Times New Roman" w:hAnsi="Times New Roman" w:cs="Times New Roman"/>
          <w:iCs/>
          <w:noProof/>
          <w:sz w:val="24"/>
          <w:szCs w:val="24"/>
          <w:lang w:eastAsia="en-GB"/>
        </w:rPr>
        <w:t xml:space="preserve">. </w:t>
      </w:r>
    </w:p>
    <w:p w:rsidR="00333A1A" w:rsidRDefault="003D29C9">
      <w:pPr>
        <w:numPr>
          <w:ilvl w:val="0"/>
          <w:numId w:val="40"/>
        </w:numPr>
        <w:spacing w:line="240" w:lineRule="auto"/>
        <w:jc w:val="both"/>
        <w:rPr>
          <w:rFonts w:ascii="Times New Roman" w:eastAsia="Times New Roman" w:hAnsi="Times New Roman" w:cs="Times New Roman"/>
          <w:iCs/>
          <w:noProof/>
          <w:sz w:val="24"/>
          <w:szCs w:val="24"/>
          <w:lang w:eastAsia="en-GB"/>
        </w:rPr>
      </w:pPr>
      <w:r>
        <w:rPr>
          <w:rFonts w:ascii="Times New Roman" w:eastAsia="Times New Roman" w:hAnsi="Times New Roman" w:cs="Times New Roman"/>
          <w:iCs/>
          <w:noProof/>
          <w:sz w:val="24"/>
          <w:szCs w:val="24"/>
          <w:lang w:eastAsia="en-GB"/>
        </w:rPr>
        <w:t xml:space="preserve">The linear model meanwhile has been complemented by the so-called "interactive innovation model" as applied in the EIP-AGRI. This model puts the emphasis on targeted </w:t>
      </w:r>
      <w:r>
        <w:rPr>
          <w:rFonts w:ascii="Times New Roman" w:eastAsia="Times New Roman" w:hAnsi="Times New Roman" w:cs="Times New Roman"/>
          <w:iCs/>
          <w:noProof/>
          <w:sz w:val="24"/>
          <w:szCs w:val="24"/>
          <w:lang w:eastAsia="en-GB"/>
        </w:rPr>
        <w:t>knowledge “</w:t>
      </w:r>
      <w:r>
        <w:rPr>
          <w:rFonts w:ascii="Times New Roman" w:eastAsia="Times New Roman" w:hAnsi="Times New Roman" w:cs="Times New Roman"/>
          <w:iCs/>
          <w:noProof/>
          <w:sz w:val="24"/>
          <w:szCs w:val="24"/>
          <w:u w:val="single"/>
          <w:lang w:eastAsia="en-GB"/>
        </w:rPr>
        <w:t>exchange</w:t>
      </w:r>
      <w:r>
        <w:rPr>
          <w:rFonts w:ascii="Times New Roman" w:eastAsia="Times New Roman" w:hAnsi="Times New Roman" w:cs="Times New Roman"/>
          <w:iCs/>
          <w:noProof/>
          <w:sz w:val="24"/>
          <w:szCs w:val="24"/>
          <w:lang w:eastAsia="en-GB"/>
        </w:rPr>
        <w:t xml:space="preserve">" because </w:t>
      </w:r>
      <w:r>
        <w:rPr>
          <w:rFonts w:ascii="Times New Roman" w:eastAsia="Times New Roman" w:hAnsi="Times New Roman" w:cs="Times New Roman"/>
          <w:b/>
          <w:iCs/>
          <w:noProof/>
          <w:sz w:val="24"/>
          <w:szCs w:val="24"/>
          <w:lang w:eastAsia="en-GB"/>
        </w:rPr>
        <w:t>there is a need for co-creation of</w:t>
      </w:r>
      <w:r>
        <w:rPr>
          <w:rFonts w:ascii="Times New Roman" w:eastAsia="Times New Roman" w:hAnsi="Times New Roman" w:cs="Times New Roman"/>
          <w:iCs/>
          <w:noProof/>
          <w:sz w:val="24"/>
          <w:szCs w:val="24"/>
          <w:lang w:eastAsia="en-GB"/>
        </w:rPr>
        <w:t xml:space="preserve"> </w:t>
      </w:r>
      <w:r>
        <w:rPr>
          <w:rFonts w:ascii="Times New Roman" w:eastAsia="Times New Roman" w:hAnsi="Times New Roman" w:cs="Times New Roman"/>
          <w:b/>
          <w:iCs/>
          <w:noProof/>
          <w:sz w:val="24"/>
          <w:szCs w:val="24"/>
          <w:lang w:eastAsia="en-GB"/>
        </w:rPr>
        <w:t>new and tailor-made solutions which are combining different kinds of knowledge</w:t>
      </w:r>
      <w:r>
        <w:rPr>
          <w:rFonts w:ascii="Times New Roman" w:eastAsia="Times New Roman" w:hAnsi="Times New Roman" w:cs="Times New Roman"/>
          <w:iCs/>
          <w:noProof/>
          <w:sz w:val="24"/>
          <w:szCs w:val="24"/>
          <w:lang w:eastAsia="en-GB"/>
        </w:rPr>
        <w:t>. To enable this, collaboration between specific combinations of actors who can bring in the various types of know</w:t>
      </w:r>
      <w:r>
        <w:rPr>
          <w:rFonts w:ascii="Times New Roman" w:eastAsia="Times New Roman" w:hAnsi="Times New Roman" w:cs="Times New Roman"/>
          <w:iCs/>
          <w:noProof/>
          <w:sz w:val="24"/>
          <w:szCs w:val="24"/>
          <w:lang w:eastAsia="en-GB"/>
        </w:rPr>
        <w:t>ledge (scientific, technological, practical, organisational etc.) to solve the problem needs to be incentivised. Advisors obviously play a key role in the interactive innovation model.</w:t>
      </w:r>
    </w:p>
    <w:p w:rsidR="00333A1A" w:rsidRDefault="003D29C9">
      <w:pPr>
        <w:numPr>
          <w:ilvl w:val="0"/>
          <w:numId w:val="40"/>
        </w:numPr>
        <w:spacing w:line="240" w:lineRule="auto"/>
        <w:jc w:val="both"/>
        <w:rPr>
          <w:rFonts w:ascii="Times New Roman" w:eastAsia="Times New Roman" w:hAnsi="Times New Roman" w:cs="Times New Roman"/>
          <w:iCs/>
          <w:noProof/>
          <w:sz w:val="24"/>
          <w:szCs w:val="24"/>
          <w:lang w:eastAsia="en-GB"/>
        </w:rPr>
      </w:pPr>
      <w:r>
        <w:rPr>
          <w:rFonts w:ascii="Times New Roman" w:eastAsia="Times New Roman" w:hAnsi="Times New Roman" w:cs="Times New Roman"/>
          <w:iCs/>
          <w:noProof/>
          <w:sz w:val="24"/>
          <w:szCs w:val="24"/>
          <w:lang w:eastAsia="en-GB"/>
        </w:rPr>
        <w:t xml:space="preserve">Consequently, </w:t>
      </w:r>
      <w:r>
        <w:rPr>
          <w:rFonts w:ascii="Times New Roman" w:eastAsia="Times New Roman" w:hAnsi="Times New Roman" w:cs="Times New Roman"/>
          <w:b/>
          <w:iCs/>
          <w:noProof/>
          <w:sz w:val="24"/>
          <w:szCs w:val="24"/>
          <w:lang w:eastAsia="en-GB"/>
        </w:rPr>
        <w:t>there are more players that have to be involved in the sh</w:t>
      </w:r>
      <w:r>
        <w:rPr>
          <w:rFonts w:ascii="Times New Roman" w:eastAsia="Times New Roman" w:hAnsi="Times New Roman" w:cs="Times New Roman"/>
          <w:b/>
          <w:iCs/>
          <w:noProof/>
          <w:sz w:val="24"/>
          <w:szCs w:val="24"/>
          <w:lang w:eastAsia="en-GB"/>
        </w:rPr>
        <w:t>aring and creation of knowledge</w:t>
      </w:r>
      <w:r>
        <w:rPr>
          <w:rFonts w:ascii="Times New Roman" w:eastAsia="Times New Roman" w:hAnsi="Times New Roman" w:cs="Times New Roman"/>
          <w:iCs/>
          <w:noProof/>
          <w:sz w:val="24"/>
          <w:szCs w:val="24"/>
          <w:lang w:eastAsia="en-GB"/>
        </w:rPr>
        <w:t xml:space="preserve">. Therefore, the focus is now on </w:t>
      </w:r>
      <w:r>
        <w:rPr>
          <w:rFonts w:ascii="Times New Roman" w:eastAsia="Times New Roman" w:hAnsi="Times New Roman" w:cs="Times New Roman"/>
          <w:b/>
          <w:iCs/>
          <w:noProof/>
          <w:sz w:val="24"/>
          <w:szCs w:val="24"/>
          <w:lang w:eastAsia="en-GB"/>
        </w:rPr>
        <w:t>improving information flows within the Agricultural Knowledge and Innovation Systems (AKIS),</w:t>
      </w:r>
      <w:r>
        <w:rPr>
          <w:rFonts w:ascii="Times New Roman" w:eastAsia="Times New Roman" w:hAnsi="Times New Roman" w:cs="Times New Roman"/>
          <w:iCs/>
          <w:noProof/>
          <w:sz w:val="24"/>
          <w:szCs w:val="24"/>
          <w:lang w:eastAsia="en-GB"/>
        </w:rPr>
        <w:t xml:space="preserve"> the systems of people and organisations in MSs/regions that generate, share, and utilize agricultur</w:t>
      </w:r>
      <w:r>
        <w:rPr>
          <w:rFonts w:ascii="Times New Roman" w:eastAsia="Times New Roman" w:hAnsi="Times New Roman" w:cs="Times New Roman"/>
          <w:iCs/>
          <w:noProof/>
          <w:sz w:val="24"/>
          <w:szCs w:val="24"/>
          <w:lang w:eastAsia="en-GB"/>
        </w:rPr>
        <w:t>e-related knowledge and information</w:t>
      </w:r>
      <w:r>
        <w:rPr>
          <w:rFonts w:ascii="Times New Roman" w:eastAsia="Times New Roman" w:hAnsi="Times New Roman" w:cs="Times New Roman"/>
          <w:b/>
          <w:iCs/>
          <w:noProof/>
          <w:sz w:val="24"/>
          <w:szCs w:val="24"/>
          <w:lang w:eastAsia="en-GB"/>
        </w:rPr>
        <w:t xml:space="preserve"> </w:t>
      </w:r>
      <w:r>
        <w:rPr>
          <w:rFonts w:ascii="Times New Roman" w:eastAsia="Times New Roman" w:hAnsi="Times New Roman" w:cs="Times New Roman"/>
          <w:iCs/>
          <w:noProof/>
          <w:sz w:val="24"/>
          <w:szCs w:val="24"/>
          <w:lang w:eastAsia="en-GB"/>
        </w:rPr>
        <w:t>(e.g. administration, researchers, advisors, farmers, agri-business, etc.).</w:t>
      </w:r>
    </w:p>
    <w:p w:rsidR="00333A1A" w:rsidRDefault="003D29C9">
      <w:pPr>
        <w:numPr>
          <w:ilvl w:val="0"/>
          <w:numId w:val="40"/>
        </w:numPr>
        <w:spacing w:line="240" w:lineRule="auto"/>
        <w:jc w:val="both"/>
        <w:rPr>
          <w:rFonts w:ascii="Times New Roman" w:hAnsi="Times New Roman" w:cs="Times New Roman"/>
          <w:iCs/>
          <w:noProof/>
          <w:sz w:val="24"/>
          <w:szCs w:val="24"/>
          <w:u w:val="single"/>
        </w:rPr>
      </w:pPr>
      <w:r>
        <w:rPr>
          <w:rFonts w:ascii="Times New Roman" w:hAnsi="Times New Roman" w:cs="Times New Roman"/>
          <w:b/>
          <w:iCs/>
          <w:noProof/>
          <w:sz w:val="24"/>
          <w:szCs w:val="24"/>
        </w:rPr>
        <w:t xml:space="preserve">An advisor is as strong as his/her interconnections within the AKIS are. </w:t>
      </w:r>
      <w:r>
        <w:rPr>
          <w:rFonts w:ascii="Times New Roman" w:hAnsi="Times New Roman" w:cs="Times New Roman"/>
          <w:iCs/>
          <w:noProof/>
          <w:sz w:val="24"/>
          <w:szCs w:val="24"/>
        </w:rPr>
        <w:t>He/she needs to be fed with the newest knowledge and be supported to de</w:t>
      </w:r>
      <w:r>
        <w:rPr>
          <w:rFonts w:ascii="Times New Roman" w:hAnsi="Times New Roman" w:cs="Times New Roman"/>
          <w:iCs/>
          <w:noProof/>
          <w:sz w:val="24"/>
          <w:szCs w:val="24"/>
        </w:rPr>
        <w:t>velop knowledge in interactive innovation projects such as in the EIP (H2020 multi-actor projects or RD Operational Groups). The advisor furthermore plays a key role to funnel farmers' needs and opportunities into the knowledge and innovation system for fu</w:t>
      </w:r>
      <w:r>
        <w:rPr>
          <w:rFonts w:ascii="Times New Roman" w:hAnsi="Times New Roman" w:cs="Times New Roman"/>
          <w:iCs/>
          <w:noProof/>
          <w:sz w:val="24"/>
          <w:szCs w:val="24"/>
        </w:rPr>
        <w:t xml:space="preserve">rther development. This helps knowledge systems to improve their impact. </w:t>
      </w:r>
      <w:r>
        <w:rPr>
          <w:rFonts w:ascii="Times New Roman" w:hAnsi="Times New Roman" w:cs="Times New Roman"/>
          <w:b/>
          <w:iCs/>
          <w:noProof/>
          <w:sz w:val="24"/>
          <w:szCs w:val="24"/>
        </w:rPr>
        <w:t xml:space="preserve">Therefore it is useful to support strengthening of farm advisory services </w:t>
      </w:r>
      <w:r>
        <w:rPr>
          <w:rFonts w:ascii="Times New Roman" w:hAnsi="Times New Roman" w:cs="Times New Roman"/>
          <w:b/>
          <w:iCs/>
          <w:noProof/>
          <w:sz w:val="24"/>
          <w:szCs w:val="24"/>
          <w:u w:val="single"/>
        </w:rPr>
        <w:t>within the AKIS</w:t>
      </w:r>
      <w:r>
        <w:rPr>
          <w:rFonts w:ascii="Times New Roman" w:hAnsi="Times New Roman" w:cs="Times New Roman"/>
          <w:b/>
          <w:iCs/>
          <w:noProof/>
          <w:sz w:val="24"/>
          <w:szCs w:val="24"/>
        </w:rPr>
        <w:t xml:space="preserve">. </w:t>
      </w:r>
      <w:r>
        <w:rPr>
          <w:rFonts w:ascii="Times New Roman" w:hAnsi="Times New Roman" w:cs="Times New Roman"/>
          <w:iCs/>
          <w:noProof/>
          <w:sz w:val="24"/>
          <w:szCs w:val="24"/>
        </w:rPr>
        <w:t>To adapt to the diversity of AKIS systems in countries, flexibility will be needed, to the e</w:t>
      </w:r>
      <w:r>
        <w:rPr>
          <w:rFonts w:ascii="Times New Roman" w:hAnsi="Times New Roman" w:cs="Times New Roman"/>
          <w:iCs/>
          <w:noProof/>
          <w:sz w:val="24"/>
          <w:szCs w:val="24"/>
        </w:rPr>
        <w:t>xample of the EIP implementation.</w:t>
      </w:r>
    </w:p>
    <w:p w:rsidR="00333A1A" w:rsidRDefault="003D29C9">
      <w:pPr>
        <w:numPr>
          <w:ilvl w:val="0"/>
          <w:numId w:val="40"/>
        </w:numPr>
        <w:spacing w:line="240" w:lineRule="auto"/>
        <w:jc w:val="both"/>
        <w:rPr>
          <w:rFonts w:ascii="Times New Roman" w:hAnsi="Times New Roman" w:cs="Times New Roman"/>
          <w:iCs/>
          <w:noProof/>
          <w:sz w:val="24"/>
          <w:szCs w:val="24"/>
          <w:u w:val="single"/>
        </w:rPr>
      </w:pPr>
      <w:r>
        <w:rPr>
          <w:rFonts w:ascii="Times New Roman" w:hAnsi="Times New Roman" w:cs="Times New Roman"/>
          <w:iCs/>
          <w:noProof/>
          <w:sz w:val="24"/>
          <w:szCs w:val="24"/>
        </w:rPr>
        <w:t xml:space="preserve">The FP7 PRO-AKIS study showed that it is of utmost importance </w:t>
      </w:r>
      <w:r>
        <w:rPr>
          <w:rFonts w:ascii="Times New Roman" w:hAnsi="Times New Roman" w:cs="Times New Roman"/>
          <w:iCs/>
          <w:noProof/>
          <w:sz w:val="24"/>
          <w:szCs w:val="24"/>
          <w:u w:val="single"/>
        </w:rPr>
        <w:t xml:space="preserve">to </w:t>
      </w:r>
      <w:r>
        <w:rPr>
          <w:rFonts w:ascii="Times New Roman" w:hAnsi="Times New Roman" w:cs="Times New Roman"/>
          <w:b/>
          <w:iCs/>
          <w:noProof/>
          <w:sz w:val="24"/>
          <w:szCs w:val="24"/>
          <w:u w:val="single"/>
        </w:rPr>
        <w:t>support solid transition plans</w:t>
      </w:r>
      <w:r>
        <w:rPr>
          <w:rFonts w:ascii="Times New Roman" w:hAnsi="Times New Roman" w:cs="Times New Roman"/>
          <w:b/>
          <w:iCs/>
          <w:noProof/>
          <w:sz w:val="24"/>
          <w:szCs w:val="24"/>
        </w:rPr>
        <w:t xml:space="preserve"> for the strengthening of farm advisory services within the AKIS</w:t>
      </w:r>
      <w:r>
        <w:rPr>
          <w:rFonts w:ascii="Times New Roman" w:hAnsi="Times New Roman" w:cs="Times New Roman"/>
          <w:iCs/>
          <w:noProof/>
          <w:sz w:val="24"/>
          <w:szCs w:val="24"/>
        </w:rPr>
        <w:t>, in order for countries to improve and learn from best practic</w:t>
      </w:r>
      <w:r>
        <w:rPr>
          <w:rFonts w:ascii="Times New Roman" w:hAnsi="Times New Roman" w:cs="Times New Roman"/>
          <w:iCs/>
          <w:noProof/>
          <w:sz w:val="24"/>
          <w:szCs w:val="24"/>
        </w:rPr>
        <w:t xml:space="preserve">es from other MS, or to make what remains of advisory services – if any - gradually </w:t>
      </w:r>
      <w:r>
        <w:rPr>
          <w:rFonts w:ascii="Times New Roman" w:hAnsi="Times New Roman" w:cs="Times New Roman"/>
          <w:b/>
          <w:iCs/>
          <w:noProof/>
          <w:sz w:val="24"/>
          <w:szCs w:val="24"/>
        </w:rPr>
        <w:t>more competent and inclusive</w:t>
      </w:r>
      <w:r>
        <w:rPr>
          <w:rFonts w:ascii="Times New Roman" w:hAnsi="Times New Roman" w:cs="Times New Roman"/>
          <w:iCs/>
          <w:noProof/>
          <w:sz w:val="24"/>
          <w:szCs w:val="24"/>
        </w:rPr>
        <w:t>. Researchers will also need to be incentivised and rewarded to share research results within the AKIS. (See further context in the SWG SCAR-AKI</w:t>
      </w:r>
      <w:r>
        <w:rPr>
          <w:rFonts w:ascii="Times New Roman" w:hAnsi="Times New Roman" w:cs="Times New Roman"/>
          <w:iCs/>
          <w:noProof/>
          <w:sz w:val="24"/>
          <w:szCs w:val="24"/>
        </w:rPr>
        <w:t>S Policy Brief on the future of advisory services</w:t>
      </w:r>
      <w:r>
        <w:rPr>
          <w:rFonts w:ascii="Times New Roman" w:hAnsi="Times New Roman" w:cs="Times New Roman"/>
          <w:iCs/>
          <w:noProof/>
          <w:sz w:val="24"/>
          <w:szCs w:val="24"/>
          <w:vertAlign w:val="superscript"/>
        </w:rPr>
        <w:footnoteReference w:id="84"/>
      </w:r>
      <w:r>
        <w:rPr>
          <w:rFonts w:ascii="Times New Roman" w:hAnsi="Times New Roman" w:cs="Times New Roman"/>
          <w:iCs/>
          <w:noProof/>
          <w:sz w:val="24"/>
          <w:szCs w:val="24"/>
        </w:rPr>
        <w:t>).</w:t>
      </w:r>
    </w:p>
    <w:p w:rsidR="00333A1A" w:rsidRDefault="003D29C9">
      <w:pPr>
        <w:numPr>
          <w:ilvl w:val="0"/>
          <w:numId w:val="40"/>
        </w:numPr>
        <w:spacing w:line="240" w:lineRule="auto"/>
        <w:jc w:val="both"/>
        <w:rPr>
          <w:rFonts w:ascii="Times New Roman" w:eastAsia="Times New Roman" w:hAnsi="Times New Roman" w:cs="Times New Roman"/>
          <w:iCs/>
          <w:noProof/>
          <w:sz w:val="24"/>
          <w:szCs w:val="24"/>
          <w:lang w:eastAsia="en-GB"/>
        </w:rPr>
      </w:pPr>
      <w:r>
        <w:rPr>
          <w:rFonts w:ascii="Times New Roman" w:hAnsi="Times New Roman" w:cs="Times New Roman"/>
          <w:noProof/>
          <w:sz w:val="24"/>
          <w:szCs w:val="24"/>
        </w:rPr>
        <w:t xml:space="preserve">The funding and organization of future advisory bodies should be made resilient through a mix of public and private funding. The Policy Brief on the future of advisory services (SWG SCAR-AKIS, Brussels, 2016) mentions a </w:t>
      </w:r>
      <w:r>
        <w:rPr>
          <w:rFonts w:ascii="Times New Roman" w:hAnsi="Times New Roman" w:cs="Times New Roman"/>
          <w:b/>
          <w:noProof/>
          <w:sz w:val="24"/>
          <w:szCs w:val="24"/>
        </w:rPr>
        <w:t>front-office / back-office approach</w:t>
      </w:r>
      <w:r>
        <w:rPr>
          <w:rFonts w:ascii="Times New Roman" w:hAnsi="Times New Roman" w:cs="Times New Roman"/>
          <w:noProof/>
          <w:sz w:val="24"/>
          <w:szCs w:val="24"/>
        </w:rPr>
        <w:t>.</w:t>
      </w:r>
      <w:r>
        <w:rPr>
          <w:rFonts w:ascii="Times New Roman" w:hAnsi="Times New Roman" w:cs="Times New Roman"/>
          <w:noProof/>
          <w:sz w:val="24"/>
          <w:szCs w:val="24"/>
        </w:rPr>
        <w:t xml:space="preserve"> The </w:t>
      </w:r>
      <w:r>
        <w:rPr>
          <w:rFonts w:ascii="Times New Roman" w:hAnsi="Times New Roman" w:cs="Times New Roman"/>
          <w:b/>
          <w:noProof/>
          <w:sz w:val="24"/>
          <w:szCs w:val="24"/>
        </w:rPr>
        <w:t>back-office, that should be public funding</w:t>
      </w:r>
      <w:r>
        <w:rPr>
          <w:rFonts w:ascii="Times New Roman" w:hAnsi="Times New Roman" w:cs="Times New Roman"/>
          <w:noProof/>
          <w:sz w:val="24"/>
          <w:szCs w:val="24"/>
        </w:rPr>
        <w:t>, will insure the managing and keeping the knowledge public, make it easily available, actively build networking activities, enable thematic orientation and feed in of collective intelligence from multiple sou</w:t>
      </w:r>
      <w:r>
        <w:rPr>
          <w:rFonts w:ascii="Times New Roman" w:hAnsi="Times New Roman" w:cs="Times New Roman"/>
          <w:noProof/>
          <w:sz w:val="24"/>
          <w:szCs w:val="24"/>
        </w:rPr>
        <w:t>rces</w:t>
      </w:r>
      <w:r>
        <w:rPr>
          <w:rFonts w:ascii="Times New Roman" w:hAnsi="Times New Roman" w:cs="Times New Roman"/>
          <w:noProof/>
          <w:sz w:val="24"/>
          <w:szCs w:val="24"/>
          <w:vertAlign w:val="superscript"/>
        </w:rPr>
        <w:footnoteReference w:id="85"/>
      </w:r>
      <w:r>
        <w:rPr>
          <w:rFonts w:ascii="Times New Roman" w:hAnsi="Times New Roman" w:cs="Times New Roman"/>
          <w:noProof/>
          <w:sz w:val="24"/>
          <w:szCs w:val="24"/>
        </w:rPr>
        <w:t xml:space="preserve">. The </w:t>
      </w:r>
      <w:r>
        <w:rPr>
          <w:rFonts w:ascii="Times New Roman" w:hAnsi="Times New Roman" w:cs="Times New Roman"/>
          <w:b/>
          <w:noProof/>
          <w:sz w:val="24"/>
          <w:szCs w:val="24"/>
        </w:rPr>
        <w:t>front-office, mainly private funded</w:t>
      </w:r>
      <w:r>
        <w:rPr>
          <w:rFonts w:ascii="Times New Roman" w:hAnsi="Times New Roman" w:cs="Times New Roman"/>
          <w:noProof/>
          <w:sz w:val="24"/>
          <w:szCs w:val="24"/>
        </w:rPr>
        <w:t xml:space="preserve">, will deliver on-farm advice, will take in questions and guide them, if necessary, to the specialists in the back-office. </w:t>
      </w:r>
    </w:p>
    <w:p w:rsidR="00333A1A" w:rsidRDefault="003D29C9">
      <w:pPr>
        <w:pStyle w:val="Heading1"/>
        <w:numPr>
          <w:ilvl w:val="0"/>
          <w:numId w:val="0"/>
        </w:numPr>
        <w:ind w:left="482" w:hanging="482"/>
        <w:rPr>
          <w:noProof/>
          <w:lang w:eastAsia="en-GB"/>
        </w:rPr>
      </w:pPr>
      <w:bookmarkStart w:id="281" w:name="_Toc509419141"/>
      <w:bookmarkStart w:id="282" w:name="_Toc513053307"/>
      <w:bookmarkStart w:id="283" w:name="_Toc513053523"/>
      <w:bookmarkStart w:id="284" w:name="_Toc514514654"/>
      <w:r>
        <w:rPr>
          <w:noProof/>
        </w:rPr>
        <w:t xml:space="preserve">3. </w:t>
      </w:r>
      <w:r>
        <w:rPr>
          <w:noProof/>
        </w:rPr>
        <w:tab/>
      </w:r>
      <w:r>
        <w:rPr>
          <w:noProof/>
          <w:lang w:eastAsia="en-GB"/>
        </w:rPr>
        <w:t>Enhancing interactive innovation</w:t>
      </w:r>
      <w:bookmarkEnd w:id="281"/>
      <w:bookmarkEnd w:id="282"/>
      <w:bookmarkEnd w:id="283"/>
      <w:bookmarkEnd w:id="284"/>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line with the Communication on the Future of F</w:t>
      </w:r>
      <w:r>
        <w:rPr>
          <w:rFonts w:ascii="Times New Roman" w:hAnsi="Times New Roman" w:cs="Times New Roman"/>
          <w:noProof/>
          <w:sz w:val="24"/>
          <w:szCs w:val="24"/>
        </w:rPr>
        <w:t xml:space="preserve">ood and Farming, the CAP will be able to both continue backing farmers’ income and contribute to a more sustainable development of EU agriculture.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 far, in the period 2014-2017 very positive experience has been gathered by the EIP "Agricultural Producti</w:t>
      </w:r>
      <w:r>
        <w:rPr>
          <w:rFonts w:ascii="Times New Roman" w:hAnsi="Times New Roman" w:cs="Times New Roman"/>
          <w:noProof/>
          <w:sz w:val="24"/>
          <w:szCs w:val="24"/>
        </w:rPr>
        <w:t xml:space="preserve">vity and Sustainability" with regard to speeding up innovation and fostering competitive and sustainable farming and forestry that 'achieves more and better from less'.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enable </w:t>
      </w:r>
      <w:r>
        <w:rPr>
          <w:rFonts w:ascii="Times New Roman" w:hAnsi="Times New Roman" w:cs="Times New Roman"/>
          <w:noProof/>
          <w:sz w:val="24"/>
          <w:szCs w:val="24"/>
          <w:u w:val="single"/>
        </w:rPr>
        <w:t>impact</w:t>
      </w:r>
      <w:r>
        <w:rPr>
          <w:rFonts w:ascii="Times New Roman" w:hAnsi="Times New Roman" w:cs="Times New Roman"/>
          <w:noProof/>
          <w:sz w:val="24"/>
          <w:szCs w:val="24"/>
        </w:rPr>
        <w:t xml:space="preserve"> from projects, the basic concept of the EIP-AGRI is </w:t>
      </w:r>
    </w:p>
    <w:p w:rsidR="00333A1A" w:rsidRDefault="003D29C9">
      <w:pPr>
        <w:spacing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(1) to focus on </w:t>
      </w:r>
      <w:r>
        <w:rPr>
          <w:rFonts w:ascii="Times New Roman" w:hAnsi="Times New Roman" w:cs="Times New Roman"/>
          <w:noProof/>
          <w:sz w:val="24"/>
          <w:szCs w:val="24"/>
        </w:rPr>
        <w:t xml:space="preserve">end-users’ problems/opportunities and </w:t>
      </w:r>
    </w:p>
    <w:p w:rsidR="00333A1A" w:rsidRDefault="003D29C9">
      <w:pPr>
        <w:spacing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(2) to have partners with complementary types of knowledge – scientific, practical and other -  joining forces in project activities from the beginning till the end.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is called the "</w:t>
      </w:r>
      <w:r>
        <w:rPr>
          <w:rFonts w:ascii="Times New Roman" w:hAnsi="Times New Roman" w:cs="Times New Roman"/>
          <w:b/>
          <w:noProof/>
          <w:sz w:val="24"/>
          <w:szCs w:val="24"/>
          <w:u w:val="single"/>
        </w:rPr>
        <w:t>interactive innovation model"</w:t>
      </w:r>
      <w:r>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is essential to tackle current complex and systemic challenges with good results. These interactive projects are able to develop innovative solutions which are more ready to be </w:t>
      </w:r>
      <w:r>
        <w:rPr>
          <w:rFonts w:ascii="Times New Roman" w:hAnsi="Times New Roman" w:cs="Times New Roman"/>
          <w:b/>
          <w:noProof/>
          <w:sz w:val="24"/>
          <w:szCs w:val="24"/>
        </w:rPr>
        <w:t>applied in practice</w:t>
      </w:r>
      <w:r>
        <w:rPr>
          <w:rFonts w:ascii="Times New Roman" w:hAnsi="Times New Roman" w:cs="Times New Roman"/>
          <w:noProof/>
          <w:sz w:val="24"/>
          <w:szCs w:val="24"/>
        </w:rPr>
        <w:t xml:space="preserve"> and </w:t>
      </w:r>
      <w:r>
        <w:rPr>
          <w:rFonts w:ascii="Times New Roman" w:hAnsi="Times New Roman" w:cs="Times New Roman"/>
          <w:b/>
          <w:noProof/>
          <w:sz w:val="24"/>
          <w:szCs w:val="24"/>
        </w:rPr>
        <w:t>cover real needs</w:t>
      </w:r>
      <w:r>
        <w:rPr>
          <w:rFonts w:ascii="Times New Roman" w:hAnsi="Times New Roman" w:cs="Times New Roman"/>
          <w:noProof/>
          <w:sz w:val="24"/>
          <w:szCs w:val="24"/>
        </w:rPr>
        <w:t>. Moreover, end-users like farmers,</w:t>
      </w:r>
      <w:r>
        <w:rPr>
          <w:rFonts w:ascii="Times New Roman" w:hAnsi="Times New Roman" w:cs="Times New Roman"/>
          <w:noProof/>
          <w:sz w:val="24"/>
          <w:szCs w:val="24"/>
        </w:rPr>
        <w:t xml:space="preserve"> foresters or businesses will be more </w:t>
      </w:r>
      <w:r>
        <w:rPr>
          <w:rFonts w:ascii="Times New Roman" w:hAnsi="Times New Roman" w:cs="Times New Roman"/>
          <w:b/>
          <w:noProof/>
          <w:sz w:val="24"/>
          <w:szCs w:val="24"/>
        </w:rPr>
        <w:t>motivated to use the project results</w:t>
      </w:r>
      <w:r>
        <w:rPr>
          <w:rFonts w:ascii="Times New Roman" w:hAnsi="Times New Roman" w:cs="Times New Roman"/>
          <w:noProof/>
          <w:sz w:val="24"/>
          <w:szCs w:val="24"/>
        </w:rPr>
        <w:t xml:space="preserve">, because they were involved in generating them and feel "co-ownership".  The ultimate aim of the EIP-AGRI is to ensure a steady supply of food, feed and biomaterials with dedicated </w:t>
      </w:r>
      <w:r>
        <w:rPr>
          <w:rFonts w:ascii="Times New Roman" w:hAnsi="Times New Roman" w:cs="Times New Roman"/>
          <w:noProof/>
          <w:sz w:val="24"/>
          <w:szCs w:val="24"/>
        </w:rPr>
        <w:t>attention to include the relevant actors in the chain (farmers, advisors, researchers, education, businesses, NGOs, authorities etc).  Advance payments and a specific framework for reporting, evaluation and control practices, distinct from other CAP paymen</w:t>
      </w:r>
      <w:r>
        <w:rPr>
          <w:rFonts w:ascii="Times New Roman" w:hAnsi="Times New Roman" w:cs="Times New Roman"/>
          <w:noProof/>
          <w:sz w:val="24"/>
          <w:szCs w:val="24"/>
        </w:rPr>
        <w:t>ts, to the example of projects under EU Research Policy, will be needed to incentivise also smaller actors to lead and join EIP projects.</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EIP-AGRI applies the interactive innovation principle under </w:t>
      </w:r>
      <w:r>
        <w:rPr>
          <w:rFonts w:ascii="Times New Roman" w:hAnsi="Times New Roman" w:cs="Times New Roman"/>
          <w:b/>
          <w:noProof/>
          <w:sz w:val="24"/>
          <w:szCs w:val="24"/>
        </w:rPr>
        <w:t xml:space="preserve">EU research funding (the so-called ‘multi-actor approach’: </w:t>
      </w:r>
      <w:r>
        <w:rPr>
          <w:rFonts w:ascii="Times New Roman" w:hAnsi="Times New Roman" w:cs="Times New Roman"/>
          <w:noProof/>
          <w:sz w:val="24"/>
          <w:szCs w:val="24"/>
        </w:rPr>
        <w:t xml:space="preserve">1 bio Euro multi-actor projects in 2014-2020 under H2020) and </w:t>
      </w:r>
      <w:r>
        <w:rPr>
          <w:rFonts w:ascii="Times New Roman" w:hAnsi="Times New Roman" w:cs="Times New Roman"/>
          <w:b/>
          <w:noProof/>
          <w:sz w:val="24"/>
          <w:szCs w:val="24"/>
        </w:rPr>
        <w:t>under CAP funding in Rural Development Programmes (the so-called 'EIP Operational Groups'</w:t>
      </w:r>
      <w:r>
        <w:rPr>
          <w:rFonts w:ascii="Times New Roman" w:hAnsi="Times New Roman" w:cs="Times New Roman"/>
          <w:noProof/>
          <w:sz w:val="24"/>
          <w:szCs w:val="24"/>
        </w:rPr>
        <w:t>: 3200 planned in 2014-2020 and a number of co</w:t>
      </w:r>
      <w:r>
        <w:rPr>
          <w:rFonts w:ascii="Times New Roman" w:hAnsi="Times New Roman" w:cs="Times New Roman"/>
          <w:noProof/>
          <w:sz w:val="24"/>
          <w:szCs w:val="24"/>
        </w:rPr>
        <w:t xml:space="preserve">operation projects focusing on innovation).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Besides the interactive projects, the EIP-AGRI also supports the </w:t>
      </w:r>
      <w:r>
        <w:rPr>
          <w:rFonts w:ascii="Times New Roman" w:hAnsi="Times New Roman" w:cs="Times New Roman"/>
          <w:b/>
          <w:noProof/>
          <w:sz w:val="24"/>
          <w:szCs w:val="24"/>
        </w:rPr>
        <w:t>EIP network</w:t>
      </w:r>
      <w:r>
        <w:rPr>
          <w:rFonts w:ascii="Times New Roman" w:hAnsi="Times New Roman" w:cs="Times New Roman"/>
          <w:noProof/>
          <w:sz w:val="24"/>
          <w:szCs w:val="24"/>
        </w:rPr>
        <w:t xml:space="preserve"> which connects people and projects, both at EU level and at national/regional level.  The EIP-AGRI network is run by the European Comm</w:t>
      </w:r>
      <w:r>
        <w:rPr>
          <w:rFonts w:ascii="Times New Roman" w:hAnsi="Times New Roman" w:cs="Times New Roman"/>
          <w:noProof/>
          <w:sz w:val="24"/>
          <w:szCs w:val="24"/>
        </w:rPr>
        <w:t>ission (DG AGRI) with the help of the Service Point (SP). The SP team facilitates the networking activities, enhancing communication, knowledge sharing and exchange through conferences, focus groups, workshops, seminars and publications.  The primary targe</w:t>
      </w:r>
      <w:r>
        <w:rPr>
          <w:rFonts w:ascii="Times New Roman" w:hAnsi="Times New Roman" w:cs="Times New Roman"/>
          <w:noProof/>
          <w:sz w:val="24"/>
          <w:szCs w:val="24"/>
        </w:rPr>
        <w:t xml:space="preserve">t is to stimulate the interaction between all actors. This creates great spill-over effects through knowledge sharing and cross-fertilisation of ideas between CAP and H2020 funding.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practice, a </w:t>
      </w:r>
      <w:r>
        <w:rPr>
          <w:rFonts w:ascii="Times New Roman" w:hAnsi="Times New Roman" w:cs="Times New Roman"/>
          <w:b/>
          <w:noProof/>
          <w:sz w:val="24"/>
          <w:szCs w:val="24"/>
        </w:rPr>
        <w:t>unique EU repository of data from the projects</w:t>
      </w:r>
      <w:r>
        <w:rPr>
          <w:rFonts w:ascii="Times New Roman" w:hAnsi="Times New Roman" w:cs="Times New Roman"/>
          <w:noProof/>
          <w:sz w:val="24"/>
          <w:szCs w:val="24"/>
        </w:rPr>
        <w:t xml:space="preserve"> enables the</w:t>
      </w:r>
      <w:r>
        <w:rPr>
          <w:rFonts w:ascii="Times New Roman" w:hAnsi="Times New Roman" w:cs="Times New Roman"/>
          <w:noProof/>
          <w:sz w:val="24"/>
          <w:szCs w:val="24"/>
        </w:rPr>
        <w:t xml:space="preserve"> actors from both H2020 and CAP innovation projects to connect and be informed on which innovative project is taking place where. For instance, this repository enables the 6-7 February 2018 EIP workshop on innovative supply chains, where more than 40 EIP O</w:t>
      </w:r>
      <w:r>
        <w:rPr>
          <w:rFonts w:ascii="Times New Roman" w:hAnsi="Times New Roman" w:cs="Times New Roman"/>
          <w:noProof/>
          <w:sz w:val="24"/>
          <w:szCs w:val="24"/>
        </w:rPr>
        <w:t xml:space="preserve">Gs convened and exchanged information between each other. They were at the same event connected with 9 H2020 multi-actor projects (and other projects) concerning innovation in food supply chains. Not only information was exchanged but also first steps for </w:t>
      </w:r>
      <w:r>
        <w:rPr>
          <w:rFonts w:ascii="Times New Roman" w:hAnsi="Times New Roman" w:cs="Times New Roman"/>
          <w:noProof/>
          <w:sz w:val="24"/>
          <w:szCs w:val="24"/>
        </w:rPr>
        <w:t>further innovative cooperation and projects were taken and ideas for further research collected.</w:t>
      </w:r>
    </w:p>
    <w:p w:rsidR="00333A1A" w:rsidRDefault="003D29C9">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b/>
          <w:noProof/>
          <w:color w:val="000000"/>
          <w:sz w:val="24"/>
          <w:szCs w:val="24"/>
        </w:rPr>
        <w:t>A thriving innovation ecosystem is important to incentivise innovation projects</w:t>
      </w:r>
      <w:r>
        <w:rPr>
          <w:rFonts w:ascii="Times New Roman" w:hAnsi="Times New Roman" w:cs="Times New Roman"/>
          <w:noProof/>
          <w:color w:val="000000"/>
          <w:sz w:val="24"/>
          <w:szCs w:val="24"/>
        </w:rPr>
        <w:t>: raising awareness and animating the participation in innovative actions are ke</w:t>
      </w:r>
      <w:r>
        <w:rPr>
          <w:rFonts w:ascii="Times New Roman" w:hAnsi="Times New Roman" w:cs="Times New Roman"/>
          <w:noProof/>
          <w:color w:val="000000"/>
          <w:sz w:val="24"/>
          <w:szCs w:val="24"/>
        </w:rPr>
        <w:t xml:space="preserve">y for the successful implementation of the EIP. A lot of existing networks and platforms can contribute to connecting stakeholders and to preparing and discussing potential innovative ideas. Part of the action plan of National Rural Networks (NRN) focuses </w:t>
      </w:r>
      <w:r>
        <w:rPr>
          <w:rFonts w:ascii="Times New Roman" w:hAnsi="Times New Roman" w:cs="Times New Roman"/>
          <w:noProof/>
          <w:color w:val="000000"/>
          <w:sz w:val="24"/>
          <w:szCs w:val="24"/>
        </w:rPr>
        <w:t>on thematic and analytical exchanges between rural development stakeholders: the NRN or national EIP network funded with Technical assistance is expected to foster innovation. Under Art 35 of Regulation (EU) No 1305/2013</w:t>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4"/>
          <w:szCs w:val="24"/>
        </w:rPr>
        <w:t>also new networks can be funded, e.</w:t>
      </w:r>
      <w:r>
        <w:rPr>
          <w:rFonts w:ascii="Times New Roman" w:hAnsi="Times New Roman" w:cs="Times New Roman"/>
          <w:noProof/>
          <w:color w:val="000000"/>
          <w:sz w:val="24"/>
          <w:szCs w:val="24"/>
        </w:rPr>
        <w:t xml:space="preserve">g. regional or national EIP networks, or thematic networks. For incentivising actions of operational groups, it makes sense to exploit all available means </w:t>
      </w:r>
      <w:r>
        <w:rPr>
          <w:rFonts w:ascii="Times New Roman" w:hAnsi="Times New Roman" w:cs="Times New Roman"/>
          <w:b/>
          <w:noProof/>
          <w:color w:val="000000"/>
          <w:sz w:val="24"/>
          <w:szCs w:val="24"/>
        </w:rPr>
        <w:t>within the existing AKIS and involve existing networks</w:t>
      </w:r>
      <w:r>
        <w:rPr>
          <w:rFonts w:ascii="Times New Roman" w:hAnsi="Times New Roman" w:cs="Times New Roman"/>
          <w:noProof/>
          <w:color w:val="000000"/>
          <w:sz w:val="24"/>
          <w:szCs w:val="24"/>
        </w:rPr>
        <w:t xml:space="preserve">/clusters wherever possible and useful, </w:t>
      </w:r>
      <w:r>
        <w:rPr>
          <w:rFonts w:ascii="Times New Roman" w:hAnsi="Times New Roman" w:cs="Times New Roman"/>
          <w:b/>
          <w:noProof/>
          <w:color w:val="000000"/>
          <w:sz w:val="24"/>
          <w:szCs w:val="24"/>
        </w:rPr>
        <w:t>in part</w:t>
      </w:r>
      <w:r>
        <w:rPr>
          <w:rFonts w:ascii="Times New Roman" w:hAnsi="Times New Roman" w:cs="Times New Roman"/>
          <w:b/>
          <w:noProof/>
          <w:color w:val="000000"/>
          <w:sz w:val="24"/>
          <w:szCs w:val="24"/>
        </w:rPr>
        <w:t>icular linking up researchers and advisors as inclusive as possible to the rural networks in order to get knowledge flowing across Europe</w:t>
      </w:r>
      <w:r>
        <w:rPr>
          <w:rFonts w:ascii="Times New Roman" w:hAnsi="Times New Roman" w:cs="Times New Roman"/>
          <w:noProof/>
          <w:color w:val="000000"/>
          <w:sz w:val="24"/>
          <w:szCs w:val="24"/>
        </w:rPr>
        <w:t>.</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Innovation support services</w:t>
      </w:r>
      <w:r>
        <w:rPr>
          <w:rFonts w:ascii="Times New Roman" w:hAnsi="Times New Roman" w:cs="Times New Roman"/>
          <w:noProof/>
          <w:sz w:val="24"/>
          <w:szCs w:val="24"/>
        </w:rPr>
        <w:t>, besides providing innovation brokering services, can help promoting innovation and innov</w:t>
      </w:r>
      <w:r>
        <w:rPr>
          <w:rFonts w:ascii="Times New Roman" w:hAnsi="Times New Roman" w:cs="Times New Roman"/>
          <w:noProof/>
          <w:sz w:val="24"/>
          <w:szCs w:val="24"/>
        </w:rPr>
        <w:t>ation funding formats, organise brainstorming events and animation of thematic or cross-sectoral groups, coordinate and facilitate projects as an intermediate between partners bridging between science and practice, and support broad dissemination of innova</w:t>
      </w:r>
      <w:r>
        <w:rPr>
          <w:rFonts w:ascii="Times New Roman" w:hAnsi="Times New Roman" w:cs="Times New Roman"/>
          <w:noProof/>
          <w:sz w:val="24"/>
          <w:szCs w:val="24"/>
        </w:rPr>
        <w:t xml:space="preserve">tive project results. </w:t>
      </w:r>
    </w:p>
    <w:p w:rsidR="00333A1A" w:rsidRDefault="003D29C9">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Working with intermediates in the EIP operational group project, so–called “facilitators”, is important in view of getting and keeping the discussion on the farmers’ problems and bridging between the language of science and entrepren</w:t>
      </w:r>
      <w:r>
        <w:rPr>
          <w:rFonts w:ascii="Times New Roman" w:hAnsi="Times New Roman" w:cs="Times New Roman"/>
          <w:noProof/>
          <w:sz w:val="24"/>
          <w:szCs w:val="24"/>
        </w:rPr>
        <w:t>eurial practice which may have different objectives and time horizons.</w:t>
      </w:r>
    </w:p>
    <w:p w:rsidR="00333A1A" w:rsidRDefault="003D29C9">
      <w:pPr>
        <w:autoSpaceDE w:val="0"/>
        <w:autoSpaceDN w:val="0"/>
        <w:adjustRightInd w:val="0"/>
        <w:spacing w:after="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Roles of Innovation Support Services</w:t>
      </w:r>
    </w:p>
    <w:p w:rsidR="00333A1A" w:rsidRDefault="00333A1A">
      <w:pPr>
        <w:autoSpaceDE w:val="0"/>
        <w:autoSpaceDN w:val="0"/>
        <w:adjustRightInd w:val="0"/>
        <w:spacing w:after="0" w:line="240" w:lineRule="auto"/>
        <w:jc w:val="both"/>
        <w:rPr>
          <w:rFonts w:ascii="Times New Roman" w:hAnsi="Times New Roman" w:cs="Times New Roman"/>
          <w:noProof/>
          <w:sz w:val="24"/>
          <w:szCs w:val="24"/>
          <w:u w:val="single"/>
        </w:rPr>
      </w:pPr>
    </w:p>
    <w:p w:rsidR="00333A1A" w:rsidRDefault="003D29C9">
      <w:pPr>
        <w:numPr>
          <w:ilvl w:val="0"/>
          <w:numId w:val="4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act as an “</w:t>
      </w:r>
      <w:r>
        <w:rPr>
          <w:rFonts w:ascii="Times New Roman" w:hAnsi="Times New Roman" w:cs="Times New Roman"/>
          <w:b/>
          <w:noProof/>
          <w:sz w:val="24"/>
          <w:szCs w:val="24"/>
        </w:rPr>
        <w:t>innovation broker</w:t>
      </w:r>
      <w:r>
        <w:rPr>
          <w:rFonts w:ascii="Times New Roman" w:hAnsi="Times New Roman" w:cs="Times New Roman"/>
          <w:noProof/>
          <w:sz w:val="24"/>
          <w:szCs w:val="24"/>
        </w:rPr>
        <w:t>” putting farmers/foresters in touch with the people they need to work with and vice versa (e.g. researchers, advisors,</w:t>
      </w:r>
      <w:r>
        <w:rPr>
          <w:rFonts w:ascii="Times New Roman" w:hAnsi="Times New Roman" w:cs="Times New Roman"/>
          <w:noProof/>
          <w:sz w:val="24"/>
          <w:szCs w:val="24"/>
        </w:rPr>
        <w:t xml:space="preserve"> businesses in the food and non-food  supply chains, NGOs, administration, consultants etc.). This should enable them to share information, find the solution to an issue identified or to realise a specific new approach or idea they have (innovation opportu</w:t>
      </w:r>
      <w:r>
        <w:rPr>
          <w:rFonts w:ascii="Times New Roman" w:hAnsi="Times New Roman" w:cs="Times New Roman"/>
          <w:noProof/>
          <w:sz w:val="24"/>
          <w:szCs w:val="24"/>
        </w:rPr>
        <w:t>nity)</w:t>
      </w:r>
    </w:p>
    <w:p w:rsidR="00333A1A" w:rsidRDefault="003D29C9">
      <w:pPr>
        <w:numPr>
          <w:ilvl w:val="0"/>
          <w:numId w:val="4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can act as " </w:t>
      </w:r>
      <w:r>
        <w:rPr>
          <w:rFonts w:ascii="Times New Roman" w:hAnsi="Times New Roman" w:cs="Times New Roman"/>
          <w:b/>
          <w:noProof/>
          <w:sz w:val="24"/>
          <w:szCs w:val="24"/>
        </w:rPr>
        <w:t>innovation facilitator</w:t>
      </w:r>
      <w:r>
        <w:rPr>
          <w:rFonts w:ascii="Times New Roman" w:hAnsi="Times New Roman" w:cs="Times New Roman"/>
          <w:noProof/>
          <w:sz w:val="24"/>
          <w:szCs w:val="24"/>
        </w:rPr>
        <w:t>", an intermediate function bridging the gap between research and practice, or other actors, and helping innovation projects run more smoothly and achieve results.</w:t>
      </w:r>
    </w:p>
    <w:p w:rsidR="00333A1A" w:rsidRDefault="003D29C9">
      <w:pPr>
        <w:numPr>
          <w:ilvl w:val="0"/>
          <w:numId w:val="4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should actively </w:t>
      </w:r>
      <w:r>
        <w:rPr>
          <w:rFonts w:ascii="Times New Roman" w:hAnsi="Times New Roman" w:cs="Times New Roman"/>
          <w:b/>
          <w:noProof/>
          <w:sz w:val="24"/>
          <w:szCs w:val="24"/>
        </w:rPr>
        <w:t xml:space="preserve">promote the benefits of </w:t>
      </w:r>
      <w:r>
        <w:rPr>
          <w:rFonts w:ascii="Times New Roman" w:hAnsi="Times New Roman" w:cs="Times New Roman"/>
          <w:b/>
          <w:noProof/>
          <w:sz w:val="24"/>
          <w:szCs w:val="24"/>
        </w:rPr>
        <w:t>collaboration to foster interactive innovation</w:t>
      </w:r>
      <w:r>
        <w:rPr>
          <w:rFonts w:ascii="Times New Roman" w:hAnsi="Times New Roman" w:cs="Times New Roman"/>
          <w:noProof/>
          <w:sz w:val="24"/>
          <w:szCs w:val="24"/>
        </w:rPr>
        <w:t xml:space="preserve"> and facilitate the </w:t>
      </w:r>
      <w:r>
        <w:rPr>
          <w:rFonts w:ascii="Times New Roman" w:hAnsi="Times New Roman" w:cs="Times New Roman"/>
          <w:b/>
          <w:noProof/>
          <w:sz w:val="24"/>
          <w:szCs w:val="24"/>
        </w:rPr>
        <w:t>dissemination of information</w:t>
      </w:r>
      <w:r>
        <w:rPr>
          <w:rFonts w:ascii="Times New Roman" w:hAnsi="Times New Roman" w:cs="Times New Roman"/>
          <w:noProof/>
          <w:sz w:val="24"/>
          <w:szCs w:val="24"/>
        </w:rPr>
        <w:t xml:space="preserve"> about innovation projects/approaches in agriculture and forestry</w:t>
      </w:r>
    </w:p>
    <w:p w:rsidR="00333A1A" w:rsidRDefault="003D29C9">
      <w:pPr>
        <w:numPr>
          <w:ilvl w:val="0"/>
          <w:numId w:val="4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form part of a wider package of support for innovation. The service provider will be expected to</w:t>
      </w:r>
      <w:r>
        <w:rPr>
          <w:rFonts w:ascii="Times New Roman" w:hAnsi="Times New Roman" w:cs="Times New Roman"/>
          <w:noProof/>
          <w:sz w:val="24"/>
          <w:szCs w:val="24"/>
        </w:rPr>
        <w:t xml:space="preserve"> </w:t>
      </w:r>
      <w:r>
        <w:rPr>
          <w:rFonts w:ascii="Times New Roman" w:hAnsi="Times New Roman" w:cs="Times New Roman"/>
          <w:b/>
          <w:noProof/>
          <w:sz w:val="24"/>
          <w:szCs w:val="24"/>
        </w:rPr>
        <w:t>work closely with others</w:t>
      </w:r>
      <w:r>
        <w:rPr>
          <w:rFonts w:ascii="Times New Roman" w:hAnsi="Times New Roman" w:cs="Times New Roman"/>
          <w:noProof/>
          <w:sz w:val="24"/>
          <w:szCs w:val="24"/>
        </w:rPr>
        <w:t xml:space="preserve"> (existing networks, organisations) to ensure a joined up and synergetic approach is take. </w:t>
      </w:r>
    </w:p>
    <w:p w:rsidR="00333A1A" w:rsidRDefault="003D29C9">
      <w:pPr>
        <w:numPr>
          <w:ilvl w:val="0"/>
          <w:numId w:val="41"/>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are expected to </w:t>
      </w:r>
      <w:r>
        <w:rPr>
          <w:rFonts w:ascii="Times New Roman" w:hAnsi="Times New Roman" w:cs="Times New Roman"/>
          <w:b/>
          <w:noProof/>
          <w:sz w:val="24"/>
          <w:szCs w:val="24"/>
        </w:rPr>
        <w:t>work with the national/regional rural networks</w:t>
      </w:r>
      <w:r>
        <w:rPr>
          <w:rFonts w:ascii="Times New Roman" w:hAnsi="Times New Roman" w:cs="Times New Roman"/>
          <w:noProof/>
          <w:sz w:val="24"/>
          <w:szCs w:val="24"/>
        </w:rPr>
        <w:t xml:space="preserve"> and other relevant organisations to help groups carrying out innovation proj</w:t>
      </w:r>
      <w:r>
        <w:rPr>
          <w:rFonts w:ascii="Times New Roman" w:hAnsi="Times New Roman" w:cs="Times New Roman"/>
          <w:noProof/>
          <w:sz w:val="24"/>
          <w:szCs w:val="24"/>
        </w:rPr>
        <w:t xml:space="preserve">ects in agriculture and forestry to take part in Horizon 2020 and other EU funded projects and </w:t>
      </w:r>
      <w:r>
        <w:rPr>
          <w:rFonts w:ascii="Times New Roman" w:hAnsi="Times New Roman" w:cs="Times New Roman"/>
          <w:b/>
          <w:noProof/>
          <w:sz w:val="24"/>
          <w:szCs w:val="24"/>
        </w:rPr>
        <w:t>bring the innovative knowledge from the EU level or from other countries/regions to the own country</w:t>
      </w:r>
      <w:r>
        <w:rPr>
          <w:rFonts w:ascii="Times New Roman" w:hAnsi="Times New Roman" w:cs="Times New Roman"/>
          <w:noProof/>
          <w:sz w:val="24"/>
          <w:szCs w:val="24"/>
        </w:rPr>
        <w:t>.</w:t>
      </w:r>
    </w:p>
    <w:p w:rsidR="00333A1A" w:rsidRDefault="00333A1A">
      <w:pPr>
        <w:spacing w:line="240" w:lineRule="auto"/>
        <w:contextualSpacing/>
        <w:jc w:val="both"/>
        <w:rPr>
          <w:rFonts w:ascii="Times New Roman" w:hAnsi="Times New Roman" w:cs="Times New Roman"/>
          <w:noProof/>
          <w:sz w:val="24"/>
          <w:szCs w:val="24"/>
        </w:rPr>
      </w:pPr>
    </w:p>
    <w:p w:rsidR="00333A1A" w:rsidRDefault="003D29C9">
      <w:pPr>
        <w:autoSpaceDE w:val="0"/>
        <w:autoSpaceDN w:val="0"/>
        <w:adjustRightInd w:val="0"/>
        <w:spacing w:before="24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Becoming an innovation support service is a new "interactiv</w:t>
      </w:r>
      <w:r>
        <w:rPr>
          <w:rFonts w:ascii="Times New Roman" w:hAnsi="Times New Roman" w:cs="Times New Roman"/>
          <w:b/>
          <w:noProof/>
          <w:sz w:val="24"/>
          <w:szCs w:val="24"/>
        </w:rPr>
        <w:t>e" role which advisory services could take up within the AKIS</w:t>
      </w:r>
      <w:r>
        <w:rPr>
          <w:rFonts w:ascii="Times New Roman" w:hAnsi="Times New Roman" w:cs="Times New Roman"/>
          <w:b/>
          <w:noProof/>
          <w:sz w:val="24"/>
          <w:szCs w:val="24"/>
          <w:vertAlign w:val="superscript"/>
        </w:rPr>
        <w:footnoteReference w:id="86"/>
      </w:r>
      <w:r>
        <w:rPr>
          <w:rFonts w:ascii="Times New Roman" w:hAnsi="Times New Roman" w:cs="Times New Roman"/>
          <w:b/>
          <w:noProof/>
          <w:sz w:val="24"/>
          <w:szCs w:val="24"/>
        </w:rPr>
        <w:t xml:space="preserve">.  To this end they need to develop interactive skills and may need specific training. In this way they will acquire innovative knowledge linking CAP </w:t>
      </w:r>
      <w:r>
        <w:rPr>
          <w:rFonts w:ascii="Times New Roman" w:hAnsi="Times New Roman" w:cs="Times New Roman"/>
          <w:noProof/>
          <w:sz w:val="24"/>
          <w:szCs w:val="24"/>
        </w:rPr>
        <w:t>(innovation projects in particular and the r</w:t>
      </w:r>
      <w:r>
        <w:rPr>
          <w:rFonts w:ascii="Times New Roman" w:hAnsi="Times New Roman" w:cs="Times New Roman"/>
          <w:noProof/>
          <w:sz w:val="24"/>
          <w:szCs w:val="24"/>
        </w:rPr>
        <w:t xml:space="preserve">ural networks working for innovation) </w:t>
      </w:r>
      <w:r>
        <w:rPr>
          <w:rFonts w:ascii="Times New Roman" w:hAnsi="Times New Roman" w:cs="Times New Roman"/>
          <w:b/>
          <w:noProof/>
          <w:sz w:val="24"/>
          <w:szCs w:val="24"/>
        </w:rPr>
        <w:t>with H2020 innovation</w:t>
      </w:r>
      <w:r>
        <w:rPr>
          <w:rFonts w:ascii="Times New Roman" w:hAnsi="Times New Roman" w:cs="Times New Roman"/>
          <w:noProof/>
          <w:sz w:val="24"/>
          <w:szCs w:val="24"/>
        </w:rPr>
        <w:t xml:space="preserve"> (multi-actor) projects and working closely with existing infrastructure/networks.</w:t>
      </w:r>
    </w:p>
    <w:p w:rsidR="00333A1A" w:rsidRDefault="00333A1A">
      <w:pPr>
        <w:autoSpaceDE w:val="0"/>
        <w:autoSpaceDN w:val="0"/>
        <w:adjustRightInd w:val="0"/>
        <w:spacing w:after="0" w:line="240" w:lineRule="auto"/>
        <w:jc w:val="both"/>
        <w:rPr>
          <w:rFonts w:ascii="Times New Roman" w:hAnsi="Times New Roman" w:cs="Times New Roman"/>
          <w:noProof/>
          <w:sz w:val="24"/>
          <w:szCs w:val="24"/>
        </w:rPr>
      </w:pPr>
    </w:p>
    <w:p w:rsidR="00333A1A" w:rsidRDefault="003D29C9">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Intergenerational renewal</w:t>
      </w:r>
    </w:p>
    <w:p w:rsidR="00333A1A" w:rsidRDefault="003D29C9">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Intergenerational renewal will be incentivised if the young farmer sees a attractive fu</w:t>
      </w:r>
      <w:r>
        <w:rPr>
          <w:rFonts w:ascii="Times New Roman" w:hAnsi="Times New Roman" w:cs="Times New Roman"/>
          <w:noProof/>
          <w:sz w:val="24"/>
          <w:szCs w:val="24"/>
        </w:rPr>
        <w:t>ture based on a decent farm income. This often encompasses profound changes on the old farm. New farming methods, new products and technology, new outlets and supply chains etc. can be tested out in innovation projects where the young (and old) farmers joi</w:t>
      </w:r>
      <w:r>
        <w:rPr>
          <w:rFonts w:ascii="Times New Roman" w:hAnsi="Times New Roman" w:cs="Times New Roman"/>
          <w:noProof/>
          <w:sz w:val="24"/>
          <w:szCs w:val="24"/>
        </w:rPr>
        <w:t>n up with experts bringing inspiration, a neutral view and specific expertise, be it on business development, calculation methods, market or product knowledge or anything which can move them towards the necessary change to future-proof the farm for the you</w:t>
      </w:r>
      <w:r>
        <w:rPr>
          <w:rFonts w:ascii="Times New Roman" w:hAnsi="Times New Roman" w:cs="Times New Roman"/>
          <w:noProof/>
          <w:sz w:val="24"/>
          <w:szCs w:val="24"/>
        </w:rPr>
        <w:t>ng farmer. Innovation projects may focus on specific production methods, on more nutritious and valuable products, better connection between consumer and producer in short supply chains creating win-wins, internet sales, niche markets or certified products</w:t>
      </w:r>
      <w:r>
        <w:rPr>
          <w:rFonts w:ascii="Times New Roman" w:hAnsi="Times New Roman" w:cs="Times New Roman"/>
          <w:noProof/>
          <w:sz w:val="24"/>
          <w:szCs w:val="24"/>
        </w:rPr>
        <w:t>, promising non-food products and related bio economy value chains and so on, all promising avenues for young farmers to develop a better income on the farm.</w:t>
      </w:r>
    </w:p>
    <w:p w:rsidR="00333A1A" w:rsidRDefault="00333A1A">
      <w:pPr>
        <w:spacing w:after="0" w:line="240" w:lineRule="auto"/>
        <w:jc w:val="both"/>
        <w:rPr>
          <w:rFonts w:ascii="Times New Roman" w:hAnsi="Times New Roman" w:cs="Times New Roman"/>
          <w:noProof/>
          <w:sz w:val="24"/>
          <w:szCs w:val="24"/>
        </w:rPr>
      </w:pPr>
    </w:p>
    <w:p w:rsidR="00333A1A" w:rsidRDefault="003D29C9">
      <w:pPr>
        <w:pStyle w:val="Heading1"/>
        <w:numPr>
          <w:ilvl w:val="0"/>
          <w:numId w:val="0"/>
        </w:numPr>
        <w:ind w:left="482" w:hanging="482"/>
        <w:rPr>
          <w:noProof/>
        </w:rPr>
      </w:pPr>
      <w:bookmarkStart w:id="285" w:name="_Toc509419142"/>
      <w:bookmarkStart w:id="286" w:name="_Toc513053308"/>
      <w:bookmarkStart w:id="287" w:name="_Toc513053524"/>
      <w:bookmarkStart w:id="288" w:name="_Toc514514655"/>
      <w:r>
        <w:rPr>
          <w:noProof/>
        </w:rPr>
        <w:t>4.</w:t>
      </w:r>
      <w:r>
        <w:rPr>
          <w:noProof/>
        </w:rPr>
        <w:tab/>
        <w:t>Supporting digital transition in agriculture</w:t>
      </w:r>
      <w:bookmarkEnd w:id="285"/>
      <w:bookmarkEnd w:id="286"/>
      <w:bookmarkEnd w:id="287"/>
      <w:bookmarkEnd w:id="288"/>
    </w:p>
    <w:p w:rsidR="00333A1A" w:rsidRDefault="003D29C9">
      <w:pPr>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make sure the potential of digital technologie</w:t>
      </w:r>
      <w:r>
        <w:rPr>
          <w:rFonts w:ascii="Times New Roman" w:hAnsi="Times New Roman" w:cs="Times New Roman"/>
          <w:noProof/>
          <w:sz w:val="24"/>
          <w:szCs w:val="24"/>
        </w:rPr>
        <w:t>s is fully realised, there are 3 key areas of intervention:</w:t>
      </w:r>
    </w:p>
    <w:p w:rsidR="00333A1A" w:rsidRDefault="003D29C9">
      <w:pPr>
        <w:numPr>
          <w:ilvl w:val="0"/>
          <w:numId w:val="42"/>
        </w:numPr>
        <w:spacing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The need to support the uptake of digital technologies by farmers and rural communities.</w:t>
      </w:r>
    </w:p>
    <w:p w:rsidR="00333A1A" w:rsidRDefault="003D29C9">
      <w:pPr>
        <w:numPr>
          <w:ilvl w:val="1"/>
          <w:numId w:val="4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Both on- and off-farm employment will </w:t>
      </w:r>
      <w:r>
        <w:rPr>
          <w:rFonts w:ascii="Times New Roman" w:hAnsi="Times New Roman" w:cs="Times New Roman"/>
          <w:b/>
          <w:noProof/>
          <w:sz w:val="24"/>
          <w:szCs w:val="24"/>
        </w:rPr>
        <w:t>require increasing levels of digital skills</w:t>
      </w:r>
      <w:r>
        <w:rPr>
          <w:rFonts w:ascii="Times New Roman" w:hAnsi="Times New Roman" w:cs="Times New Roman"/>
          <w:noProof/>
          <w:sz w:val="24"/>
          <w:szCs w:val="24"/>
        </w:rPr>
        <w:t xml:space="preserve">.  According to the 2017 </w:t>
      </w:r>
      <w:r>
        <w:rPr>
          <w:rFonts w:ascii="Times New Roman" w:hAnsi="Times New Roman" w:cs="Times New Roman"/>
          <w:noProof/>
          <w:sz w:val="24"/>
          <w:szCs w:val="24"/>
        </w:rPr>
        <w:t>Europe’s Digital Progress Report</w:t>
      </w:r>
      <w:r>
        <w:rPr>
          <w:rFonts w:ascii="Times New Roman" w:hAnsi="Times New Roman" w:cs="Times New Roman"/>
          <w:b/>
          <w:noProof/>
          <w:sz w:val="24"/>
          <w:szCs w:val="24"/>
          <w:vertAlign w:val="superscript"/>
        </w:rPr>
        <w:footnoteReference w:id="87"/>
      </w:r>
      <w:r>
        <w:rPr>
          <w:rFonts w:ascii="Times New Roman" w:hAnsi="Times New Roman" w:cs="Times New Roman"/>
          <w:noProof/>
          <w:sz w:val="24"/>
          <w:szCs w:val="24"/>
        </w:rPr>
        <w:t>, 44% of the EU population and 37% of the workforce had 'insufficient' digital skills in 2016. Important is to consider the skills level of advisory services, in order to make advisory services able to help orient farmers i</w:t>
      </w:r>
      <w:r>
        <w:rPr>
          <w:rFonts w:ascii="Times New Roman" w:hAnsi="Times New Roman" w:cs="Times New Roman"/>
          <w:noProof/>
          <w:sz w:val="24"/>
          <w:szCs w:val="24"/>
        </w:rPr>
        <w:t>n the digital landscape.</w:t>
      </w:r>
    </w:p>
    <w:p w:rsidR="00333A1A" w:rsidRDefault="003D29C9">
      <w:pPr>
        <w:numPr>
          <w:ilvl w:val="1"/>
          <w:numId w:val="46"/>
        </w:numPr>
        <w:spacing w:line="240" w:lineRule="auto"/>
        <w:contextualSpacing/>
        <w:jc w:val="both"/>
        <w:rPr>
          <w:rFonts w:ascii="Times New Roman" w:hAnsi="Times New Roman" w:cs="Times New Roman"/>
          <w:noProof/>
          <w:sz w:val="24"/>
          <w:szCs w:val="24"/>
        </w:rPr>
      </w:pPr>
      <w:r>
        <w:rPr>
          <w:rFonts w:ascii="Times New Roman" w:hAnsi="Times New Roman" w:cs="Times New Roman"/>
          <w:b/>
          <w:noProof/>
          <w:sz w:val="24"/>
          <w:szCs w:val="24"/>
        </w:rPr>
        <w:t>There is a risk for having a digital divide</w:t>
      </w:r>
      <w:r>
        <w:rPr>
          <w:rFonts w:ascii="Times New Roman" w:hAnsi="Times New Roman" w:cs="Times New Roman"/>
          <w:noProof/>
          <w:sz w:val="24"/>
          <w:szCs w:val="24"/>
        </w:rPr>
        <w:t xml:space="preserve">.  Small or less educated farmers may be unable to keep up with new technologies. This could lead to a large digital divide between big and small farmers. Therefore, </w:t>
      </w:r>
      <w:r>
        <w:rPr>
          <w:rFonts w:ascii="Times New Roman" w:hAnsi="Times New Roman" w:cs="Times New Roman"/>
          <w:b/>
          <w:noProof/>
          <w:sz w:val="24"/>
          <w:szCs w:val="24"/>
        </w:rPr>
        <w:t>having independent adv</w:t>
      </w:r>
      <w:r>
        <w:rPr>
          <w:rFonts w:ascii="Times New Roman" w:hAnsi="Times New Roman" w:cs="Times New Roman"/>
          <w:b/>
          <w:noProof/>
          <w:sz w:val="24"/>
          <w:szCs w:val="24"/>
        </w:rPr>
        <w:t xml:space="preserve">isory services in place with sufficient digital knowledge and access to the data is very important </w:t>
      </w:r>
      <w:r>
        <w:rPr>
          <w:rFonts w:ascii="Times New Roman" w:hAnsi="Times New Roman" w:cs="Times New Roman"/>
          <w:noProof/>
          <w:sz w:val="24"/>
          <w:szCs w:val="24"/>
        </w:rPr>
        <w:t xml:space="preserve">to help to minimise the divide. </w:t>
      </w:r>
    </w:p>
    <w:p w:rsidR="00333A1A" w:rsidRDefault="003D29C9">
      <w:pPr>
        <w:numPr>
          <w:ilvl w:val="1"/>
          <w:numId w:val="4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Independent advisors often lack digital skills. As agricultural data management and precision agriculture requires technical</w:t>
      </w:r>
      <w:r>
        <w:rPr>
          <w:rFonts w:ascii="Times New Roman" w:hAnsi="Times New Roman" w:cs="Times New Roman"/>
          <w:noProof/>
          <w:sz w:val="24"/>
          <w:szCs w:val="24"/>
        </w:rPr>
        <w:t xml:space="preserve"> competence</w:t>
      </w:r>
      <w:r>
        <w:rPr>
          <w:rFonts w:ascii="Times New Roman" w:hAnsi="Times New Roman" w:cs="Times New Roman"/>
          <w:b/>
          <w:noProof/>
          <w:sz w:val="24"/>
          <w:szCs w:val="24"/>
        </w:rPr>
        <w:t xml:space="preserve">, a system of support and training for advisers </w:t>
      </w:r>
      <w:r>
        <w:rPr>
          <w:rFonts w:ascii="Times New Roman" w:hAnsi="Times New Roman" w:cs="Times New Roman"/>
          <w:noProof/>
          <w:sz w:val="24"/>
          <w:szCs w:val="24"/>
        </w:rPr>
        <w:t>across the EU would be very much desirable.  The future role of farm advisory services should include facilitating innovation projects on digital technologies and supporting farmers in orienting th</w:t>
      </w:r>
      <w:r>
        <w:rPr>
          <w:rFonts w:ascii="Times New Roman" w:hAnsi="Times New Roman" w:cs="Times New Roman"/>
          <w:noProof/>
          <w:sz w:val="24"/>
          <w:szCs w:val="24"/>
        </w:rPr>
        <w:t>emselves in the digital landscape.</w:t>
      </w:r>
    </w:p>
    <w:p w:rsidR="00333A1A" w:rsidRDefault="003D29C9">
      <w:pPr>
        <w:numPr>
          <w:ilvl w:val="1"/>
          <w:numId w:val="4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lack of infrastructure, many rural areas lag behind in broadband availability, while 76 % of the EU population has </w:t>
      </w:r>
      <w:r>
        <w:rPr>
          <w:rFonts w:ascii="Times New Roman" w:hAnsi="Times New Roman" w:cs="Times New Roman"/>
          <w:b/>
          <w:noProof/>
          <w:sz w:val="24"/>
          <w:szCs w:val="24"/>
        </w:rPr>
        <w:t>access to fast broadband</w:t>
      </w:r>
      <w:r>
        <w:rPr>
          <w:rFonts w:ascii="Times New Roman" w:hAnsi="Times New Roman" w:cs="Times New Roman"/>
          <w:noProof/>
          <w:sz w:val="24"/>
          <w:szCs w:val="24"/>
        </w:rPr>
        <w:t xml:space="preserve"> (&gt;30Mbps), only 40 % of homes in rural areas have such access. </w:t>
      </w:r>
    </w:p>
    <w:p w:rsidR="00333A1A" w:rsidRDefault="00333A1A">
      <w:pPr>
        <w:spacing w:line="240" w:lineRule="auto"/>
        <w:ind w:left="1440"/>
        <w:contextualSpacing/>
        <w:jc w:val="both"/>
        <w:rPr>
          <w:rFonts w:ascii="Times New Roman" w:hAnsi="Times New Roman" w:cs="Times New Roman"/>
          <w:b/>
          <w:noProof/>
          <w:sz w:val="24"/>
          <w:szCs w:val="24"/>
        </w:rPr>
      </w:pPr>
    </w:p>
    <w:p w:rsidR="00333A1A" w:rsidRDefault="003D29C9">
      <w:pPr>
        <w:numPr>
          <w:ilvl w:val="0"/>
          <w:numId w:val="42"/>
        </w:numPr>
        <w:spacing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The d</w:t>
      </w:r>
      <w:r>
        <w:rPr>
          <w:rFonts w:ascii="Times New Roman" w:hAnsi="Times New Roman" w:cs="Times New Roman"/>
          <w:b/>
          <w:noProof/>
          <w:sz w:val="24"/>
          <w:szCs w:val="24"/>
        </w:rPr>
        <w:t>evelopment of digital solutions based on existing and new technologies.</w:t>
      </w:r>
    </w:p>
    <w:p w:rsidR="00333A1A" w:rsidRDefault="00333A1A">
      <w:pPr>
        <w:spacing w:line="240" w:lineRule="auto"/>
        <w:contextualSpacing/>
        <w:jc w:val="both"/>
        <w:rPr>
          <w:rFonts w:ascii="Times New Roman" w:hAnsi="Times New Roman" w:cs="Times New Roman"/>
          <w:b/>
          <w:noProof/>
          <w:sz w:val="24"/>
          <w:szCs w:val="24"/>
        </w:rPr>
      </w:pPr>
    </w:p>
    <w:p w:rsidR="00333A1A" w:rsidRDefault="003D29C9">
      <w:pPr>
        <w:numPr>
          <w:ilvl w:val="1"/>
          <w:numId w:val="42"/>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core group of digital applications which on big farms found already wide adoption (e.g. digital application, GPS positioning, milk robots, etc.), but many </w:t>
      </w:r>
      <w:r>
        <w:rPr>
          <w:rFonts w:ascii="Times New Roman" w:hAnsi="Times New Roman" w:cs="Times New Roman"/>
          <w:b/>
          <w:noProof/>
          <w:sz w:val="24"/>
          <w:szCs w:val="24"/>
        </w:rPr>
        <w:t>other application</w:t>
      </w:r>
      <w:r>
        <w:rPr>
          <w:rFonts w:ascii="Times New Roman" w:hAnsi="Times New Roman" w:cs="Times New Roman"/>
          <w:b/>
          <w:noProof/>
          <w:sz w:val="24"/>
          <w:szCs w:val="24"/>
        </w:rPr>
        <w:t>s are still to be developed</w:t>
      </w:r>
      <w:r>
        <w:rPr>
          <w:rFonts w:ascii="Times New Roman" w:hAnsi="Times New Roman" w:cs="Times New Roman"/>
          <w:noProof/>
          <w:sz w:val="24"/>
          <w:szCs w:val="24"/>
        </w:rPr>
        <w:t xml:space="preserve">. </w:t>
      </w:r>
    </w:p>
    <w:p w:rsidR="00333A1A" w:rsidRDefault="00333A1A">
      <w:pPr>
        <w:spacing w:line="240" w:lineRule="auto"/>
        <w:ind w:left="1440"/>
        <w:contextualSpacing/>
        <w:jc w:val="both"/>
        <w:rPr>
          <w:rFonts w:ascii="Times New Roman" w:hAnsi="Times New Roman" w:cs="Times New Roman"/>
          <w:noProof/>
          <w:sz w:val="24"/>
          <w:szCs w:val="24"/>
        </w:rPr>
      </w:pPr>
    </w:p>
    <w:p w:rsidR="00333A1A" w:rsidRDefault="003D29C9">
      <w:pPr>
        <w:numPr>
          <w:ilvl w:val="1"/>
          <w:numId w:val="42"/>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need to develop adapted solutions for all including small farms. There is still a high </w:t>
      </w:r>
      <w:r>
        <w:rPr>
          <w:rFonts w:ascii="Times New Roman" w:hAnsi="Times New Roman" w:cs="Times New Roman"/>
          <w:b/>
          <w:noProof/>
          <w:sz w:val="24"/>
          <w:szCs w:val="24"/>
        </w:rPr>
        <w:t>need for incentivising innovation, to tailor digital technologies to farmers’ needs</w:t>
      </w:r>
      <w:r>
        <w:rPr>
          <w:rFonts w:ascii="Times New Roman" w:hAnsi="Times New Roman" w:cs="Times New Roman"/>
          <w:noProof/>
          <w:sz w:val="24"/>
          <w:szCs w:val="24"/>
        </w:rPr>
        <w:t xml:space="preserve">. </w:t>
      </w:r>
    </w:p>
    <w:p w:rsidR="00333A1A" w:rsidRDefault="00333A1A">
      <w:pPr>
        <w:spacing w:line="240" w:lineRule="auto"/>
        <w:ind w:left="1440"/>
        <w:contextualSpacing/>
        <w:jc w:val="both"/>
        <w:rPr>
          <w:rFonts w:ascii="Times New Roman" w:hAnsi="Times New Roman" w:cs="Times New Roman"/>
          <w:noProof/>
          <w:sz w:val="24"/>
          <w:szCs w:val="24"/>
        </w:rPr>
      </w:pPr>
    </w:p>
    <w:p w:rsidR="00333A1A" w:rsidRDefault="003D29C9">
      <w:pPr>
        <w:rPr>
          <w:rFonts w:ascii="Times New Roman" w:hAnsi="Times New Roman" w:cs="Times New Roman"/>
          <w:noProof/>
          <w:sz w:val="24"/>
          <w:szCs w:val="24"/>
        </w:rPr>
      </w:pPr>
      <w:r>
        <w:rPr>
          <w:rFonts w:ascii="Times New Roman" w:hAnsi="Times New Roman" w:cs="Times New Roman"/>
          <w:noProof/>
          <w:sz w:val="24"/>
          <w:szCs w:val="24"/>
        </w:rPr>
        <w:br w:type="page"/>
      </w:r>
    </w:p>
    <w:p w:rsidR="00333A1A" w:rsidRDefault="003D29C9">
      <w:pPr>
        <w:numPr>
          <w:ilvl w:val="0"/>
          <w:numId w:val="42"/>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need to deal with the impact of digital technologies in the society and ensure that existing policies can </w:t>
      </w:r>
      <w:r>
        <w:rPr>
          <w:rFonts w:ascii="Times New Roman" w:hAnsi="Times New Roman" w:cs="Times New Roman"/>
          <w:b/>
          <w:noProof/>
          <w:sz w:val="24"/>
          <w:szCs w:val="24"/>
        </w:rPr>
        <w:t>mitigate potential negative effects coming with digitisation</w:t>
      </w:r>
      <w:r>
        <w:rPr>
          <w:rFonts w:ascii="Times New Roman" w:hAnsi="Times New Roman" w:cs="Times New Roman"/>
          <w:noProof/>
          <w:sz w:val="24"/>
          <w:szCs w:val="24"/>
        </w:rPr>
        <w:t>.</w:t>
      </w:r>
    </w:p>
    <w:p w:rsidR="00333A1A" w:rsidRDefault="00333A1A">
      <w:pPr>
        <w:spacing w:line="240" w:lineRule="auto"/>
        <w:ind w:left="720"/>
        <w:contextualSpacing/>
        <w:jc w:val="both"/>
        <w:rPr>
          <w:rFonts w:ascii="Times New Roman" w:hAnsi="Times New Roman" w:cs="Times New Roman"/>
          <w:noProof/>
          <w:sz w:val="24"/>
          <w:szCs w:val="24"/>
        </w:rPr>
      </w:pPr>
    </w:p>
    <w:p w:rsidR="00333A1A" w:rsidRDefault="003D29C9">
      <w:pPr>
        <w:numPr>
          <w:ilvl w:val="1"/>
          <w:numId w:val="42"/>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Technology is neutral; its different applications are not.  Empowerment of farmers </w:t>
      </w:r>
      <w:r>
        <w:rPr>
          <w:rFonts w:ascii="Times New Roman" w:hAnsi="Times New Roman" w:cs="Times New Roman"/>
          <w:noProof/>
          <w:sz w:val="24"/>
          <w:szCs w:val="24"/>
        </w:rPr>
        <w:t xml:space="preserve">and the provision of better and increased support for impartial advisers are needed to overcome the perceived complexity of precision agriculture solutions. With </w:t>
      </w:r>
      <w:r>
        <w:rPr>
          <w:rFonts w:ascii="Times New Roman" w:hAnsi="Times New Roman" w:cs="Times New Roman"/>
          <w:b/>
          <w:noProof/>
          <w:sz w:val="24"/>
          <w:szCs w:val="24"/>
        </w:rPr>
        <w:t>strategic targeting of policies, the positive effects of digitisation can be achieved, while t</w:t>
      </w:r>
      <w:r>
        <w:rPr>
          <w:rFonts w:ascii="Times New Roman" w:hAnsi="Times New Roman" w:cs="Times New Roman"/>
          <w:b/>
          <w:noProof/>
          <w:sz w:val="24"/>
          <w:szCs w:val="24"/>
        </w:rPr>
        <w:t>he negatives can be mitigated</w:t>
      </w:r>
      <w:r>
        <w:rPr>
          <w:rFonts w:ascii="Times New Roman" w:hAnsi="Times New Roman" w:cs="Times New Roman"/>
          <w:noProof/>
          <w:sz w:val="24"/>
          <w:szCs w:val="24"/>
        </w:rPr>
        <w:t>. In other words, different emphases in the CAP might direct the development and impacts of digitisation (e.g. simplification of administrative processes and certification, increasing environmental ambition, attention for advic</w:t>
      </w:r>
      <w:r>
        <w:rPr>
          <w:rFonts w:ascii="Times New Roman" w:hAnsi="Times New Roman" w:cs="Times New Roman"/>
          <w:noProof/>
          <w:sz w:val="24"/>
          <w:szCs w:val="24"/>
        </w:rPr>
        <w:t>e and small farms, etc.)</w:t>
      </w:r>
      <w:r>
        <w:rPr>
          <w:rFonts w:ascii="Times New Roman" w:hAnsi="Times New Roman" w:cs="Times New Roman"/>
          <w:noProof/>
          <w:sz w:val="24"/>
          <w:szCs w:val="24"/>
          <w:vertAlign w:val="superscript"/>
        </w:rPr>
        <w:footnoteReference w:id="88"/>
      </w:r>
      <w:r>
        <w:rPr>
          <w:rFonts w:ascii="Times New Roman" w:hAnsi="Times New Roman" w:cs="Times New Roman"/>
          <w:noProof/>
          <w:sz w:val="24"/>
          <w:szCs w:val="24"/>
        </w:rPr>
        <w:t>.</w:t>
      </w:r>
    </w:p>
    <w:p w:rsidR="00333A1A" w:rsidRDefault="00333A1A">
      <w:pPr>
        <w:spacing w:line="240" w:lineRule="auto"/>
        <w:contextualSpacing/>
        <w:jc w:val="both"/>
        <w:rPr>
          <w:rFonts w:ascii="Times New Roman" w:hAnsi="Times New Roman" w:cs="Times New Roman"/>
          <w:noProof/>
          <w:sz w:val="24"/>
          <w:szCs w:val="24"/>
        </w:rPr>
      </w:pPr>
    </w:p>
    <w:p w:rsidR="00333A1A" w:rsidRDefault="003D29C9">
      <w:pPr>
        <w:numPr>
          <w:ilvl w:val="0"/>
          <w:numId w:val="49"/>
        </w:numPr>
        <w:spacing w:after="120" w:line="240" w:lineRule="auto"/>
        <w:contextualSpacing/>
        <w:jc w:val="both"/>
        <w:rPr>
          <w:rFonts w:ascii="Times New Roman" w:hAnsi="Times New Roman" w:cs="Times New Roman"/>
          <w:iCs/>
          <w:noProof/>
          <w:sz w:val="24"/>
          <w:szCs w:val="24"/>
        </w:rPr>
      </w:pPr>
      <w:r>
        <w:rPr>
          <w:rFonts w:ascii="Times New Roman" w:hAnsi="Times New Roman" w:cs="Times New Roman"/>
          <w:iCs/>
          <w:noProof/>
          <w:sz w:val="24"/>
          <w:szCs w:val="24"/>
        </w:rPr>
        <w:t xml:space="preserve">In addition, in the context of ISSG on modernisation and simplification of the CAP, DG AGRI and DG CNECT launched jointly the pilot project </w:t>
      </w:r>
      <w:r>
        <w:rPr>
          <w:rFonts w:ascii="Times New Roman" w:hAnsi="Times New Roman" w:cs="Times New Roman"/>
          <w:b/>
          <w:iCs/>
          <w:noProof/>
          <w:sz w:val="24"/>
          <w:szCs w:val="24"/>
        </w:rPr>
        <w:t>RUR-14-2018: Digital solutions and e-tools to modernise the CAP</w:t>
      </w:r>
      <w:r>
        <w:rPr>
          <w:rFonts w:ascii="Times New Roman" w:hAnsi="Times New Roman" w:cs="Times New Roman"/>
          <w:iCs/>
          <w:noProof/>
          <w:sz w:val="24"/>
          <w:szCs w:val="24"/>
        </w:rPr>
        <w:t xml:space="preserve"> </w:t>
      </w:r>
    </w:p>
    <w:p w:rsidR="00333A1A" w:rsidRDefault="00333A1A">
      <w:pPr>
        <w:spacing w:after="120" w:line="240" w:lineRule="auto"/>
        <w:contextualSpacing/>
        <w:jc w:val="both"/>
        <w:rPr>
          <w:rFonts w:ascii="Times New Roman" w:hAnsi="Times New Roman" w:cs="Times New Roman"/>
          <w:iCs/>
          <w:noProof/>
          <w:sz w:val="24"/>
          <w:szCs w:val="24"/>
        </w:rPr>
      </w:pPr>
    </w:p>
    <w:p w:rsidR="00333A1A" w:rsidRDefault="003D29C9">
      <w:pPr>
        <w:autoSpaceDE w:val="0"/>
        <w:autoSpaceDN w:val="0"/>
        <w:spacing w:after="120" w:line="240" w:lineRule="auto"/>
        <w:ind w:left="360"/>
        <w:jc w:val="both"/>
        <w:rPr>
          <w:rFonts w:ascii="Times New Roman" w:hAnsi="Times New Roman" w:cs="Times New Roman"/>
          <w:iCs/>
          <w:noProof/>
          <w:sz w:val="24"/>
          <w:szCs w:val="24"/>
        </w:rPr>
      </w:pPr>
      <w:r>
        <w:rPr>
          <w:rFonts w:ascii="Times New Roman" w:hAnsi="Times New Roman" w:cs="Times New Roman"/>
          <w:iCs/>
          <w:noProof/>
          <w:sz w:val="24"/>
          <w:szCs w:val="24"/>
        </w:rPr>
        <w:t xml:space="preserve">The project should </w:t>
      </w:r>
      <w:r>
        <w:rPr>
          <w:rFonts w:ascii="Times New Roman" w:hAnsi="Times New Roman" w:cs="Times New Roman"/>
          <w:noProof/>
          <w:color w:val="000000"/>
          <w:sz w:val="24"/>
          <w:szCs w:val="24"/>
        </w:rPr>
        <w:t>achieve a further integration and digitization of the EU CAP's governance infrastructure, by</w:t>
      </w:r>
      <w:r>
        <w:rPr>
          <w:rFonts w:ascii="Times New Roman" w:hAnsi="Times New Roman" w:cs="Times New Roman"/>
          <w:iCs/>
          <w:noProof/>
          <w:sz w:val="24"/>
          <w:szCs w:val="24"/>
        </w:rPr>
        <w:t xml:space="preserve">: </w:t>
      </w:r>
    </w:p>
    <w:p w:rsidR="00333A1A" w:rsidRDefault="003D29C9">
      <w:pPr>
        <w:numPr>
          <w:ilvl w:val="0"/>
          <w:numId w:val="47"/>
        </w:numPr>
        <w:autoSpaceDE w:val="0"/>
        <w:autoSpaceDN w:val="0"/>
        <w:spacing w:after="120" w:line="240" w:lineRule="auto"/>
        <w:jc w:val="both"/>
        <w:rPr>
          <w:rFonts w:ascii="Times New Roman" w:hAnsi="Times New Roman" w:cs="Times New Roman"/>
          <w:iCs/>
          <w:noProof/>
          <w:color w:val="1F497D"/>
          <w:sz w:val="24"/>
          <w:szCs w:val="24"/>
        </w:rPr>
      </w:pPr>
      <w:r>
        <w:rPr>
          <w:rFonts w:ascii="Times New Roman" w:hAnsi="Times New Roman" w:cs="Times New Roman"/>
          <w:iCs/>
          <w:noProof/>
          <w:sz w:val="24"/>
          <w:szCs w:val="24"/>
        </w:rPr>
        <w:t xml:space="preserve">evaluating the </w:t>
      </w:r>
      <w:r>
        <w:rPr>
          <w:rFonts w:ascii="Times New Roman" w:hAnsi="Times New Roman" w:cs="Times New Roman"/>
          <w:b/>
          <w:iCs/>
          <w:noProof/>
          <w:sz w:val="24"/>
          <w:szCs w:val="24"/>
        </w:rPr>
        <w:t>reduction of the socio-economic costs and – barriers</w:t>
      </w:r>
      <w:r>
        <w:rPr>
          <w:rFonts w:ascii="Times New Roman" w:hAnsi="Times New Roman" w:cs="Times New Roman"/>
          <w:iCs/>
          <w:noProof/>
          <w:sz w:val="24"/>
          <w:szCs w:val="24"/>
        </w:rPr>
        <w:t xml:space="preserve"> for a wide range of stakeholders involved in the implementation of the CAP; </w:t>
      </w:r>
    </w:p>
    <w:p w:rsidR="00333A1A" w:rsidRDefault="003D29C9">
      <w:pPr>
        <w:numPr>
          <w:ilvl w:val="0"/>
          <w:numId w:val="47"/>
        </w:numPr>
        <w:autoSpaceDE w:val="0"/>
        <w:autoSpaceDN w:val="0"/>
        <w:spacing w:after="12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improving the po</w:t>
      </w:r>
      <w:r>
        <w:rPr>
          <w:rFonts w:ascii="Times New Roman" w:hAnsi="Times New Roman" w:cs="Times New Roman"/>
          <w:iCs/>
          <w:noProof/>
          <w:sz w:val="24"/>
          <w:szCs w:val="24"/>
        </w:rPr>
        <w:t xml:space="preserve">tential of IACS to be used for monitoring, analyses and control, by incentivising administrations to </w:t>
      </w:r>
      <w:r>
        <w:rPr>
          <w:rFonts w:ascii="Times New Roman" w:hAnsi="Times New Roman" w:cs="Times New Roman"/>
          <w:b/>
          <w:iCs/>
          <w:noProof/>
          <w:sz w:val="24"/>
          <w:szCs w:val="24"/>
        </w:rPr>
        <w:t>share part of their national LPIS information</w:t>
      </w:r>
      <w:r>
        <w:rPr>
          <w:rFonts w:ascii="Times New Roman" w:hAnsi="Times New Roman" w:cs="Times New Roman"/>
          <w:iCs/>
          <w:noProof/>
          <w:sz w:val="24"/>
          <w:szCs w:val="24"/>
        </w:rPr>
        <w:t xml:space="preserve">; </w:t>
      </w:r>
    </w:p>
    <w:p w:rsidR="00333A1A" w:rsidRDefault="003D29C9">
      <w:pPr>
        <w:numPr>
          <w:ilvl w:val="0"/>
          <w:numId w:val="47"/>
        </w:numPr>
        <w:autoSpaceDE w:val="0"/>
        <w:autoSpaceDN w:val="0"/>
        <w:spacing w:after="12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achieving a higher level of system </w:t>
      </w:r>
      <w:r>
        <w:rPr>
          <w:rFonts w:ascii="Times New Roman" w:hAnsi="Times New Roman" w:cs="Times New Roman"/>
          <w:b/>
          <w:iCs/>
          <w:noProof/>
          <w:sz w:val="24"/>
          <w:szCs w:val="24"/>
        </w:rPr>
        <w:t>interoperability</w:t>
      </w:r>
      <w:r>
        <w:rPr>
          <w:rFonts w:ascii="Times New Roman" w:hAnsi="Times New Roman" w:cs="Times New Roman"/>
          <w:iCs/>
          <w:noProof/>
          <w:sz w:val="24"/>
          <w:szCs w:val="24"/>
        </w:rPr>
        <w:t xml:space="preserve"> and (meta-)data </w:t>
      </w:r>
      <w:r>
        <w:rPr>
          <w:rFonts w:ascii="Times New Roman" w:hAnsi="Times New Roman" w:cs="Times New Roman"/>
          <w:b/>
          <w:iCs/>
          <w:noProof/>
          <w:sz w:val="24"/>
          <w:szCs w:val="24"/>
        </w:rPr>
        <w:t>standardisation</w:t>
      </w:r>
      <w:r>
        <w:rPr>
          <w:rFonts w:ascii="Times New Roman" w:hAnsi="Times New Roman" w:cs="Times New Roman"/>
          <w:iCs/>
          <w:noProof/>
          <w:sz w:val="24"/>
          <w:szCs w:val="24"/>
        </w:rPr>
        <w:t>, allowing innovative wa</w:t>
      </w:r>
      <w:r>
        <w:rPr>
          <w:rFonts w:ascii="Times New Roman" w:hAnsi="Times New Roman" w:cs="Times New Roman"/>
          <w:iCs/>
          <w:noProof/>
          <w:sz w:val="24"/>
          <w:szCs w:val="24"/>
        </w:rPr>
        <w:t xml:space="preserve">ys to use and combine agri-environment-climate data; </w:t>
      </w:r>
    </w:p>
    <w:p w:rsidR="00333A1A" w:rsidRDefault="003D29C9">
      <w:pPr>
        <w:numPr>
          <w:ilvl w:val="0"/>
          <w:numId w:val="47"/>
        </w:numPr>
        <w:autoSpaceDE w:val="0"/>
        <w:autoSpaceDN w:val="0"/>
        <w:spacing w:after="12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achieve user acceptance validation addressing </w:t>
      </w:r>
      <w:r>
        <w:rPr>
          <w:rFonts w:ascii="Times New Roman" w:hAnsi="Times New Roman" w:cs="Times New Roman"/>
          <w:b/>
          <w:iCs/>
          <w:noProof/>
          <w:sz w:val="24"/>
          <w:szCs w:val="24"/>
        </w:rPr>
        <w:t>privacy, security, vulnerability, liability, identification of user needs</w:t>
      </w:r>
      <w:r>
        <w:rPr>
          <w:rFonts w:ascii="Times New Roman" w:hAnsi="Times New Roman" w:cs="Times New Roman"/>
          <w:iCs/>
          <w:noProof/>
          <w:sz w:val="24"/>
          <w:szCs w:val="24"/>
        </w:rPr>
        <w:t xml:space="preserve">. </w:t>
      </w:r>
    </w:p>
    <w:p w:rsidR="00333A1A" w:rsidRDefault="003D29C9">
      <w:pPr>
        <w:spacing w:line="240" w:lineRule="auto"/>
        <w:ind w:left="360"/>
        <w:jc w:val="both"/>
        <w:rPr>
          <w:rFonts w:ascii="Calibri" w:eastAsia="Calibri" w:hAnsi="Calibri" w:cs="Times New Roman"/>
          <w:noProof/>
          <w:color w:val="1F497D"/>
        </w:rPr>
      </w:pPr>
      <w:r>
        <w:rPr>
          <w:rFonts w:ascii="Times New Roman" w:hAnsi="Times New Roman" w:cs="Times New Roman"/>
          <w:iCs/>
          <w:noProof/>
          <w:sz w:val="24"/>
          <w:szCs w:val="24"/>
        </w:rPr>
        <w:t xml:space="preserve">In the long term this pilot could contribute to a more inclusive, efficient and </w:t>
      </w:r>
      <w:r>
        <w:rPr>
          <w:rFonts w:ascii="Times New Roman" w:hAnsi="Times New Roman" w:cs="Times New Roman"/>
          <w:iCs/>
          <w:noProof/>
          <w:sz w:val="24"/>
          <w:szCs w:val="24"/>
        </w:rPr>
        <w:t>sustainable EU CAP. For instance, a digital farm dossier organising the data gathering and sharing through the whole supply chain can lead to a major simplification of the CAP administration, monitoring and management systems. At the same time, it could al</w:t>
      </w:r>
      <w:r>
        <w:rPr>
          <w:rFonts w:ascii="Times New Roman" w:hAnsi="Times New Roman" w:cs="Times New Roman"/>
          <w:iCs/>
          <w:noProof/>
          <w:sz w:val="24"/>
          <w:szCs w:val="24"/>
        </w:rPr>
        <w:t>so lead to significantly reducing farmers' administrative burden towards cooperatives and private retailers asking for certification, together with the building of efficient learning networks useful for cross-policies implementations.</w:t>
      </w:r>
    </w:p>
    <w:p w:rsidR="00333A1A" w:rsidRDefault="003D29C9">
      <w:pPr>
        <w:spacing w:after="0" w:line="240" w:lineRule="auto"/>
        <w:rPr>
          <w:rFonts w:ascii="Calibri" w:eastAsia="Calibri" w:hAnsi="Calibri" w:cs="Times New Roman"/>
          <w:noProof/>
          <w:color w:val="1F497D"/>
        </w:rPr>
      </w:pPr>
      <w:r>
        <w:rPr>
          <w:rFonts w:ascii="Times New Roman" w:eastAsia="Calibri" w:hAnsi="Times New Roman" w:cs="Times New Roman"/>
          <w:noProof/>
          <w:sz w:val="24"/>
          <w:szCs w:val="24"/>
        </w:rPr>
        <w:t>A set of projects wil</w:t>
      </w:r>
      <w:r>
        <w:rPr>
          <w:rFonts w:ascii="Times New Roman" w:eastAsia="Calibri" w:hAnsi="Times New Roman" w:cs="Times New Roman"/>
          <w:noProof/>
          <w:sz w:val="24"/>
          <w:szCs w:val="24"/>
        </w:rPr>
        <w:t>l be funded under the 2018-2020 H2020 Work programme to support the digital transition in agriculture (Total 102 mln €, see Annex 3)</w:t>
      </w:r>
      <w:r>
        <w:rPr>
          <w:rFonts w:ascii="Times New Roman" w:eastAsia="Calibri" w:hAnsi="Times New Roman" w:cs="Times New Roman"/>
          <w:noProof/>
          <w:sz w:val="24"/>
          <w:szCs w:val="24"/>
          <w:vertAlign w:val="superscript"/>
        </w:rPr>
        <w:footnoteReference w:id="89"/>
      </w:r>
      <w:r>
        <w:rPr>
          <w:rFonts w:ascii="Times New Roman" w:eastAsia="Calibri" w:hAnsi="Times New Roman" w:cs="Times New Roman"/>
          <w:noProof/>
          <w:sz w:val="24"/>
          <w:szCs w:val="24"/>
        </w:rPr>
        <w:t xml:space="preserve"> </w:t>
      </w:r>
    </w:p>
    <w:p w:rsidR="00333A1A" w:rsidRDefault="003D29C9">
      <w:pPr>
        <w:spacing w:after="0" w:line="240" w:lineRule="auto"/>
        <w:ind w:left="568" w:hanging="284"/>
        <w:contextualSpacing/>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w:t>
      </w:r>
      <w:r>
        <w:rPr>
          <w:rFonts w:ascii="Times New Roman" w:eastAsia="Calibri" w:hAnsi="Times New Roman" w:cs="Times New Roman"/>
          <w:noProof/>
          <w:color w:val="000000"/>
          <w:sz w:val="24"/>
          <w:szCs w:val="24"/>
        </w:rPr>
        <w:tab/>
        <w:t>RUR-02-2018: Socio-economic impacts of digitisation of agriculture and rural areas</w:t>
      </w:r>
    </w:p>
    <w:p w:rsidR="00333A1A" w:rsidRDefault="003D29C9">
      <w:pPr>
        <w:spacing w:after="0" w:line="240" w:lineRule="auto"/>
        <w:ind w:left="568" w:hanging="284"/>
        <w:contextualSpacing/>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w:t>
      </w:r>
      <w:r>
        <w:rPr>
          <w:rFonts w:ascii="Times New Roman" w:eastAsia="Calibri" w:hAnsi="Times New Roman" w:cs="Times New Roman"/>
          <w:noProof/>
          <w:color w:val="000000"/>
          <w:sz w:val="24"/>
          <w:szCs w:val="24"/>
        </w:rPr>
        <w:tab/>
        <w:t>RUR-13-2018: Enabling the fa</w:t>
      </w:r>
      <w:r>
        <w:rPr>
          <w:rFonts w:ascii="Times New Roman" w:eastAsia="Calibri" w:hAnsi="Times New Roman" w:cs="Times New Roman"/>
          <w:noProof/>
          <w:color w:val="000000"/>
          <w:sz w:val="24"/>
          <w:szCs w:val="24"/>
        </w:rPr>
        <w:t xml:space="preserve">rm advisor community to prepare farmers for the digital age </w:t>
      </w:r>
    </w:p>
    <w:p w:rsidR="00333A1A" w:rsidRDefault="003D29C9">
      <w:pPr>
        <w:spacing w:after="0" w:line="240" w:lineRule="auto"/>
        <w:ind w:left="568" w:hanging="284"/>
        <w:contextualSpacing/>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w:t>
      </w:r>
      <w:r>
        <w:rPr>
          <w:rFonts w:ascii="Times New Roman" w:eastAsia="Calibri" w:hAnsi="Times New Roman" w:cs="Times New Roman"/>
          <w:noProof/>
          <w:color w:val="000000"/>
          <w:sz w:val="24"/>
          <w:szCs w:val="24"/>
        </w:rPr>
        <w:tab/>
        <w:t>RUR-14-2018: Digital solutions and e-tools to modernise the CAP</w:t>
      </w:r>
    </w:p>
    <w:p w:rsidR="00333A1A" w:rsidRDefault="003D29C9">
      <w:pPr>
        <w:spacing w:after="0" w:line="240" w:lineRule="auto"/>
        <w:ind w:left="568" w:hanging="284"/>
        <w:contextualSpacing/>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   DT-RUR-12-2018: ICT Innovation for agriculture – Digital Innovation Hubs for Agriculture </w:t>
      </w:r>
    </w:p>
    <w:p w:rsidR="00333A1A" w:rsidRDefault="003D29C9">
      <w:pPr>
        <w:spacing w:after="0" w:line="240" w:lineRule="auto"/>
        <w:ind w:left="568" w:hanging="284"/>
        <w:contextualSpacing/>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   DT-ICT-08-2019: Agricultural </w:t>
      </w:r>
      <w:r>
        <w:rPr>
          <w:rFonts w:ascii="Times New Roman" w:eastAsia="Calibri" w:hAnsi="Times New Roman" w:cs="Times New Roman"/>
          <w:noProof/>
          <w:color w:val="000000"/>
          <w:sz w:val="24"/>
          <w:szCs w:val="24"/>
        </w:rPr>
        <w:t>digital cross-cutting integration platforms</w:t>
      </w:r>
    </w:p>
    <w:p w:rsidR="00333A1A" w:rsidRDefault="003D29C9">
      <w:pPr>
        <w:spacing w:after="0" w:line="240" w:lineRule="auto"/>
        <w:ind w:left="568" w:hanging="284"/>
        <w:contextualSpacing/>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DT-ICT-09-2020: Digital service platforms for rural economies</w:t>
      </w:r>
    </w:p>
    <w:p w:rsidR="00333A1A" w:rsidRDefault="00333A1A">
      <w:pPr>
        <w:spacing w:line="240" w:lineRule="auto"/>
        <w:ind w:left="284"/>
        <w:rPr>
          <w:rFonts w:ascii="Times New Roman" w:hAnsi="Times New Roman" w:cs="Times New Roman"/>
          <w:b/>
          <w:noProof/>
          <w:sz w:val="24"/>
          <w:szCs w:val="24"/>
          <w:u w:val="single"/>
        </w:rPr>
      </w:pPr>
    </w:p>
    <w:p w:rsidR="00333A1A" w:rsidRDefault="003D29C9">
      <w:pPr>
        <w:spacing w:line="240" w:lineRule="auto"/>
        <w:rPr>
          <w:b/>
          <w:noProof/>
          <w:u w:val="single"/>
        </w:rPr>
      </w:pPr>
      <w:r>
        <w:rPr>
          <w:rFonts w:ascii="Times New Roman" w:hAnsi="Times New Roman" w:cs="Times New Roman"/>
          <w:b/>
          <w:noProof/>
          <w:sz w:val="24"/>
          <w:szCs w:val="24"/>
          <w:u w:val="single"/>
        </w:rPr>
        <w:t>Annex 6.1: Characterising MSs’ AKISs</w:t>
      </w:r>
      <w:r>
        <w:rPr>
          <w:b/>
          <w:noProof/>
          <w:u w:val="single"/>
          <w:lang w:eastAsia="en-GB"/>
        </w:rPr>
        <w:drawing>
          <wp:inline distT="0" distB="0" distL="0" distR="0" wp14:anchorId="6AA3C6D9" wp14:editId="2810743C">
            <wp:extent cx="5398936" cy="3858371"/>
            <wp:effectExtent l="0" t="0" r="0" b="8890"/>
            <wp:docPr id="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399690" cy="3858910"/>
                    </a:xfrm>
                    <a:prstGeom prst="rect">
                      <a:avLst/>
                    </a:prstGeom>
                  </pic:spPr>
                </pic:pic>
              </a:graphicData>
            </a:graphic>
          </wp:inline>
        </w:drawing>
      </w:r>
    </w:p>
    <w:p w:rsidR="00333A1A" w:rsidRDefault="003D29C9">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Annex 6.2: Report of the European Parliament</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recent </w:t>
      </w:r>
      <w:r>
        <w:rPr>
          <w:rFonts w:ascii="Times New Roman" w:hAnsi="Times New Roman" w:cs="Times New Roman"/>
          <w:b/>
          <w:noProof/>
          <w:sz w:val="24"/>
          <w:szCs w:val="24"/>
        </w:rPr>
        <w:t>report of the European Parliament</w:t>
      </w:r>
      <w:r>
        <w:rPr>
          <w:rFonts w:ascii="Times New Roman" w:hAnsi="Times New Roman" w:cs="Times New Roman"/>
          <w:noProof/>
          <w:sz w:val="24"/>
          <w:szCs w:val="24"/>
          <w:vertAlign w:val="superscript"/>
        </w:rPr>
        <w:footnoteReference w:id="90"/>
      </w:r>
      <w:r>
        <w:rPr>
          <w:rFonts w:ascii="Times New Roman" w:hAnsi="Times New Roman" w:cs="Times New Roman"/>
          <w:noProof/>
          <w:sz w:val="24"/>
          <w:szCs w:val="24"/>
        </w:rPr>
        <w:t xml:space="preserve"> addresses a number of issues related with the digital transition in agriculture which can be tackled through well designed research, advice and innovation actions:</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it is clear that the farmer owns the data generated on his fields, with increasing a</w:t>
      </w:r>
      <w:r>
        <w:rPr>
          <w:rFonts w:ascii="Times New Roman" w:hAnsi="Times New Roman" w:cs="Times New Roman"/>
          <w:noProof/>
          <w:sz w:val="24"/>
          <w:szCs w:val="24"/>
        </w:rPr>
        <w:t>mounts of data being created about farming and by farmers, the identification of the different forms of field level data on yield and input performance being generated by the technology has become an overriding issue that remains relatively unexplored”. "P</w:t>
      </w:r>
      <w:r>
        <w:rPr>
          <w:rFonts w:ascii="Times New Roman" w:hAnsi="Times New Roman" w:cs="Times New Roman"/>
          <w:noProof/>
          <w:sz w:val="24"/>
          <w:szCs w:val="24"/>
        </w:rPr>
        <w:t xml:space="preserve">ointing out that data can be a valuable commodity in its own right, </w:t>
      </w:r>
      <w:r>
        <w:rPr>
          <w:rFonts w:ascii="Times New Roman" w:hAnsi="Times New Roman" w:cs="Times New Roman"/>
          <w:b/>
          <w:noProof/>
          <w:sz w:val="24"/>
          <w:szCs w:val="24"/>
        </w:rPr>
        <w:t>the study warns that its misuse could have far-reaching consequences</w:t>
      </w:r>
      <w:r>
        <w:rPr>
          <w:rFonts w:ascii="Times New Roman" w:hAnsi="Times New Roman" w:cs="Times New Roman"/>
          <w:noProof/>
          <w:sz w:val="24"/>
          <w:szCs w:val="24"/>
        </w:rPr>
        <w:t>: “Data combined with other farm data can be crunched, tweezed or bludgeoned into showing trends, predict market futures</w:t>
      </w:r>
      <w:r>
        <w:rPr>
          <w:rFonts w:ascii="Times New Roman" w:hAnsi="Times New Roman" w:cs="Times New Roman"/>
          <w:noProof/>
          <w:sz w:val="24"/>
          <w:szCs w:val="24"/>
        </w:rPr>
        <w:t xml:space="preserve"> or the adoption of new crop technology. Thus, its potential misuse could lead to anti-competitive practices including price discrimination and speculations in commodity markets that may affect food security especially in Europe.” </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b/>
          <w:noProof/>
          <w:sz w:val="24"/>
          <w:szCs w:val="24"/>
        </w:rPr>
        <w:t>Precision agriculture a</w:t>
      </w:r>
      <w:r>
        <w:rPr>
          <w:rFonts w:ascii="Times New Roman" w:hAnsi="Times New Roman" w:cs="Times New Roman"/>
          <w:b/>
          <w:noProof/>
          <w:sz w:val="24"/>
          <w:szCs w:val="24"/>
        </w:rPr>
        <w:t>lso raises questions in relation to the terms of interaction between humans and machines – particularly regarding the lack of independent advisory/consultancy services</w:t>
      </w:r>
      <w:r>
        <w:rPr>
          <w:rFonts w:ascii="Times New Roman" w:hAnsi="Times New Roman" w:cs="Times New Roman"/>
          <w:noProof/>
          <w:sz w:val="24"/>
          <w:szCs w:val="24"/>
        </w:rPr>
        <w:t xml:space="preserve">. Given the technical complexity of precision agriculture, its use and operation require </w:t>
      </w:r>
      <w:r>
        <w:rPr>
          <w:rFonts w:ascii="Times New Roman" w:hAnsi="Times New Roman" w:cs="Times New Roman"/>
          <w:noProof/>
          <w:sz w:val="24"/>
          <w:szCs w:val="24"/>
        </w:rPr>
        <w:t>the provision of advisory/consultancy services specialised in data management. Such specific services would probably not be independent, and may generate competition and fragmentation with regard to current farm advisory services providing comprehensive an</w:t>
      </w:r>
      <w:r>
        <w:rPr>
          <w:rFonts w:ascii="Times New Roman" w:hAnsi="Times New Roman" w:cs="Times New Roman"/>
          <w:noProof/>
          <w:sz w:val="24"/>
          <w:szCs w:val="24"/>
        </w:rPr>
        <w:t>d impartial advice for farmers. Farm advisory services and the European Innovation Partnership enable support for the uptake of new technologies, new management approaches specific to local conditions and tailor-made solutions. If Member States programme t</w:t>
      </w:r>
      <w:r>
        <w:rPr>
          <w:rFonts w:ascii="Times New Roman" w:hAnsi="Times New Roman" w:cs="Times New Roman"/>
          <w:noProof/>
          <w:sz w:val="24"/>
          <w:szCs w:val="24"/>
        </w:rPr>
        <w:t>he advisory measure, farmers can be funded for the use of expert advice and the necessary knowledge and information required for implementing farm operations. Farm advisers play a central role in recommending, delivering and giving support to farmers on ne</w:t>
      </w:r>
      <w:r>
        <w:rPr>
          <w:rFonts w:ascii="Times New Roman" w:hAnsi="Times New Roman" w:cs="Times New Roman"/>
          <w:noProof/>
          <w:sz w:val="24"/>
          <w:szCs w:val="24"/>
        </w:rPr>
        <w:t xml:space="preserve">w data management technologies, including precision agriculture. </w:t>
      </w:r>
      <w:r>
        <w:rPr>
          <w:rFonts w:ascii="Times New Roman" w:hAnsi="Times New Roman" w:cs="Times New Roman"/>
          <w:b/>
          <w:noProof/>
          <w:sz w:val="24"/>
          <w:szCs w:val="24"/>
        </w:rPr>
        <w:t>The increasing use of precision agriculture creates an additional challenge for established farm advisory services</w:t>
      </w:r>
      <w:r>
        <w:rPr>
          <w:rFonts w:ascii="Times New Roman" w:hAnsi="Times New Roman" w:cs="Times New Roman"/>
          <w:noProof/>
          <w:sz w:val="24"/>
          <w:szCs w:val="24"/>
        </w:rPr>
        <w:t>. Farmers should be enabled to receive personalised, targeted advice based on</w:t>
      </w:r>
      <w:r>
        <w:rPr>
          <w:rFonts w:ascii="Times New Roman" w:hAnsi="Times New Roman" w:cs="Times New Roman"/>
          <w:noProof/>
          <w:sz w:val="24"/>
          <w:szCs w:val="24"/>
        </w:rPr>
        <w:t xml:space="preserve"> the information/data they own and provide to their adviser. To this aim, common data standards are needed and farm advisory services will need dedicated tools and training on agricultural data management." "Also, </w:t>
      </w:r>
      <w:r>
        <w:rPr>
          <w:rFonts w:ascii="Times New Roman" w:hAnsi="Times New Roman" w:cs="Times New Roman"/>
          <w:b/>
          <w:noProof/>
          <w:sz w:val="24"/>
          <w:szCs w:val="24"/>
        </w:rPr>
        <w:t xml:space="preserve">open-source environmental, geographic and </w:t>
      </w:r>
      <w:r>
        <w:rPr>
          <w:rFonts w:ascii="Times New Roman" w:hAnsi="Times New Roman" w:cs="Times New Roman"/>
          <w:b/>
          <w:noProof/>
          <w:sz w:val="24"/>
          <w:szCs w:val="24"/>
        </w:rPr>
        <w:t>satellite imagery data should become accessible to advisory schemes allowing the latter to develop balanced information dissemination without bias or special interests</w:t>
      </w:r>
      <w:r>
        <w:rPr>
          <w:rFonts w:ascii="Times New Roman" w:hAnsi="Times New Roman" w:cs="Times New Roman"/>
          <w:noProof/>
          <w:sz w:val="24"/>
          <w:szCs w:val="24"/>
        </w:rPr>
        <w:t>. The farm advisory services in Member States can in principle play a special role in sup</w:t>
      </w:r>
      <w:r>
        <w:rPr>
          <w:rFonts w:ascii="Times New Roman" w:hAnsi="Times New Roman" w:cs="Times New Roman"/>
          <w:noProof/>
          <w:sz w:val="24"/>
          <w:szCs w:val="24"/>
        </w:rPr>
        <w:t xml:space="preserve">porting precision agriculture, </w:t>
      </w:r>
      <w:r>
        <w:rPr>
          <w:rFonts w:ascii="Times New Roman" w:hAnsi="Times New Roman" w:cs="Times New Roman"/>
          <w:b/>
          <w:noProof/>
          <w:sz w:val="24"/>
          <w:szCs w:val="24"/>
        </w:rPr>
        <w:t>providing support and advice to farmers regarding technology and precision agriculture methods as an independent body not linked with commercial companies</w:t>
      </w:r>
      <w:r>
        <w:rPr>
          <w:rFonts w:ascii="Times New Roman" w:hAnsi="Times New Roman" w:cs="Times New Roman"/>
          <w:noProof/>
          <w:sz w:val="24"/>
          <w:szCs w:val="24"/>
        </w:rPr>
        <w:t>."</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Given that precision agriculture is currently almost entirely based </w:t>
      </w:r>
      <w:r>
        <w:rPr>
          <w:rFonts w:ascii="Times New Roman" w:hAnsi="Times New Roman" w:cs="Times New Roman"/>
          <w:noProof/>
          <w:sz w:val="24"/>
          <w:szCs w:val="24"/>
        </w:rPr>
        <w:t>on the private sector offering devices, products and services to the bigger farmers who can afford it, public service advice is generally very limited. In the majority of Member States, access to independent advisory services linked to public bodies, co-op</w:t>
      </w:r>
      <w:r>
        <w:rPr>
          <w:rFonts w:ascii="Times New Roman" w:hAnsi="Times New Roman" w:cs="Times New Roman"/>
          <w:noProof/>
          <w:sz w:val="24"/>
          <w:szCs w:val="24"/>
        </w:rPr>
        <w:t xml:space="preserve">eratives and farmer associations, where the farmers can get additional information in order to make decisions, is limited and rather unstructured. </w:t>
      </w:r>
      <w:r>
        <w:rPr>
          <w:rFonts w:ascii="Times New Roman" w:hAnsi="Times New Roman" w:cs="Times New Roman"/>
          <w:b/>
          <w:noProof/>
          <w:sz w:val="24"/>
          <w:szCs w:val="24"/>
        </w:rPr>
        <w:t>The role of independent advisers, who can combine agricultural and environmental understanding, is critical a</w:t>
      </w:r>
      <w:r>
        <w:rPr>
          <w:rFonts w:ascii="Times New Roman" w:hAnsi="Times New Roman" w:cs="Times New Roman"/>
          <w:b/>
          <w:noProof/>
          <w:sz w:val="24"/>
          <w:szCs w:val="24"/>
        </w:rPr>
        <w:t>s they can be consulted by farmers as impartial sources of knowledge and experience</w:t>
      </w:r>
      <w:r>
        <w:rPr>
          <w:rFonts w:ascii="Times New Roman" w:hAnsi="Times New Roman" w:cs="Times New Roman"/>
          <w:noProof/>
          <w:sz w:val="24"/>
          <w:szCs w:val="24"/>
        </w:rPr>
        <w:t>, rather than private company consultants whose role may for instance include product sales as a condition for their support."</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new </w:t>
      </w:r>
      <w:r>
        <w:rPr>
          <w:rFonts w:ascii="Times New Roman" w:hAnsi="Times New Roman" w:cs="Times New Roman"/>
          <w:b/>
          <w:noProof/>
          <w:sz w:val="24"/>
          <w:szCs w:val="24"/>
        </w:rPr>
        <w:t>'big data digital divide'</w:t>
      </w:r>
      <w:r>
        <w:rPr>
          <w:rFonts w:ascii="Times New Roman" w:hAnsi="Times New Roman" w:cs="Times New Roman"/>
          <w:noProof/>
          <w:sz w:val="24"/>
          <w:szCs w:val="24"/>
        </w:rPr>
        <w:t xml:space="preserve"> as a form of </w:t>
      </w:r>
      <w:r>
        <w:rPr>
          <w:rFonts w:ascii="Times New Roman" w:hAnsi="Times New Roman" w:cs="Times New Roman"/>
          <w:noProof/>
          <w:sz w:val="24"/>
          <w:szCs w:val="24"/>
        </w:rPr>
        <w:t xml:space="preserve">economic and social inequality may emerge as farmers most often lack the tools or the context to analyse their own data and are mostly unaware of the extent to which their data get stored, traded and analysed for future use. In particular, one of the main </w:t>
      </w:r>
      <w:r>
        <w:rPr>
          <w:rFonts w:ascii="Times New Roman" w:hAnsi="Times New Roman" w:cs="Times New Roman"/>
          <w:noProof/>
          <w:sz w:val="24"/>
          <w:szCs w:val="24"/>
        </w:rPr>
        <w:t>restrictions for data sharing among institutions, farmers, advisers and researchers is due to non-standard software and data formatting solutions."</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new farm information management system</w:t>
      </w:r>
      <w:r>
        <w:rPr>
          <w:rFonts w:ascii="Times New Roman" w:hAnsi="Times New Roman" w:cs="Times New Roman"/>
          <w:noProof/>
          <w:sz w:val="24"/>
          <w:szCs w:val="24"/>
        </w:rPr>
        <w:t xml:space="preserve"> may need to be developed, that could facilitate instructions to op</w:t>
      </w:r>
      <w:r>
        <w:rPr>
          <w:rFonts w:ascii="Times New Roman" w:hAnsi="Times New Roman" w:cs="Times New Roman"/>
          <w:noProof/>
          <w:sz w:val="24"/>
          <w:szCs w:val="24"/>
        </w:rPr>
        <w:t>erators, the certification of crop production process and cross compliance of standards. Farm advisers will be needed to analyse the data of a farm and help farmers, both large and small ones, to know more and understand the added value of managing their d</w:t>
      </w:r>
      <w:r>
        <w:rPr>
          <w:rFonts w:ascii="Times New Roman" w:hAnsi="Times New Roman" w:cs="Times New Roman"/>
          <w:noProof/>
          <w:sz w:val="24"/>
          <w:szCs w:val="24"/>
        </w:rPr>
        <w:t xml:space="preserve">ata in an effective way (e.g. about the nutrient balance of their soil). </w:t>
      </w:r>
      <w:r>
        <w:rPr>
          <w:rFonts w:ascii="Times New Roman" w:hAnsi="Times New Roman" w:cs="Times New Roman"/>
          <w:b/>
          <w:noProof/>
          <w:sz w:val="24"/>
          <w:szCs w:val="24"/>
        </w:rPr>
        <w:t>All farmers should benefit from that, not only those that can afford to pay for the services of private advisers</w:t>
      </w:r>
      <w:r>
        <w:rPr>
          <w:rFonts w:ascii="Times New Roman" w:hAnsi="Times New Roman" w:cs="Times New Roman"/>
          <w:noProof/>
          <w:sz w:val="24"/>
          <w:szCs w:val="24"/>
        </w:rPr>
        <w:t>. Simply making data available is not enough to address these differenc</w:t>
      </w:r>
      <w:r>
        <w:rPr>
          <w:rFonts w:ascii="Times New Roman" w:hAnsi="Times New Roman" w:cs="Times New Roman"/>
          <w:noProof/>
          <w:sz w:val="24"/>
          <w:szCs w:val="24"/>
        </w:rPr>
        <w:t xml:space="preserve">es, and more needs to be done, potentially through providing </w:t>
      </w:r>
      <w:r>
        <w:rPr>
          <w:rFonts w:ascii="Times New Roman" w:hAnsi="Times New Roman" w:cs="Times New Roman"/>
          <w:b/>
          <w:noProof/>
          <w:sz w:val="24"/>
          <w:szCs w:val="24"/>
        </w:rPr>
        <w:t>low-cost advisory services on data use</w:t>
      </w:r>
      <w:r>
        <w:rPr>
          <w:rFonts w:ascii="Times New Roman" w:hAnsi="Times New Roman" w:cs="Times New Roman"/>
          <w:noProof/>
          <w:sz w:val="24"/>
          <w:szCs w:val="24"/>
        </w:rPr>
        <w:t>. Combining public data with the farmers' own data, possibly supported for the analysis by independent advisers, can help small and medium farms to make bett</w:t>
      </w:r>
      <w:r>
        <w:rPr>
          <w:rFonts w:ascii="Times New Roman" w:hAnsi="Times New Roman" w:cs="Times New Roman"/>
          <w:noProof/>
          <w:sz w:val="24"/>
          <w:szCs w:val="24"/>
        </w:rPr>
        <w:t xml:space="preserve">er use of data and improve their insight in the farming and market processes with a view to supporting competiveness and improving sustainability. The combination of public data and farmers' data can support a </w:t>
      </w:r>
      <w:r>
        <w:rPr>
          <w:rFonts w:ascii="Times New Roman" w:hAnsi="Times New Roman" w:cs="Times New Roman"/>
          <w:b/>
          <w:noProof/>
          <w:sz w:val="24"/>
          <w:szCs w:val="24"/>
        </w:rPr>
        <w:t>level playing field for an agricultural data '</w:t>
      </w:r>
      <w:r>
        <w:rPr>
          <w:rFonts w:ascii="Times New Roman" w:hAnsi="Times New Roman" w:cs="Times New Roman"/>
          <w:b/>
          <w:noProof/>
          <w:sz w:val="24"/>
          <w:szCs w:val="24"/>
        </w:rPr>
        <w:t>ecosystem' for all farms</w:t>
      </w:r>
      <w:r>
        <w:rPr>
          <w:rFonts w:ascii="Times New Roman" w:hAnsi="Times New Roman" w:cs="Times New Roman"/>
          <w:noProof/>
          <w:sz w:val="24"/>
          <w:szCs w:val="24"/>
        </w:rPr>
        <w:t xml:space="preserve">. The development of data exchange for the precision agriculture information systems based </w:t>
      </w:r>
      <w:r>
        <w:rPr>
          <w:rFonts w:ascii="Times New Roman" w:hAnsi="Times New Roman" w:cs="Times New Roman"/>
          <w:b/>
          <w:noProof/>
          <w:sz w:val="24"/>
          <w:szCs w:val="24"/>
        </w:rPr>
        <w:t>on EU common standards</w:t>
      </w:r>
      <w:r>
        <w:rPr>
          <w:rFonts w:ascii="Times New Roman" w:hAnsi="Times New Roman" w:cs="Times New Roman"/>
          <w:noProof/>
          <w:sz w:val="24"/>
          <w:szCs w:val="24"/>
        </w:rPr>
        <w:t xml:space="preserve"> may address the problem of digital division."</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Therefore the report, which is advisory in nature, calls for the establi</w:t>
      </w:r>
      <w:r>
        <w:rPr>
          <w:rFonts w:ascii="Times New Roman" w:hAnsi="Times New Roman" w:cs="Times New Roman"/>
          <w:noProof/>
          <w:sz w:val="24"/>
          <w:szCs w:val="24"/>
        </w:rPr>
        <w:t>shment of what it calls “</w:t>
      </w:r>
      <w:r>
        <w:rPr>
          <w:rFonts w:ascii="Times New Roman" w:hAnsi="Times New Roman" w:cs="Times New Roman"/>
          <w:b/>
          <w:noProof/>
          <w:sz w:val="24"/>
          <w:szCs w:val="24"/>
        </w:rPr>
        <w:t>an EU-wide independent, farmer-centric data repository</w:t>
      </w:r>
      <w:r>
        <w:rPr>
          <w:rFonts w:ascii="Times New Roman" w:hAnsi="Times New Roman" w:cs="Times New Roman"/>
          <w:noProof/>
          <w:sz w:val="24"/>
          <w:szCs w:val="24"/>
        </w:rPr>
        <w:t xml:space="preserve">” to ensure safe and proper access to data generated by precision farming. The geospatial data already collected in the framework of the CAP payments, and existing EU standards </w:t>
      </w:r>
      <w:r>
        <w:rPr>
          <w:rFonts w:ascii="Times New Roman" w:hAnsi="Times New Roman" w:cs="Times New Roman"/>
          <w:noProof/>
          <w:sz w:val="24"/>
          <w:szCs w:val="24"/>
        </w:rPr>
        <w:t xml:space="preserve">linked to this system, may provide a good base for developing this data repository,” the report’s author suggests. “Moreover, such </w:t>
      </w:r>
      <w:r>
        <w:rPr>
          <w:rFonts w:ascii="Times New Roman" w:hAnsi="Times New Roman" w:cs="Times New Roman"/>
          <w:b/>
          <w:noProof/>
          <w:sz w:val="24"/>
          <w:szCs w:val="24"/>
        </w:rPr>
        <w:t>an EU-wide repository has a huge potential for administrative simplification, both for farmers and for Member State administr</w:t>
      </w:r>
      <w:r>
        <w:rPr>
          <w:rFonts w:ascii="Times New Roman" w:hAnsi="Times New Roman" w:cs="Times New Roman"/>
          <w:b/>
          <w:noProof/>
          <w:sz w:val="24"/>
          <w:szCs w:val="24"/>
        </w:rPr>
        <w:t>ations</w:t>
      </w:r>
      <w:r>
        <w:rPr>
          <w:rFonts w:ascii="Times New Roman" w:hAnsi="Times New Roman" w:cs="Times New Roman"/>
          <w:noProof/>
          <w:sz w:val="24"/>
          <w:szCs w:val="24"/>
        </w:rPr>
        <w:t xml:space="preserve">. It could also enable a </w:t>
      </w:r>
      <w:r>
        <w:rPr>
          <w:rFonts w:ascii="Times New Roman" w:hAnsi="Times New Roman" w:cs="Times New Roman"/>
          <w:b/>
          <w:noProof/>
          <w:sz w:val="24"/>
          <w:szCs w:val="24"/>
        </w:rPr>
        <w:t>set of synergies with applications related to, for example, traceability of food, certification schemes (organic production, geographical indications),</w:t>
      </w:r>
      <w:r>
        <w:rPr>
          <w:rFonts w:ascii="Times New Roman" w:hAnsi="Times New Roman" w:cs="Times New Roman"/>
          <w:noProof/>
          <w:sz w:val="24"/>
          <w:szCs w:val="24"/>
        </w:rPr>
        <w:t xml:space="preserve"> research and innovation projects, etc. The not too distant future will pr</w:t>
      </w:r>
      <w:r>
        <w:rPr>
          <w:rFonts w:ascii="Times New Roman" w:hAnsi="Times New Roman" w:cs="Times New Roman"/>
          <w:noProof/>
          <w:sz w:val="24"/>
          <w:szCs w:val="24"/>
        </w:rPr>
        <w:t>ovide even more opportunities for capturing and sharing data at an EU scale.”</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a concern debated in the new report is that of access of precision farming tools for smaller-scale producers. </w:t>
      </w:r>
      <w:r>
        <w:rPr>
          <w:rFonts w:ascii="Times New Roman" w:hAnsi="Times New Roman" w:cs="Times New Roman"/>
          <w:b/>
          <w:noProof/>
          <w:sz w:val="24"/>
          <w:szCs w:val="24"/>
        </w:rPr>
        <w:t>“Small farmers may be unable to keep up with new technologi</w:t>
      </w:r>
      <w:r>
        <w:rPr>
          <w:rFonts w:ascii="Times New Roman" w:hAnsi="Times New Roman" w:cs="Times New Roman"/>
          <w:b/>
          <w:noProof/>
          <w:sz w:val="24"/>
          <w:szCs w:val="24"/>
        </w:rPr>
        <w:t>es because of lack of knowledge</w:t>
      </w:r>
      <w:r>
        <w:rPr>
          <w:rFonts w:ascii="Times New Roman" w:hAnsi="Times New Roman" w:cs="Times New Roman"/>
          <w:noProof/>
          <w:sz w:val="24"/>
          <w:szCs w:val="24"/>
        </w:rPr>
        <w:t xml:space="preserve"> or investment capital. This could lead to a large </w:t>
      </w:r>
      <w:r>
        <w:rPr>
          <w:rFonts w:ascii="Times New Roman" w:hAnsi="Times New Roman" w:cs="Times New Roman"/>
          <w:b/>
          <w:noProof/>
          <w:sz w:val="24"/>
          <w:szCs w:val="24"/>
        </w:rPr>
        <w:t>digital divide between big and small farmers</w:t>
      </w:r>
      <w:r>
        <w:rPr>
          <w:rFonts w:ascii="Times New Roman" w:hAnsi="Times New Roman" w:cs="Times New Roman"/>
          <w:noProof/>
          <w:sz w:val="24"/>
          <w:szCs w:val="24"/>
        </w:rPr>
        <w:t xml:space="preserve">,” it warns. The report suggests that one way of addressing this problem could be to </w:t>
      </w:r>
      <w:r>
        <w:rPr>
          <w:rFonts w:ascii="Times New Roman" w:hAnsi="Times New Roman" w:cs="Times New Roman"/>
          <w:b/>
          <w:noProof/>
          <w:sz w:val="24"/>
          <w:szCs w:val="24"/>
        </w:rPr>
        <w:t>incentivise Producers' Organisations (POs) to</w:t>
      </w:r>
      <w:r>
        <w:rPr>
          <w:rFonts w:ascii="Times New Roman" w:hAnsi="Times New Roman" w:cs="Times New Roman"/>
          <w:b/>
          <w:noProof/>
          <w:sz w:val="24"/>
          <w:szCs w:val="24"/>
        </w:rPr>
        <w:t xml:space="preserve"> organise access to precision farming for its members</w:t>
      </w:r>
      <w:r>
        <w:rPr>
          <w:rFonts w:ascii="Times New Roman" w:hAnsi="Times New Roman" w:cs="Times New Roman"/>
          <w:noProof/>
          <w:sz w:val="24"/>
          <w:szCs w:val="24"/>
        </w:rPr>
        <w:t>, with the support of Common Market Organisation (CMO) funds. This, it suggests, may prove more accessible for small farmers than existing grants for technological innovation under Pillar Two of the CAP.</w:t>
      </w:r>
    </w:p>
    <w:p w:rsidR="00333A1A" w:rsidRDefault="003D29C9">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Annex 6.3: H2020 projects </w:t>
      </w:r>
      <w:r>
        <w:rPr>
          <w:rFonts w:ascii="Times New Roman" w:eastAsia="Calibri" w:hAnsi="Times New Roman" w:cs="Times New Roman"/>
          <w:b/>
          <w:noProof/>
          <w:sz w:val="24"/>
          <w:szCs w:val="24"/>
          <w:u w:val="single"/>
        </w:rPr>
        <w:t>supporting the digital transition in agriculture (2018-2019-2020)</w:t>
      </w:r>
    </w:p>
    <w:p w:rsidR="00333A1A" w:rsidRDefault="003D29C9">
      <w:pPr>
        <w:autoSpaceDE w:val="0"/>
        <w:autoSpaceDN w:val="0"/>
        <w:adjustRightInd w:val="0"/>
        <w:spacing w:after="240" w:line="240" w:lineRule="auto"/>
        <w:jc w:val="both"/>
        <w:rPr>
          <w:rFonts w:ascii="Times New Roman" w:hAnsi="Times New Roman" w:cs="Times New Roman"/>
          <w:noProof/>
          <w:sz w:val="24"/>
          <w:szCs w:val="24"/>
        </w:rPr>
      </w:pPr>
      <w:r>
        <w:rPr>
          <w:rFonts w:ascii="Calibri" w:eastAsia="Calibri" w:hAnsi="Calibri" w:cs="Times New Roman"/>
          <w:noProof/>
          <w:lang w:eastAsia="en-GB"/>
        </w:rPr>
        <w:drawing>
          <wp:inline distT="0" distB="0" distL="0" distR="0" wp14:anchorId="1A47EFE0" wp14:editId="54CA2231">
            <wp:extent cx="5759450" cy="2531187"/>
            <wp:effectExtent l="0" t="0" r="0" b="2540"/>
            <wp:docPr id="28" name="Picture 28" descr="cid:image002.jpg@01D3A580.DF09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A580.DF09936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5759450" cy="2531187"/>
                    </a:xfrm>
                    <a:prstGeom prst="rect">
                      <a:avLst/>
                    </a:prstGeom>
                    <a:noFill/>
                    <a:ln>
                      <a:noFill/>
                    </a:ln>
                  </pic:spPr>
                </pic:pic>
              </a:graphicData>
            </a:graphic>
          </wp:inline>
        </w:drawing>
      </w:r>
    </w:p>
    <w:p w:rsidR="00333A1A" w:rsidRDefault="003D29C9">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33A1A" w:rsidRDefault="003D29C9">
      <w:pPr>
        <w:spacing w:line="240" w:lineRule="auto"/>
        <w:rPr>
          <w:rFonts w:ascii="Times New Roman" w:eastAsia="Calibri" w:hAnsi="Times New Roman" w:cs="Times New Roman"/>
          <w:b/>
          <w:noProof/>
          <w:sz w:val="24"/>
          <w:szCs w:val="24"/>
          <w:u w:val="single"/>
        </w:rPr>
      </w:pPr>
      <w:r>
        <w:rPr>
          <w:rFonts w:ascii="Times New Roman" w:hAnsi="Times New Roman" w:cs="Times New Roman"/>
          <w:b/>
          <w:noProof/>
          <w:sz w:val="24"/>
          <w:szCs w:val="24"/>
          <w:u w:val="single"/>
        </w:rPr>
        <w:t xml:space="preserve">Annex 6.4: H2020 "Thematic network" projects </w:t>
      </w:r>
      <w:r>
        <w:rPr>
          <w:rFonts w:ascii="Times New Roman" w:eastAsia="Calibri" w:hAnsi="Times New Roman" w:cs="Times New Roman"/>
          <w:b/>
          <w:noProof/>
          <w:sz w:val="24"/>
          <w:szCs w:val="24"/>
          <w:u w:val="single"/>
        </w:rPr>
        <w:t>compiling knowledge ready for practice (2014-2017)</w:t>
      </w:r>
    </w:p>
    <w:p w:rsidR="00333A1A" w:rsidRDefault="003D29C9">
      <w:pPr>
        <w:spacing w:after="120" w:line="240" w:lineRule="auto"/>
        <w:rPr>
          <w:rFonts w:ascii="Verdana" w:hAnsi="Verdana"/>
          <w:b/>
          <w:noProof/>
          <w:sz w:val="20"/>
          <w:u w:val="single"/>
        </w:rPr>
      </w:pPr>
      <w:r>
        <w:rPr>
          <w:rFonts w:ascii="Verdana" w:hAnsi="Verdana"/>
          <w:b/>
          <w:noProof/>
          <w:sz w:val="20"/>
        </w:rPr>
        <w:t>Themes rather sector-oriented (2014-2016):</w:t>
      </w:r>
    </w:p>
    <w:p w:rsidR="00333A1A" w:rsidRDefault="003D29C9">
      <w:pPr>
        <w:spacing w:after="120" w:line="240" w:lineRule="auto"/>
        <w:rPr>
          <w:rFonts w:ascii="Verdana" w:hAnsi="Verdana"/>
          <w:b/>
          <w:noProof/>
          <w:sz w:val="20"/>
          <w:u w:val="single"/>
        </w:rPr>
      </w:pPr>
      <w:r>
        <w:rPr>
          <w:rFonts w:ascii="Verdana" w:hAnsi="Verdana"/>
          <w:b/>
          <w:noProof/>
          <w:sz w:val="20"/>
          <w:u w:val="single"/>
          <w:lang w:eastAsia="en-GB"/>
        </w:rPr>
        <w:drawing>
          <wp:inline distT="0" distB="0" distL="0" distR="0" wp14:anchorId="698E8605" wp14:editId="1BB84DF4">
            <wp:extent cx="4844881" cy="35303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846365" cy="3531461"/>
                    </a:xfrm>
                    <a:prstGeom prst="rect">
                      <a:avLst/>
                    </a:prstGeom>
                  </pic:spPr>
                </pic:pic>
              </a:graphicData>
            </a:graphic>
          </wp:inline>
        </w:drawing>
      </w:r>
    </w:p>
    <w:p w:rsidR="00333A1A" w:rsidRDefault="00333A1A">
      <w:pPr>
        <w:spacing w:after="120" w:line="240" w:lineRule="auto"/>
        <w:rPr>
          <w:rFonts w:ascii="Verdana" w:hAnsi="Verdana"/>
          <w:b/>
          <w:noProof/>
          <w:sz w:val="20"/>
        </w:rPr>
      </w:pPr>
    </w:p>
    <w:p w:rsidR="00333A1A" w:rsidRDefault="003D29C9">
      <w:pPr>
        <w:spacing w:after="120" w:line="240" w:lineRule="auto"/>
        <w:rPr>
          <w:rFonts w:ascii="Verdana" w:hAnsi="Verdana"/>
          <w:b/>
          <w:noProof/>
          <w:sz w:val="20"/>
          <w:u w:val="single"/>
        </w:rPr>
      </w:pPr>
      <w:r>
        <w:rPr>
          <w:rFonts w:ascii="Verdana" w:hAnsi="Verdana"/>
          <w:b/>
          <w:noProof/>
          <w:sz w:val="20"/>
        </w:rPr>
        <w:t xml:space="preserve">Themes rather </w:t>
      </w:r>
      <w:r>
        <w:rPr>
          <w:rFonts w:ascii="Verdana" w:hAnsi="Verdana"/>
          <w:b/>
          <w:noProof/>
          <w:sz w:val="20"/>
        </w:rPr>
        <w:t>cross-sector oriented (2014-2016):</w:t>
      </w:r>
    </w:p>
    <w:p w:rsidR="00333A1A" w:rsidRDefault="003D29C9">
      <w:pPr>
        <w:spacing w:after="120" w:line="240" w:lineRule="auto"/>
        <w:rPr>
          <w:rFonts w:ascii="Verdana" w:hAnsi="Verdana"/>
          <w:b/>
          <w:noProof/>
          <w:sz w:val="20"/>
          <w:u w:val="single"/>
        </w:rPr>
      </w:pPr>
      <w:r>
        <w:rPr>
          <w:rFonts w:ascii="Verdana" w:hAnsi="Verdana"/>
          <w:b/>
          <w:noProof/>
          <w:sz w:val="20"/>
          <w:u w:val="single"/>
          <w:lang w:eastAsia="en-GB"/>
        </w:rPr>
        <w:drawing>
          <wp:inline distT="0" distB="0" distL="0" distR="0" wp14:anchorId="08933ED8" wp14:editId="13DE9699">
            <wp:extent cx="4794637" cy="3428723"/>
            <wp:effectExtent l="0" t="0" r="635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95607" cy="3429417"/>
                    </a:xfrm>
                    <a:prstGeom prst="rect">
                      <a:avLst/>
                    </a:prstGeom>
                  </pic:spPr>
                </pic:pic>
              </a:graphicData>
            </a:graphic>
          </wp:inline>
        </w:drawing>
      </w:r>
    </w:p>
    <w:p w:rsidR="00333A1A" w:rsidRDefault="00333A1A">
      <w:pPr>
        <w:spacing w:line="240" w:lineRule="auto"/>
        <w:rPr>
          <w:rFonts w:ascii="Verdana" w:hAnsi="Verdana"/>
          <w:b/>
          <w:noProof/>
          <w:sz w:val="20"/>
        </w:rPr>
      </w:pPr>
    </w:p>
    <w:p w:rsidR="00333A1A" w:rsidRDefault="00333A1A">
      <w:pPr>
        <w:spacing w:line="240" w:lineRule="auto"/>
        <w:rPr>
          <w:rFonts w:ascii="Verdana" w:hAnsi="Verdana"/>
          <w:b/>
          <w:noProof/>
          <w:sz w:val="20"/>
        </w:rPr>
      </w:pPr>
    </w:p>
    <w:p w:rsidR="00333A1A" w:rsidRDefault="003D29C9">
      <w:pPr>
        <w:rPr>
          <w:rFonts w:ascii="Verdana" w:hAnsi="Verdana"/>
          <w:b/>
          <w:noProof/>
          <w:sz w:val="20"/>
        </w:rPr>
      </w:pPr>
      <w:r>
        <w:rPr>
          <w:rFonts w:ascii="Verdana" w:hAnsi="Verdana"/>
          <w:b/>
          <w:noProof/>
          <w:sz w:val="20"/>
        </w:rPr>
        <w:br w:type="page"/>
      </w:r>
    </w:p>
    <w:p w:rsidR="00333A1A" w:rsidRDefault="003D29C9">
      <w:pPr>
        <w:spacing w:line="240" w:lineRule="auto"/>
        <w:rPr>
          <w:rFonts w:ascii="Verdana" w:hAnsi="Verdana"/>
          <w:b/>
          <w:noProof/>
          <w:sz w:val="20"/>
        </w:rPr>
      </w:pPr>
      <w:r>
        <w:rPr>
          <w:rFonts w:ascii="Verdana" w:hAnsi="Verdana"/>
          <w:b/>
          <w:noProof/>
          <w:sz w:val="20"/>
        </w:rPr>
        <w:t>2017 Thematic networks:</w:t>
      </w:r>
    </w:p>
    <w:p w:rsidR="00333A1A" w:rsidRDefault="003D29C9">
      <w:pPr>
        <w:spacing w:line="240" w:lineRule="auto"/>
        <w:rPr>
          <w:rFonts w:ascii="Verdana" w:hAnsi="Verdana"/>
          <w:b/>
          <w:noProof/>
          <w:sz w:val="20"/>
          <w:u w:val="single"/>
        </w:rPr>
      </w:pPr>
      <w:r>
        <w:rPr>
          <w:rFonts w:ascii="Verdana" w:hAnsi="Verdana"/>
          <w:b/>
          <w:noProof/>
          <w:sz w:val="20"/>
          <w:u w:val="single"/>
          <w:lang w:eastAsia="en-GB"/>
        </w:rPr>
        <w:drawing>
          <wp:inline distT="0" distB="0" distL="0" distR="0" wp14:anchorId="5D4432EA" wp14:editId="1C6211DA">
            <wp:extent cx="4728377" cy="35462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27018" cy="3545263"/>
                    </a:xfrm>
                    <a:prstGeom prst="rect">
                      <a:avLst/>
                    </a:prstGeom>
                  </pic:spPr>
                </pic:pic>
              </a:graphicData>
            </a:graphic>
          </wp:inline>
        </w:drawing>
      </w:r>
    </w:p>
    <w:p w:rsidR="00333A1A" w:rsidRDefault="00333A1A">
      <w:pPr>
        <w:spacing w:line="240" w:lineRule="auto"/>
        <w:rPr>
          <w:noProof/>
        </w:rPr>
      </w:pPr>
    </w:p>
    <w:p w:rsidR="00333A1A" w:rsidRDefault="003D29C9">
      <w:pPr>
        <w:rPr>
          <w:noProof/>
        </w:rPr>
      </w:pPr>
      <w:r>
        <w:rPr>
          <w:noProof/>
        </w:rPr>
        <w:br w:type="page"/>
      </w:r>
    </w:p>
    <w:p w:rsidR="00333A1A" w:rsidRDefault="003D29C9">
      <w:pPr>
        <w:pStyle w:val="AnnexTitle"/>
        <w:rPr>
          <w:noProof/>
        </w:rPr>
      </w:pPr>
      <w:bookmarkStart w:id="289" w:name="_Toc513053309"/>
      <w:bookmarkStart w:id="290" w:name="_Toc513053525"/>
      <w:bookmarkStart w:id="291" w:name="_Toc514514656"/>
      <w:r>
        <w:rPr>
          <w:noProof/>
        </w:rPr>
        <w:t xml:space="preserve">Annex 7: </w:t>
      </w:r>
      <w:r>
        <w:rPr>
          <w:rStyle w:val="AnnexTitleChar"/>
          <w:noProof/>
        </w:rPr>
        <w:t>S</w:t>
      </w:r>
      <w:r>
        <w:rPr>
          <w:noProof/>
        </w:rPr>
        <w:t>implifying the CAP</w:t>
      </w:r>
      <w:bookmarkEnd w:id="289"/>
      <w:bookmarkEnd w:id="290"/>
      <w:bookmarkEnd w:id="291"/>
    </w:p>
    <w:p w:rsidR="00333A1A" w:rsidRDefault="003D29C9">
      <w:pPr>
        <w:jc w:val="center"/>
        <w:rPr>
          <w:rFonts w:ascii="Times New Roman" w:hAnsi="Times New Roman" w:cs="Times New Roman"/>
          <w:b/>
          <w:noProof/>
          <w:sz w:val="28"/>
          <w:szCs w:val="28"/>
        </w:rPr>
      </w:pPr>
      <w:r>
        <w:rPr>
          <w:rFonts w:ascii="Times New Roman" w:hAnsi="Times New Roman" w:cs="Times New Roman"/>
          <w:b/>
          <w:noProof/>
          <w:sz w:val="28"/>
          <w:szCs w:val="28"/>
        </w:rPr>
        <w:t>Glossary</w:t>
      </w:r>
      <w:r>
        <w:rPr>
          <w:rStyle w:val="FootnoteReference"/>
          <w:rFonts w:ascii="Times New Roman" w:hAnsi="Times New Roman" w:cs="Times New Roman"/>
          <w:b/>
          <w:noProof/>
          <w:sz w:val="28"/>
          <w:szCs w:val="28"/>
        </w:rPr>
        <w:footnoteReference w:id="91"/>
      </w:r>
    </w:p>
    <w:tbl>
      <w:tblPr>
        <w:tblStyle w:val="TableGrid"/>
        <w:tblW w:w="0" w:type="auto"/>
        <w:tblLook w:val="04A0" w:firstRow="1" w:lastRow="0" w:firstColumn="1" w:lastColumn="0" w:noHBand="0" w:noVBand="1"/>
      </w:tblPr>
      <w:tblGrid>
        <w:gridCol w:w="3227"/>
        <w:gridCol w:w="5607"/>
      </w:tblGrid>
      <w:tr w:rsidR="00333A1A">
        <w:tc>
          <w:tcPr>
            <w:tcW w:w="3227" w:type="dxa"/>
            <w:tcBorders>
              <w:bottom w:val="double" w:sz="4" w:space="0" w:color="auto"/>
            </w:tcBorders>
            <w:shd w:val="clear" w:color="auto" w:fill="F2F2F2" w:themeFill="background1" w:themeFillShade="F2"/>
          </w:tcPr>
          <w:p w:rsidR="00333A1A" w:rsidRDefault="003D29C9">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rsidR="00333A1A" w:rsidRDefault="003D29C9">
            <w:pPr>
              <w:spacing w:before="120" w:after="120"/>
              <w:jc w:val="center"/>
              <w:rPr>
                <w:b/>
                <w:i/>
                <w:noProof/>
              </w:rPr>
            </w:pPr>
            <w:r>
              <w:rPr>
                <w:b/>
                <w:i/>
                <w:noProof/>
              </w:rPr>
              <w:t>Meaning or definition</w:t>
            </w:r>
          </w:p>
        </w:tc>
      </w:tr>
    </w:tbl>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6"/>
        <w:gridCol w:w="5608"/>
      </w:tblGrid>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AECM</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Agro Environment and Climate Measures</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AKIS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Agricultural Knowledge and Innovation Systems</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ANC</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Areas </w:t>
            </w:r>
            <w:r>
              <w:rPr>
                <w:rFonts w:ascii="Times New Roman" w:hAnsi="Times New Roman" w:cs="Times New Roman"/>
                <w:noProof/>
                <w:sz w:val="24"/>
                <w:szCs w:val="24"/>
                <w:lang w:eastAsia="it-IT"/>
              </w:rPr>
              <w:t>facing Natural Constraints</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BAS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Baseline</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CAP</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Common Agricultural Policy</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DP</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Direct Payments</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EAFRD</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Agricultural Fund for Rural Development</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EAGF</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Agricultural Guarantee Fund</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ESI</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Structural and Investment</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GAEC</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Good Agricultural </w:t>
            </w:r>
            <w:r>
              <w:rPr>
                <w:rFonts w:ascii="Times New Roman" w:hAnsi="Times New Roman" w:cs="Times New Roman"/>
                <w:noProof/>
                <w:sz w:val="24"/>
                <w:szCs w:val="24"/>
                <w:lang w:eastAsia="it-IT"/>
              </w:rPr>
              <w:t>and Environmental Conditions</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GI</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Geographical Indication</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ICT</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Information and Communications Technology</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IPR</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Intellectual Property Right</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ISCO</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International Standard Classification of Occupations</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LPIS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Land-parcel identification system</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MCA</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Multi Criteria </w:t>
            </w:r>
            <w:r>
              <w:rPr>
                <w:rFonts w:ascii="Times New Roman" w:hAnsi="Times New Roman" w:cs="Times New Roman"/>
                <w:noProof/>
                <w:sz w:val="24"/>
                <w:szCs w:val="24"/>
                <w:lang w:eastAsia="it-IT"/>
              </w:rPr>
              <w:t>Analysis</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MFF</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Multiannual Financial Framework</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PDO</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eastAsia="Times New Roman" w:hAnsi="Times New Roman" w:cs="Times New Roman"/>
                <w:noProof/>
                <w:sz w:val="24"/>
                <w:szCs w:val="24"/>
                <w:lang w:val="en" w:eastAsia="en-GB"/>
              </w:rPr>
              <w:t>Protected Designation of Origin</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RD</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Rural Development</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REFIT</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Regulatory Fitness and Performance</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SMR</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Statutory Management Requirements</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SWOT</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Strengths, Weaknesses, Opportunities, and Threats</w:t>
            </w:r>
          </w:p>
        </w:tc>
      </w:tr>
      <w:tr w:rsidR="00333A1A">
        <w:trPr>
          <w:trHeight w:val="340"/>
          <w:jc w:val="center"/>
        </w:trPr>
        <w:tc>
          <w:tcPr>
            <w:tcW w:w="1826"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VCS</w:t>
            </w:r>
          </w:p>
        </w:tc>
        <w:tc>
          <w:tcPr>
            <w:tcW w:w="3174" w:type="pct"/>
            <w:tcBorders>
              <w:top w:val="single" w:sz="4" w:space="0" w:color="000000"/>
              <w:left w:val="single" w:sz="4" w:space="0" w:color="000000"/>
              <w:bottom w:val="single" w:sz="4" w:space="0" w:color="000000"/>
              <w:right w:val="single" w:sz="4" w:space="0" w:color="000000"/>
            </w:tcBorders>
          </w:tcPr>
          <w:p w:rsidR="00333A1A" w:rsidRDefault="003D29C9">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Voluntary</w:t>
            </w:r>
            <w:r>
              <w:rPr>
                <w:rFonts w:ascii="Times New Roman" w:hAnsi="Times New Roman" w:cs="Times New Roman"/>
                <w:noProof/>
                <w:sz w:val="24"/>
                <w:szCs w:val="24"/>
                <w:lang w:eastAsia="it-IT"/>
              </w:rPr>
              <w:t xml:space="preserve"> Coupled Support</w:t>
            </w:r>
          </w:p>
        </w:tc>
      </w:tr>
    </w:tbl>
    <w:p w:rsidR="00333A1A" w:rsidRDefault="00333A1A">
      <w:pPr>
        <w:pStyle w:val="Heading1"/>
        <w:numPr>
          <w:ilvl w:val="0"/>
          <w:numId w:val="0"/>
        </w:numPr>
        <w:rPr>
          <w:noProof/>
        </w:rPr>
      </w:pPr>
    </w:p>
    <w:p w:rsidR="00333A1A" w:rsidRDefault="003D29C9">
      <w:pPr>
        <w:rPr>
          <w:rFonts w:ascii="Times New Roman" w:eastAsia="Times New Roman" w:hAnsi="Times New Roman" w:cs="Times New Roman"/>
          <w:b/>
          <w:smallCaps/>
          <w:noProof/>
          <w:sz w:val="24"/>
          <w:szCs w:val="20"/>
        </w:rPr>
      </w:pPr>
      <w:r>
        <w:rPr>
          <w:noProof/>
        </w:rPr>
        <w:br w:type="page"/>
      </w:r>
    </w:p>
    <w:p w:rsidR="00333A1A" w:rsidRDefault="003D29C9">
      <w:pPr>
        <w:pStyle w:val="Heading1"/>
        <w:numPr>
          <w:ilvl w:val="0"/>
          <w:numId w:val="54"/>
        </w:numPr>
        <w:rPr>
          <w:noProof/>
        </w:rPr>
      </w:pPr>
      <w:bookmarkStart w:id="292" w:name="_Toc509412537"/>
      <w:bookmarkStart w:id="293" w:name="_Toc513053310"/>
      <w:bookmarkStart w:id="294" w:name="_Toc513053526"/>
      <w:bookmarkStart w:id="295" w:name="_Toc514514657"/>
      <w:r>
        <w:rPr>
          <w:noProof/>
        </w:rPr>
        <w:t>Administrative burden under the CAP</w:t>
      </w:r>
      <w:bookmarkEnd w:id="292"/>
      <w:bookmarkEnd w:id="293"/>
      <w:bookmarkEnd w:id="294"/>
      <w:bookmarkEnd w:id="295"/>
      <w:r>
        <w:rPr>
          <w:noProof/>
        </w:rPr>
        <w:t xml:space="preserve"> </w:t>
      </w:r>
    </w:p>
    <w:p w:rsidR="00333A1A" w:rsidRDefault="003D29C9">
      <w:pPr>
        <w:pStyle w:val="Text1"/>
        <w:ind w:left="0"/>
        <w:rPr>
          <w:noProof/>
          <w:lang w:val="en" w:eastAsia="en-GB"/>
        </w:rPr>
      </w:pPr>
      <w:r>
        <w:rPr>
          <w:noProof/>
          <w:lang w:eastAsia="en-GB"/>
        </w:rPr>
        <w:t>S</w:t>
      </w:r>
      <w:r>
        <w:rPr>
          <w:noProof/>
          <w:lang w:val="en" w:eastAsia="en-GB"/>
        </w:rPr>
        <w:t xml:space="preserve">implifying the CAP has been a long standing objective. It is generally felt that the implementation of the CAP is cumbersome both for beneficiaries and for national administrations. In particular, the </w:t>
      </w:r>
      <w:r>
        <w:rPr>
          <w:b/>
          <w:noProof/>
          <w:lang w:val="en" w:eastAsia="en-GB"/>
        </w:rPr>
        <w:t>complexity</w:t>
      </w:r>
      <w:r>
        <w:rPr>
          <w:noProof/>
          <w:lang w:val="en" w:eastAsia="en-GB"/>
        </w:rPr>
        <w:t xml:space="preserve"> of the CAP and its structure along 2 pillars</w:t>
      </w:r>
      <w:r>
        <w:rPr>
          <w:noProof/>
          <w:lang w:val="en" w:eastAsia="en-GB"/>
        </w:rPr>
        <w:t xml:space="preserve"> with multiple tools and measures makes it difficult to have an overall coherent and comprehensive understanding of the CAP. This complexity is largely related to the historical development of the CAP and its tools. With new needs arising, the CAP has evol</w:t>
      </w:r>
      <w:r>
        <w:rPr>
          <w:noProof/>
          <w:lang w:val="en" w:eastAsia="en-GB"/>
        </w:rPr>
        <w:t>ved, adding up new layers to the existing ones. This has resulted in a complex system of basic mandatory tools complemented by a high number of voluntary ones, with a high level of details set at EU level and a range of exceptions and derogations</w:t>
      </w:r>
      <w:r>
        <w:rPr>
          <w:noProof/>
        </w:rPr>
        <w:t xml:space="preserve"> </w:t>
      </w:r>
      <w:r>
        <w:rPr>
          <w:noProof/>
          <w:lang w:val="en" w:eastAsia="en-GB"/>
        </w:rPr>
        <w:t>introduce</w:t>
      </w:r>
      <w:r>
        <w:rPr>
          <w:noProof/>
          <w:lang w:val="en" w:eastAsia="en-GB"/>
        </w:rPr>
        <w:t xml:space="preserve">d on request of Member States. Though several reforms strived already to address administrative burden, today's CAP implementation still remains complex, costly and burdensome. </w:t>
      </w:r>
    </w:p>
    <w:p w:rsidR="00333A1A" w:rsidRDefault="003D29C9">
      <w:pPr>
        <w:pStyle w:val="Text1"/>
        <w:ind w:left="0"/>
        <w:rPr>
          <w:noProof/>
          <w:lang w:val="en" w:eastAsia="en-GB"/>
        </w:rPr>
      </w:pPr>
      <w:r>
        <w:rPr>
          <w:noProof/>
          <w:lang w:val="en" w:eastAsia="en-GB"/>
        </w:rPr>
        <w:t xml:space="preserve">The annual </w:t>
      </w:r>
      <w:r>
        <w:rPr>
          <w:b/>
          <w:noProof/>
          <w:lang w:val="en" w:eastAsia="en-GB"/>
        </w:rPr>
        <w:t>administrative costs</w:t>
      </w:r>
      <w:r>
        <w:rPr>
          <w:noProof/>
          <w:lang w:val="en" w:eastAsia="en-GB"/>
        </w:rPr>
        <w:t xml:space="preserve"> for national administrations are estimated at </w:t>
      </w:r>
      <w:r>
        <w:rPr>
          <w:noProof/>
          <w:lang w:val="en" w:eastAsia="en-GB"/>
        </w:rPr>
        <w:t>4.8% of the total public expenditure under the CAP budget</w:t>
      </w:r>
      <w:r>
        <w:rPr>
          <w:rStyle w:val="FootnoteReference"/>
          <w:noProof/>
          <w:szCs w:val="24"/>
          <w:lang w:val="en" w:eastAsia="en-GB"/>
        </w:rPr>
        <w:footnoteReference w:id="92"/>
      </w:r>
      <w:r>
        <w:rPr>
          <w:noProof/>
          <w:lang w:val="en" w:eastAsia="en-GB"/>
        </w:rPr>
        <w:t>. This includes costs for management and control of the CAP expenditure, i.e. the delivery costs, and hence excludes any one-off set-up and adjustment costs. The 2017 report on ESI Funds</w:t>
      </w:r>
      <w:r>
        <w:rPr>
          <w:rStyle w:val="FootnoteReference"/>
          <w:noProof/>
          <w:szCs w:val="24"/>
          <w:lang w:val="en" w:eastAsia="en-GB"/>
        </w:rPr>
        <w:footnoteReference w:id="93"/>
      </w:r>
      <w:r>
        <w:rPr>
          <w:noProof/>
          <w:lang w:val="en" w:eastAsia="en-GB"/>
        </w:rPr>
        <w:t xml:space="preserve"> confirms t</w:t>
      </w:r>
      <w:r>
        <w:rPr>
          <w:noProof/>
          <w:lang w:val="en" w:eastAsia="en-GB"/>
        </w:rPr>
        <w:t>his conclusion with 4.7% share of administrative costs under the rural development programme. Programming ESI Funds at regional level is assessed to entail proportionally higher costs with regard to the budget</w:t>
      </w:r>
      <w:r>
        <w:rPr>
          <w:rStyle w:val="FootnoteReference"/>
          <w:noProof/>
          <w:szCs w:val="24"/>
          <w:lang w:val="en" w:eastAsia="en-GB"/>
        </w:rPr>
        <w:footnoteReference w:id="94"/>
      </w:r>
      <w:r>
        <w:rPr>
          <w:noProof/>
          <w:lang w:val="en" w:eastAsia="en-GB"/>
        </w:rPr>
        <w:t xml:space="preserve">. </w:t>
      </w:r>
    </w:p>
    <w:p w:rsidR="00333A1A" w:rsidRDefault="003D29C9">
      <w:pPr>
        <w:pStyle w:val="Text1"/>
        <w:keepNext/>
        <w:ind w:left="0"/>
        <w:jc w:val="center"/>
        <w:rPr>
          <w:b/>
          <w:i/>
          <w:noProof/>
          <w:sz w:val="20"/>
        </w:rPr>
      </w:pPr>
      <w:r>
        <w:rPr>
          <w:b/>
          <w:i/>
          <w:noProof/>
          <w:sz w:val="20"/>
        </w:rPr>
        <w:t>Graph 1 Estimated share of selected cost ca</w:t>
      </w:r>
      <w:r>
        <w:rPr>
          <w:b/>
          <w:i/>
          <w:noProof/>
          <w:sz w:val="20"/>
        </w:rPr>
        <w:t>tegories for national administrations under the 2014-2020 RD programming period</w:t>
      </w:r>
      <w:r>
        <w:rPr>
          <w:rStyle w:val="FootnoteReference"/>
          <w:b/>
          <w:i/>
          <w:noProof/>
          <w:sz w:val="20"/>
        </w:rPr>
        <w:footnoteReference w:id="95"/>
      </w:r>
    </w:p>
    <w:p w:rsidR="00333A1A" w:rsidRDefault="003D29C9">
      <w:pPr>
        <w:spacing w:line="240" w:lineRule="auto"/>
        <w:jc w:val="center"/>
        <w:rPr>
          <w:rFonts w:ascii="Times New Roman" w:eastAsia="Times New Roman" w:hAnsi="Times New Roman" w:cs="Times New Roman"/>
          <w:noProof/>
          <w:sz w:val="24"/>
          <w:szCs w:val="24"/>
          <w:lang w:val="en" w:eastAsia="en-GB"/>
        </w:rPr>
      </w:pPr>
      <w:r>
        <w:rPr>
          <w:noProof/>
          <w:lang w:eastAsia="en-GB"/>
        </w:rPr>
        <w:drawing>
          <wp:inline distT="0" distB="0" distL="0" distR="0" wp14:anchorId="79539FAC" wp14:editId="182194A1">
            <wp:extent cx="4672965" cy="2911475"/>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72965" cy="2911475"/>
                    </a:xfrm>
                    <a:prstGeom prst="rect">
                      <a:avLst/>
                    </a:prstGeom>
                    <a:noFill/>
                    <a:ln>
                      <a:noFill/>
                    </a:ln>
                  </pic:spPr>
                </pic:pic>
              </a:graphicData>
            </a:graphic>
          </wp:inline>
        </w:drawing>
      </w:r>
    </w:p>
    <w:p w:rsidR="00333A1A" w:rsidRDefault="003D29C9">
      <w:pPr>
        <w:pStyle w:val="Text1"/>
        <w:ind w:left="0"/>
        <w:rPr>
          <w:noProof/>
          <w:lang w:val="en" w:eastAsia="en-GB"/>
        </w:rPr>
      </w:pPr>
      <w:r>
        <w:rPr>
          <w:noProof/>
          <w:lang w:val="en" w:eastAsia="en-GB"/>
        </w:rPr>
        <w:t xml:space="preserve">With regard to beneficiaries, costs related to rural development measures were estimated in 2011 at 4.7% of total public expenditure (including national co-financing), or </w:t>
      </w:r>
      <w:r>
        <w:rPr>
          <w:noProof/>
          <w:lang w:val="en" w:eastAsia="en-GB"/>
        </w:rPr>
        <w:t>6.6% of the EAFRD expenditure</w:t>
      </w:r>
      <w:r>
        <w:rPr>
          <w:rStyle w:val="FootnoteReference"/>
          <w:noProof/>
          <w:szCs w:val="24"/>
          <w:lang w:val="en" w:eastAsia="en-GB"/>
        </w:rPr>
        <w:footnoteReference w:id="96"/>
      </w:r>
      <w:r>
        <w:rPr>
          <w:noProof/>
          <w:lang w:val="en" w:eastAsia="en-GB"/>
        </w:rPr>
        <w:t>. This is comparable with the 2006 estimations of administrative burden for farmers linked to the CAP direct payments (3% to 9.3%, depending on Member States)</w:t>
      </w:r>
      <w:r>
        <w:rPr>
          <w:rStyle w:val="FootnoteReference"/>
          <w:noProof/>
          <w:szCs w:val="24"/>
          <w:lang w:val="en" w:eastAsia="en-GB"/>
        </w:rPr>
        <w:footnoteReference w:id="97"/>
      </w:r>
      <w:r>
        <w:rPr>
          <w:noProof/>
          <w:lang w:val="en" w:eastAsia="en-GB"/>
        </w:rPr>
        <w:t>. The 2011 study on administrative burden finds that applications r</w:t>
      </w:r>
      <w:r>
        <w:rPr>
          <w:noProof/>
          <w:lang w:val="en" w:eastAsia="en-GB"/>
        </w:rPr>
        <w:t xml:space="preserve">epresent almost 80% of the administrative burden for beneficiaries, compared to 19% for payment claims and 2% for cooperation with authorities in the frame of on-the spot controls. While information obligations are generally not significantly different in </w:t>
      </w:r>
      <w:r>
        <w:rPr>
          <w:noProof/>
          <w:lang w:val="en" w:eastAsia="en-GB"/>
        </w:rPr>
        <w:t>function of the amount of area or animal-related payments, the administrative burden on beneficiaries is proportionally higher for small amounts</w:t>
      </w:r>
      <w:r>
        <w:rPr>
          <w:rStyle w:val="FootnoteReference"/>
          <w:noProof/>
          <w:szCs w:val="24"/>
          <w:lang w:val="en" w:eastAsia="en-GB"/>
        </w:rPr>
        <w:footnoteReference w:id="98"/>
      </w:r>
      <w:r>
        <w:rPr>
          <w:noProof/>
          <w:lang w:val="en" w:eastAsia="en-GB"/>
        </w:rPr>
        <w:t>. While the burden varies significantly between the measures assessed, information obligations under project-re</w:t>
      </w:r>
      <w:r>
        <w:rPr>
          <w:noProof/>
          <w:lang w:val="en" w:eastAsia="en-GB"/>
        </w:rPr>
        <w:t>lated measures are the most burdensome for the individual beneficiary.</w:t>
      </w:r>
    </w:p>
    <w:p w:rsidR="00333A1A" w:rsidRDefault="003D29C9">
      <w:pPr>
        <w:pStyle w:val="Text1"/>
        <w:ind w:left="0"/>
        <w:rPr>
          <w:noProof/>
          <w:lang w:val="en" w:eastAsia="en-GB"/>
        </w:rPr>
      </w:pPr>
      <w:r>
        <w:rPr>
          <w:noProof/>
          <w:lang w:val="en" w:eastAsia="en-GB"/>
        </w:rPr>
        <w:t>Findings from the report on implementation of the 2013 CAP reform</w:t>
      </w:r>
      <w:r>
        <w:rPr>
          <w:rStyle w:val="FootnoteReference"/>
          <w:noProof/>
          <w:szCs w:val="24"/>
          <w:lang w:val="en" w:eastAsia="en-GB"/>
        </w:rPr>
        <w:footnoteReference w:id="99"/>
      </w:r>
      <w:r>
        <w:rPr>
          <w:noProof/>
          <w:lang w:val="en" w:eastAsia="en-GB"/>
        </w:rPr>
        <w:t xml:space="preserve"> indicate overall variable administrative burden from the various direct payment schemes and rural development measures</w:t>
      </w:r>
      <w:r>
        <w:rPr>
          <w:noProof/>
          <w:lang w:val="en" w:eastAsia="en-GB"/>
        </w:rPr>
        <w:t>. The evaluation on viable food production</w:t>
      </w:r>
      <w:r>
        <w:rPr>
          <w:rStyle w:val="FootnoteReference"/>
          <w:noProof/>
          <w:szCs w:val="24"/>
          <w:lang w:val="en" w:eastAsia="en-GB"/>
        </w:rPr>
        <w:footnoteReference w:id="100"/>
      </w:r>
      <w:r>
        <w:rPr>
          <w:noProof/>
          <w:lang w:val="en" w:eastAsia="en-GB"/>
        </w:rPr>
        <w:t xml:space="preserve"> reports that the proliferation of measures is also driving higher administrative burden, possibly disproportionate when few beneficiaries are targeted by the measure. For direct payments, high burden is particula</w:t>
      </w:r>
      <w:r>
        <w:rPr>
          <w:noProof/>
          <w:lang w:val="en" w:eastAsia="en-GB"/>
        </w:rPr>
        <w:t>rly reported for on-the spot controls, except cross-compliance where controls are often combined with sectorial checks. Beneficiaries also experience high burden with relation to the eligibility requirements, i.e. declaration of land cover and use of parce</w:t>
      </w:r>
      <w:r>
        <w:rPr>
          <w:noProof/>
          <w:lang w:val="en" w:eastAsia="en-GB"/>
        </w:rPr>
        <w:t>ls. Greening</w:t>
      </w:r>
      <w:r>
        <w:rPr>
          <w:rStyle w:val="FootnoteReference"/>
          <w:noProof/>
          <w:szCs w:val="24"/>
          <w:lang w:val="en" w:eastAsia="en-GB"/>
        </w:rPr>
        <w:footnoteReference w:id="101"/>
      </w:r>
      <w:r>
        <w:rPr>
          <w:noProof/>
          <w:lang w:val="en" w:eastAsia="en-GB"/>
        </w:rPr>
        <w:t xml:space="preserve"> and VCS are recurrently set forward as more burdensome tools, </w:t>
      </w:r>
      <w:r>
        <w:rPr>
          <w:noProof/>
          <w:szCs w:val="24"/>
          <w:lang w:val="en" w:eastAsia="en-GB"/>
        </w:rPr>
        <w:t>although for VCS this largely depends on Member States' choices</w:t>
      </w:r>
      <w:r>
        <w:rPr>
          <w:noProof/>
          <w:lang w:val="en" w:eastAsia="en-GB"/>
        </w:rPr>
        <w:t xml:space="preserve">. Some additional findings identify high administrative burden perceived for the implementation of the "active </w:t>
      </w:r>
      <w:r>
        <w:rPr>
          <w:noProof/>
          <w:lang w:val="en" w:eastAsia="en-GB"/>
        </w:rPr>
        <w:t xml:space="preserve">farmer", the verification of payment entitlements for young farmers. For rural development measures, high burden for national administrations occur with regard to the transposition of eligibility criteria and EU requirements, and the administrative checks </w:t>
      </w:r>
      <w:r>
        <w:rPr>
          <w:noProof/>
          <w:lang w:val="en" w:eastAsia="en-GB"/>
        </w:rPr>
        <w:t>of applications and investment projects. Thematic sub-programmes are also reported to add up significantly to the administrative burden</w:t>
      </w:r>
      <w:r>
        <w:rPr>
          <w:rStyle w:val="FootnoteReference"/>
          <w:noProof/>
          <w:szCs w:val="24"/>
          <w:lang w:val="en" w:eastAsia="en-GB"/>
        </w:rPr>
        <w:footnoteReference w:id="102"/>
      </w:r>
      <w:r>
        <w:rPr>
          <w:noProof/>
          <w:lang w:val="en" w:eastAsia="en-GB"/>
        </w:rPr>
        <w:t>. Similarly to direct payments, eligibility criteria create high burden for beneficiaries, as well as administrative che</w:t>
      </w:r>
      <w:r>
        <w:rPr>
          <w:noProof/>
          <w:lang w:val="en" w:eastAsia="en-GB"/>
        </w:rPr>
        <w:t>cks.</w:t>
      </w:r>
    </w:p>
    <w:p w:rsidR="00333A1A" w:rsidRDefault="003D29C9">
      <w:pPr>
        <w:pStyle w:val="Text1"/>
        <w:ind w:left="0"/>
        <w:rPr>
          <w:noProof/>
          <w:lang w:val="en" w:eastAsia="en-GB"/>
        </w:rPr>
      </w:pPr>
      <w:r>
        <w:rPr>
          <w:noProof/>
          <w:lang w:val="en" w:eastAsia="en-GB"/>
        </w:rPr>
        <w:t xml:space="preserve">Each reform is also bringing its set of </w:t>
      </w:r>
      <w:r>
        <w:rPr>
          <w:b/>
          <w:noProof/>
          <w:lang w:val="en" w:eastAsia="en-GB"/>
        </w:rPr>
        <w:t>adjustment and investment costs</w:t>
      </w:r>
      <w:r>
        <w:rPr>
          <w:noProof/>
          <w:lang w:val="en" w:eastAsia="en-GB"/>
        </w:rPr>
        <w:t>. Investment costs typically occur only once, such as implementation costs, the set-up or update of IT systems and definition of new procedures. Adjustment costs refer to the tempo</w:t>
      </w:r>
      <w:r>
        <w:rPr>
          <w:noProof/>
          <w:lang w:val="en" w:eastAsia="en-GB"/>
        </w:rPr>
        <w:t>rary loss of efficiency due to the reorganisation within the administrations and are characterised by high costs in the early years after the reform, then decreasing over time. This includes costs linked to training and</w:t>
      </w:r>
      <w:r>
        <w:rPr>
          <w:noProof/>
          <w:lang w:eastAsia="en-GB"/>
        </w:rPr>
        <w:t xml:space="preserve"> familiarising</w:t>
      </w:r>
      <w:r>
        <w:rPr>
          <w:noProof/>
          <w:lang w:val="en" w:eastAsia="en-GB"/>
        </w:rPr>
        <w:t xml:space="preserve"> with the information o</w:t>
      </w:r>
      <w:r>
        <w:rPr>
          <w:noProof/>
          <w:lang w:val="en" w:eastAsia="en-GB"/>
        </w:rPr>
        <w:t>bligations. If excessive, one-off and adjustment costs may counterbalance the administrative burden reduction achieved by the policy changes. Findings of the 2006 study on administrative burden on farms</w:t>
      </w:r>
      <w:r>
        <w:rPr>
          <w:rStyle w:val="FootnoteReference"/>
          <w:noProof/>
          <w:szCs w:val="24"/>
          <w:lang w:val="en" w:eastAsia="en-GB"/>
        </w:rPr>
        <w:footnoteReference w:id="103"/>
      </w:r>
      <w:r>
        <w:rPr>
          <w:noProof/>
          <w:lang w:val="en" w:eastAsia="en-GB"/>
        </w:rPr>
        <w:t xml:space="preserve"> revealed that one-off costs in France for implementi</w:t>
      </w:r>
      <w:r>
        <w:rPr>
          <w:noProof/>
          <w:lang w:val="en" w:eastAsia="en-GB"/>
        </w:rPr>
        <w:t>ng the 2003 reform on decoupling payments were slightly higher than the recurring costs of that year. The 2012 LEI report on the simplification of the CAP</w:t>
      </w:r>
      <w:r>
        <w:rPr>
          <w:rStyle w:val="FootnoteReference"/>
          <w:noProof/>
          <w:szCs w:val="24"/>
          <w:lang w:val="en" w:eastAsia="en-GB"/>
        </w:rPr>
        <w:footnoteReference w:id="104"/>
      </w:r>
      <w:r>
        <w:rPr>
          <w:noProof/>
          <w:lang w:val="en" w:eastAsia="en-GB"/>
        </w:rPr>
        <w:t xml:space="preserve"> sets in perspective the potential burden reduction of the 2013 CAP reform proposals considering also</w:t>
      </w:r>
      <w:r>
        <w:rPr>
          <w:noProof/>
          <w:lang w:val="en" w:eastAsia="en-GB"/>
        </w:rPr>
        <w:t xml:space="preserve"> investment and adjustment costs. Under the 2014-2020 rural development programme, one-off costs are estimated to represent between 15% and 20% of total administrative costs under the programming period</w:t>
      </w:r>
      <w:r>
        <w:rPr>
          <w:rStyle w:val="FootnoteReference"/>
          <w:noProof/>
          <w:szCs w:val="24"/>
          <w:lang w:val="en" w:eastAsia="en-GB"/>
        </w:rPr>
        <w:footnoteReference w:id="105"/>
      </w:r>
      <w:r>
        <w:rPr>
          <w:noProof/>
          <w:lang w:val="en" w:eastAsia="en-GB"/>
        </w:rPr>
        <w:t>.</w:t>
      </w:r>
    </w:p>
    <w:p w:rsidR="00333A1A" w:rsidRDefault="003D29C9">
      <w:pPr>
        <w:pStyle w:val="Text1"/>
        <w:ind w:left="0"/>
        <w:rPr>
          <w:noProof/>
          <w:highlight w:val="yellow"/>
          <w:lang w:val="en" w:eastAsia="en-GB"/>
        </w:rPr>
      </w:pPr>
      <w:r>
        <w:rPr>
          <w:noProof/>
          <w:lang w:val="en" w:eastAsia="en-GB"/>
        </w:rPr>
        <w:t>The 2016 report on CAP implementation</w:t>
      </w:r>
      <w:r>
        <w:rPr>
          <w:rStyle w:val="FootnoteReference"/>
          <w:noProof/>
          <w:szCs w:val="24"/>
          <w:lang w:val="en" w:eastAsia="en-GB"/>
        </w:rPr>
        <w:footnoteReference w:id="106"/>
      </w:r>
      <w:r>
        <w:rPr>
          <w:noProof/>
          <w:lang w:val="en" w:eastAsia="en-GB"/>
        </w:rPr>
        <w:t xml:space="preserve"> also assesse</w:t>
      </w:r>
      <w:r>
        <w:rPr>
          <w:noProof/>
          <w:lang w:val="en" w:eastAsia="en-GB"/>
        </w:rPr>
        <w:t>s that typically about 50% of administrative burden from Pillar I derives from the implementation at national level, while this represents 85% for administrative burden related to Pillar II. Actually during implementation process Member States can generate</w:t>
      </w:r>
      <w:r>
        <w:rPr>
          <w:noProof/>
          <w:lang w:val="en" w:eastAsia="en-GB"/>
        </w:rPr>
        <w:t xml:space="preserve"> significant additional administrative burden during transposition of EU requirements into national legislation or through so called </w:t>
      </w:r>
      <w:r>
        <w:rPr>
          <w:b/>
          <w:noProof/>
          <w:lang w:val="en" w:eastAsia="en-GB"/>
        </w:rPr>
        <w:t>gold-plating</w:t>
      </w:r>
      <w:r>
        <w:rPr>
          <w:noProof/>
          <w:lang w:val="en" w:eastAsia="en-GB"/>
        </w:rPr>
        <w:t>. Complex, incomplete or ambiguous national legislation can lead to inefficiencies and confusion. This translat</w:t>
      </w:r>
      <w:r>
        <w:rPr>
          <w:noProof/>
          <w:lang w:val="en" w:eastAsia="en-GB"/>
        </w:rPr>
        <w:t>es in significant time loss to interpret rules and understand requirements, and can lead to higher error rates. Gold-plating typically results in another layer of systemic complexity as such detailed or disproportionate requirements and excessive documenta</w:t>
      </w:r>
      <w:r>
        <w:rPr>
          <w:noProof/>
          <w:lang w:val="en" w:eastAsia="en-GB"/>
        </w:rPr>
        <w:t>tion requests translates in increased administrative burden for beneficiaries and national administrations also with regard to applications and controls. The study of the European Parliament on gold-plating in EAFRD</w:t>
      </w:r>
      <w:r>
        <w:rPr>
          <w:rStyle w:val="FootnoteReference"/>
          <w:noProof/>
          <w:szCs w:val="24"/>
          <w:lang w:val="en" w:eastAsia="en-GB"/>
        </w:rPr>
        <w:footnoteReference w:id="107"/>
      </w:r>
      <w:r>
        <w:rPr>
          <w:noProof/>
          <w:lang w:val="en" w:eastAsia="en-GB"/>
        </w:rPr>
        <w:t xml:space="preserve"> reports an excess in administrative or </w:t>
      </w:r>
      <w:r>
        <w:rPr>
          <w:noProof/>
          <w:lang w:val="en" w:eastAsia="en-GB"/>
        </w:rPr>
        <w:t>procurement rules related to the eligibility criteria and to cross-compliance. The burden on beneficiaries from gold-plating is estimated at 35% of the total burden</w:t>
      </w:r>
      <w:r>
        <w:rPr>
          <w:rStyle w:val="FootnoteReference"/>
          <w:noProof/>
          <w:szCs w:val="24"/>
          <w:lang w:val="en" w:eastAsia="en-GB"/>
        </w:rPr>
        <w:footnoteReference w:id="108"/>
      </w:r>
      <w:r>
        <w:rPr>
          <w:noProof/>
          <w:lang w:val="en" w:eastAsia="en-GB"/>
        </w:rPr>
        <w:t>. The High Level Expert Group monitoring simplification for ESI Funds concluded, based on e</w:t>
      </w:r>
      <w:r>
        <w:rPr>
          <w:noProof/>
          <w:lang w:val="en" w:eastAsia="en-GB"/>
        </w:rPr>
        <w:t>vidence from the 2017 report on ESI Funds, that the main reason for gold-plating is the fear from national authorities that their action would be challenged later or that the auditors might disagree with the solution chosen by then</w:t>
      </w:r>
      <w:r>
        <w:rPr>
          <w:rStyle w:val="FootnoteReference"/>
          <w:noProof/>
          <w:szCs w:val="24"/>
          <w:lang w:val="en" w:eastAsia="en-GB"/>
        </w:rPr>
        <w:footnoteReference w:id="109"/>
      </w:r>
      <w:r>
        <w:rPr>
          <w:noProof/>
          <w:lang w:val="en" w:eastAsia="en-GB"/>
        </w:rPr>
        <w:t>.</w:t>
      </w:r>
    </w:p>
    <w:p w:rsidR="00333A1A" w:rsidRDefault="003D29C9">
      <w:pPr>
        <w:pStyle w:val="Text1"/>
        <w:ind w:left="0"/>
        <w:rPr>
          <w:noProof/>
          <w:lang w:val="en" w:eastAsia="en-GB"/>
        </w:rPr>
      </w:pPr>
      <w:r>
        <w:rPr>
          <w:noProof/>
          <w:lang w:val="en" w:eastAsia="en-GB"/>
        </w:rPr>
        <w:t>Finally, complexity in</w:t>
      </w:r>
      <w:r>
        <w:rPr>
          <w:noProof/>
          <w:lang w:val="en" w:eastAsia="en-GB"/>
        </w:rPr>
        <w:t xml:space="preserve"> both EU and national legislation typically translates in higher </w:t>
      </w:r>
      <w:r>
        <w:rPr>
          <w:b/>
          <w:noProof/>
          <w:lang w:val="en" w:eastAsia="en-GB"/>
        </w:rPr>
        <w:t>hassle costs</w:t>
      </w:r>
      <w:r>
        <w:rPr>
          <w:noProof/>
          <w:lang w:val="en" w:eastAsia="en-GB"/>
        </w:rPr>
        <w:t>, which is the cost associated to time lost by waiting, e.g. for approval of programmes or for payments. The synthesis mid-term evaluation of the 2007-2013 rural development progr</w:t>
      </w:r>
      <w:r>
        <w:rPr>
          <w:noProof/>
          <w:lang w:val="en" w:eastAsia="en-GB"/>
        </w:rPr>
        <w:t>ammes</w:t>
      </w:r>
      <w:r>
        <w:rPr>
          <w:rStyle w:val="FootnoteReference"/>
          <w:noProof/>
          <w:szCs w:val="24"/>
          <w:lang w:val="en" w:eastAsia="en-GB"/>
        </w:rPr>
        <w:footnoteReference w:id="110"/>
      </w:r>
      <w:r>
        <w:rPr>
          <w:noProof/>
          <w:lang w:val="en" w:eastAsia="en-GB"/>
        </w:rPr>
        <w:t xml:space="preserve"> reports that the administrative challenges have caused significant delays in the start of programmes in a number of countries. This is also confirmed in a special report of the European Court of Auditors</w:t>
      </w:r>
      <w:r>
        <w:rPr>
          <w:rStyle w:val="FootnoteReference"/>
          <w:noProof/>
          <w:szCs w:val="24"/>
          <w:lang w:val="en" w:eastAsia="en-GB"/>
        </w:rPr>
        <w:footnoteReference w:id="111"/>
      </w:r>
      <w:r>
        <w:rPr>
          <w:noProof/>
          <w:lang w:val="en" w:eastAsia="en-GB"/>
        </w:rPr>
        <w:t>, which estimated at over 11 months the avera</w:t>
      </w:r>
      <w:r>
        <w:rPr>
          <w:noProof/>
          <w:lang w:val="en" w:eastAsia="en-GB"/>
        </w:rPr>
        <w:t>ge time for approval of the rural development programmes, largely related to the complexity of the programmes and the resulting delays for approval by the Commission.</w:t>
      </w:r>
    </w:p>
    <w:p w:rsidR="00333A1A" w:rsidRDefault="003D29C9">
      <w:pPr>
        <w:pStyle w:val="Text1"/>
        <w:ind w:left="0"/>
        <w:rPr>
          <w:noProof/>
          <w:lang w:val="en" w:eastAsia="en-GB"/>
        </w:rPr>
      </w:pPr>
      <w:r>
        <w:rPr>
          <w:noProof/>
          <w:lang w:val="en" w:eastAsia="en-GB"/>
        </w:rPr>
        <w:t>Altogether, a wide range of inefficient procedures for management of specific CAP measure</w:t>
      </w:r>
      <w:r>
        <w:rPr>
          <w:noProof/>
          <w:lang w:val="en" w:eastAsia="en-GB"/>
        </w:rPr>
        <w:t>s have been highlighted over the last years by the European Court of Auditors in their special reports</w:t>
      </w:r>
      <w:r>
        <w:rPr>
          <w:rStyle w:val="FootnoteReference"/>
          <w:noProof/>
          <w:szCs w:val="24"/>
          <w:lang w:val="en" w:eastAsia="en-GB"/>
        </w:rPr>
        <w:footnoteReference w:id="112"/>
      </w:r>
      <w:r>
        <w:rPr>
          <w:noProof/>
          <w:lang w:val="en" w:eastAsia="en-GB"/>
        </w:rPr>
        <w:t xml:space="preserve">. These reports provide </w:t>
      </w:r>
      <w:r>
        <w:rPr>
          <w:b/>
          <w:noProof/>
          <w:lang w:val="en" w:eastAsia="en-GB"/>
        </w:rPr>
        <w:t>recommendations for a more efficient management of the CAP tools</w:t>
      </w:r>
      <w:r>
        <w:rPr>
          <w:noProof/>
          <w:lang w:val="en" w:eastAsia="en-GB"/>
        </w:rPr>
        <w:t>: better targeting of funds to needs, improving selection of rura</w:t>
      </w:r>
      <w:r>
        <w:rPr>
          <w:noProof/>
          <w:lang w:val="en" w:eastAsia="en-GB"/>
        </w:rPr>
        <w:t>l development projects with regard to their cost-effectiveness, enhancing synergies between tools, limiting risk of errors due to the complexity of the rural development framework, improving the monitoring and evaluation system (including quality and adequ</w:t>
      </w:r>
      <w:r>
        <w:rPr>
          <w:noProof/>
          <w:lang w:val="en" w:eastAsia="en-GB"/>
        </w:rPr>
        <w:t>acy of data). The lack of appropriate tailoring and targeting of CAP tools under DP and RD was further assessed in the 2016 report on CAP implementation</w:t>
      </w:r>
      <w:r>
        <w:rPr>
          <w:rStyle w:val="FootnoteReference"/>
          <w:noProof/>
          <w:szCs w:val="24"/>
          <w:lang w:val="en" w:eastAsia="en-GB"/>
        </w:rPr>
        <w:footnoteReference w:id="113"/>
      </w:r>
      <w:r>
        <w:rPr>
          <w:noProof/>
          <w:lang w:val="en" w:eastAsia="en-GB"/>
        </w:rPr>
        <w:t>: the analysis looked at whether a suitable enabling environment was implemented. It concluded that Mem</w:t>
      </w:r>
      <w:r>
        <w:rPr>
          <w:noProof/>
          <w:lang w:val="en" w:eastAsia="en-GB"/>
        </w:rPr>
        <w:t>ber States choices did not systematically set the necessary preconditions for the CAP to be effective especially with regard to sustainable growth.</w:t>
      </w:r>
    </w:p>
    <w:p w:rsidR="00333A1A" w:rsidRDefault="003D29C9">
      <w:pPr>
        <w:pStyle w:val="Text1"/>
        <w:ind w:left="0"/>
        <w:rPr>
          <w:noProof/>
          <w:lang w:val="en" w:eastAsia="en-GB"/>
        </w:rPr>
      </w:pPr>
      <w:r>
        <w:rPr>
          <w:noProof/>
          <w:lang w:val="en" w:eastAsia="en-GB"/>
        </w:rPr>
        <w:t>The recent Court of Auditors' report addressing design and process of the 2014-2020 programming framework un</w:t>
      </w:r>
      <w:r>
        <w:rPr>
          <w:noProof/>
          <w:lang w:val="en" w:eastAsia="en-GB"/>
        </w:rPr>
        <w:t>der Rural Development</w:t>
      </w:r>
      <w:r>
        <w:rPr>
          <w:rStyle w:val="FootnoteReference"/>
          <w:noProof/>
          <w:szCs w:val="24"/>
          <w:lang w:val="en" w:eastAsia="en-GB"/>
        </w:rPr>
        <w:footnoteReference w:id="114"/>
      </w:r>
      <w:r>
        <w:rPr>
          <w:noProof/>
          <w:lang w:val="en" w:eastAsia="en-GB"/>
        </w:rPr>
        <w:t>, observed that the new results-oriented approach enshrined in the strategic framework had a limited impact due to shortcomings in the implementation. For example, the programmes' contributions to the Europe 2020 Strategy were difficu</w:t>
      </w:r>
      <w:r>
        <w:rPr>
          <w:noProof/>
          <w:lang w:val="en" w:eastAsia="en-GB"/>
        </w:rPr>
        <w:t>lt to assess. The setting-up of performance indicators unveiled limitations. The report recommends improving the consistency between individual programmes, simplifying programme requirements, more meaningful measuring and annual reporting on the implementa</w:t>
      </w:r>
      <w:r>
        <w:rPr>
          <w:noProof/>
          <w:lang w:val="en" w:eastAsia="en-GB"/>
        </w:rPr>
        <w:t>tion, and legal clarity for the next programming period in good time. This report also considers that the principles of strategic programming and result-orientation are valuable and deserve further refinement also in view of a simpler implementation in pra</w:t>
      </w:r>
      <w:r>
        <w:rPr>
          <w:noProof/>
          <w:lang w:val="en" w:eastAsia="en-GB"/>
        </w:rPr>
        <w:t xml:space="preserve">ctice. </w:t>
      </w:r>
    </w:p>
    <w:p w:rsidR="00333A1A" w:rsidRDefault="003D29C9">
      <w:pPr>
        <w:pStyle w:val="Text1"/>
        <w:ind w:left="0"/>
        <w:rPr>
          <w:noProof/>
          <w:lang w:val="en" w:eastAsia="en-GB"/>
        </w:rPr>
      </w:pPr>
      <w:r>
        <w:rPr>
          <w:noProof/>
          <w:lang w:val="en" w:eastAsia="en-GB"/>
        </w:rPr>
        <w:t>Following the submissions for simplification received, the REFIT Platform</w:t>
      </w:r>
      <w:r>
        <w:rPr>
          <w:rStyle w:val="FootnoteReference"/>
          <w:noProof/>
          <w:szCs w:val="24"/>
          <w:lang w:val="en" w:eastAsia="en-GB"/>
        </w:rPr>
        <w:footnoteReference w:id="115"/>
      </w:r>
      <w:r>
        <w:rPr>
          <w:noProof/>
          <w:lang w:val="en" w:eastAsia="en-GB"/>
        </w:rPr>
        <w:t xml:space="preserve"> expressed the need to reduce the regulatory burden of the CAP and improve its value for money, while ensuring the achievement of the objectives and increase its integration </w:t>
      </w:r>
      <w:r>
        <w:rPr>
          <w:noProof/>
          <w:lang w:val="en" w:eastAsia="en-GB"/>
        </w:rPr>
        <w:t>with other policy areas. The REFIT Platform opinions concern especially the efficiency and effectiveness of the policy. The platform pointed at overlaps between both CAP pillars due to new and increased greening of Pillar I, resulting in a risk of addition</w:t>
      </w:r>
      <w:r>
        <w:rPr>
          <w:noProof/>
          <w:lang w:val="en" w:eastAsia="en-GB"/>
        </w:rPr>
        <w:t>al compensation and administrative burden. The platform proposed to revise the cross-compliance rules in order to create greater transparency and proportionality, particularly for the penalty system, and to assess the link between cross-compliance rules an</w:t>
      </w:r>
      <w:r>
        <w:rPr>
          <w:noProof/>
          <w:lang w:val="en" w:eastAsia="en-GB"/>
        </w:rPr>
        <w:t>d agro-environmental commitments. The platform mentioned the inconsistency of certain ESI Funds and EAFRD rules and proposed the harmonisation and standardisation of ESI Funds. An opinion on control and audit of the CAP suggested establishing more targeted</w:t>
      </w:r>
      <w:r>
        <w:rPr>
          <w:noProof/>
          <w:lang w:val="en" w:eastAsia="en-GB"/>
        </w:rPr>
        <w:t>, risk-based and proportionate control regimes.</w:t>
      </w:r>
    </w:p>
    <w:p w:rsidR="00333A1A" w:rsidRDefault="003D29C9">
      <w:pPr>
        <w:pStyle w:val="Text1"/>
        <w:ind w:left="0"/>
        <w:rPr>
          <w:noProof/>
          <w:lang w:val="en" w:eastAsia="en-GB"/>
        </w:rPr>
      </w:pPr>
      <w:r>
        <w:rPr>
          <w:noProof/>
          <w:lang w:val="en" w:eastAsia="en-GB"/>
        </w:rPr>
        <w:t>Responses to the 2017 open public consultation on modernising and simplifying the CAP</w:t>
      </w:r>
      <w:r>
        <w:rPr>
          <w:rStyle w:val="FootnoteReference"/>
          <w:noProof/>
          <w:szCs w:val="24"/>
          <w:lang w:val="en" w:eastAsia="en-GB"/>
        </w:rPr>
        <w:footnoteReference w:id="116"/>
      </w:r>
      <w:r>
        <w:rPr>
          <w:noProof/>
          <w:lang w:val="en" w:eastAsia="en-GB"/>
        </w:rPr>
        <w:t xml:space="preserve"> confirmed the general perception of excess of bureaucracy: the greening scheme, aid applications and controls are identif</w:t>
      </w:r>
      <w:r>
        <w:rPr>
          <w:noProof/>
          <w:lang w:val="en" w:eastAsia="en-GB"/>
        </w:rPr>
        <w:t>ied as the most burdensome and complex elements. The call for a reduction of administrative burden is a generalised demand in the papers submitted by farmers and national administrations.</w:t>
      </w:r>
      <w:r>
        <w:rPr>
          <w:noProof/>
        </w:rPr>
        <w:t xml:space="preserve"> </w:t>
      </w:r>
      <w:r>
        <w:rPr>
          <w:noProof/>
          <w:lang w:val="en" w:eastAsia="en-GB"/>
        </w:rPr>
        <w:t>There is a clear agreement among stakeholders on the positive effect</w:t>
      </w:r>
      <w:r>
        <w:rPr>
          <w:noProof/>
          <w:lang w:val="en" w:eastAsia="en-GB"/>
        </w:rPr>
        <w:t>s of reducing the overlaps between Rural Development and other CAP measures (69%), the better use of databases and technologies (remote sensing, smart phones) to reduce farms inspections (62%) as well as the use of a more extensive use of e-government tool</w:t>
      </w:r>
      <w:r>
        <w:rPr>
          <w:noProof/>
          <w:lang w:val="en" w:eastAsia="en-GB"/>
        </w:rPr>
        <w:t>s (63%).</w:t>
      </w:r>
    </w:p>
    <w:p w:rsidR="00333A1A" w:rsidRDefault="003D29C9">
      <w:pPr>
        <w:pStyle w:val="Text1"/>
        <w:ind w:left="0"/>
        <w:rPr>
          <w:noProof/>
          <w:highlight w:val="yellow"/>
          <w:lang w:val="en" w:eastAsia="en-GB"/>
        </w:rPr>
      </w:pPr>
      <w:r>
        <w:rPr>
          <w:noProof/>
          <w:lang w:val="en" w:eastAsia="en-GB"/>
        </w:rPr>
        <w:t>Some issues have also been raised with regard to the Common Market Organisation. Producers and Member States have asked for the system of geographical indications (GIs) to be more efficient. Under current procedures detailed analysis made by Membe</w:t>
      </w:r>
      <w:r>
        <w:rPr>
          <w:noProof/>
          <w:lang w:val="en" w:eastAsia="en-GB"/>
        </w:rPr>
        <w:t>r States is to a large extent duplicated by the Commission. The administrative burden is causing delays in registration of GIs which reduces the system’s credibility and raises questions about the management efficiency.</w:t>
      </w:r>
      <w:r>
        <w:rPr>
          <w:noProof/>
        </w:rPr>
        <w:t xml:space="preserve"> </w:t>
      </w:r>
      <w:r>
        <w:rPr>
          <w:noProof/>
          <w:lang w:val="en" w:eastAsia="en-GB"/>
        </w:rPr>
        <w:t>Lengthy procedures and delays in the</w:t>
      </w:r>
      <w:r>
        <w:rPr>
          <w:noProof/>
          <w:lang w:val="en" w:eastAsia="en-GB"/>
        </w:rPr>
        <w:t xml:space="preserve"> registration process have been the source of regular complaints by the sector and the Member States</w:t>
      </w:r>
      <w:r>
        <w:rPr>
          <w:rStyle w:val="FootnoteReference"/>
          <w:noProof/>
          <w:color w:val="000000"/>
          <w:szCs w:val="24"/>
        </w:rPr>
        <w:footnoteReference w:id="117"/>
      </w:r>
      <w:r>
        <w:rPr>
          <w:noProof/>
          <w:color w:val="000000"/>
        </w:rPr>
        <w:t>.</w:t>
      </w:r>
    </w:p>
    <w:p w:rsidR="00333A1A" w:rsidRDefault="003D29C9">
      <w:pPr>
        <w:pStyle w:val="Heading1"/>
        <w:ind w:left="482" w:hanging="482"/>
        <w:rPr>
          <w:noProof/>
        </w:rPr>
      </w:pPr>
      <w:bookmarkStart w:id="296" w:name="_Toc509412538"/>
      <w:bookmarkStart w:id="297" w:name="_Toc513053311"/>
      <w:bookmarkStart w:id="298" w:name="_Toc513053527"/>
      <w:bookmarkStart w:id="299" w:name="_Toc514514658"/>
      <w:r>
        <w:rPr>
          <w:noProof/>
        </w:rPr>
        <w:t>CAP simplification and modernisation: changes considered for post-2020</w:t>
      </w:r>
      <w:bookmarkEnd w:id="296"/>
      <w:bookmarkEnd w:id="297"/>
      <w:bookmarkEnd w:id="298"/>
      <w:bookmarkEnd w:id="299"/>
      <w:r>
        <w:rPr>
          <w:noProof/>
        </w:rPr>
        <w:t xml:space="preserve"> </w:t>
      </w:r>
    </w:p>
    <w:p w:rsidR="00333A1A" w:rsidRDefault="003D29C9">
      <w:pPr>
        <w:pStyle w:val="Text1"/>
        <w:spacing w:after="120"/>
        <w:ind w:left="0"/>
        <w:rPr>
          <w:noProof/>
          <w:lang w:val="en" w:eastAsia="en-GB"/>
        </w:rPr>
      </w:pPr>
      <w:r>
        <w:rPr>
          <w:noProof/>
          <w:lang w:val="en" w:eastAsia="en-GB"/>
        </w:rPr>
        <w:t xml:space="preserve">For the next MFF, simplifying the CAP has been set as a main cross-cutting objective. The corresponding specific objective is to </w:t>
      </w:r>
      <w:r>
        <w:rPr>
          <w:b/>
          <w:noProof/>
          <w:lang w:val="en" w:eastAsia="en-GB"/>
        </w:rPr>
        <w:t>streamline the CAP design and delivery on EU objectives of relevance for the CAP including simplification</w:t>
      </w:r>
      <w:r>
        <w:rPr>
          <w:noProof/>
          <w:lang w:val="en" w:eastAsia="en-GB"/>
        </w:rPr>
        <w:t>. The three operationa</w:t>
      </w:r>
      <w:r>
        <w:rPr>
          <w:noProof/>
          <w:lang w:val="en" w:eastAsia="en-GB"/>
        </w:rPr>
        <w:t>l objectives under simplification to which each of the options under the impact assessment can contribute are:</w:t>
      </w:r>
    </w:p>
    <w:p w:rsidR="00333A1A" w:rsidRDefault="003D29C9">
      <w:pPr>
        <w:pStyle w:val="ListParagraph"/>
        <w:numPr>
          <w:ilvl w:val="0"/>
          <w:numId w:val="50"/>
        </w:numPr>
        <w:spacing w:after="0" w:line="240" w:lineRule="auto"/>
        <w:ind w:left="0" w:firstLine="0"/>
        <w:jc w:val="both"/>
        <w:rPr>
          <w:noProof/>
        </w:rPr>
      </w:pPr>
      <w:r>
        <w:rPr>
          <w:rFonts w:ascii="Times New Roman" w:hAnsi="Times New Roman" w:cs="Times New Roman"/>
          <w:noProof/>
          <w:sz w:val="24"/>
          <w:szCs w:val="24"/>
        </w:rPr>
        <w:t xml:space="preserve">Shift from compliance to performance </w:t>
      </w:r>
    </w:p>
    <w:p w:rsidR="00333A1A" w:rsidRDefault="003D29C9">
      <w:pPr>
        <w:pStyle w:val="ListParagraph"/>
        <w:numPr>
          <w:ilvl w:val="0"/>
          <w:numId w:val="50"/>
        </w:numPr>
        <w:spacing w:after="0" w:line="240" w:lineRule="auto"/>
        <w:ind w:left="0" w:firstLine="0"/>
        <w:jc w:val="both"/>
        <w:rPr>
          <w:noProof/>
        </w:rPr>
      </w:pPr>
      <w:r>
        <w:rPr>
          <w:rFonts w:ascii="Times New Roman" w:eastAsia="Times New Roman" w:hAnsi="Times New Roman" w:cs="Times New Roman"/>
          <w:noProof/>
          <w:sz w:val="24"/>
          <w:szCs w:val="24"/>
          <w:lang w:val="en" w:eastAsia="en-GB"/>
        </w:rPr>
        <w:t>Reduce the administrative burden</w:t>
      </w:r>
      <w:r>
        <w:rPr>
          <w:rFonts w:ascii="Times New Roman" w:hAnsi="Times New Roman" w:cs="Times New Roman"/>
          <w:noProof/>
          <w:sz w:val="24"/>
          <w:szCs w:val="24"/>
        </w:rPr>
        <w:t xml:space="preserve"> </w:t>
      </w:r>
    </w:p>
    <w:p w:rsidR="00333A1A" w:rsidRDefault="003D29C9">
      <w:pPr>
        <w:pStyle w:val="ListParagraph"/>
        <w:numPr>
          <w:ilvl w:val="0"/>
          <w:numId w:val="50"/>
        </w:numPr>
        <w:spacing w:after="0" w:line="240" w:lineRule="auto"/>
        <w:ind w:left="0" w:firstLine="0"/>
        <w:jc w:val="both"/>
        <w:rPr>
          <w:noProof/>
        </w:rPr>
      </w:pPr>
      <w:r>
        <w:rPr>
          <w:rFonts w:ascii="Times New Roman" w:eastAsia="Times New Roman" w:hAnsi="Times New Roman" w:cs="Times New Roman"/>
          <w:noProof/>
          <w:sz w:val="24"/>
          <w:szCs w:val="24"/>
          <w:lang w:val="en" w:eastAsia="en-GB"/>
        </w:rPr>
        <w:t>Enhance the proportionality of administrative costs</w:t>
      </w:r>
      <w:r>
        <w:rPr>
          <w:rFonts w:ascii="Times New Roman" w:hAnsi="Times New Roman" w:cs="Times New Roman"/>
          <w:noProof/>
          <w:sz w:val="24"/>
          <w:szCs w:val="24"/>
        </w:rPr>
        <w:t xml:space="preserve"> </w:t>
      </w:r>
    </w:p>
    <w:p w:rsidR="00333A1A" w:rsidRDefault="00333A1A">
      <w:pPr>
        <w:spacing w:line="240" w:lineRule="auto"/>
        <w:contextualSpacing/>
        <w:jc w:val="both"/>
        <w:rPr>
          <w:noProof/>
        </w:rPr>
      </w:pPr>
    </w:p>
    <w:p w:rsidR="00333A1A" w:rsidRDefault="003D29C9">
      <w:pPr>
        <w:pStyle w:val="Heading2"/>
        <w:ind w:left="958"/>
        <w:rPr>
          <w:noProof/>
          <w:szCs w:val="24"/>
        </w:rPr>
      </w:pPr>
      <w:bookmarkStart w:id="300" w:name="_Toc508635170"/>
      <w:bookmarkStart w:id="301" w:name="_Toc509412539"/>
      <w:bookmarkStart w:id="302" w:name="_Toc513053312"/>
      <w:bookmarkStart w:id="303" w:name="_Toc513053528"/>
      <w:bookmarkStart w:id="304" w:name="_Toc514514659"/>
      <w:r>
        <w:rPr>
          <w:noProof/>
          <w:szCs w:val="24"/>
        </w:rPr>
        <w:t>The new delivery mo</w:t>
      </w:r>
      <w:r>
        <w:rPr>
          <w:noProof/>
          <w:szCs w:val="24"/>
        </w:rPr>
        <w:t>del</w:t>
      </w:r>
      <w:bookmarkEnd w:id="300"/>
      <w:bookmarkEnd w:id="301"/>
      <w:bookmarkEnd w:id="302"/>
      <w:bookmarkEnd w:id="303"/>
      <w:bookmarkEnd w:id="304"/>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To address the CAP objectives, the CAP post-2020 modernisation and simplification will introduce a new delivery model based on </w:t>
      </w:r>
      <w:r>
        <w:rPr>
          <w:rFonts w:ascii="Times New Roman" w:eastAsia="Times New Roman" w:hAnsi="Times New Roman" w:cs="Times New Roman"/>
          <w:b/>
          <w:noProof/>
          <w:sz w:val="24"/>
          <w:szCs w:val="24"/>
          <w:lang w:val="en" w:eastAsia="en-GB"/>
        </w:rPr>
        <w:t>increased subsidiarity</w:t>
      </w:r>
      <w:r>
        <w:rPr>
          <w:rFonts w:ascii="Times New Roman" w:eastAsia="Times New Roman" w:hAnsi="Times New Roman" w:cs="Times New Roman"/>
          <w:noProof/>
          <w:sz w:val="24"/>
          <w:szCs w:val="24"/>
          <w:lang w:val="en" w:eastAsia="en-GB"/>
        </w:rPr>
        <w:t xml:space="preserve"> in the implementation and </w:t>
      </w:r>
      <w:r>
        <w:rPr>
          <w:rFonts w:ascii="Times New Roman" w:eastAsia="Times New Roman" w:hAnsi="Times New Roman" w:cs="Times New Roman"/>
          <w:b/>
          <w:noProof/>
          <w:sz w:val="24"/>
          <w:szCs w:val="24"/>
          <w:lang w:val="en" w:eastAsia="en-GB"/>
        </w:rPr>
        <w:t>greater focus on performance</w:t>
      </w:r>
      <w:r>
        <w:rPr>
          <w:rFonts w:ascii="Times New Roman" w:eastAsia="Times New Roman" w:hAnsi="Times New Roman" w:cs="Times New Roman"/>
          <w:noProof/>
          <w:sz w:val="24"/>
          <w:szCs w:val="24"/>
          <w:lang w:val="en" w:eastAsia="en-GB"/>
        </w:rPr>
        <w:t>. Under this new system, the Commission aims for</w:t>
      </w:r>
      <w:r>
        <w:rPr>
          <w:rFonts w:ascii="Times New Roman" w:eastAsia="Times New Roman" w:hAnsi="Times New Roman" w:cs="Times New Roman"/>
          <w:noProof/>
          <w:sz w:val="24"/>
          <w:szCs w:val="24"/>
          <w:lang w:val="en" w:eastAsia="en-GB"/>
        </w:rPr>
        <w:t xml:space="preserve"> enhanced coherence among the different instruments of the CAP. This is translated in the streamlining of direct payments and rural development as well as the sectorial strategies under the common market organisation in a unique and integrated strategic pl</w:t>
      </w:r>
      <w:r>
        <w:rPr>
          <w:rFonts w:ascii="Times New Roman" w:eastAsia="Times New Roman" w:hAnsi="Times New Roman" w:cs="Times New Roman"/>
          <w:noProof/>
          <w:sz w:val="24"/>
          <w:szCs w:val="24"/>
          <w:lang w:val="en" w:eastAsia="en-GB"/>
        </w:rPr>
        <w:t>anning approach. At the same time, more flexibility is given to Member States in the design of the specific measures to better target national and regional needs, while justifying for a strategic approach and contribution to performance along EU objectives</w:t>
      </w:r>
      <w:r>
        <w:rPr>
          <w:rFonts w:ascii="Times New Roman" w:eastAsia="Times New Roman" w:hAnsi="Times New Roman" w:cs="Times New Roman"/>
          <w:noProof/>
          <w:sz w:val="24"/>
          <w:szCs w:val="24"/>
          <w:lang w:val="en" w:eastAsia="en-GB"/>
        </w:rPr>
        <w:t xml:space="preserve">.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definition of possible common rules applicable to all ESI Funds under a common rule book is currently being discussed between relevant services of the Commission in order to maximise coherence while keeping the specificities and needs of each policy</w:t>
      </w:r>
      <w:r>
        <w:rPr>
          <w:rFonts w:ascii="Times New Roman" w:eastAsia="Times New Roman" w:hAnsi="Times New Roman" w:cs="Times New Roman"/>
          <w:noProof/>
          <w:sz w:val="24"/>
          <w:szCs w:val="24"/>
          <w:lang w:val="en" w:eastAsia="en-GB"/>
        </w:rPr>
        <w:t xml:space="preserve">. This document is prepared under the assumption that the outcome of these discussions will eventually allow for sufficient subsidiarity and focus on results, and the new CAP delivery model will fit well with the overall policy design of shared management </w:t>
      </w:r>
      <w:r>
        <w:rPr>
          <w:rFonts w:ascii="Times New Roman" w:eastAsia="Times New Roman" w:hAnsi="Times New Roman" w:cs="Times New Roman"/>
          <w:noProof/>
          <w:sz w:val="24"/>
          <w:szCs w:val="24"/>
          <w:lang w:val="en" w:eastAsia="en-GB"/>
        </w:rPr>
        <w:t xml:space="preserve">funds.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From the perspective of simplification, the new delivery model has the potential to address some of the key issues identified above, such as the simplification of the rural development programming, fewer burdens from implementation of EU </w:t>
      </w:r>
      <w:r>
        <w:rPr>
          <w:rFonts w:ascii="Times New Roman" w:eastAsia="Times New Roman" w:hAnsi="Times New Roman" w:cs="Times New Roman"/>
          <w:noProof/>
          <w:sz w:val="24"/>
          <w:szCs w:val="24"/>
          <w:lang w:val="en" w:eastAsia="en-GB"/>
        </w:rPr>
        <w:t>requirements through better adaptation to local situations and better coordination of the actions of the two pillars. It can also bring benefits in terms of policy coherence with the objectives of EU environmental legislation and the environmental planning</w:t>
      </w:r>
      <w:r>
        <w:rPr>
          <w:rFonts w:ascii="Times New Roman" w:eastAsia="Times New Roman" w:hAnsi="Times New Roman" w:cs="Times New Roman"/>
          <w:noProof/>
          <w:sz w:val="24"/>
          <w:szCs w:val="24"/>
          <w:lang w:val="en" w:eastAsia="en-GB"/>
        </w:rPr>
        <w:t xml:space="preserve"> tools.</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new delivery model will hence bring tangible changes to the current working methods of national and EU administrations: national competent authorities will have an increased responsibility for setting up a strategic approach for CAP delivery, u</w:t>
      </w:r>
      <w:r>
        <w:rPr>
          <w:rFonts w:ascii="Times New Roman" w:eastAsia="Times New Roman" w:hAnsi="Times New Roman" w:cs="Times New Roman"/>
          <w:noProof/>
          <w:sz w:val="24"/>
          <w:szCs w:val="24"/>
          <w:lang w:val="en" w:eastAsia="en-GB"/>
        </w:rPr>
        <w:t xml:space="preserve">nder approval of the Commission. This will </w:t>
      </w:r>
      <w:r>
        <w:rPr>
          <w:rFonts w:ascii="Times New Roman" w:eastAsia="Times New Roman" w:hAnsi="Times New Roman" w:cs="Times New Roman"/>
          <w:i/>
          <w:noProof/>
          <w:sz w:val="24"/>
          <w:szCs w:val="24"/>
          <w:lang w:val="en" w:eastAsia="en-GB"/>
        </w:rPr>
        <w:t>per se</w:t>
      </w:r>
      <w:r>
        <w:rPr>
          <w:rFonts w:ascii="Times New Roman" w:eastAsia="Times New Roman" w:hAnsi="Times New Roman" w:cs="Times New Roman"/>
          <w:noProof/>
          <w:sz w:val="24"/>
          <w:szCs w:val="24"/>
          <w:lang w:val="en" w:eastAsia="en-GB"/>
        </w:rPr>
        <w:t xml:space="preserve"> lead to certain administrative burden when establishing their CAP plan and justifying the choices made. However, national plans more specifically addressing national and regional needs can also positively i</w:t>
      </w:r>
      <w:r>
        <w:rPr>
          <w:rFonts w:ascii="Times New Roman" w:eastAsia="Times New Roman" w:hAnsi="Times New Roman" w:cs="Times New Roman"/>
          <w:noProof/>
          <w:sz w:val="24"/>
          <w:szCs w:val="24"/>
          <w:lang w:val="en" w:eastAsia="en-GB"/>
        </w:rPr>
        <w:t xml:space="preserve">mpact the acceptability of the CAP and in consequence positively impact the perception of administrative costs. The role of the Commission will shift from setting up detailed rules and controlling compliance towards assessing national CAP design, delivery </w:t>
      </w:r>
      <w:r>
        <w:rPr>
          <w:rFonts w:ascii="Times New Roman" w:eastAsia="Times New Roman" w:hAnsi="Times New Roman" w:cs="Times New Roman"/>
          <w:noProof/>
          <w:sz w:val="24"/>
          <w:szCs w:val="24"/>
          <w:lang w:val="en" w:eastAsia="en-GB"/>
        </w:rPr>
        <w:t>and monitoring on the basis of their performance.</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flexibility given to Member States leaves uncertainty as to the choices which will be made by Member States to implement CAP measures on their territory. It is therefore difficult to assess these impact</w:t>
      </w:r>
      <w:r>
        <w:rPr>
          <w:rFonts w:ascii="Times New Roman" w:eastAsia="Times New Roman" w:hAnsi="Times New Roman" w:cs="Times New Roman"/>
          <w:noProof/>
          <w:sz w:val="24"/>
          <w:szCs w:val="24"/>
          <w:lang w:val="en" w:eastAsia="en-GB"/>
        </w:rPr>
        <w:t xml:space="preserve">s on administrative burden of the new delivery model at Member States level. While the streamlining of the CAP and the shift towards performance provide for </w:t>
      </w:r>
      <w:r>
        <w:rPr>
          <w:rFonts w:ascii="Times New Roman" w:eastAsia="Times New Roman" w:hAnsi="Times New Roman" w:cs="Times New Roman"/>
          <w:b/>
          <w:noProof/>
          <w:sz w:val="24"/>
          <w:szCs w:val="24"/>
          <w:lang w:val="en" w:eastAsia="en-GB"/>
        </w:rPr>
        <w:t>significant potential for administrative burden reduction</w:t>
      </w:r>
      <w:r>
        <w:rPr>
          <w:rFonts w:ascii="Times New Roman" w:eastAsia="Times New Roman" w:hAnsi="Times New Roman" w:cs="Times New Roman"/>
          <w:noProof/>
          <w:sz w:val="24"/>
          <w:szCs w:val="24"/>
          <w:lang w:val="en" w:eastAsia="en-GB"/>
        </w:rPr>
        <w:t xml:space="preserve">, the tools which Member States will take </w:t>
      </w:r>
      <w:r>
        <w:rPr>
          <w:rFonts w:ascii="Times New Roman" w:eastAsia="Times New Roman" w:hAnsi="Times New Roman" w:cs="Times New Roman"/>
          <w:noProof/>
          <w:sz w:val="24"/>
          <w:szCs w:val="24"/>
          <w:lang w:val="en" w:eastAsia="en-GB"/>
        </w:rPr>
        <w:t>up in their national strategies as well as the national requirements and criteria will be key. There is indeed a risk that Member States continue focusing on compliance by setting complex, additional or even unnecessary national requirements. Nevertheless,</w:t>
      </w:r>
      <w:r>
        <w:rPr>
          <w:rFonts w:ascii="Times New Roman" w:eastAsia="Times New Roman" w:hAnsi="Times New Roman" w:cs="Times New Roman"/>
          <w:noProof/>
          <w:sz w:val="24"/>
          <w:szCs w:val="24"/>
          <w:lang w:val="en" w:eastAsia="en-GB"/>
        </w:rPr>
        <w:t xml:space="preserve"> fewer EU requirements will limit the fear of non-compliance with them by Member States, reducing therefore the incentives for gold-plating and for establishing numerous national rules. Likewise, the uptake of new technologies by Member States, such as dig</w:t>
      </w:r>
      <w:r>
        <w:rPr>
          <w:rFonts w:ascii="Times New Roman" w:eastAsia="Times New Roman" w:hAnsi="Times New Roman" w:cs="Times New Roman"/>
          <w:noProof/>
          <w:sz w:val="24"/>
          <w:szCs w:val="24"/>
          <w:lang w:val="en" w:eastAsia="en-GB"/>
        </w:rPr>
        <w:t>itisation and use of satellites, will have an important impact on administrative burden. The generalisation of the geo-spatial aid application and of single pre-filled application forms, mandatory from 2018 onwards, is already expected to simplify procedur</w:t>
      </w:r>
      <w:r>
        <w:rPr>
          <w:rFonts w:ascii="Times New Roman" w:eastAsia="Times New Roman" w:hAnsi="Times New Roman" w:cs="Times New Roman"/>
          <w:noProof/>
          <w:sz w:val="24"/>
          <w:szCs w:val="24"/>
          <w:lang w:val="en" w:eastAsia="en-GB"/>
        </w:rPr>
        <w:t>es.</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With regard to beneficiaries, benefits in terms of administrative burden will derive from the national CAP Plan and the way national administrations translate it at beneficiary's level. A simpler, more coherent and strategic approach, if taken up by Me</w:t>
      </w:r>
      <w:r>
        <w:rPr>
          <w:rFonts w:ascii="Times New Roman" w:eastAsia="Times New Roman" w:hAnsi="Times New Roman" w:cs="Times New Roman"/>
          <w:noProof/>
          <w:sz w:val="24"/>
          <w:szCs w:val="24"/>
          <w:lang w:val="en" w:eastAsia="en-GB"/>
        </w:rPr>
        <w:t>mber States, should result in reduced burden for applications and controls. Moreover, targeting the CAP to national and regional needs will enhance the acceptability of the CAP by beneficiaries, with a subsequent impact on perceived administrative burden.</w:t>
      </w:r>
    </w:p>
    <w:p w:rsidR="00333A1A" w:rsidRDefault="003D29C9">
      <w:pPr>
        <w:pStyle w:val="Heading2"/>
        <w:ind w:left="958"/>
        <w:rPr>
          <w:noProof/>
          <w:szCs w:val="24"/>
        </w:rPr>
      </w:pPr>
      <w:bookmarkStart w:id="305" w:name="_Toc508635171"/>
      <w:bookmarkStart w:id="306" w:name="_Toc509412540"/>
      <w:bookmarkStart w:id="307" w:name="_Toc513053313"/>
      <w:bookmarkStart w:id="308" w:name="_Toc513053529"/>
      <w:bookmarkStart w:id="309" w:name="_Toc514514660"/>
      <w:r>
        <w:rPr>
          <w:noProof/>
          <w:szCs w:val="24"/>
        </w:rPr>
        <w:t>Changes under the Common Market Organisation</w:t>
      </w:r>
      <w:bookmarkEnd w:id="305"/>
      <w:bookmarkEnd w:id="306"/>
      <w:bookmarkEnd w:id="307"/>
      <w:bookmarkEnd w:id="308"/>
      <w:bookmarkEnd w:id="309"/>
    </w:p>
    <w:p w:rsidR="00333A1A" w:rsidRDefault="003D29C9">
      <w:pPr>
        <w:pStyle w:val="Heading3"/>
        <w:ind w:left="1922"/>
        <w:rPr>
          <w:noProof/>
        </w:rPr>
      </w:pPr>
      <w:bookmarkStart w:id="310" w:name="_Toc508635172"/>
      <w:bookmarkStart w:id="311" w:name="_Toc509412541"/>
      <w:r>
        <w:rPr>
          <w:noProof/>
        </w:rPr>
        <w:t>Wine provisions</w:t>
      </w:r>
      <w:bookmarkEnd w:id="310"/>
      <w:bookmarkEnd w:id="311"/>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Two main changes are considered under the wine provisions:</w:t>
      </w:r>
    </w:p>
    <w:p w:rsidR="00333A1A" w:rsidRDefault="003D29C9">
      <w:pPr>
        <w:pStyle w:val="ListParagraph"/>
        <w:numPr>
          <w:ilvl w:val="0"/>
          <w:numId w:val="53"/>
        </w:num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b/>
          <w:noProof/>
          <w:sz w:val="24"/>
          <w:szCs w:val="24"/>
          <w:lang w:val="en" w:eastAsia="en-GB"/>
        </w:rPr>
        <w:t>Planting authorisations</w:t>
      </w:r>
      <w:r>
        <w:rPr>
          <w:rFonts w:ascii="Times New Roman" w:eastAsia="Times New Roman" w:hAnsi="Times New Roman" w:cs="Times New Roman"/>
          <w:noProof/>
          <w:sz w:val="24"/>
          <w:szCs w:val="24"/>
          <w:lang w:val="en" w:eastAsia="en-GB"/>
        </w:rPr>
        <w:t>: currently, new authorisations which may be granted under the system of planting authorisations (2016-2030) are limited by 1% of the area planted in the preceding year. Member States will have the flexibility to choose a fixed reference year instead (i.e.</w:t>
      </w:r>
      <w:r>
        <w:rPr>
          <w:rFonts w:ascii="Times New Roman" w:eastAsia="Times New Roman" w:hAnsi="Times New Roman" w:cs="Times New Roman"/>
          <w:noProof/>
          <w:sz w:val="24"/>
          <w:szCs w:val="24"/>
          <w:lang w:val="en" w:eastAsia="en-GB"/>
        </w:rPr>
        <w:t xml:space="preserve"> 2015, the last year of the old system). The main purpose is to maintain the production potential in those Member States where the vineyard area is actually declining, due to abandoned vineyards not being replanted. </w:t>
      </w:r>
    </w:p>
    <w:p w:rsidR="00333A1A" w:rsidRDefault="003D29C9">
      <w:pPr>
        <w:pStyle w:val="ListParagraph"/>
        <w:numPr>
          <w:ilvl w:val="0"/>
          <w:numId w:val="53"/>
        </w:num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b/>
          <w:noProof/>
          <w:sz w:val="24"/>
          <w:szCs w:val="24"/>
          <w:lang w:val="en" w:eastAsia="en-GB"/>
        </w:rPr>
        <w:t>Oenological practices and vine varietie</w:t>
      </w:r>
      <w:r>
        <w:rPr>
          <w:rFonts w:ascii="Times New Roman" w:eastAsia="Times New Roman" w:hAnsi="Times New Roman" w:cs="Times New Roman"/>
          <w:b/>
          <w:noProof/>
          <w:sz w:val="24"/>
          <w:szCs w:val="24"/>
          <w:lang w:val="en" w:eastAsia="en-GB"/>
        </w:rPr>
        <w:t>s</w:t>
      </w:r>
      <w:r>
        <w:rPr>
          <w:rFonts w:ascii="Times New Roman" w:eastAsia="Times New Roman" w:hAnsi="Times New Roman" w:cs="Times New Roman"/>
          <w:noProof/>
          <w:sz w:val="24"/>
          <w:szCs w:val="24"/>
          <w:lang w:val="en" w:eastAsia="en-GB"/>
        </w:rPr>
        <w:t xml:space="preserve">: the categories of </w:t>
      </w:r>
      <w:r>
        <w:rPr>
          <w:rFonts w:ascii="Times New Roman" w:eastAsia="Times New Roman" w:hAnsi="Times New Roman" w:cs="Times New Roman"/>
          <w:i/>
          <w:noProof/>
          <w:sz w:val="24"/>
          <w:szCs w:val="24"/>
          <w:lang w:val="en" w:eastAsia="en-GB"/>
        </w:rPr>
        <w:t>low alcohol</w:t>
      </w:r>
      <w:r>
        <w:rPr>
          <w:rFonts w:ascii="Times New Roman" w:eastAsia="Times New Roman" w:hAnsi="Times New Roman" w:cs="Times New Roman"/>
          <w:noProof/>
          <w:sz w:val="24"/>
          <w:szCs w:val="24"/>
          <w:lang w:val="en" w:eastAsia="en-GB"/>
        </w:rPr>
        <w:t xml:space="preserve"> and </w:t>
      </w:r>
      <w:r>
        <w:rPr>
          <w:rFonts w:ascii="Times New Roman" w:eastAsia="Times New Roman" w:hAnsi="Times New Roman" w:cs="Times New Roman"/>
          <w:i/>
          <w:noProof/>
          <w:sz w:val="24"/>
          <w:szCs w:val="24"/>
          <w:lang w:val="en" w:eastAsia="en-GB"/>
        </w:rPr>
        <w:t>alcohol-free</w:t>
      </w:r>
      <w:r>
        <w:rPr>
          <w:rFonts w:ascii="Times New Roman" w:eastAsia="Times New Roman" w:hAnsi="Times New Roman" w:cs="Times New Roman"/>
          <w:noProof/>
          <w:sz w:val="24"/>
          <w:szCs w:val="24"/>
          <w:lang w:val="en" w:eastAsia="en-GB"/>
        </w:rPr>
        <w:t xml:space="preserve"> wine will be included in the wine definition and the use of hybrids for the production of Protected Designations of Origin (PDOs) and the possibility to integrate non Vitis vinifera varieties (e.g. Vitis La</w:t>
      </w:r>
      <w:r>
        <w:rPr>
          <w:rFonts w:ascii="Times New Roman" w:eastAsia="Times New Roman" w:hAnsi="Times New Roman" w:cs="Times New Roman"/>
          <w:noProof/>
          <w:sz w:val="24"/>
          <w:szCs w:val="24"/>
          <w:lang w:val="en" w:eastAsia="en-GB"/>
        </w:rPr>
        <w:t xml:space="preserve">brusca) in their national list of wine grape varieties will be allowed. The main purpose is to a) respond to consumers' growing demand and match international competition on low alcohol wines and b) achieve a positive impact on environment ensuring better </w:t>
      </w:r>
      <w:r>
        <w:rPr>
          <w:rFonts w:ascii="Times New Roman" w:eastAsia="Times New Roman" w:hAnsi="Times New Roman" w:cs="Times New Roman"/>
          <w:noProof/>
          <w:sz w:val="24"/>
          <w:szCs w:val="24"/>
          <w:lang w:val="en" w:eastAsia="en-GB"/>
        </w:rPr>
        <w:t xml:space="preserve">adaptability of vineyards to climate change due to the characteristics of these grape varieties. </w:t>
      </w:r>
    </w:p>
    <w:p w:rsidR="00333A1A" w:rsidRDefault="003D29C9">
      <w:pPr>
        <w:pStyle w:val="Heading3"/>
        <w:ind w:left="1922"/>
        <w:rPr>
          <w:noProof/>
        </w:rPr>
      </w:pPr>
      <w:bookmarkStart w:id="312" w:name="_Toc508635173"/>
      <w:bookmarkStart w:id="313" w:name="_Toc509412542"/>
      <w:r>
        <w:rPr>
          <w:noProof/>
        </w:rPr>
        <w:t>Geographical indications</w:t>
      </w:r>
      <w:bookmarkEnd w:id="312"/>
      <w:bookmarkEnd w:id="313"/>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Communication on the Future of Food and Farming</w:t>
      </w:r>
      <w:r>
        <w:rPr>
          <w:rStyle w:val="FootnoteReference"/>
          <w:rFonts w:ascii="Times New Roman" w:hAnsi="Times New Roman" w:cs="Times New Roman"/>
          <w:noProof/>
          <w:sz w:val="24"/>
          <w:szCs w:val="24"/>
        </w:rPr>
        <w:footnoteReference w:id="118"/>
      </w:r>
      <w:r>
        <w:rPr>
          <w:rFonts w:ascii="Times New Roman" w:eastAsia="Times New Roman" w:hAnsi="Times New Roman" w:cs="Times New Roman"/>
          <w:noProof/>
          <w:sz w:val="24"/>
          <w:szCs w:val="24"/>
          <w:lang w:val="en" w:eastAsia="en-GB"/>
        </w:rPr>
        <w:t xml:space="preserve"> called for geographical indications (GIs) to be made more attractive to farmers </w:t>
      </w:r>
      <w:r>
        <w:rPr>
          <w:rFonts w:ascii="Times New Roman" w:eastAsia="Times New Roman" w:hAnsi="Times New Roman" w:cs="Times New Roman"/>
          <w:noProof/>
          <w:sz w:val="24"/>
          <w:szCs w:val="24"/>
          <w:lang w:val="en" w:eastAsia="en-GB"/>
        </w:rPr>
        <w:t>and consumers, and render the system easier to manage. Both Member States and the producers consider that the rules on managing GIs, spread over four basic Acts</w:t>
      </w:r>
      <w:r>
        <w:rPr>
          <w:rStyle w:val="FootnoteReference"/>
          <w:rFonts w:ascii="Times New Roman" w:hAnsi="Times New Roman" w:cs="Times New Roman"/>
          <w:noProof/>
          <w:sz w:val="24"/>
          <w:szCs w:val="24"/>
        </w:rPr>
        <w:footnoteReference w:id="119"/>
      </w:r>
      <w:r>
        <w:rPr>
          <w:rFonts w:ascii="Times New Roman" w:eastAsia="Times New Roman" w:hAnsi="Times New Roman" w:cs="Times New Roman"/>
          <w:noProof/>
          <w:sz w:val="24"/>
          <w:szCs w:val="24"/>
          <w:lang w:val="en" w:eastAsia="en-GB"/>
        </w:rPr>
        <w:t xml:space="preserve"> are far from being easy to manage and delays are too long. They are looking for a </w:t>
      </w:r>
      <w:r>
        <w:rPr>
          <w:rFonts w:ascii="Times New Roman" w:eastAsia="Times New Roman" w:hAnsi="Times New Roman" w:cs="Times New Roman"/>
          <w:b/>
          <w:noProof/>
          <w:sz w:val="24"/>
          <w:szCs w:val="24"/>
          <w:lang w:val="en" w:eastAsia="en-GB"/>
        </w:rPr>
        <w:t>simpler GI s</w:t>
      </w:r>
      <w:r>
        <w:rPr>
          <w:rFonts w:ascii="Times New Roman" w:eastAsia="Times New Roman" w:hAnsi="Times New Roman" w:cs="Times New Roman"/>
          <w:b/>
          <w:noProof/>
          <w:sz w:val="24"/>
          <w:szCs w:val="24"/>
          <w:lang w:val="en" w:eastAsia="en-GB"/>
        </w:rPr>
        <w:t>ystem</w:t>
      </w:r>
      <w:r>
        <w:rPr>
          <w:rFonts w:ascii="Times New Roman" w:eastAsia="Times New Roman" w:hAnsi="Times New Roman" w:cs="Times New Roman"/>
          <w:noProof/>
          <w:sz w:val="24"/>
          <w:szCs w:val="24"/>
          <w:lang w:val="en" w:eastAsia="en-GB"/>
        </w:rPr>
        <w:t xml:space="preserve">, in line with international standards for GIs, and faster registration of geographical indications and efficient approval of amendments to product specifications. This will allow producers greater flexibility and response time in competing on the EU </w:t>
      </w:r>
      <w:r>
        <w:rPr>
          <w:rFonts w:ascii="Times New Roman" w:eastAsia="Times New Roman" w:hAnsi="Times New Roman" w:cs="Times New Roman"/>
          <w:noProof/>
          <w:sz w:val="24"/>
          <w:szCs w:val="24"/>
          <w:lang w:val="en" w:eastAsia="en-GB"/>
        </w:rPr>
        <w:t xml:space="preserve">and global markets. Protection of EU GIs in bilateral trade agreements is a major EU objective that is not fully exploited if the registration system is too burdensome and opaque.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GIs can be made considerably easier to manage by separating intellectual pr</w:t>
      </w:r>
      <w:r>
        <w:rPr>
          <w:rFonts w:ascii="Times New Roman" w:eastAsia="Times New Roman" w:hAnsi="Times New Roman" w:cs="Times New Roman"/>
          <w:noProof/>
          <w:sz w:val="24"/>
          <w:szCs w:val="24"/>
          <w:lang w:val="en" w:eastAsia="en-GB"/>
        </w:rPr>
        <w:t>operty rules from other requirements laid down in the product specification like compliance with marketing standards and labelling rules. This would enable more efficient registration of a GI as an intellectual property right (IPR), aligning with internati</w:t>
      </w:r>
      <w:r>
        <w:rPr>
          <w:rFonts w:ascii="Times New Roman" w:eastAsia="Times New Roman" w:hAnsi="Times New Roman" w:cs="Times New Roman"/>
          <w:noProof/>
          <w:sz w:val="24"/>
          <w:szCs w:val="24"/>
          <w:lang w:val="en" w:eastAsia="en-GB"/>
        </w:rPr>
        <w:t>onal practice for GIs, while allowing the non-IPR issues to be addressed more effectively, whether through separate legislation (as for derogations from winemaking rules) or addressing possible market infringements through the appropriate channels with the</w:t>
      </w:r>
      <w:r>
        <w:rPr>
          <w:rFonts w:ascii="Times New Roman" w:eastAsia="Times New Roman" w:hAnsi="Times New Roman" w:cs="Times New Roman"/>
          <w:noProof/>
          <w:sz w:val="24"/>
          <w:szCs w:val="24"/>
          <w:lang w:val="en" w:eastAsia="en-GB"/>
        </w:rPr>
        <w:t xml:space="preserve"> Member State concerned. In addition, limiting the scrutiny of applications at EU level to checking them against manifest errors as well as habilitating Member States to decide on amendments that do not have impacts at EU level, would streamline approvals,</w:t>
      </w:r>
      <w:r>
        <w:rPr>
          <w:rFonts w:ascii="Times New Roman" w:eastAsia="Times New Roman" w:hAnsi="Times New Roman" w:cs="Times New Roman"/>
          <w:noProof/>
          <w:sz w:val="24"/>
          <w:szCs w:val="24"/>
          <w:lang w:val="en" w:eastAsia="en-GB"/>
        </w:rPr>
        <w:t xml:space="preserve"> shorten timelines, and prevent the current wasted resources arising from the fact that Member States are already examining the applications to ensure that the rules are respected therefore a second layer of scrutiny at the EU level should become leaner to</w:t>
      </w:r>
      <w:r>
        <w:rPr>
          <w:rFonts w:ascii="Times New Roman" w:eastAsia="Times New Roman" w:hAnsi="Times New Roman" w:cs="Times New Roman"/>
          <w:noProof/>
          <w:sz w:val="24"/>
          <w:szCs w:val="24"/>
          <w:lang w:val="en" w:eastAsia="en-GB"/>
        </w:rPr>
        <w:t xml:space="preserve"> respect the twin principles of subsidiarity and proportionality. This division of competence would allow the Commission to focus resources on the EU value added, which stems from ensuring that EU-level impacts of protecting a GI are examined while the Mem</w:t>
      </w:r>
      <w:r>
        <w:rPr>
          <w:rFonts w:ascii="Times New Roman" w:eastAsia="Times New Roman" w:hAnsi="Times New Roman" w:cs="Times New Roman"/>
          <w:noProof/>
          <w:sz w:val="24"/>
          <w:szCs w:val="24"/>
          <w:lang w:val="en" w:eastAsia="en-GB"/>
        </w:rPr>
        <w:t>ber States are best placed to examine national impacts.</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Clarification of the definition of 'Protected Designation of Origin' for wines will enable producer groups to use new varietals needed in response to climate change, and allow proper justifications of</w:t>
      </w:r>
      <w:r>
        <w:rPr>
          <w:rFonts w:ascii="Times New Roman" w:eastAsia="Times New Roman" w:hAnsi="Times New Roman" w:cs="Times New Roman"/>
          <w:noProof/>
          <w:sz w:val="24"/>
          <w:szCs w:val="24"/>
          <w:lang w:val="en" w:eastAsia="en-GB"/>
        </w:rPr>
        <w:t xml:space="preserve"> applications in line with viticulture and oenological realities, thus reducing the need for revising of an application, and faster registration of a Protected Designation of Origin.</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Simplification of some specific procedures, for example the opposition pr</w:t>
      </w:r>
      <w:r>
        <w:rPr>
          <w:rFonts w:ascii="Times New Roman" w:eastAsia="Times New Roman" w:hAnsi="Times New Roman" w:cs="Times New Roman"/>
          <w:noProof/>
          <w:sz w:val="24"/>
          <w:szCs w:val="24"/>
          <w:lang w:val="en" w:eastAsia="en-GB"/>
        </w:rPr>
        <w:t>ocedure, is envisaged to reduce bureaucracy and misunderstandings, and make the process more effective. These essentially administrative 'tweaks' to the procedures and rules that will further shorten the overall time needed from the submission of the appli</w:t>
      </w:r>
      <w:r>
        <w:rPr>
          <w:rFonts w:ascii="Times New Roman" w:eastAsia="Times New Roman" w:hAnsi="Times New Roman" w:cs="Times New Roman"/>
          <w:noProof/>
          <w:sz w:val="24"/>
          <w:szCs w:val="24"/>
          <w:lang w:val="en" w:eastAsia="en-GB"/>
        </w:rPr>
        <w:t xml:space="preserve">cation to a GI registration.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simplification proposed for wine GIs will exacerbate divergences from the rules for agricultural products and foodstuffs, laid down in a second basic Act. If the above mentioned simplification effort applied also to agricu</w:t>
      </w:r>
      <w:r>
        <w:rPr>
          <w:rFonts w:ascii="Times New Roman" w:eastAsia="Times New Roman" w:hAnsi="Times New Roman" w:cs="Times New Roman"/>
          <w:noProof/>
          <w:sz w:val="24"/>
          <w:szCs w:val="24"/>
          <w:lang w:val="en" w:eastAsia="en-GB"/>
        </w:rPr>
        <w:t xml:space="preserve">ltural products and foodstuffs, leaner procedures allowing for faster registration would bring benefits to producers of GIs in this sector, too.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Finally as regards simplification, a third basic Act applies to aromatised wines. Currently there are only fi</w:t>
      </w:r>
      <w:r>
        <w:rPr>
          <w:rFonts w:ascii="Times New Roman" w:eastAsia="Times New Roman" w:hAnsi="Times New Roman" w:cs="Times New Roman"/>
          <w:noProof/>
          <w:sz w:val="24"/>
          <w:szCs w:val="24"/>
          <w:lang w:val="en" w:eastAsia="en-GB"/>
        </w:rPr>
        <w:t>ve geographical indications for aromatised wines registered (out of 3350 geographical indications in total). Having specific implementing and delegated legislation is considered a substantial waste of resources. Applying the GI rules for agricultural produ</w:t>
      </w:r>
      <w:r>
        <w:rPr>
          <w:rFonts w:ascii="Times New Roman" w:eastAsia="Times New Roman" w:hAnsi="Times New Roman" w:cs="Times New Roman"/>
          <w:noProof/>
          <w:sz w:val="24"/>
          <w:szCs w:val="24"/>
          <w:lang w:val="en" w:eastAsia="en-GB"/>
        </w:rPr>
        <w:t>cts and foodstuffs</w:t>
      </w:r>
      <w:r>
        <w:rPr>
          <w:rStyle w:val="FootnoteReference"/>
          <w:rFonts w:ascii="Times New Roman" w:hAnsi="Times New Roman" w:cs="Times New Roman"/>
          <w:noProof/>
          <w:sz w:val="24"/>
          <w:szCs w:val="24"/>
        </w:rPr>
        <w:footnoteReference w:id="120"/>
      </w:r>
      <w:r>
        <w:rPr>
          <w:rFonts w:ascii="Times New Roman" w:eastAsia="Times New Roman" w:hAnsi="Times New Roman" w:cs="Times New Roman"/>
          <w:noProof/>
          <w:sz w:val="24"/>
          <w:szCs w:val="24"/>
          <w:lang w:val="en" w:eastAsia="en-GB"/>
        </w:rPr>
        <w:t xml:space="preserve"> also to aromatised wines would be a major simplification and reduction of administrative burden without impacting stakeholders' existing rights. A fourth basic Act applies to spirit drinks. With a view to align it to the Lisbon Treaty a</w:t>
      </w:r>
      <w:r>
        <w:rPr>
          <w:rFonts w:ascii="Times New Roman" w:eastAsia="Times New Roman" w:hAnsi="Times New Roman" w:cs="Times New Roman"/>
          <w:noProof/>
          <w:sz w:val="24"/>
          <w:szCs w:val="24"/>
          <w:lang w:val="en" w:eastAsia="en-GB"/>
        </w:rPr>
        <w:t>nd achieve simplification at the same time, the Commission adopted a proposal in December 2016</w:t>
      </w:r>
      <w:r>
        <w:rPr>
          <w:rStyle w:val="FootnoteReference"/>
          <w:rFonts w:ascii="Times New Roman" w:hAnsi="Times New Roman" w:cs="Times New Roman"/>
          <w:noProof/>
          <w:sz w:val="24"/>
          <w:szCs w:val="24"/>
        </w:rPr>
        <w:footnoteReference w:id="121"/>
      </w:r>
      <w:r>
        <w:rPr>
          <w:rFonts w:ascii="Times New Roman" w:eastAsia="Times New Roman" w:hAnsi="Times New Roman" w:cs="Times New Roman"/>
          <w:noProof/>
          <w:sz w:val="24"/>
          <w:szCs w:val="24"/>
          <w:lang w:val="en" w:eastAsia="en-GB"/>
        </w:rPr>
        <w:t>.</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In the view of the recent trends in the sales of goods, the sector is asking for more efficient controls of geographical indications by customs, in transit and</w:t>
      </w:r>
      <w:r>
        <w:rPr>
          <w:rFonts w:ascii="Times New Roman" w:eastAsia="Times New Roman" w:hAnsi="Times New Roman" w:cs="Times New Roman"/>
          <w:noProof/>
          <w:sz w:val="24"/>
          <w:szCs w:val="24"/>
          <w:lang w:val="en" w:eastAsia="en-GB"/>
        </w:rPr>
        <w:t xml:space="preserve"> their protection as intellectual property on the internet. One critical innovation needed is to make available GI metadata and internet links to official right-holders so that Customs authorities can take action. This is in train and does not need legisla</w:t>
      </w:r>
      <w:r>
        <w:rPr>
          <w:rFonts w:ascii="Times New Roman" w:eastAsia="Times New Roman" w:hAnsi="Times New Roman" w:cs="Times New Roman"/>
          <w:noProof/>
          <w:sz w:val="24"/>
          <w:szCs w:val="24"/>
          <w:lang w:val="en" w:eastAsia="en-GB"/>
        </w:rPr>
        <w:t>tive adjustment. However, extending GI protection to goods in transit would align with anti-counterfeiting strategies for other forms of IPR as well as requiring Member States to better collaborate and exchange information in support of existing IP enforce</w:t>
      </w:r>
      <w:r>
        <w:rPr>
          <w:rFonts w:ascii="Times New Roman" w:eastAsia="Times New Roman" w:hAnsi="Times New Roman" w:cs="Times New Roman"/>
          <w:noProof/>
          <w:sz w:val="24"/>
          <w:szCs w:val="24"/>
          <w:lang w:val="en" w:eastAsia="en-GB"/>
        </w:rPr>
        <w:t xml:space="preserve">ment initiatives on-line that often by-pass GIs. These elements would reduce counterfeiting and make GIs more attractive to farmers and consumers.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All in all, a simplified system could be more understandable to consumers, become easier to promote and lead</w:t>
      </w:r>
      <w:r>
        <w:rPr>
          <w:rFonts w:ascii="Times New Roman" w:eastAsia="Times New Roman" w:hAnsi="Times New Roman" w:cs="Times New Roman"/>
          <w:noProof/>
          <w:sz w:val="24"/>
          <w:szCs w:val="24"/>
          <w:lang w:val="en" w:eastAsia="en-GB"/>
        </w:rPr>
        <w:t xml:space="preserve"> to higher sales and thus increased farm incomes as the concept of geographical indications becomes better known. A simplified EU system could reduce the costs for the public purse of managing the system and the enforcement thereof. </w:t>
      </w:r>
    </w:p>
    <w:p w:rsidR="00333A1A" w:rsidRDefault="003D29C9">
      <w:pPr>
        <w:pStyle w:val="Heading1"/>
        <w:ind w:left="482" w:hanging="482"/>
        <w:rPr>
          <w:noProof/>
        </w:rPr>
      </w:pPr>
      <w:bookmarkStart w:id="314" w:name="_Toc509412543"/>
      <w:bookmarkStart w:id="315" w:name="_Toc513053314"/>
      <w:bookmarkStart w:id="316" w:name="_Toc513053530"/>
      <w:bookmarkStart w:id="317" w:name="_Toc514514661"/>
      <w:r>
        <w:rPr>
          <w:noProof/>
        </w:rPr>
        <w:t>A CAP oriented towards</w:t>
      </w:r>
      <w:r>
        <w:rPr>
          <w:noProof/>
        </w:rPr>
        <w:t xml:space="preserve"> performance</w:t>
      </w:r>
      <w:bookmarkEnd w:id="314"/>
      <w:bookmarkEnd w:id="315"/>
      <w:bookmarkEnd w:id="316"/>
      <w:bookmarkEnd w:id="317"/>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new CAP delivery model is designed to allow Member States to orient their national strategy towards performance in function of identified national needs. However the choice in the design and delivery of national plans should not solely foc</w:t>
      </w:r>
      <w:r>
        <w:rPr>
          <w:rFonts w:ascii="Times New Roman" w:eastAsia="Times New Roman" w:hAnsi="Times New Roman" w:cs="Times New Roman"/>
          <w:noProof/>
          <w:sz w:val="24"/>
          <w:szCs w:val="24"/>
          <w:lang w:val="en" w:eastAsia="en-GB"/>
        </w:rPr>
        <w:t>us on the effectiveness of interventions, but should consider whether these are oriented towards performance. This means that account should be taken of the capacity of the various tools to allow for results to materialise in relation to their specific obj</w:t>
      </w:r>
      <w:r>
        <w:rPr>
          <w:rFonts w:ascii="Times New Roman" w:eastAsia="Times New Roman" w:hAnsi="Times New Roman" w:cs="Times New Roman"/>
          <w:noProof/>
          <w:sz w:val="24"/>
          <w:szCs w:val="24"/>
          <w:lang w:val="en" w:eastAsia="en-GB"/>
        </w:rPr>
        <w:t xml:space="preserve">ectives, with regard to whether they foster results and/or provide incentives to beneficiaries to perform.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performance-orientation of the impact assessment options was assessed in function of their design. Under all options the CAP post-2020 modernisa</w:t>
      </w:r>
      <w:r>
        <w:rPr>
          <w:rFonts w:ascii="Times New Roman" w:eastAsia="Times New Roman" w:hAnsi="Times New Roman" w:cs="Times New Roman"/>
          <w:noProof/>
          <w:sz w:val="24"/>
          <w:szCs w:val="24"/>
          <w:lang w:val="en" w:eastAsia="en-GB"/>
        </w:rPr>
        <w:t>tion and simplification brings a shift from compliance to performance, with CAP plans taking national needs into consideration for the design of the national strategy, reduced control of compliance by the Commission, and monitoring and reporting on output,</w:t>
      </w:r>
      <w:r>
        <w:rPr>
          <w:rFonts w:ascii="Times New Roman" w:eastAsia="Times New Roman" w:hAnsi="Times New Roman" w:cs="Times New Roman"/>
          <w:noProof/>
          <w:sz w:val="24"/>
          <w:szCs w:val="24"/>
          <w:lang w:val="en" w:eastAsia="en-GB"/>
        </w:rPr>
        <w:t xml:space="preserve"> result and impact indicators (with a possible update of the national plan).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Options 4a and 4b ensure high result-orientation linked to the certainty of results under conditionality while the eco-scheme and the incentives it provides to deliver on results</w:t>
      </w:r>
      <w:r>
        <w:rPr>
          <w:rFonts w:ascii="Times New Roman" w:eastAsia="Times New Roman" w:hAnsi="Times New Roman" w:cs="Times New Roman"/>
          <w:noProof/>
          <w:sz w:val="24"/>
          <w:szCs w:val="24"/>
          <w:lang w:val="en" w:eastAsia="en-GB"/>
        </w:rPr>
        <w:t xml:space="preserve"> benefit result-orientation under option 3a. Option 5 scores averagely as the prescriptive approach, through top-ups defined at EU-level, inhibits the focus of the design on national needs, which in turn may prevent the creation of results where needed mos</w:t>
      </w:r>
      <w:r>
        <w:rPr>
          <w:rFonts w:ascii="Times New Roman" w:eastAsia="Times New Roman" w:hAnsi="Times New Roman" w:cs="Times New Roman"/>
          <w:noProof/>
          <w:sz w:val="24"/>
          <w:szCs w:val="24"/>
          <w:lang w:val="en" w:eastAsia="en-GB"/>
        </w:rPr>
        <w:t xml:space="preserve">t. Entitlements under option 3b similarly prevent the tools to focus on needs.  </w:t>
      </w:r>
    </w:p>
    <w:p w:rsidR="00333A1A" w:rsidRDefault="003D29C9">
      <w:pPr>
        <w:pStyle w:val="Text1"/>
        <w:keepNext/>
        <w:ind w:left="0"/>
        <w:jc w:val="center"/>
        <w:rPr>
          <w:b/>
          <w:i/>
          <w:noProof/>
          <w:sz w:val="20"/>
        </w:rPr>
      </w:pPr>
      <w:r>
        <w:rPr>
          <w:b/>
          <w:i/>
          <w:noProof/>
          <w:sz w:val="20"/>
        </w:rPr>
        <w:t>Graph 2 Performance-orientation of options</w:t>
      </w:r>
    </w:p>
    <w:p w:rsidR="00333A1A" w:rsidRDefault="003D29C9">
      <w:pPr>
        <w:spacing w:line="240" w:lineRule="auto"/>
        <w:jc w:val="center"/>
        <w:rPr>
          <w:rFonts w:ascii="Times New Roman" w:eastAsia="Times New Roman" w:hAnsi="Times New Roman" w:cs="Times New Roman"/>
          <w:noProof/>
          <w:sz w:val="24"/>
          <w:szCs w:val="24"/>
          <w:highlight w:val="yellow"/>
          <w:lang w:val="en" w:eastAsia="en-GB"/>
        </w:rPr>
      </w:pPr>
      <w:r>
        <w:rPr>
          <w:noProof/>
          <w:lang w:eastAsia="en-GB"/>
        </w:rPr>
        <w:drawing>
          <wp:inline distT="0" distB="0" distL="0" distR="0" wp14:anchorId="5B4FA3CD" wp14:editId="194BDBF9">
            <wp:extent cx="2883600" cy="2880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3600" cy="2880000"/>
                    </a:xfrm>
                    <a:prstGeom prst="rect">
                      <a:avLst/>
                    </a:prstGeom>
                    <a:noFill/>
                    <a:ln>
                      <a:noFill/>
                    </a:ln>
                  </pic:spPr>
                </pic:pic>
              </a:graphicData>
            </a:graphic>
          </wp:inline>
        </w:drawing>
      </w:r>
    </w:p>
    <w:p w:rsidR="00333A1A" w:rsidRDefault="003D29C9">
      <w:pPr>
        <w:pStyle w:val="Heading1"/>
        <w:ind w:left="482" w:hanging="482"/>
        <w:rPr>
          <w:noProof/>
        </w:rPr>
      </w:pPr>
      <w:bookmarkStart w:id="318" w:name="_Toc509412544"/>
      <w:bookmarkStart w:id="319" w:name="_Toc513053315"/>
      <w:bookmarkStart w:id="320" w:name="_Toc513053531"/>
      <w:bookmarkStart w:id="321" w:name="_Toc514514662"/>
      <w:r>
        <w:rPr>
          <w:noProof/>
        </w:rPr>
        <w:t>Scope for reducing administrative burden</w:t>
      </w:r>
      <w:bookmarkEnd w:id="318"/>
      <w:bookmarkEnd w:id="319"/>
      <w:bookmarkEnd w:id="320"/>
      <w:bookmarkEnd w:id="321"/>
      <w:r>
        <w:rPr>
          <w:noProof/>
        </w:rPr>
        <w:t xml:space="preserve"> </w:t>
      </w:r>
    </w:p>
    <w:p w:rsidR="00333A1A" w:rsidRDefault="003D29C9">
      <w:pPr>
        <w:pStyle w:val="Heading2"/>
        <w:ind w:left="958"/>
        <w:rPr>
          <w:noProof/>
          <w:szCs w:val="24"/>
        </w:rPr>
      </w:pPr>
      <w:bookmarkStart w:id="322" w:name="_Toc508635176"/>
      <w:bookmarkStart w:id="323" w:name="_Toc509412545"/>
      <w:bookmarkStart w:id="324" w:name="_Toc513053316"/>
      <w:bookmarkStart w:id="325" w:name="_Toc513053532"/>
      <w:bookmarkStart w:id="326" w:name="_Toc514514663"/>
      <w:r>
        <w:rPr>
          <w:noProof/>
          <w:szCs w:val="24"/>
        </w:rPr>
        <w:t>Simplification under the new delivery model</w:t>
      </w:r>
      <w:bookmarkEnd w:id="322"/>
      <w:bookmarkEnd w:id="323"/>
      <w:bookmarkEnd w:id="324"/>
      <w:bookmarkEnd w:id="325"/>
      <w:bookmarkEnd w:id="326"/>
    </w:p>
    <w:p w:rsidR="00333A1A" w:rsidRDefault="003D29C9">
      <w:pPr>
        <w:pStyle w:val="Heading3"/>
        <w:ind w:left="1922"/>
        <w:rPr>
          <w:noProof/>
        </w:rPr>
      </w:pPr>
      <w:bookmarkStart w:id="327" w:name="_Toc508635177"/>
      <w:bookmarkStart w:id="328" w:name="_Toc509412546"/>
      <w:r>
        <w:rPr>
          <w:noProof/>
        </w:rPr>
        <w:t>CAP strategic plans</w:t>
      </w:r>
      <w:bookmarkEnd w:id="327"/>
      <w:bookmarkEnd w:id="328"/>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The implementation </w:t>
      </w:r>
      <w:r>
        <w:rPr>
          <w:rFonts w:ascii="Times New Roman" w:eastAsia="Times New Roman" w:hAnsi="Times New Roman" w:cs="Times New Roman"/>
          <w:noProof/>
          <w:sz w:val="24"/>
          <w:szCs w:val="24"/>
          <w:lang w:val="en" w:eastAsia="en-GB"/>
        </w:rPr>
        <w:t>information to be submitted by Member States under the current CAP is heavy and differs significantly in terms of content, format and procedures. It requires Member States to send a number of the notifications of implementation of various schemes including</w:t>
      </w:r>
      <w:r>
        <w:rPr>
          <w:rFonts w:ascii="Times New Roman" w:eastAsia="Times New Roman" w:hAnsi="Times New Roman" w:cs="Times New Roman"/>
          <w:noProof/>
          <w:sz w:val="24"/>
          <w:szCs w:val="24"/>
          <w:lang w:val="en" w:eastAsia="en-GB"/>
        </w:rPr>
        <w:t xml:space="preserve"> GAECs, to prepare a rural development programme and to prepare sectorial strategies for fruit and vegetables, wine and apiculture. Further sectorial programmes also exist in a limited number of Member States for hops and olive oil. While management of dir</w:t>
      </w:r>
      <w:r>
        <w:rPr>
          <w:rFonts w:ascii="Times New Roman" w:eastAsia="Times New Roman" w:hAnsi="Times New Roman" w:cs="Times New Roman"/>
          <w:noProof/>
          <w:sz w:val="24"/>
          <w:szCs w:val="24"/>
          <w:lang w:val="en" w:eastAsia="en-GB"/>
        </w:rPr>
        <w:t>ect payments is dealt with at national level (except for Belgium, where Flanders and Wallonia administer these separately), rural development programmes are set up in 7 Member States by regional bodies (Belgium, Germany, Spain, Finland, France, Italy, Port</w:t>
      </w:r>
      <w:r>
        <w:rPr>
          <w:rFonts w:ascii="Times New Roman" w:eastAsia="Times New Roman" w:hAnsi="Times New Roman" w:cs="Times New Roman"/>
          <w:noProof/>
          <w:sz w:val="24"/>
          <w:szCs w:val="24"/>
          <w:lang w:val="en" w:eastAsia="en-GB"/>
        </w:rPr>
        <w:t>ugal</w:t>
      </w:r>
      <w:r>
        <w:rPr>
          <w:rStyle w:val="FootnoteReference"/>
          <w:rFonts w:ascii="Times New Roman" w:eastAsia="Times New Roman" w:hAnsi="Times New Roman" w:cs="Times New Roman"/>
          <w:noProof/>
          <w:sz w:val="24"/>
          <w:szCs w:val="24"/>
          <w:lang w:val="en" w:eastAsia="en-GB"/>
        </w:rPr>
        <w:footnoteReference w:id="122"/>
      </w:r>
      <w:r>
        <w:rPr>
          <w:rFonts w:ascii="Times New Roman" w:eastAsia="Times New Roman" w:hAnsi="Times New Roman" w:cs="Times New Roman"/>
          <w:noProof/>
          <w:sz w:val="24"/>
          <w:szCs w:val="24"/>
          <w:lang w:val="en" w:eastAsia="en-GB"/>
        </w:rPr>
        <w:t>). In some of these Member States, a national plan is drafted in addition to the regional ones, e.g. Italy.</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Altogether, this information represents thousands of pages to be submitted by national administrations. Rural development programmes are the mo</w:t>
      </w:r>
      <w:r>
        <w:rPr>
          <w:rFonts w:ascii="Times New Roman" w:eastAsia="Times New Roman" w:hAnsi="Times New Roman" w:cs="Times New Roman"/>
          <w:noProof/>
          <w:sz w:val="24"/>
          <w:szCs w:val="24"/>
          <w:lang w:val="en" w:eastAsia="en-GB"/>
        </w:rPr>
        <w:t>st burdensome, with programming documents averaging almost 800 pages. The sum of notifications' forms under direct payment represents over 500 pages, of which about 10% to be submitted on an annual basis. For sectorial programmes, national strategies avera</w:t>
      </w:r>
      <w:r>
        <w:rPr>
          <w:rFonts w:ascii="Times New Roman" w:eastAsia="Times New Roman" w:hAnsi="Times New Roman" w:cs="Times New Roman"/>
          <w:noProof/>
          <w:sz w:val="24"/>
          <w:szCs w:val="24"/>
          <w:lang w:val="en" w:eastAsia="en-GB"/>
        </w:rPr>
        <w:t xml:space="preserve">ge between 40 and 70 pages. Although the preparation of the rural development programmes represents a significant burden for competent authorities in the first year it represents however a small fraction of costs for national administrations, at around 2% </w:t>
      </w:r>
      <w:r>
        <w:rPr>
          <w:rFonts w:ascii="Times New Roman" w:eastAsia="Times New Roman" w:hAnsi="Times New Roman" w:cs="Times New Roman"/>
          <w:noProof/>
          <w:sz w:val="24"/>
          <w:szCs w:val="24"/>
          <w:lang w:val="en" w:eastAsia="en-GB"/>
        </w:rPr>
        <w:t>of total costs over the 7-years programming period</w:t>
      </w:r>
      <w:r>
        <w:rPr>
          <w:rStyle w:val="FootnoteReference"/>
          <w:rFonts w:ascii="Times New Roman" w:eastAsia="Times New Roman" w:hAnsi="Times New Roman" w:cs="Times New Roman"/>
          <w:noProof/>
          <w:sz w:val="24"/>
          <w:szCs w:val="24"/>
          <w:lang w:val="en" w:eastAsia="en-GB"/>
        </w:rPr>
        <w:footnoteReference w:id="123"/>
      </w:r>
      <w:r>
        <w:rPr>
          <w:rFonts w:ascii="Times New Roman" w:eastAsia="Times New Roman" w:hAnsi="Times New Roman" w:cs="Times New Roman"/>
          <w:noProof/>
          <w:sz w:val="24"/>
          <w:szCs w:val="24"/>
          <w:lang w:val="en" w:eastAsia="en-GB"/>
        </w:rPr>
        <w:t xml:space="preserve">.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Under the options assessed in the impact assessment, all of these obligations are replaced by a </w:t>
      </w:r>
      <w:r>
        <w:rPr>
          <w:rFonts w:ascii="Times New Roman" w:eastAsia="Times New Roman" w:hAnsi="Times New Roman" w:cs="Times New Roman"/>
          <w:b/>
          <w:noProof/>
          <w:sz w:val="24"/>
          <w:szCs w:val="24"/>
          <w:lang w:val="en" w:eastAsia="en-GB"/>
        </w:rPr>
        <w:t>new comprehensive CAP strategic plan</w:t>
      </w:r>
      <w:r>
        <w:rPr>
          <w:rFonts w:ascii="Times New Roman" w:eastAsia="Times New Roman" w:hAnsi="Times New Roman" w:cs="Times New Roman"/>
          <w:noProof/>
          <w:sz w:val="24"/>
          <w:szCs w:val="24"/>
          <w:lang w:val="en" w:eastAsia="en-GB"/>
        </w:rPr>
        <w:t>. The CAP strategic plan should fit well with the overall policy desig</w:t>
      </w:r>
      <w:r>
        <w:rPr>
          <w:rFonts w:ascii="Times New Roman" w:eastAsia="Times New Roman" w:hAnsi="Times New Roman" w:cs="Times New Roman"/>
          <w:noProof/>
          <w:sz w:val="24"/>
          <w:szCs w:val="24"/>
          <w:lang w:val="en" w:eastAsia="en-GB"/>
        </w:rPr>
        <w:t>n of shared management funds. It will be implemented by the appropriate governance structures and will encompass an ex-ante assessment, a national/ regional strategy, description of interventions, financial planning and a performance framework for monitori</w:t>
      </w:r>
      <w:r>
        <w:rPr>
          <w:rFonts w:ascii="Times New Roman" w:eastAsia="Times New Roman" w:hAnsi="Times New Roman" w:cs="Times New Roman"/>
          <w:noProof/>
          <w:sz w:val="24"/>
          <w:szCs w:val="24"/>
          <w:lang w:val="en" w:eastAsia="en-GB"/>
        </w:rPr>
        <w:t>ng and evaluation. While similar to current requirements under the rural development programmes, the scope for planning will be much broader, also including Pillar I payments and sectorial programmes. The CAP strategic plan is however designed to be less b</w:t>
      </w:r>
      <w:r>
        <w:rPr>
          <w:rFonts w:ascii="Times New Roman" w:eastAsia="Times New Roman" w:hAnsi="Times New Roman" w:cs="Times New Roman"/>
          <w:noProof/>
          <w:sz w:val="24"/>
          <w:szCs w:val="24"/>
          <w:lang w:val="en" w:eastAsia="en-GB"/>
        </w:rPr>
        <w:t>urdensome than the current rural development programme as the level of detail will be much less and it ensures a structured and strategic planning within a</w:t>
      </w:r>
      <w:r>
        <w:rPr>
          <w:rFonts w:ascii="Times New Roman" w:eastAsia="Times New Roman" w:hAnsi="Times New Roman" w:cs="Times New Roman"/>
          <w:b/>
          <w:noProof/>
          <w:sz w:val="24"/>
          <w:szCs w:val="24"/>
          <w:lang w:val="en" w:eastAsia="en-GB"/>
        </w:rPr>
        <w:t xml:space="preserve"> single procedure</w:t>
      </w:r>
      <w:r>
        <w:rPr>
          <w:rFonts w:ascii="Times New Roman" w:eastAsia="Times New Roman" w:hAnsi="Times New Roman" w:cs="Times New Roman"/>
          <w:noProof/>
          <w:sz w:val="24"/>
          <w:szCs w:val="24"/>
          <w:lang w:val="en" w:eastAsia="en-GB"/>
        </w:rPr>
        <w:t>.</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CAP planning will need to be done at national level (while respecting each int</w:t>
      </w:r>
      <w:r>
        <w:rPr>
          <w:rFonts w:ascii="Times New Roman" w:eastAsia="Times New Roman" w:hAnsi="Times New Roman" w:cs="Times New Roman"/>
          <w:noProof/>
          <w:sz w:val="24"/>
          <w:szCs w:val="24"/>
          <w:lang w:val="en" w:eastAsia="en-GB"/>
        </w:rPr>
        <w:t>ernal Constitutional framework, e.g. Belgium). However it can be expected that Member States regionalising funds under the EAFRD continue preparing their plan, at least partly, at regional level while coordinating and accompanying these under a national fr</w:t>
      </w:r>
      <w:r>
        <w:rPr>
          <w:rFonts w:ascii="Times New Roman" w:eastAsia="Times New Roman" w:hAnsi="Times New Roman" w:cs="Times New Roman"/>
          <w:noProof/>
          <w:sz w:val="24"/>
          <w:szCs w:val="24"/>
          <w:lang w:val="en" w:eastAsia="en-GB"/>
        </w:rPr>
        <w:t>amework. For these competent authorities, the planning approach may result in increased costs for coordination mainly linked to the wider scope of the planning.</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costs for carrying out the analysis of national needs (SWOT analysis) are not expected to v</w:t>
      </w:r>
      <w:r>
        <w:rPr>
          <w:rFonts w:ascii="Times New Roman" w:eastAsia="Times New Roman" w:hAnsi="Times New Roman" w:cs="Times New Roman"/>
          <w:noProof/>
          <w:sz w:val="24"/>
          <w:szCs w:val="24"/>
          <w:lang w:val="en" w:eastAsia="en-GB"/>
        </w:rPr>
        <w:t>ary significantly in function of the design of the plan. However, the complexity of the design will matter: the more interventions planned, the more eligibility criteria and/or requirements set and the more complex the tools chosen, the more time will be n</w:t>
      </w:r>
      <w:r>
        <w:rPr>
          <w:rFonts w:ascii="Times New Roman" w:eastAsia="Times New Roman" w:hAnsi="Times New Roman" w:cs="Times New Roman"/>
          <w:noProof/>
          <w:sz w:val="24"/>
          <w:szCs w:val="24"/>
          <w:lang w:val="en" w:eastAsia="en-GB"/>
        </w:rPr>
        <w:t xml:space="preserve">eeded to set up the national CAP plan and to explain the choices made in Member State´s CAP plans.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The system of approval is expected to be simpler than the current approval of rural development programmes, though streamlined for the whole CAP and with a </w:t>
      </w:r>
      <w:r>
        <w:rPr>
          <w:rFonts w:ascii="Times New Roman" w:eastAsia="Times New Roman" w:hAnsi="Times New Roman" w:cs="Times New Roman"/>
          <w:noProof/>
          <w:sz w:val="24"/>
          <w:szCs w:val="24"/>
          <w:lang w:val="en" w:eastAsia="en-GB"/>
        </w:rPr>
        <w:t>different focus: while current RD programmes are assessed with regard to eligibility rules, the justifications for the design will be key for approval of the CAP plans.</w:t>
      </w:r>
    </w:p>
    <w:p w:rsidR="00333A1A" w:rsidRDefault="003D29C9">
      <w:pPr>
        <w:pStyle w:val="Heading3"/>
        <w:rPr>
          <w:noProof/>
        </w:rPr>
      </w:pPr>
      <w:bookmarkStart w:id="329" w:name="_Toc508635178"/>
      <w:bookmarkStart w:id="330" w:name="_Toc509412547"/>
      <w:r>
        <w:rPr>
          <w:noProof/>
        </w:rPr>
        <w:t>Management of applications and payment claims</w:t>
      </w:r>
      <w:bookmarkEnd w:id="329"/>
      <w:bookmarkEnd w:id="330"/>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Applications represent the bulk of costs </w:t>
      </w:r>
      <w:r>
        <w:rPr>
          <w:rFonts w:ascii="Times New Roman" w:eastAsia="Times New Roman" w:hAnsi="Times New Roman" w:cs="Times New Roman"/>
          <w:noProof/>
          <w:sz w:val="24"/>
          <w:szCs w:val="24"/>
          <w:lang w:val="en" w:eastAsia="en-GB"/>
        </w:rPr>
        <w:t>for beneficiaries and involve significant costs for handling of applications by the paying agencies and managing authorities. This entails in consequence a large potential for administrative cost reduction.</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Under the current CAP, beneficiaries largely bene</w:t>
      </w:r>
      <w:r>
        <w:rPr>
          <w:rFonts w:ascii="Times New Roman" w:eastAsia="Times New Roman" w:hAnsi="Times New Roman" w:cs="Times New Roman"/>
          <w:noProof/>
          <w:sz w:val="24"/>
          <w:szCs w:val="24"/>
          <w:lang w:val="en" w:eastAsia="en-GB"/>
        </w:rPr>
        <w:t>fit from a single application form for area and animal-related payments and are more and more able of using geo-spatial aid applications for defining areas. The 2017 study on ESI Funds</w:t>
      </w:r>
      <w:r>
        <w:rPr>
          <w:rStyle w:val="FootnoteReference"/>
          <w:rFonts w:ascii="Times New Roman" w:eastAsia="Times New Roman" w:hAnsi="Times New Roman" w:cs="Times New Roman"/>
          <w:noProof/>
          <w:sz w:val="24"/>
          <w:szCs w:val="24"/>
          <w:lang w:val="en" w:eastAsia="en-GB"/>
        </w:rPr>
        <w:footnoteReference w:id="124"/>
      </w:r>
      <w:r>
        <w:rPr>
          <w:rFonts w:ascii="Times New Roman" w:eastAsia="Times New Roman" w:hAnsi="Times New Roman" w:cs="Times New Roman"/>
          <w:noProof/>
          <w:sz w:val="24"/>
          <w:szCs w:val="24"/>
          <w:lang w:val="en" w:eastAsia="en-GB"/>
        </w:rPr>
        <w:t xml:space="preserve"> also reports gains under the 2013 reform from simpler rules for revenu</w:t>
      </w:r>
      <w:r>
        <w:rPr>
          <w:rFonts w:ascii="Times New Roman" w:eastAsia="Times New Roman" w:hAnsi="Times New Roman" w:cs="Times New Roman"/>
          <w:noProof/>
          <w:sz w:val="24"/>
          <w:szCs w:val="24"/>
          <w:lang w:val="en" w:eastAsia="en-GB"/>
        </w:rPr>
        <w:t>e-generating projects (up to 2.6% for beneficiaries) and for extending simplified cost options to grants and repayable assistance (up to 1.6% for national administrations, up to 7.5% for beneficiaries). Further, the 2012 eGovernance study</w:t>
      </w:r>
      <w:r>
        <w:rPr>
          <w:rStyle w:val="FootnoteReference"/>
          <w:rFonts w:ascii="Times New Roman" w:eastAsia="Times New Roman" w:hAnsi="Times New Roman" w:cs="Times New Roman"/>
          <w:noProof/>
          <w:sz w:val="24"/>
          <w:szCs w:val="24"/>
          <w:lang w:val="en" w:eastAsia="en-GB"/>
        </w:rPr>
        <w:footnoteReference w:id="125"/>
      </w:r>
      <w:r>
        <w:rPr>
          <w:rFonts w:ascii="Times New Roman" w:eastAsia="Times New Roman" w:hAnsi="Times New Roman" w:cs="Times New Roman"/>
          <w:noProof/>
          <w:sz w:val="24"/>
          <w:szCs w:val="24"/>
          <w:lang w:val="en" w:eastAsia="en-GB"/>
        </w:rPr>
        <w:t xml:space="preserve"> estimated an exp</w:t>
      </w:r>
      <w:r>
        <w:rPr>
          <w:rFonts w:ascii="Times New Roman" w:eastAsia="Times New Roman" w:hAnsi="Times New Roman" w:cs="Times New Roman"/>
          <w:noProof/>
          <w:sz w:val="24"/>
          <w:szCs w:val="24"/>
          <w:lang w:val="en" w:eastAsia="en-GB"/>
        </w:rPr>
        <w:t>ected administrative burden reduction of 11% by implementing eGovernance systems to applications and payment claims under rural development.</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While little changes are expected in the procedures for applications and payment claims, gains can however be reached for both beneficiaries and national administrations. While the compliance by beneficiaries with eligibility criteria is no longer subject </w:t>
      </w:r>
      <w:r>
        <w:rPr>
          <w:rFonts w:ascii="Times New Roman" w:eastAsia="Times New Roman" w:hAnsi="Times New Roman" w:cs="Times New Roman"/>
          <w:noProof/>
          <w:sz w:val="24"/>
          <w:szCs w:val="24"/>
          <w:lang w:val="en" w:eastAsia="en-GB"/>
        </w:rPr>
        <w:t xml:space="preserve">to the assurance mechanism and conformity audits, there is </w:t>
      </w:r>
      <w:r>
        <w:rPr>
          <w:rFonts w:ascii="Times New Roman" w:eastAsia="Times New Roman" w:hAnsi="Times New Roman" w:cs="Times New Roman"/>
          <w:b/>
          <w:noProof/>
          <w:sz w:val="24"/>
          <w:szCs w:val="24"/>
          <w:lang w:val="en" w:eastAsia="en-GB"/>
        </w:rPr>
        <w:t>scope for administrations to require less evidence from applicants</w:t>
      </w:r>
      <w:r>
        <w:rPr>
          <w:rFonts w:ascii="Times New Roman" w:eastAsia="Times New Roman" w:hAnsi="Times New Roman" w:cs="Times New Roman"/>
          <w:noProof/>
          <w:sz w:val="24"/>
          <w:szCs w:val="24"/>
          <w:lang w:val="en" w:eastAsia="en-GB"/>
        </w:rPr>
        <w:t xml:space="preserve"> with their applications submission and payment claims. The 2017 study on ESI Funds</w:t>
      </w:r>
      <w:r>
        <w:rPr>
          <w:rStyle w:val="FootnoteReference"/>
          <w:rFonts w:ascii="Times New Roman" w:eastAsia="Times New Roman" w:hAnsi="Times New Roman" w:cs="Times New Roman"/>
          <w:noProof/>
          <w:sz w:val="24"/>
          <w:szCs w:val="24"/>
          <w:lang w:val="en" w:eastAsia="en-GB"/>
        </w:rPr>
        <w:footnoteReference w:id="126"/>
      </w:r>
      <w:r>
        <w:rPr>
          <w:rFonts w:ascii="Times New Roman" w:eastAsia="Times New Roman" w:hAnsi="Times New Roman" w:cs="Times New Roman"/>
          <w:noProof/>
          <w:sz w:val="24"/>
          <w:szCs w:val="24"/>
          <w:lang w:val="en" w:eastAsia="en-GB"/>
        </w:rPr>
        <w:t xml:space="preserve"> assesses that on average an application form f</w:t>
      </w:r>
      <w:r>
        <w:rPr>
          <w:rFonts w:ascii="Times New Roman" w:eastAsia="Times New Roman" w:hAnsi="Times New Roman" w:cs="Times New Roman"/>
          <w:noProof/>
          <w:sz w:val="24"/>
          <w:szCs w:val="24"/>
          <w:lang w:val="en" w:eastAsia="en-GB"/>
        </w:rPr>
        <w:t xml:space="preserve">or payments under the ESI Funds is over 30 pages, with almost 200 answer fields to be completed, 5 signatures to be provided by the applicant and 6 supporting documents to be attached. Similarly, the requests for payment claims are on average 6 pages with </w:t>
      </w:r>
      <w:r>
        <w:rPr>
          <w:rFonts w:ascii="Times New Roman" w:eastAsia="Times New Roman" w:hAnsi="Times New Roman" w:cs="Times New Roman"/>
          <w:noProof/>
          <w:sz w:val="24"/>
          <w:szCs w:val="24"/>
          <w:lang w:val="en" w:eastAsia="en-GB"/>
        </w:rPr>
        <w:t>almost 100 answer fields, 3 signatures required and 7 supporting documents. For national administrations, 3 approval steps are needed from submission of payment claims before the payment is made.</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The disappearance of payment entitlements under options 3a, </w:t>
      </w:r>
      <w:r>
        <w:rPr>
          <w:rFonts w:ascii="Times New Roman" w:eastAsia="Times New Roman" w:hAnsi="Times New Roman" w:cs="Times New Roman"/>
          <w:noProof/>
          <w:sz w:val="24"/>
          <w:szCs w:val="24"/>
          <w:lang w:val="en" w:eastAsia="en-GB"/>
        </w:rPr>
        <w:t xml:space="preserve">4 and 5 are also expected to translate in an additional reduction of administrative burden.  </w:t>
      </w:r>
    </w:p>
    <w:p w:rsidR="00333A1A" w:rsidRDefault="003D29C9">
      <w:pPr>
        <w:pStyle w:val="Heading3"/>
        <w:rPr>
          <w:noProof/>
        </w:rPr>
      </w:pPr>
      <w:bookmarkStart w:id="331" w:name="_Toc508635179"/>
      <w:bookmarkStart w:id="332" w:name="_Toc509412548"/>
      <w:r>
        <w:rPr>
          <w:noProof/>
        </w:rPr>
        <w:t>Audits by the Commission and controls</w:t>
      </w:r>
      <w:bookmarkEnd w:id="331"/>
      <w:bookmarkEnd w:id="332"/>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current audit system by the Commission will significantly change under the new delivery model. The task of EU auditors w</w:t>
      </w:r>
      <w:r>
        <w:rPr>
          <w:rFonts w:ascii="Times New Roman" w:eastAsia="Times New Roman" w:hAnsi="Times New Roman" w:cs="Times New Roman"/>
          <w:noProof/>
          <w:sz w:val="24"/>
          <w:szCs w:val="24"/>
          <w:lang w:val="en" w:eastAsia="en-GB"/>
        </w:rPr>
        <w:t xml:space="preserve">ill </w:t>
      </w:r>
      <w:r>
        <w:rPr>
          <w:rFonts w:ascii="Times New Roman" w:eastAsia="Times New Roman" w:hAnsi="Times New Roman" w:cs="Times New Roman"/>
          <w:b/>
          <w:noProof/>
          <w:sz w:val="24"/>
          <w:szCs w:val="24"/>
          <w:lang w:val="en" w:eastAsia="en-GB"/>
        </w:rPr>
        <w:t>shift to annual performance clearance</w:t>
      </w:r>
      <w:r>
        <w:rPr>
          <w:rFonts w:ascii="Times New Roman" w:eastAsia="Times New Roman" w:hAnsi="Times New Roman" w:cs="Times New Roman"/>
          <w:noProof/>
          <w:sz w:val="24"/>
          <w:szCs w:val="24"/>
          <w:lang w:val="en" w:eastAsia="en-GB"/>
        </w:rPr>
        <w:t>, reliability of data to the Commission in the framework of the annual performance reports, and governance structures, including basic EU requirements. Therefore, the significant reduction in EU requirements is esti</w:t>
      </w:r>
      <w:r>
        <w:rPr>
          <w:rFonts w:ascii="Times New Roman" w:eastAsia="Times New Roman" w:hAnsi="Times New Roman" w:cs="Times New Roman"/>
          <w:noProof/>
          <w:sz w:val="24"/>
          <w:szCs w:val="24"/>
          <w:lang w:val="en" w:eastAsia="en-GB"/>
        </w:rPr>
        <w:t xml:space="preserve">mated to have a substantial impact on the scope and time needed to cooperate with EC audits.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Expectations are similar with regard to administrative and on-the-spot controls performed by national administrations: the shift towards control of performance, t</w:t>
      </w:r>
      <w:r>
        <w:rPr>
          <w:rFonts w:ascii="Times New Roman" w:eastAsia="Times New Roman" w:hAnsi="Times New Roman" w:cs="Times New Roman"/>
          <w:noProof/>
          <w:sz w:val="24"/>
          <w:szCs w:val="24"/>
          <w:lang w:val="en" w:eastAsia="en-GB"/>
        </w:rPr>
        <w:t xml:space="preserve">he expected reductions of requirements at the level of beneficiary and the flexibility in setting up management and control systems in the Member States, have the potential to </w:t>
      </w:r>
      <w:r>
        <w:rPr>
          <w:rFonts w:ascii="Times New Roman" w:eastAsia="Times New Roman" w:hAnsi="Times New Roman" w:cs="Times New Roman"/>
          <w:b/>
          <w:noProof/>
          <w:sz w:val="24"/>
          <w:szCs w:val="24"/>
          <w:lang w:val="en" w:eastAsia="en-GB"/>
        </w:rPr>
        <w:t>limit the administrative checks on compliance and</w:t>
      </w:r>
      <w:r>
        <w:rPr>
          <w:rFonts w:ascii="Times New Roman" w:eastAsia="Times New Roman" w:hAnsi="Times New Roman" w:cs="Times New Roman"/>
          <w:noProof/>
          <w:sz w:val="24"/>
          <w:szCs w:val="24"/>
          <w:lang w:val="en" w:eastAsia="en-GB"/>
        </w:rPr>
        <w:t xml:space="preserve"> </w:t>
      </w:r>
      <w:r>
        <w:rPr>
          <w:rFonts w:ascii="Times New Roman" w:eastAsia="Times New Roman" w:hAnsi="Times New Roman" w:cs="Times New Roman"/>
          <w:b/>
          <w:noProof/>
          <w:sz w:val="24"/>
          <w:szCs w:val="24"/>
          <w:lang w:val="en" w:eastAsia="en-GB"/>
        </w:rPr>
        <w:t xml:space="preserve">lower the time spent on farms </w:t>
      </w:r>
      <w:r>
        <w:rPr>
          <w:rFonts w:ascii="Times New Roman" w:eastAsia="Times New Roman" w:hAnsi="Times New Roman" w:cs="Times New Roman"/>
          <w:b/>
          <w:noProof/>
          <w:sz w:val="24"/>
          <w:szCs w:val="24"/>
          <w:lang w:val="en" w:eastAsia="en-GB"/>
        </w:rPr>
        <w:t>for on-the-spot controls</w:t>
      </w:r>
      <w:r>
        <w:rPr>
          <w:rFonts w:ascii="Times New Roman" w:eastAsia="Times New Roman" w:hAnsi="Times New Roman" w:cs="Times New Roman"/>
          <w:noProof/>
          <w:sz w:val="24"/>
          <w:szCs w:val="24"/>
          <w:lang w:val="en" w:eastAsia="en-GB"/>
        </w:rPr>
        <w:t xml:space="preserve">. Controls under conditionality replace current cross-compliance principles, though complemented with greening practices. Controls at farm level by the Commission should no longer take place. </w:t>
      </w:r>
    </w:p>
    <w:p w:rsidR="00333A1A" w:rsidRDefault="003D29C9">
      <w:pPr>
        <w:pStyle w:val="Heading3"/>
        <w:rPr>
          <w:noProof/>
        </w:rPr>
      </w:pPr>
      <w:bookmarkStart w:id="333" w:name="_Toc508635180"/>
      <w:bookmarkStart w:id="334" w:name="_Toc509412549"/>
      <w:r>
        <w:rPr>
          <w:noProof/>
        </w:rPr>
        <w:t>Monitoring and reporting to the Commiss</w:t>
      </w:r>
      <w:r>
        <w:rPr>
          <w:noProof/>
        </w:rPr>
        <w:t>ion</w:t>
      </w:r>
      <w:bookmarkEnd w:id="333"/>
      <w:bookmarkEnd w:id="334"/>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current reporting system consists in the preparation of the annual accounts of the paying agency (for financial clearance), the management declaration, the reporting on control data and control statistics, the annual implementation reports of rural</w:t>
      </w:r>
      <w:r>
        <w:rPr>
          <w:rFonts w:ascii="Times New Roman" w:eastAsia="Times New Roman" w:hAnsi="Times New Roman" w:cs="Times New Roman"/>
          <w:noProof/>
          <w:sz w:val="24"/>
          <w:szCs w:val="24"/>
          <w:lang w:val="en" w:eastAsia="en-GB"/>
        </w:rPr>
        <w:t xml:space="preserve"> development programmes and the evaluations of these programmes.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The new delivery model requires </w:t>
      </w:r>
      <w:r>
        <w:rPr>
          <w:rFonts w:ascii="Times New Roman" w:eastAsia="Times New Roman" w:hAnsi="Times New Roman" w:cs="Times New Roman"/>
          <w:b/>
          <w:noProof/>
          <w:sz w:val="24"/>
          <w:szCs w:val="24"/>
          <w:lang w:val="en" w:eastAsia="en-GB"/>
        </w:rPr>
        <w:t>annual performance reporting on the CAP strategic plan</w:t>
      </w:r>
      <w:r>
        <w:rPr>
          <w:rFonts w:ascii="Times New Roman" w:eastAsia="Times New Roman" w:hAnsi="Times New Roman" w:cs="Times New Roman"/>
          <w:noProof/>
          <w:sz w:val="24"/>
          <w:szCs w:val="24"/>
          <w:lang w:val="en" w:eastAsia="en-GB"/>
        </w:rPr>
        <w:t>, at Member State level, with regard to performance indicators and expenditure. The annual performance c</w:t>
      </w:r>
      <w:r>
        <w:rPr>
          <w:rFonts w:ascii="Times New Roman" w:eastAsia="Times New Roman" w:hAnsi="Times New Roman" w:cs="Times New Roman"/>
          <w:noProof/>
          <w:sz w:val="24"/>
          <w:szCs w:val="24"/>
          <w:lang w:val="en" w:eastAsia="en-GB"/>
        </w:rPr>
        <w:t xml:space="preserve">learance, performed by the Commission, will assess the progress on the achievements towards the objectives of the CAP plan. A multi-annual assessment of performance, based on the annual performance reports, will report on result indicators and distance to </w:t>
      </w:r>
      <w:r>
        <w:rPr>
          <w:rFonts w:ascii="Times New Roman" w:eastAsia="Times New Roman" w:hAnsi="Times New Roman" w:cs="Times New Roman"/>
          <w:noProof/>
          <w:sz w:val="24"/>
          <w:szCs w:val="24"/>
          <w:lang w:val="en" w:eastAsia="en-GB"/>
        </w:rPr>
        <w:t>targets.</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Regarding monitoring, under the three options assessed, the shift from compliance to performance is resulting in a changed set of indicators to be monitored and reported upon. However, for requirements stemming from sectorial legislation enshrined</w:t>
      </w:r>
      <w:r>
        <w:rPr>
          <w:rFonts w:ascii="Times New Roman" w:eastAsia="Times New Roman" w:hAnsi="Times New Roman" w:cs="Times New Roman"/>
          <w:noProof/>
          <w:sz w:val="24"/>
          <w:szCs w:val="24"/>
          <w:lang w:val="en" w:eastAsia="en-GB"/>
        </w:rPr>
        <w:t xml:space="preserve"> in conditionality, there is no change in the indicators. The </w:t>
      </w:r>
      <w:r>
        <w:rPr>
          <w:rFonts w:ascii="Times New Roman" w:eastAsia="Times New Roman" w:hAnsi="Times New Roman" w:cs="Times New Roman"/>
          <w:b/>
          <w:noProof/>
          <w:sz w:val="24"/>
          <w:szCs w:val="24"/>
          <w:lang w:val="en" w:eastAsia="en-GB"/>
        </w:rPr>
        <w:t>common new set of indicators</w:t>
      </w:r>
      <w:r>
        <w:rPr>
          <w:rFonts w:ascii="Times New Roman" w:eastAsia="Times New Roman" w:hAnsi="Times New Roman" w:cs="Times New Roman"/>
          <w:noProof/>
          <w:sz w:val="24"/>
          <w:szCs w:val="24"/>
          <w:lang w:val="en" w:eastAsia="en-GB"/>
        </w:rPr>
        <w:t>, while significantly reduced in terms of output indicators, nevertheless encompasses new indicators. The latter are assessed to be more time-consuming to collect and</w:t>
      </w:r>
      <w:r>
        <w:rPr>
          <w:rFonts w:ascii="Times New Roman" w:eastAsia="Times New Roman" w:hAnsi="Times New Roman" w:cs="Times New Roman"/>
          <w:noProof/>
          <w:sz w:val="24"/>
          <w:szCs w:val="24"/>
          <w:lang w:val="en" w:eastAsia="en-GB"/>
        </w:rPr>
        <w:t xml:space="preserve"> monitor. However, where the data is readily available, it is not expected to increase time spent for monitoring.</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Some additional costs can be expected from the increased need to coordinate monitoring at regional level and collect/combine regional data (wh</w:t>
      </w:r>
      <w:r>
        <w:rPr>
          <w:rFonts w:ascii="Times New Roman" w:eastAsia="Times New Roman" w:hAnsi="Times New Roman" w:cs="Times New Roman"/>
          <w:noProof/>
          <w:sz w:val="24"/>
          <w:szCs w:val="24"/>
          <w:lang w:val="en" w:eastAsia="en-GB"/>
        </w:rPr>
        <w:t>ere applicable).</w:t>
      </w:r>
    </w:p>
    <w:p w:rsidR="00333A1A" w:rsidRDefault="003D29C9">
      <w:pPr>
        <w:pStyle w:val="Heading2"/>
        <w:rPr>
          <w:noProof/>
          <w:szCs w:val="24"/>
        </w:rPr>
      </w:pPr>
      <w:bookmarkStart w:id="335" w:name="_Toc508635181"/>
      <w:bookmarkStart w:id="336" w:name="_Toc509412550"/>
      <w:bookmarkStart w:id="337" w:name="_Toc513053317"/>
      <w:bookmarkStart w:id="338" w:name="_Toc513053533"/>
      <w:bookmarkStart w:id="339" w:name="_Toc514514664"/>
      <w:r>
        <w:rPr>
          <w:noProof/>
          <w:szCs w:val="24"/>
        </w:rPr>
        <w:t>Strategic design and delivery for administrative burden reduction</w:t>
      </w:r>
      <w:bookmarkEnd w:id="335"/>
      <w:bookmarkEnd w:id="336"/>
      <w:bookmarkEnd w:id="337"/>
      <w:bookmarkEnd w:id="338"/>
      <w:bookmarkEnd w:id="339"/>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Considering the flexibility given to Member States, the national choices made in the design and delivery of the CAP will have a major impact on the resulting administrative burden. </w:t>
      </w:r>
      <w:r>
        <w:rPr>
          <w:rFonts w:ascii="Times New Roman" w:eastAsia="Times New Roman" w:hAnsi="Times New Roman" w:cs="Times New Roman"/>
          <w:b/>
          <w:noProof/>
          <w:sz w:val="24"/>
          <w:szCs w:val="24"/>
          <w:lang w:val="en" w:eastAsia="en-GB"/>
        </w:rPr>
        <w:t>Variety of tools, more complex procedures, and detailed requirements will a</w:t>
      </w:r>
      <w:r>
        <w:rPr>
          <w:rFonts w:ascii="Times New Roman" w:eastAsia="Times New Roman" w:hAnsi="Times New Roman" w:cs="Times New Roman"/>
          <w:b/>
          <w:noProof/>
          <w:sz w:val="24"/>
          <w:szCs w:val="24"/>
          <w:lang w:val="en" w:eastAsia="en-GB"/>
        </w:rPr>
        <w:t>ll come at higher administrative costs</w:t>
      </w:r>
      <w:r>
        <w:rPr>
          <w:rFonts w:ascii="Times New Roman" w:eastAsia="Times New Roman" w:hAnsi="Times New Roman" w:cs="Times New Roman"/>
          <w:noProof/>
          <w:sz w:val="24"/>
          <w:szCs w:val="24"/>
          <w:lang w:val="en" w:eastAsia="en-GB"/>
        </w:rPr>
        <w:t xml:space="preserve"> for national administrations and beneficiaries. These costs will hence need to be counterbalanced with their expected benefits.</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b/>
          <w:noProof/>
          <w:sz w:val="24"/>
          <w:szCs w:val="24"/>
          <w:lang w:val="en" w:eastAsia="en-GB"/>
        </w:rPr>
        <w:t>Modernisation can here play an important role for further simplification</w:t>
      </w:r>
      <w:r>
        <w:rPr>
          <w:rFonts w:ascii="Times New Roman" w:eastAsia="Times New Roman" w:hAnsi="Times New Roman" w:cs="Times New Roman"/>
          <w:noProof/>
          <w:sz w:val="24"/>
          <w:szCs w:val="24"/>
          <w:lang w:val="en" w:eastAsia="en-GB"/>
        </w:rPr>
        <w:t xml:space="preserve"> without compromi</w:t>
      </w:r>
      <w:r>
        <w:rPr>
          <w:rFonts w:ascii="Times New Roman" w:eastAsia="Times New Roman" w:hAnsi="Times New Roman" w:cs="Times New Roman"/>
          <w:noProof/>
          <w:sz w:val="24"/>
          <w:szCs w:val="24"/>
          <w:lang w:val="en" w:eastAsia="en-GB"/>
        </w:rPr>
        <w:t>sing on performance. The increased use of new technologies can significantly contribute to fewer burdens through the use of remote sensing imagery, sentinels/satellites images, smart e-solutions, geo-spatial aid applications, ortho-imagery, and drones. A s</w:t>
      </w:r>
      <w:r>
        <w:rPr>
          <w:rFonts w:ascii="Times New Roman" w:eastAsia="Times New Roman" w:hAnsi="Times New Roman" w:cs="Times New Roman"/>
          <w:noProof/>
          <w:sz w:val="24"/>
          <w:szCs w:val="24"/>
          <w:lang w:val="en" w:eastAsia="en-GB"/>
        </w:rPr>
        <w:t xml:space="preserve">eparate annex covers the cross-cutting objective of modernising the CAP.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Beside recurring administrative costs, changes to the current CAP tools can involve </w:t>
      </w:r>
      <w:r>
        <w:rPr>
          <w:rFonts w:ascii="Times New Roman" w:eastAsia="Times New Roman" w:hAnsi="Times New Roman" w:cs="Times New Roman"/>
          <w:b/>
          <w:noProof/>
          <w:sz w:val="24"/>
          <w:szCs w:val="24"/>
          <w:lang w:val="en" w:eastAsia="en-GB"/>
        </w:rPr>
        <w:t>substantial adjustment costs</w:t>
      </w:r>
      <w:r>
        <w:rPr>
          <w:rFonts w:ascii="Times New Roman" w:eastAsia="Times New Roman" w:hAnsi="Times New Roman" w:cs="Times New Roman"/>
          <w:noProof/>
          <w:sz w:val="24"/>
          <w:szCs w:val="24"/>
          <w:lang w:val="en" w:eastAsia="en-GB"/>
        </w:rPr>
        <w:t xml:space="preserve"> for national administrations and beneficiaries (training, information</w:t>
      </w:r>
      <w:r>
        <w:rPr>
          <w:rFonts w:ascii="Times New Roman" w:eastAsia="Times New Roman" w:hAnsi="Times New Roman" w:cs="Times New Roman"/>
          <w:noProof/>
          <w:sz w:val="24"/>
          <w:szCs w:val="24"/>
          <w:lang w:val="en" w:eastAsia="en-GB"/>
        </w:rPr>
        <w:t xml:space="preserve">, support for applications, increased error rates) </w:t>
      </w:r>
      <w:r>
        <w:rPr>
          <w:rFonts w:ascii="Times New Roman" w:eastAsia="Times New Roman" w:hAnsi="Times New Roman" w:cs="Times New Roman"/>
          <w:b/>
          <w:noProof/>
          <w:sz w:val="24"/>
          <w:szCs w:val="24"/>
          <w:lang w:val="en" w:eastAsia="en-GB"/>
        </w:rPr>
        <w:t xml:space="preserve">as well as one-off investment costs </w:t>
      </w:r>
      <w:r>
        <w:rPr>
          <w:rFonts w:ascii="Times New Roman" w:eastAsia="Times New Roman" w:hAnsi="Times New Roman" w:cs="Times New Roman"/>
          <w:noProof/>
          <w:sz w:val="24"/>
          <w:szCs w:val="24"/>
          <w:lang w:val="en" w:eastAsia="en-GB"/>
        </w:rPr>
        <w:t>for adapting current systems (IT systems, updated procedures and forms, new technologies).</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The table below presents some considerations to take into account in terms of </w:t>
      </w:r>
      <w:r>
        <w:rPr>
          <w:rFonts w:ascii="Times New Roman" w:eastAsia="Times New Roman" w:hAnsi="Times New Roman" w:cs="Times New Roman"/>
          <w:noProof/>
          <w:sz w:val="24"/>
          <w:szCs w:val="24"/>
          <w:lang w:val="en" w:eastAsia="en-GB"/>
        </w:rPr>
        <w:t>administrative burden.</w:t>
      </w:r>
    </w:p>
    <w:p w:rsidR="00333A1A" w:rsidRDefault="00333A1A">
      <w:pPr>
        <w:spacing w:line="240" w:lineRule="auto"/>
        <w:jc w:val="both"/>
        <w:rPr>
          <w:rFonts w:ascii="Times New Roman" w:eastAsia="Times New Roman" w:hAnsi="Times New Roman" w:cs="Times New Roman"/>
          <w:noProof/>
          <w:sz w:val="24"/>
          <w:szCs w:val="24"/>
          <w:lang w:val="en" w:eastAsia="en-GB"/>
        </w:rPr>
      </w:pPr>
    </w:p>
    <w:p w:rsidR="00333A1A" w:rsidRDefault="00333A1A">
      <w:pPr>
        <w:spacing w:line="240" w:lineRule="auto"/>
        <w:jc w:val="both"/>
        <w:rPr>
          <w:rFonts w:ascii="Times New Roman" w:eastAsia="Times New Roman" w:hAnsi="Times New Roman" w:cs="Times New Roman"/>
          <w:noProof/>
          <w:sz w:val="24"/>
          <w:szCs w:val="24"/>
          <w:lang w:val="en" w:eastAsia="en-GB"/>
        </w:rPr>
      </w:pPr>
    </w:p>
    <w:tbl>
      <w:tblPr>
        <w:tblStyle w:val="TableGrid"/>
        <w:tblW w:w="0" w:type="auto"/>
        <w:tblLook w:val="04A0" w:firstRow="1" w:lastRow="0" w:firstColumn="1" w:lastColumn="0" w:noHBand="0" w:noVBand="1"/>
      </w:tblPr>
      <w:tblGrid>
        <w:gridCol w:w="1384"/>
        <w:gridCol w:w="2129"/>
        <w:gridCol w:w="5321"/>
      </w:tblGrid>
      <w:tr w:rsidR="00333A1A">
        <w:trPr>
          <w:tblHeader/>
        </w:trPr>
        <w:tc>
          <w:tcPr>
            <w:tcW w:w="1384" w:type="dxa"/>
            <w:shd w:val="clear" w:color="auto" w:fill="BFBFBF" w:themeFill="background1" w:themeFillShade="BF"/>
          </w:tcPr>
          <w:p w:rsidR="00333A1A" w:rsidRDefault="00333A1A">
            <w:pPr>
              <w:rPr>
                <w:b/>
                <w:noProof/>
              </w:rPr>
            </w:pPr>
          </w:p>
        </w:tc>
        <w:tc>
          <w:tcPr>
            <w:tcW w:w="2129" w:type="dxa"/>
            <w:shd w:val="clear" w:color="auto" w:fill="BFBFBF" w:themeFill="background1" w:themeFillShade="BF"/>
          </w:tcPr>
          <w:p w:rsidR="00333A1A" w:rsidRDefault="003D29C9">
            <w:pPr>
              <w:rPr>
                <w:b/>
                <w:noProof/>
              </w:rPr>
            </w:pPr>
            <w:r>
              <w:rPr>
                <w:b/>
                <w:noProof/>
              </w:rPr>
              <w:t>Tool</w:t>
            </w:r>
          </w:p>
        </w:tc>
        <w:tc>
          <w:tcPr>
            <w:tcW w:w="5321" w:type="dxa"/>
            <w:shd w:val="clear" w:color="auto" w:fill="BFBFBF" w:themeFill="background1" w:themeFillShade="BF"/>
          </w:tcPr>
          <w:p w:rsidR="00333A1A" w:rsidRDefault="003D29C9">
            <w:pPr>
              <w:rPr>
                <w:b/>
                <w:noProof/>
              </w:rPr>
            </w:pPr>
            <w:r>
              <w:rPr>
                <w:b/>
                <w:noProof/>
              </w:rPr>
              <w:t>Link with administrative burden</w:t>
            </w:r>
          </w:p>
        </w:tc>
      </w:tr>
      <w:tr w:rsidR="00333A1A">
        <w:tc>
          <w:tcPr>
            <w:tcW w:w="1384" w:type="dxa"/>
          </w:tcPr>
          <w:p w:rsidR="00333A1A" w:rsidRDefault="003D29C9">
            <w:pPr>
              <w:jc w:val="both"/>
              <w:rPr>
                <w:noProof/>
                <w:lang w:val="en"/>
              </w:rPr>
            </w:pPr>
            <w:r>
              <w:rPr>
                <w:noProof/>
                <w:lang w:val="en"/>
              </w:rPr>
              <w:t>Planning</w:t>
            </w:r>
          </w:p>
        </w:tc>
        <w:tc>
          <w:tcPr>
            <w:tcW w:w="2129" w:type="dxa"/>
          </w:tcPr>
          <w:p w:rsidR="00333A1A" w:rsidRDefault="003D29C9">
            <w:pPr>
              <w:jc w:val="both"/>
              <w:rPr>
                <w:noProof/>
                <w:lang w:val="en"/>
              </w:rPr>
            </w:pPr>
            <w:r>
              <w:rPr>
                <w:noProof/>
                <w:lang w:val="en"/>
              </w:rPr>
              <w:t>CAP plans</w:t>
            </w:r>
          </w:p>
        </w:tc>
        <w:tc>
          <w:tcPr>
            <w:tcW w:w="5321" w:type="dxa"/>
          </w:tcPr>
          <w:p w:rsidR="00333A1A" w:rsidRDefault="003D29C9">
            <w:pPr>
              <w:jc w:val="both"/>
              <w:rPr>
                <w:noProof/>
                <w:lang w:val="en"/>
              </w:rPr>
            </w:pPr>
            <w:r>
              <w:rPr>
                <w:noProof/>
                <w:lang w:val="en"/>
              </w:rPr>
              <w:t>The broader scope of plans is offset by the lower level of details required compared to current rural development programmes and current notification requirements for direct</w:t>
            </w:r>
            <w:r>
              <w:rPr>
                <w:noProof/>
                <w:lang w:val="en"/>
              </w:rPr>
              <w:t xml:space="preserve"> payments. Complexity of the strategy and multiplication of requirements will translate in additional burden.</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Coordination at national level</w:t>
            </w:r>
          </w:p>
        </w:tc>
        <w:tc>
          <w:tcPr>
            <w:tcW w:w="5321" w:type="dxa"/>
          </w:tcPr>
          <w:p w:rsidR="00333A1A" w:rsidRDefault="003D29C9">
            <w:pPr>
              <w:jc w:val="both"/>
              <w:rPr>
                <w:noProof/>
                <w:lang w:val="en"/>
              </w:rPr>
            </w:pPr>
            <w:r>
              <w:rPr>
                <w:noProof/>
                <w:lang w:val="en"/>
              </w:rPr>
              <w:t>Double layer of national and regional strategies for rural development is revealed to be cumbersome as changes at</w:t>
            </w:r>
            <w:r>
              <w:rPr>
                <w:noProof/>
                <w:lang w:val="en"/>
              </w:rPr>
              <w:t xml:space="preserve"> one level needs to be reflected at other.</w:t>
            </w:r>
          </w:p>
        </w:tc>
      </w:tr>
      <w:tr w:rsidR="00333A1A">
        <w:tc>
          <w:tcPr>
            <w:tcW w:w="1384" w:type="dxa"/>
          </w:tcPr>
          <w:p w:rsidR="00333A1A" w:rsidRDefault="003D29C9">
            <w:pPr>
              <w:jc w:val="both"/>
              <w:rPr>
                <w:noProof/>
                <w:lang w:val="en"/>
              </w:rPr>
            </w:pPr>
            <w:r>
              <w:rPr>
                <w:noProof/>
                <w:lang w:val="en"/>
              </w:rPr>
              <w:t>Direct payments (EAGF)</w:t>
            </w:r>
          </w:p>
        </w:tc>
        <w:tc>
          <w:tcPr>
            <w:tcW w:w="2129" w:type="dxa"/>
          </w:tcPr>
          <w:p w:rsidR="00333A1A" w:rsidRDefault="003D29C9">
            <w:pPr>
              <w:jc w:val="both"/>
              <w:rPr>
                <w:noProof/>
                <w:lang w:val="en"/>
              </w:rPr>
            </w:pPr>
            <w:r>
              <w:rPr>
                <w:noProof/>
                <w:lang w:val="en"/>
              </w:rPr>
              <w:t>Decoupled support – targeted in function of farm size and territories and years from setting-up (according to needs), in line with EU objectives</w:t>
            </w:r>
          </w:p>
        </w:tc>
        <w:tc>
          <w:tcPr>
            <w:tcW w:w="5321" w:type="dxa"/>
          </w:tcPr>
          <w:p w:rsidR="00333A1A" w:rsidRDefault="003D29C9">
            <w:pPr>
              <w:jc w:val="both"/>
              <w:rPr>
                <w:noProof/>
                <w:lang w:val="en"/>
              </w:rPr>
            </w:pPr>
            <w:r>
              <w:rPr>
                <w:noProof/>
                <w:lang w:val="en"/>
              </w:rPr>
              <w:t>Easier to combine different schemes under th</w:t>
            </w:r>
            <w:r>
              <w:rPr>
                <w:noProof/>
                <w:lang w:val="en"/>
              </w:rPr>
              <w:t>e new delivery model. Following elements may increase the complexity:</w:t>
            </w:r>
          </w:p>
          <w:p w:rsidR="00333A1A" w:rsidRDefault="003D29C9">
            <w:pPr>
              <w:pStyle w:val="ListParagraph"/>
              <w:numPr>
                <w:ilvl w:val="0"/>
                <w:numId w:val="51"/>
              </w:numPr>
              <w:ind w:left="176" w:hanging="142"/>
              <w:jc w:val="both"/>
              <w:rPr>
                <w:noProof/>
                <w:lang w:val="en"/>
              </w:rPr>
            </w:pPr>
            <w:r>
              <w:rPr>
                <w:noProof/>
                <w:lang w:val="en"/>
              </w:rPr>
              <w:t xml:space="preserve">mandatory capping per farm: simplified methods for taking account of salaried labour and family labour cost can reduce administrative burden, </w:t>
            </w:r>
          </w:p>
          <w:p w:rsidR="00333A1A" w:rsidRDefault="003D29C9">
            <w:pPr>
              <w:pStyle w:val="ListParagraph"/>
              <w:numPr>
                <w:ilvl w:val="0"/>
                <w:numId w:val="51"/>
              </w:numPr>
              <w:ind w:left="176" w:hanging="142"/>
              <w:jc w:val="both"/>
              <w:rPr>
                <w:noProof/>
                <w:lang w:val="en"/>
              </w:rPr>
            </w:pPr>
            <w:r>
              <w:rPr>
                <w:noProof/>
                <w:lang w:val="en"/>
              </w:rPr>
              <w:t>no substantial difference in terms of admin</w:t>
            </w:r>
            <w:r>
              <w:rPr>
                <w:noProof/>
                <w:lang w:val="en"/>
              </w:rPr>
              <w:t>istrative burden if redistribution through a differentiated basic layer or top-ups to a basic layer,</w:t>
            </w:r>
          </w:p>
          <w:p w:rsidR="00333A1A" w:rsidRDefault="003D29C9">
            <w:pPr>
              <w:pStyle w:val="ListParagraph"/>
              <w:numPr>
                <w:ilvl w:val="0"/>
                <w:numId w:val="51"/>
              </w:numPr>
              <w:ind w:left="176" w:hanging="142"/>
              <w:jc w:val="both"/>
              <w:rPr>
                <w:noProof/>
                <w:lang w:val="en"/>
              </w:rPr>
            </w:pPr>
            <w:r>
              <w:rPr>
                <w:noProof/>
                <w:lang w:val="en"/>
              </w:rPr>
              <w:t>small farmers: simplified application procedures for small farmers reduce the burden for beneficiaries,</w:t>
            </w:r>
          </w:p>
          <w:p w:rsidR="00333A1A" w:rsidRDefault="003D29C9">
            <w:pPr>
              <w:pStyle w:val="ListParagraph"/>
              <w:numPr>
                <w:ilvl w:val="0"/>
                <w:numId w:val="51"/>
              </w:numPr>
              <w:ind w:left="176" w:hanging="142"/>
              <w:jc w:val="both"/>
              <w:rPr>
                <w:noProof/>
                <w:lang w:val="en"/>
              </w:rPr>
            </w:pPr>
            <w:r>
              <w:rPr>
                <w:noProof/>
                <w:lang w:val="en"/>
              </w:rPr>
              <w:t xml:space="preserve">payment for young/new farmers: reported to be less </w:t>
            </w:r>
            <w:r>
              <w:rPr>
                <w:noProof/>
                <w:lang w:val="en"/>
              </w:rPr>
              <w:t>burdensome for beneficiaries</w:t>
            </w:r>
            <w:r>
              <w:rPr>
                <w:rStyle w:val="FootnoteReference"/>
                <w:noProof/>
                <w:sz w:val="24"/>
                <w:szCs w:val="24"/>
                <w:lang w:val="en"/>
              </w:rPr>
              <w:footnoteReference w:id="127"/>
            </w:r>
            <w:r>
              <w:rPr>
                <w:noProof/>
                <w:lang w:val="en"/>
              </w:rPr>
              <w:t>,</w:t>
            </w:r>
          </w:p>
          <w:p w:rsidR="00333A1A" w:rsidRDefault="003D29C9">
            <w:pPr>
              <w:pStyle w:val="ListParagraph"/>
              <w:numPr>
                <w:ilvl w:val="0"/>
                <w:numId w:val="51"/>
              </w:numPr>
              <w:ind w:left="176" w:hanging="142"/>
              <w:jc w:val="both"/>
              <w:rPr>
                <w:noProof/>
                <w:lang w:val="en"/>
              </w:rPr>
            </w:pPr>
            <w:r>
              <w:rPr>
                <w:noProof/>
                <w:lang w:val="en"/>
              </w:rPr>
              <w:t>definition genuine farmer will impact the number of beneficiaries and corresponding administrative burden: higher minimum requirements in terms of hectares or share in income will translate in less beneficiaries and correspon</w:t>
            </w:r>
            <w:r>
              <w:rPr>
                <w:noProof/>
                <w:lang w:val="en"/>
              </w:rPr>
              <w:t>ding burden reduction – requirements in term of hectares are much simpler to implement but the risk of excluding too many farmers is higher,</w:t>
            </w:r>
          </w:p>
          <w:p w:rsidR="00333A1A" w:rsidRDefault="003D29C9">
            <w:pPr>
              <w:pStyle w:val="ListParagraph"/>
              <w:numPr>
                <w:ilvl w:val="0"/>
                <w:numId w:val="51"/>
              </w:numPr>
              <w:ind w:left="176" w:hanging="142"/>
              <w:jc w:val="both"/>
              <w:rPr>
                <w:noProof/>
                <w:lang w:val="en"/>
              </w:rPr>
            </w:pPr>
            <w:r>
              <w:rPr>
                <w:noProof/>
                <w:lang w:val="en"/>
              </w:rPr>
              <w:t xml:space="preserve">request for transition/convergence period and use of historic references (entitlements) will constitute additional </w:t>
            </w:r>
            <w:r>
              <w:rPr>
                <w:noProof/>
                <w:lang w:val="en"/>
              </w:rPr>
              <w:t>burden.</w:t>
            </w:r>
          </w:p>
          <w:p w:rsidR="00333A1A" w:rsidRDefault="003D29C9">
            <w:pPr>
              <w:ind w:left="34"/>
              <w:jc w:val="both"/>
              <w:rPr>
                <w:noProof/>
                <w:lang w:val="en"/>
              </w:rPr>
            </w:pPr>
            <w:r>
              <w:rPr>
                <w:noProof/>
                <w:lang w:val="en"/>
              </w:rPr>
              <w:t>Administrative burden will also vary significantly in function of the level of detail with regard to national requirements and eligibility conditions.</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 xml:space="preserve">Optional voluntary coupled support </w:t>
            </w:r>
          </w:p>
        </w:tc>
        <w:tc>
          <w:tcPr>
            <w:tcW w:w="5321" w:type="dxa"/>
          </w:tcPr>
          <w:p w:rsidR="00333A1A" w:rsidRDefault="003D29C9">
            <w:pPr>
              <w:jc w:val="both"/>
              <w:rPr>
                <w:noProof/>
                <w:lang w:val="en"/>
              </w:rPr>
            </w:pPr>
            <w:r>
              <w:rPr>
                <w:noProof/>
                <w:lang w:val="en"/>
              </w:rPr>
              <w:t xml:space="preserve">VCS scheme is reported to be burdensome for beneficiaries  </w:t>
            </w:r>
            <w:r>
              <w:rPr>
                <w:noProof/>
                <w:lang w:val="en"/>
              </w:rPr>
              <w:t>and administrations (design of the schemes, approval of applications and justification to the Commission)</w:t>
            </w:r>
            <w:r>
              <w:rPr>
                <w:rStyle w:val="FootnoteReference"/>
                <w:noProof/>
                <w:sz w:val="24"/>
                <w:szCs w:val="24"/>
                <w:lang w:val="en"/>
              </w:rPr>
              <w:footnoteReference w:id="128"/>
            </w:r>
            <w:r>
              <w:rPr>
                <w:noProof/>
                <w:lang w:val="en"/>
              </w:rPr>
              <w:t xml:space="preserve"> , although this depends to a large extent to Member States' choices. Hence, some limitation (in terms of sectors and time) might be considered to dec</w:t>
            </w:r>
            <w:r>
              <w:rPr>
                <w:noProof/>
                <w:lang w:val="en"/>
              </w:rPr>
              <w:t>rease administrative burden.</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Conditionality</w:t>
            </w:r>
          </w:p>
        </w:tc>
        <w:tc>
          <w:tcPr>
            <w:tcW w:w="5321" w:type="dxa"/>
          </w:tcPr>
          <w:p w:rsidR="00333A1A" w:rsidRDefault="003D29C9">
            <w:pPr>
              <w:jc w:val="both"/>
              <w:rPr>
                <w:noProof/>
                <w:lang w:val="en"/>
              </w:rPr>
            </w:pPr>
            <w:r>
              <w:rPr>
                <w:noProof/>
                <w:lang w:val="en"/>
              </w:rPr>
              <w:t xml:space="preserve">Cross-compliance principles complemented with greening practices allow for better integration with other instruments. </w:t>
            </w:r>
          </w:p>
          <w:p w:rsidR="00333A1A" w:rsidRDefault="003D29C9">
            <w:pPr>
              <w:jc w:val="both"/>
              <w:rPr>
                <w:noProof/>
                <w:lang w:val="en"/>
              </w:rPr>
            </w:pPr>
            <w:r>
              <w:rPr>
                <w:noProof/>
                <w:lang w:val="en"/>
              </w:rPr>
              <w:t>The list of SMRs and GAECs is an exhaustive list serving as baseline for all area and anima</w:t>
            </w:r>
            <w:r>
              <w:rPr>
                <w:noProof/>
                <w:lang w:val="en"/>
              </w:rPr>
              <w:t>l-related CAP payments.</w:t>
            </w:r>
          </w:p>
          <w:p w:rsidR="00333A1A" w:rsidRDefault="003D29C9">
            <w:pPr>
              <w:jc w:val="both"/>
              <w:rPr>
                <w:noProof/>
                <w:lang w:val="en"/>
              </w:rPr>
            </w:pPr>
            <w:r>
              <w:rPr>
                <w:noProof/>
                <w:lang w:val="en"/>
              </w:rPr>
              <w:t>For SMRs, national requirements are set on the basis of an EU list as implemented by Member States. For GAECs, requirements apply as defined at national level taking account of local and climatic conditions.</w:t>
            </w:r>
          </w:p>
          <w:p w:rsidR="00333A1A" w:rsidRDefault="003D29C9">
            <w:pPr>
              <w:jc w:val="both"/>
              <w:rPr>
                <w:noProof/>
                <w:lang w:val="en"/>
              </w:rPr>
            </w:pPr>
            <w:r>
              <w:rPr>
                <w:noProof/>
                <w:lang w:val="en"/>
              </w:rPr>
              <w:t>Further requirements may</w:t>
            </w:r>
            <w:r>
              <w:rPr>
                <w:noProof/>
                <w:lang w:val="en"/>
              </w:rPr>
              <w:t xml:space="preserve"> be set if linked to EU objectives to serve as baseline if Member States want to be more ambitious. Additional requirements can be source of complexity and administrative burden depending on Member State´s application.</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Optional voluntary eco-schemes</w:t>
            </w:r>
          </w:p>
        </w:tc>
        <w:tc>
          <w:tcPr>
            <w:tcW w:w="5321" w:type="dxa"/>
          </w:tcPr>
          <w:p w:rsidR="00333A1A" w:rsidRDefault="003D29C9">
            <w:pPr>
              <w:jc w:val="both"/>
              <w:rPr>
                <w:noProof/>
                <w:lang w:val="en"/>
              </w:rPr>
            </w:pPr>
            <w:r>
              <w:rPr>
                <w:noProof/>
                <w:lang w:val="en"/>
              </w:rPr>
              <w:t>Eco-</w:t>
            </w:r>
            <w:r>
              <w:rPr>
                <w:noProof/>
                <w:lang w:val="en"/>
              </w:rPr>
              <w:t>schemes are expected to be more flexible and better tailored than the current greening. They cover practices additional to conditionality, but different from AECM. They can be used as stand-alone or entry-level scheme towards Pillar II interventions, and w</w:t>
            </w:r>
            <w:r>
              <w:rPr>
                <w:noProof/>
                <w:lang w:val="en"/>
              </w:rPr>
              <w:t>ork as an incentive payment linked to decoupled direct payment, or as a compensation payment calculated on extra costs or loss of income.</w:t>
            </w:r>
          </w:p>
          <w:p w:rsidR="00333A1A" w:rsidRDefault="003D29C9">
            <w:pPr>
              <w:jc w:val="both"/>
              <w:rPr>
                <w:noProof/>
                <w:lang w:val="en"/>
              </w:rPr>
            </w:pPr>
            <w:r>
              <w:rPr>
                <w:noProof/>
                <w:lang w:val="en"/>
              </w:rPr>
              <w:t>Budget linked to eco-schemes is difficult to plan because the scheme is voluntary. There is thus a risk of underspendi</w:t>
            </w:r>
            <w:r>
              <w:rPr>
                <w:noProof/>
                <w:lang w:val="en"/>
              </w:rPr>
              <w:t>ng – it could therefore also be planned under EAFRD. It also requires a clear demarcation with conditionality and AECM to avoid overlaps, including in terms of administrative burden.</w:t>
            </w:r>
          </w:p>
        </w:tc>
      </w:tr>
      <w:tr w:rsidR="00333A1A">
        <w:tc>
          <w:tcPr>
            <w:tcW w:w="1384" w:type="dxa"/>
          </w:tcPr>
          <w:p w:rsidR="00333A1A" w:rsidRDefault="003D29C9">
            <w:pPr>
              <w:jc w:val="both"/>
              <w:rPr>
                <w:noProof/>
                <w:lang w:val="en"/>
              </w:rPr>
            </w:pPr>
            <w:r>
              <w:rPr>
                <w:noProof/>
                <w:lang w:val="en"/>
              </w:rPr>
              <w:t>Rural development measures (EAFRD)</w:t>
            </w:r>
          </w:p>
        </w:tc>
        <w:tc>
          <w:tcPr>
            <w:tcW w:w="2129" w:type="dxa"/>
          </w:tcPr>
          <w:p w:rsidR="00333A1A" w:rsidRDefault="003D29C9">
            <w:pPr>
              <w:jc w:val="both"/>
              <w:rPr>
                <w:noProof/>
                <w:lang w:val="en"/>
              </w:rPr>
            </w:pPr>
            <w:r>
              <w:rPr>
                <w:noProof/>
                <w:lang w:val="en"/>
              </w:rPr>
              <w:t>Area-based environmental payments (Ag</w:t>
            </w:r>
            <w:r>
              <w:rPr>
                <w:noProof/>
                <w:lang w:val="en"/>
              </w:rPr>
              <w:t>ro-environmental measures (AECM) and forestry)</w:t>
            </w:r>
          </w:p>
        </w:tc>
        <w:tc>
          <w:tcPr>
            <w:tcW w:w="5321" w:type="dxa"/>
          </w:tcPr>
          <w:p w:rsidR="00333A1A" w:rsidRDefault="003D29C9">
            <w:pPr>
              <w:jc w:val="both"/>
              <w:rPr>
                <w:noProof/>
                <w:lang w:val="en"/>
              </w:rPr>
            </w:pPr>
            <w:r>
              <w:rPr>
                <w:noProof/>
                <w:lang w:val="en"/>
              </w:rPr>
              <w:t>Reduced number of measures and sub-measures as well as simplified requirement should facilitate planning and management of the tool.</w:t>
            </w:r>
          </w:p>
          <w:p w:rsidR="00333A1A" w:rsidRDefault="003D29C9">
            <w:pPr>
              <w:jc w:val="both"/>
              <w:rPr>
                <w:noProof/>
                <w:lang w:val="en"/>
              </w:rPr>
            </w:pPr>
            <w:r>
              <w:rPr>
                <w:noProof/>
                <w:lang w:val="en"/>
              </w:rPr>
              <w:t>Some administrative burden is linked to AECM as it requires information on i</w:t>
            </w:r>
            <w:r>
              <w:rPr>
                <w:noProof/>
                <w:lang w:val="en"/>
              </w:rPr>
              <w:t>ncome foregone and cost incurred for premium calculation.</w:t>
            </w:r>
          </w:p>
          <w:p w:rsidR="00333A1A" w:rsidRDefault="003D29C9">
            <w:pPr>
              <w:jc w:val="both"/>
              <w:rPr>
                <w:noProof/>
                <w:lang w:val="en"/>
              </w:rPr>
            </w:pPr>
            <w:r>
              <w:rPr>
                <w:noProof/>
                <w:lang w:val="en"/>
              </w:rPr>
              <w:t>The multi-annual nature of the measure facilitates budget planning and potential shift of budget towards/from other measures in function of the uptake by beneficiaries.</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 xml:space="preserve">Areas under natural </w:t>
            </w:r>
            <w:r>
              <w:rPr>
                <w:noProof/>
                <w:lang w:val="en"/>
              </w:rPr>
              <w:t>constraints</w:t>
            </w:r>
          </w:p>
        </w:tc>
        <w:tc>
          <w:tcPr>
            <w:tcW w:w="5321" w:type="dxa"/>
          </w:tcPr>
          <w:p w:rsidR="00333A1A" w:rsidRDefault="003D29C9">
            <w:pPr>
              <w:jc w:val="both"/>
              <w:rPr>
                <w:noProof/>
                <w:lang w:val="en"/>
              </w:rPr>
            </w:pPr>
            <w:r>
              <w:rPr>
                <w:noProof/>
                <w:lang w:val="en"/>
              </w:rPr>
              <w:t xml:space="preserve">Current delimitation of ANC is kept. </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Project-based measures (investments, financial instruments, business development support, risk management, cooperation, advice)</w:t>
            </w:r>
          </w:p>
        </w:tc>
        <w:tc>
          <w:tcPr>
            <w:tcW w:w="5321" w:type="dxa"/>
          </w:tcPr>
          <w:p w:rsidR="00333A1A" w:rsidRDefault="003D29C9">
            <w:pPr>
              <w:jc w:val="both"/>
              <w:rPr>
                <w:noProof/>
                <w:lang w:val="en"/>
              </w:rPr>
            </w:pPr>
            <w:r>
              <w:rPr>
                <w:noProof/>
                <w:lang w:val="en"/>
              </w:rPr>
              <w:t xml:space="preserve">Reduced number of measures and sub-measures as well as simplified </w:t>
            </w:r>
            <w:r>
              <w:rPr>
                <w:noProof/>
                <w:lang w:val="en"/>
              </w:rPr>
              <w:t>requirements should facilitate planning and management of the tool. Delivery model allows better targeting of national and regional needs.</w:t>
            </w:r>
          </w:p>
          <w:p w:rsidR="00333A1A" w:rsidRDefault="003D29C9">
            <w:pPr>
              <w:jc w:val="both"/>
              <w:rPr>
                <w:noProof/>
                <w:lang w:val="en"/>
              </w:rPr>
            </w:pPr>
            <w:r>
              <w:rPr>
                <w:noProof/>
                <w:lang w:val="en"/>
              </w:rPr>
              <w:t>Project-based measures require calls for projects which involve higher administrative burden for national administrat</w:t>
            </w:r>
            <w:r>
              <w:rPr>
                <w:noProof/>
                <w:lang w:val="en"/>
              </w:rPr>
              <w:t>ions and beneficiaries.</w:t>
            </w:r>
          </w:p>
          <w:p w:rsidR="00333A1A" w:rsidRDefault="003D29C9">
            <w:pPr>
              <w:jc w:val="both"/>
              <w:rPr>
                <w:noProof/>
                <w:lang w:val="en"/>
              </w:rPr>
            </w:pPr>
            <w:r>
              <w:rPr>
                <w:noProof/>
                <w:lang w:val="en"/>
              </w:rPr>
              <w:t>Some additional elements to consider in terms of administrative burden:</w:t>
            </w:r>
          </w:p>
          <w:p w:rsidR="00333A1A" w:rsidRDefault="003D29C9">
            <w:pPr>
              <w:pStyle w:val="ListParagraph"/>
              <w:numPr>
                <w:ilvl w:val="0"/>
                <w:numId w:val="52"/>
              </w:numPr>
              <w:ind w:left="179" w:hanging="179"/>
              <w:jc w:val="both"/>
              <w:rPr>
                <w:noProof/>
                <w:lang w:val="en"/>
              </w:rPr>
            </w:pPr>
            <w:r>
              <w:rPr>
                <w:noProof/>
                <w:lang w:val="en"/>
              </w:rPr>
              <w:t>financial instruments will be included in the CAP plan,</w:t>
            </w:r>
          </w:p>
          <w:p w:rsidR="00333A1A" w:rsidRDefault="003D29C9">
            <w:pPr>
              <w:pStyle w:val="ListParagraph"/>
              <w:numPr>
                <w:ilvl w:val="0"/>
                <w:numId w:val="52"/>
              </w:numPr>
              <w:ind w:left="179" w:hanging="179"/>
              <w:jc w:val="both"/>
              <w:rPr>
                <w:noProof/>
                <w:lang w:val="en"/>
              </w:rPr>
            </w:pPr>
            <w:r>
              <w:rPr>
                <w:noProof/>
                <w:lang w:val="en"/>
              </w:rPr>
              <w:t>installation grants require a business plan to be drawn up,</w:t>
            </w:r>
          </w:p>
          <w:p w:rsidR="00333A1A" w:rsidRDefault="003D29C9">
            <w:pPr>
              <w:pStyle w:val="ListParagraph"/>
              <w:numPr>
                <w:ilvl w:val="0"/>
                <w:numId w:val="52"/>
              </w:numPr>
              <w:ind w:left="179" w:hanging="179"/>
              <w:jc w:val="both"/>
              <w:rPr>
                <w:noProof/>
                <w:lang w:val="en"/>
              </w:rPr>
            </w:pPr>
            <w:r>
              <w:rPr>
                <w:noProof/>
                <w:lang w:val="en"/>
              </w:rPr>
              <w:t>ambition with regard to Agricultural Knowled</w:t>
            </w:r>
            <w:r>
              <w:rPr>
                <w:noProof/>
                <w:lang w:val="en"/>
              </w:rPr>
              <w:t>ge and Innovation Systems (AKIS) implies higher administrative burden, but it could be integrated with Farm Advisory Services.</w:t>
            </w:r>
          </w:p>
          <w:p w:rsidR="00333A1A" w:rsidRDefault="003D29C9">
            <w:pPr>
              <w:pStyle w:val="ListParagraph"/>
              <w:numPr>
                <w:ilvl w:val="0"/>
                <w:numId w:val="52"/>
              </w:numPr>
              <w:ind w:left="179" w:hanging="179"/>
              <w:jc w:val="both"/>
              <w:rPr>
                <w:noProof/>
                <w:lang w:val="en"/>
              </w:rPr>
            </w:pPr>
            <w:r>
              <w:rPr>
                <w:noProof/>
                <w:lang w:val="en"/>
              </w:rPr>
              <w:t>Possible use of simplified cost options can reduce administrative burden on both national administrations and beneficiaries.</w:t>
            </w:r>
          </w:p>
        </w:tc>
      </w:tr>
      <w:tr w:rsidR="00333A1A">
        <w:tc>
          <w:tcPr>
            <w:tcW w:w="1384" w:type="dxa"/>
          </w:tcPr>
          <w:p w:rsidR="00333A1A" w:rsidRDefault="003D29C9">
            <w:pPr>
              <w:jc w:val="both"/>
              <w:rPr>
                <w:noProof/>
                <w:lang w:val="en"/>
              </w:rPr>
            </w:pPr>
            <w:r>
              <w:rPr>
                <w:noProof/>
                <w:lang w:val="en"/>
              </w:rPr>
              <w:t>App</w:t>
            </w:r>
            <w:r>
              <w:rPr>
                <w:noProof/>
                <w:lang w:val="en"/>
              </w:rPr>
              <w:t>lications</w:t>
            </w:r>
          </w:p>
        </w:tc>
        <w:tc>
          <w:tcPr>
            <w:tcW w:w="2129" w:type="dxa"/>
          </w:tcPr>
          <w:p w:rsidR="00333A1A" w:rsidRDefault="003D29C9">
            <w:pPr>
              <w:jc w:val="both"/>
              <w:rPr>
                <w:noProof/>
                <w:lang w:val="en"/>
              </w:rPr>
            </w:pPr>
            <w:r>
              <w:rPr>
                <w:noProof/>
                <w:lang w:val="en"/>
              </w:rPr>
              <w:t>Eligibility criteria and evidence requested for applications</w:t>
            </w:r>
          </w:p>
          <w:p w:rsidR="00333A1A" w:rsidRDefault="00333A1A">
            <w:pPr>
              <w:jc w:val="both"/>
              <w:rPr>
                <w:noProof/>
                <w:lang w:val="en"/>
              </w:rPr>
            </w:pPr>
          </w:p>
          <w:p w:rsidR="00333A1A" w:rsidRDefault="00333A1A">
            <w:pPr>
              <w:jc w:val="both"/>
              <w:rPr>
                <w:noProof/>
                <w:lang w:val="en"/>
              </w:rPr>
            </w:pPr>
          </w:p>
        </w:tc>
        <w:tc>
          <w:tcPr>
            <w:tcW w:w="5321" w:type="dxa"/>
          </w:tcPr>
          <w:p w:rsidR="00333A1A" w:rsidRDefault="003D29C9">
            <w:pPr>
              <w:jc w:val="both"/>
              <w:rPr>
                <w:noProof/>
                <w:lang w:val="en"/>
              </w:rPr>
            </w:pPr>
            <w:r>
              <w:rPr>
                <w:noProof/>
                <w:lang w:val="en"/>
              </w:rPr>
              <w:t>The shift towards performance can be translated into a lower number of eligibility criteria or requirements and/or into less evidence requested at time of application, translating int</w:t>
            </w:r>
            <w:r>
              <w:rPr>
                <w:noProof/>
                <w:lang w:val="en"/>
              </w:rPr>
              <w:t>o fewer burdens for beneficiaries for submitting applications and for national administrations to perform administrative checks.</w:t>
            </w:r>
          </w:p>
          <w:p w:rsidR="00333A1A" w:rsidRDefault="003D29C9">
            <w:pPr>
              <w:jc w:val="both"/>
              <w:rPr>
                <w:noProof/>
                <w:lang w:val="en"/>
              </w:rPr>
            </w:pPr>
            <w:r>
              <w:rPr>
                <w:noProof/>
                <w:lang w:val="en"/>
              </w:rPr>
              <w:t>The increased use of single, smart (e.g. linked to other data sources, including from other administrative entities) and pre-fi</w:t>
            </w:r>
            <w:r>
              <w:rPr>
                <w:noProof/>
                <w:lang w:val="en"/>
              </w:rPr>
              <w:t>lled (e.g. based on previous year information) forms will also reduce the burden for beneficiaries. This may involve some limited additional burden for national administrations to set up systems and perform preliminary checks of pre-filled forms. The wider</w:t>
            </w:r>
            <w:r>
              <w:rPr>
                <w:noProof/>
                <w:lang w:val="en"/>
              </w:rPr>
              <w:t xml:space="preserve"> use of geo-spatial aid applications, possibly combined to sentinels images, can further decrease burden for beneficiaries. Likewise, digitisation e.g. through the development of apps can positively impact time for applications.</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Payment claims</w:t>
            </w:r>
          </w:p>
        </w:tc>
        <w:tc>
          <w:tcPr>
            <w:tcW w:w="5321" w:type="dxa"/>
          </w:tcPr>
          <w:p w:rsidR="00333A1A" w:rsidRDefault="003D29C9">
            <w:pPr>
              <w:jc w:val="both"/>
              <w:rPr>
                <w:noProof/>
                <w:lang w:val="en"/>
              </w:rPr>
            </w:pPr>
            <w:r>
              <w:rPr>
                <w:noProof/>
                <w:lang w:val="en"/>
              </w:rPr>
              <w:t xml:space="preserve">Member </w:t>
            </w:r>
            <w:r>
              <w:rPr>
                <w:noProof/>
                <w:lang w:val="en"/>
              </w:rPr>
              <w:t>States may choose to further use simplified cost options and so limit the evidence requested.</w:t>
            </w:r>
          </w:p>
        </w:tc>
      </w:tr>
      <w:tr w:rsidR="00333A1A">
        <w:tc>
          <w:tcPr>
            <w:tcW w:w="1384" w:type="dxa"/>
          </w:tcPr>
          <w:p w:rsidR="00333A1A" w:rsidRDefault="003D29C9">
            <w:pPr>
              <w:jc w:val="both"/>
              <w:rPr>
                <w:noProof/>
                <w:lang w:val="en"/>
              </w:rPr>
            </w:pPr>
            <w:r>
              <w:rPr>
                <w:noProof/>
                <w:lang w:val="en"/>
              </w:rPr>
              <w:t>Controls</w:t>
            </w:r>
          </w:p>
        </w:tc>
        <w:tc>
          <w:tcPr>
            <w:tcW w:w="2129" w:type="dxa"/>
          </w:tcPr>
          <w:p w:rsidR="00333A1A" w:rsidRDefault="003D29C9">
            <w:pPr>
              <w:jc w:val="both"/>
              <w:rPr>
                <w:noProof/>
                <w:lang w:val="en"/>
              </w:rPr>
            </w:pPr>
            <w:r>
              <w:rPr>
                <w:noProof/>
                <w:lang w:val="en"/>
              </w:rPr>
              <w:t>Administrative checks</w:t>
            </w:r>
          </w:p>
        </w:tc>
        <w:tc>
          <w:tcPr>
            <w:tcW w:w="5321" w:type="dxa"/>
          </w:tcPr>
          <w:p w:rsidR="00333A1A" w:rsidRDefault="003D29C9">
            <w:pPr>
              <w:jc w:val="both"/>
              <w:rPr>
                <w:noProof/>
                <w:lang w:val="en"/>
              </w:rPr>
            </w:pPr>
            <w:r>
              <w:rPr>
                <w:noProof/>
                <w:lang w:val="en"/>
              </w:rPr>
              <w:t>In addition to the above possible gains under applications and payment claims, the use of remote sensing and of satellite or senti</w:t>
            </w:r>
            <w:r>
              <w:rPr>
                <w:noProof/>
                <w:lang w:val="en"/>
              </w:rPr>
              <w:t>nels images can facilitate the administrative checks.</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On-the-spot controls</w:t>
            </w:r>
          </w:p>
        </w:tc>
        <w:tc>
          <w:tcPr>
            <w:tcW w:w="5321" w:type="dxa"/>
          </w:tcPr>
          <w:p w:rsidR="00333A1A" w:rsidRDefault="003D29C9">
            <w:pPr>
              <w:jc w:val="both"/>
              <w:rPr>
                <w:noProof/>
                <w:lang w:val="en"/>
              </w:rPr>
            </w:pPr>
            <w:r>
              <w:rPr>
                <w:noProof/>
                <w:lang w:val="en"/>
              </w:rPr>
              <w:t xml:space="preserve">While compliance by beneficiaries with eligibility rules is no longer subject to conformity audits by the EC and amounts recovered can be kept and reused, the setting by national </w:t>
            </w:r>
            <w:r>
              <w:rPr>
                <w:noProof/>
                <w:lang w:val="en"/>
              </w:rPr>
              <w:t>administrations</w:t>
            </w:r>
            <w:r>
              <w:rPr>
                <w:i/>
                <w:noProof/>
                <w:lang w:val="en"/>
              </w:rPr>
              <w:t xml:space="preserve"> </w:t>
            </w:r>
            <w:r>
              <w:rPr>
                <w:noProof/>
                <w:lang w:val="en"/>
              </w:rPr>
              <w:t>of own acceptable level of risk can potentially translate in a reduced number of controls.</w:t>
            </w:r>
          </w:p>
          <w:p w:rsidR="00333A1A" w:rsidRDefault="003D29C9">
            <w:pPr>
              <w:jc w:val="both"/>
              <w:rPr>
                <w:noProof/>
                <w:lang w:val="en"/>
              </w:rPr>
            </w:pPr>
            <w:r>
              <w:rPr>
                <w:noProof/>
                <w:lang w:val="en"/>
              </w:rPr>
              <w:t>Increased use of technology, e.g. satellites/sentinels images uploaded in LPIS, for control of performance (instead of compliance) can also reduce th</w:t>
            </w:r>
            <w:r>
              <w:rPr>
                <w:noProof/>
                <w:lang w:val="en"/>
              </w:rPr>
              <w:t>e number and extent of on-the-spot controls.</w:t>
            </w:r>
          </w:p>
        </w:tc>
      </w:tr>
      <w:tr w:rsidR="00333A1A">
        <w:tc>
          <w:tcPr>
            <w:tcW w:w="1384" w:type="dxa"/>
          </w:tcPr>
          <w:p w:rsidR="00333A1A" w:rsidRDefault="003D29C9">
            <w:pPr>
              <w:jc w:val="both"/>
              <w:rPr>
                <w:noProof/>
                <w:lang w:val="en"/>
              </w:rPr>
            </w:pPr>
            <w:r>
              <w:rPr>
                <w:noProof/>
                <w:lang w:val="en"/>
              </w:rPr>
              <w:t>Monitoring and reporting</w:t>
            </w:r>
          </w:p>
        </w:tc>
        <w:tc>
          <w:tcPr>
            <w:tcW w:w="2129" w:type="dxa"/>
          </w:tcPr>
          <w:p w:rsidR="00333A1A" w:rsidRDefault="003D29C9">
            <w:pPr>
              <w:jc w:val="both"/>
              <w:rPr>
                <w:noProof/>
                <w:lang w:val="en"/>
              </w:rPr>
            </w:pPr>
            <w:r>
              <w:rPr>
                <w:noProof/>
                <w:lang w:val="en"/>
              </w:rPr>
              <w:t>Indicators and targets</w:t>
            </w:r>
          </w:p>
        </w:tc>
        <w:tc>
          <w:tcPr>
            <w:tcW w:w="5321" w:type="dxa"/>
          </w:tcPr>
          <w:p w:rsidR="00333A1A" w:rsidRDefault="003D29C9">
            <w:pPr>
              <w:jc w:val="both"/>
              <w:rPr>
                <w:noProof/>
                <w:lang w:val="en"/>
              </w:rPr>
            </w:pPr>
            <w:r>
              <w:rPr>
                <w:noProof/>
                <w:lang w:val="en"/>
              </w:rPr>
              <w:t xml:space="preserve">The reduced number of mandatory EU indicators for monitoring and reporting is expected to reduce the monitoring and reporting costs. The number of indicators are </w:t>
            </w:r>
            <w:r>
              <w:rPr>
                <w:noProof/>
                <w:lang w:val="en"/>
              </w:rPr>
              <w:t xml:space="preserve">still dependent on the complexity of the design (variety of tools implemented). </w:t>
            </w:r>
          </w:p>
          <w:p w:rsidR="00333A1A" w:rsidRDefault="003D29C9">
            <w:pPr>
              <w:jc w:val="both"/>
              <w:rPr>
                <w:noProof/>
                <w:lang w:val="en"/>
              </w:rPr>
            </w:pPr>
            <w:r>
              <w:rPr>
                <w:noProof/>
                <w:lang w:val="en"/>
              </w:rPr>
              <w:t>The thorough identification at planning stage of data needs permits to foresee data collection through smart application forms and can limit additional effort from beneficiari</w:t>
            </w:r>
            <w:r>
              <w:rPr>
                <w:noProof/>
                <w:lang w:val="en"/>
              </w:rPr>
              <w:t>es. The automation and increased use of data from existing sources should also positively contribute to reduced costs for monitoring. The use of sentinel images for monitoring can also reduce monitoring costs.</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Coordination at national level</w:t>
            </w:r>
          </w:p>
        </w:tc>
        <w:tc>
          <w:tcPr>
            <w:tcW w:w="5321" w:type="dxa"/>
          </w:tcPr>
          <w:p w:rsidR="00333A1A" w:rsidRDefault="003D29C9">
            <w:pPr>
              <w:jc w:val="both"/>
              <w:rPr>
                <w:noProof/>
                <w:lang w:val="en"/>
              </w:rPr>
            </w:pPr>
            <w:r>
              <w:rPr>
                <w:noProof/>
                <w:lang w:val="en"/>
              </w:rPr>
              <w:t>Aggregation o</w:t>
            </w:r>
            <w:r>
              <w:rPr>
                <w:noProof/>
                <w:lang w:val="en"/>
              </w:rPr>
              <w:t>f data at national level can remain an important issue, requiring thorough coordination of the task if performed at regional level. The linkage of reporting to performance clearance and the financial incentive on performance can represent an additional pre</w:t>
            </w:r>
            <w:r>
              <w:rPr>
                <w:noProof/>
                <w:lang w:val="en"/>
              </w:rPr>
              <w:t>ssure for sound aggregation of data.</w:t>
            </w:r>
          </w:p>
        </w:tc>
      </w:tr>
      <w:tr w:rsidR="00333A1A">
        <w:tc>
          <w:tcPr>
            <w:tcW w:w="1384" w:type="dxa"/>
          </w:tcPr>
          <w:p w:rsidR="00333A1A" w:rsidRDefault="00333A1A">
            <w:pPr>
              <w:jc w:val="both"/>
              <w:rPr>
                <w:noProof/>
                <w:lang w:val="en"/>
              </w:rPr>
            </w:pPr>
          </w:p>
        </w:tc>
        <w:tc>
          <w:tcPr>
            <w:tcW w:w="2129" w:type="dxa"/>
          </w:tcPr>
          <w:p w:rsidR="00333A1A" w:rsidRDefault="003D29C9">
            <w:pPr>
              <w:jc w:val="both"/>
              <w:rPr>
                <w:noProof/>
                <w:lang w:val="en"/>
              </w:rPr>
            </w:pPr>
            <w:r>
              <w:rPr>
                <w:noProof/>
                <w:lang w:val="en"/>
              </w:rPr>
              <w:t>Annual performance reports</w:t>
            </w:r>
          </w:p>
        </w:tc>
        <w:tc>
          <w:tcPr>
            <w:tcW w:w="5321" w:type="dxa"/>
          </w:tcPr>
          <w:p w:rsidR="00333A1A" w:rsidRDefault="003D29C9">
            <w:pPr>
              <w:jc w:val="both"/>
              <w:rPr>
                <w:noProof/>
                <w:lang w:val="en"/>
              </w:rPr>
            </w:pPr>
            <w:r>
              <w:rPr>
                <w:noProof/>
                <w:lang w:val="en"/>
              </w:rPr>
              <w:t>Streamlined single reporting obligations on the whole CAP plan will reduce the administrative burden compared to the multiple reporting channels.</w:t>
            </w:r>
          </w:p>
          <w:p w:rsidR="00333A1A" w:rsidRDefault="003D29C9">
            <w:pPr>
              <w:jc w:val="both"/>
              <w:rPr>
                <w:noProof/>
                <w:lang w:val="en"/>
              </w:rPr>
            </w:pPr>
            <w:r>
              <w:rPr>
                <w:noProof/>
                <w:lang w:val="en"/>
              </w:rPr>
              <w:t xml:space="preserve">Automatic generation of data can facilitate </w:t>
            </w:r>
            <w:r>
              <w:rPr>
                <w:noProof/>
                <w:lang w:val="en"/>
              </w:rPr>
              <w:t>the reporting but requires possible updates of the systems.</w:t>
            </w:r>
          </w:p>
        </w:tc>
      </w:tr>
    </w:tbl>
    <w:p w:rsidR="00333A1A" w:rsidRDefault="00333A1A">
      <w:pPr>
        <w:spacing w:line="240" w:lineRule="auto"/>
        <w:jc w:val="both"/>
        <w:rPr>
          <w:rFonts w:ascii="Times New Roman" w:eastAsia="Times New Roman" w:hAnsi="Times New Roman" w:cs="Times New Roman"/>
          <w:noProof/>
          <w:sz w:val="24"/>
          <w:szCs w:val="24"/>
          <w:highlight w:val="yellow"/>
          <w:lang w:val="en" w:eastAsia="en-GB"/>
        </w:rPr>
      </w:pPr>
    </w:p>
    <w:p w:rsidR="00333A1A" w:rsidRDefault="003D29C9">
      <w:pPr>
        <w:pStyle w:val="Heading2"/>
        <w:rPr>
          <w:noProof/>
          <w:szCs w:val="24"/>
        </w:rPr>
      </w:pPr>
      <w:bookmarkStart w:id="340" w:name="_Toc508635182"/>
      <w:bookmarkStart w:id="341" w:name="_Toc509412551"/>
      <w:bookmarkStart w:id="342" w:name="_Toc513053318"/>
      <w:bookmarkStart w:id="343" w:name="_Toc513053534"/>
      <w:bookmarkStart w:id="344" w:name="_Toc514514665"/>
      <w:r>
        <w:rPr>
          <w:noProof/>
          <w:szCs w:val="24"/>
        </w:rPr>
        <w:t>Assessing administrative burden reduction</w:t>
      </w:r>
      <w:bookmarkEnd w:id="340"/>
      <w:bookmarkEnd w:id="341"/>
      <w:bookmarkEnd w:id="342"/>
      <w:bookmarkEnd w:id="343"/>
      <w:bookmarkEnd w:id="344"/>
    </w:p>
    <w:p w:rsidR="00333A1A" w:rsidRDefault="003D29C9">
      <w:pPr>
        <w:pStyle w:val="Heading3"/>
        <w:rPr>
          <w:noProof/>
        </w:rPr>
      </w:pPr>
      <w:bookmarkStart w:id="345" w:name="_Toc508635183"/>
      <w:bookmarkStart w:id="346" w:name="_Toc509412552"/>
      <w:r>
        <w:rPr>
          <w:noProof/>
        </w:rPr>
        <w:t>Methodological approach</w:t>
      </w:r>
      <w:bookmarkEnd w:id="345"/>
      <w:bookmarkEnd w:id="346"/>
      <w:r>
        <w:rPr>
          <w:noProof/>
        </w:rPr>
        <w:t xml:space="preserve">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According to the Better Regulation rules, the Commission defines administrative costs as the costs incurred by enterprises, the</w:t>
      </w:r>
      <w:r>
        <w:rPr>
          <w:rFonts w:ascii="Times New Roman" w:eastAsia="Times New Roman" w:hAnsi="Times New Roman" w:cs="Times New Roman"/>
          <w:noProof/>
          <w:sz w:val="24"/>
          <w:szCs w:val="24"/>
          <w:lang w:val="en" w:eastAsia="en-GB"/>
        </w:rPr>
        <w:t xml:space="preserve"> voluntary sector, public authorities and citizens in meeting legal obligations to provide information, either to public authorities or to private parties. The Commission has developed a methodology to assess and quantify administrative costs: the EU Stand</w:t>
      </w:r>
      <w:r>
        <w:rPr>
          <w:rFonts w:ascii="Times New Roman" w:eastAsia="Times New Roman" w:hAnsi="Times New Roman" w:cs="Times New Roman"/>
          <w:noProof/>
          <w:sz w:val="24"/>
          <w:szCs w:val="24"/>
          <w:lang w:val="en" w:eastAsia="en-GB"/>
        </w:rPr>
        <w:t>ard Cost Model</w:t>
      </w:r>
      <w:r>
        <w:rPr>
          <w:noProof/>
          <w:sz w:val="24"/>
          <w:szCs w:val="24"/>
          <w:vertAlign w:val="superscript"/>
          <w:lang w:val="en" w:eastAsia="en-GB"/>
        </w:rPr>
        <w:footnoteReference w:id="129"/>
      </w:r>
      <w:r>
        <w:rPr>
          <w:rFonts w:ascii="Times New Roman" w:eastAsia="Times New Roman" w:hAnsi="Times New Roman" w:cs="Times New Roman"/>
          <w:noProof/>
          <w:sz w:val="24"/>
          <w:szCs w:val="24"/>
          <w:lang w:val="en" w:eastAsia="en-GB"/>
        </w:rPr>
        <w:t>. This model is the standard model to be used when assessing administrative costs in the context of new legislation.</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EU Standard Cost Model assesses the administrative costs on the basis of the average cost of the required administrative</w:t>
      </w:r>
      <w:r>
        <w:rPr>
          <w:rFonts w:ascii="Times New Roman" w:eastAsia="Times New Roman" w:hAnsi="Times New Roman" w:cs="Times New Roman"/>
          <w:noProof/>
          <w:sz w:val="24"/>
          <w:szCs w:val="24"/>
          <w:lang w:val="en" w:eastAsia="en-GB"/>
        </w:rPr>
        <w:t xml:space="preserve"> activity multiplied by the total number of activities performed per year. The average cost per activity is estimated by multiplying a tariff and the time required per action. The quantity is calculated as the frequency of required actions multiplied by th</w:t>
      </w:r>
      <w:r>
        <w:rPr>
          <w:rFonts w:ascii="Times New Roman" w:eastAsia="Times New Roman" w:hAnsi="Times New Roman" w:cs="Times New Roman"/>
          <w:noProof/>
          <w:sz w:val="24"/>
          <w:szCs w:val="24"/>
          <w:lang w:val="en" w:eastAsia="en-GB"/>
        </w:rPr>
        <w:t>e number of entities concerned. The total administrative costs are estimates on the number of full time employment working at national level on the CAP. Considering that the administrative burden and enforcement costs are difficult to differentiate for a c</w:t>
      </w:r>
      <w:r>
        <w:rPr>
          <w:rFonts w:ascii="Times New Roman" w:eastAsia="Times New Roman" w:hAnsi="Times New Roman" w:cs="Times New Roman"/>
          <w:noProof/>
          <w:sz w:val="24"/>
          <w:szCs w:val="24"/>
          <w:lang w:val="en" w:eastAsia="en-GB"/>
        </w:rPr>
        <w:t>omprehensive policy as the CAP, the present assessment does not further detail administrative costs into administrative burden and the business-as-usual. For beneficiaries also, 100% of administrative costs for information obligations under the CAP are con</w:t>
      </w:r>
      <w:r>
        <w:rPr>
          <w:rFonts w:ascii="Times New Roman" w:eastAsia="Times New Roman" w:hAnsi="Times New Roman" w:cs="Times New Roman"/>
          <w:noProof/>
          <w:sz w:val="24"/>
          <w:szCs w:val="24"/>
          <w:lang w:val="en" w:eastAsia="en-GB"/>
        </w:rPr>
        <w:t>sidered administrative burden, while the costs for the day-to-day farm management and accountancy is not accounted for in the estimated costs. The 2010 project on measurement of administrative burden for businesses</w:t>
      </w:r>
      <w:r>
        <w:rPr>
          <w:rStyle w:val="FootnoteReference"/>
          <w:rFonts w:ascii="Times New Roman" w:eastAsia="Times New Roman" w:hAnsi="Times New Roman" w:cs="Times New Roman"/>
          <w:noProof/>
          <w:sz w:val="24"/>
          <w:szCs w:val="24"/>
          <w:lang w:val="en" w:eastAsia="en-GB"/>
        </w:rPr>
        <w:footnoteReference w:id="130"/>
      </w:r>
      <w:r>
        <w:rPr>
          <w:rFonts w:ascii="Times New Roman" w:eastAsia="Times New Roman" w:hAnsi="Times New Roman" w:cs="Times New Roman"/>
          <w:noProof/>
          <w:sz w:val="24"/>
          <w:szCs w:val="24"/>
          <w:lang w:val="en" w:eastAsia="en-GB"/>
        </w:rPr>
        <w:t xml:space="preserve"> estimates the share of business-as-usual</w:t>
      </w:r>
      <w:r>
        <w:rPr>
          <w:rFonts w:ascii="Times New Roman" w:eastAsia="Times New Roman" w:hAnsi="Times New Roman" w:cs="Times New Roman"/>
          <w:noProof/>
          <w:sz w:val="24"/>
          <w:szCs w:val="24"/>
          <w:lang w:val="en" w:eastAsia="en-GB"/>
        </w:rPr>
        <w:t xml:space="preserve"> in the administrative costs to be less than 5%.</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options are those considered in the impact assessment. The administrative costs of the baseline (BAS), or option 1, are not differentiated in function of the budget reduction, considering that the linear</w:t>
      </w:r>
      <w:r>
        <w:rPr>
          <w:rFonts w:ascii="Times New Roman" w:eastAsia="Times New Roman" w:hAnsi="Times New Roman" w:cs="Times New Roman"/>
          <w:noProof/>
          <w:sz w:val="24"/>
          <w:szCs w:val="24"/>
          <w:lang w:val="en" w:eastAsia="en-GB"/>
        </w:rPr>
        <w:t xml:space="preserve"> budget reduction will not impact administrative tasks. Only the impact on administrative costs of changes under the options 3, 4 and 5 are estimated and are presented in terms of estimated percentage reduction in costs for the target group.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number of</w:t>
      </w:r>
      <w:r>
        <w:rPr>
          <w:rFonts w:ascii="Times New Roman" w:eastAsia="Times New Roman" w:hAnsi="Times New Roman" w:cs="Times New Roman"/>
          <w:noProof/>
          <w:sz w:val="24"/>
          <w:szCs w:val="24"/>
          <w:lang w:val="en" w:eastAsia="en-GB"/>
        </w:rPr>
        <w:t xml:space="preserve"> entities for national administrations is function of the level at which each action is performed (national or regional) and of the entity performing the task (competent authority, managing authority, coordinating body, paying agency or certification body)</w:t>
      </w:r>
      <w:r>
        <w:rPr>
          <w:rFonts w:ascii="Times New Roman" w:eastAsia="Times New Roman" w:hAnsi="Times New Roman" w:cs="Times New Roman"/>
          <w:noProof/>
          <w:sz w:val="24"/>
          <w:szCs w:val="24"/>
          <w:lang w:val="en" w:eastAsia="en-GB"/>
        </w:rPr>
        <w:t xml:space="preserve">. At present, and excluding the UK, there are 28 national bodies (with Flanders and Wallonia separated), 114 regional bodies, 6 coordinating bodies, 76 paying agencies and 56 certification bodies. With regard to beneficiaries, there are at present about 7 </w:t>
      </w:r>
      <w:r>
        <w:rPr>
          <w:rFonts w:ascii="Times New Roman" w:eastAsia="Times New Roman" w:hAnsi="Times New Roman" w:cs="Times New Roman"/>
          <w:noProof/>
          <w:sz w:val="24"/>
          <w:szCs w:val="24"/>
          <w:lang w:val="en" w:eastAsia="en-GB"/>
        </w:rPr>
        <w:t>million farmers receiving payments under at least one of the direct payment schemes (with about 15 million payments), while there are over 4 million claims under rural development measures, of which 300 000 project-based.</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Tariffs used are EU hourly wage av</w:t>
      </w:r>
      <w:r>
        <w:rPr>
          <w:rFonts w:ascii="Times New Roman" w:eastAsia="Times New Roman" w:hAnsi="Times New Roman" w:cs="Times New Roman"/>
          <w:noProof/>
          <w:sz w:val="24"/>
          <w:szCs w:val="24"/>
          <w:lang w:val="en" w:eastAsia="en-GB"/>
        </w:rPr>
        <w:t>erages</w:t>
      </w:r>
      <w:r>
        <w:rPr>
          <w:rStyle w:val="FootnoteReference"/>
          <w:rFonts w:ascii="Times New Roman" w:eastAsia="Times New Roman" w:hAnsi="Times New Roman" w:cs="Times New Roman"/>
          <w:noProof/>
          <w:sz w:val="24"/>
          <w:szCs w:val="24"/>
          <w:lang w:val="en" w:eastAsia="en-GB"/>
        </w:rPr>
        <w:footnoteReference w:id="131"/>
      </w:r>
      <w:r>
        <w:rPr>
          <w:rFonts w:ascii="Times New Roman" w:eastAsia="Times New Roman" w:hAnsi="Times New Roman" w:cs="Times New Roman"/>
          <w:noProof/>
          <w:sz w:val="24"/>
          <w:szCs w:val="24"/>
          <w:lang w:val="en" w:eastAsia="en-GB"/>
        </w:rPr>
        <w:t>. For national administrations, the tariff for clerks is used for tasks such as administrative and on-the-spot checks (ISCO 4, € 18/hour), while the tariff for legislators is used for planning and reporting (ISCO 1, € 41.61/hour). For beneficiaries,</w:t>
      </w:r>
      <w:r>
        <w:rPr>
          <w:rFonts w:ascii="Times New Roman" w:eastAsia="Times New Roman" w:hAnsi="Times New Roman" w:cs="Times New Roman"/>
          <w:noProof/>
          <w:sz w:val="24"/>
          <w:szCs w:val="24"/>
          <w:lang w:val="en" w:eastAsia="en-GB"/>
        </w:rPr>
        <w:t xml:space="preserve"> assuming that the person submitting and managing applications and claims for payments, and cooperating for controls, is the person managing the farm, the category of managers is chosen (ISCO 2, € 41.61).</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Considering the uncertainties surrounding the decis</w:t>
      </w:r>
      <w:r>
        <w:rPr>
          <w:rFonts w:ascii="Times New Roman" w:eastAsia="Times New Roman" w:hAnsi="Times New Roman" w:cs="Times New Roman"/>
          <w:noProof/>
          <w:sz w:val="24"/>
          <w:szCs w:val="24"/>
          <w:lang w:val="en" w:eastAsia="en-GB"/>
        </w:rPr>
        <w:t xml:space="preserve">ions of Member States under the CAP strategic plan, a </w:t>
      </w:r>
      <w:r>
        <w:rPr>
          <w:rFonts w:ascii="Times New Roman" w:eastAsia="Times New Roman" w:hAnsi="Times New Roman" w:cs="Times New Roman"/>
          <w:b/>
          <w:noProof/>
          <w:sz w:val="24"/>
          <w:szCs w:val="24"/>
          <w:lang w:val="en" w:eastAsia="en-GB"/>
        </w:rPr>
        <w:t>simplified Standard Cost Model approach</w:t>
      </w:r>
      <w:r>
        <w:rPr>
          <w:rFonts w:ascii="Times New Roman" w:eastAsia="Times New Roman" w:hAnsi="Times New Roman" w:cs="Times New Roman"/>
          <w:noProof/>
          <w:sz w:val="24"/>
          <w:szCs w:val="24"/>
          <w:lang w:val="en" w:eastAsia="en-GB"/>
        </w:rPr>
        <w:t xml:space="preserve"> is taken, by associating reasonable reductions in information obligations under each option in comparison to a baseline built on existing studies</w:t>
      </w:r>
      <w:r>
        <w:rPr>
          <w:rStyle w:val="FootnoteReference"/>
          <w:rFonts w:ascii="Times New Roman" w:eastAsia="Times New Roman" w:hAnsi="Times New Roman" w:cs="Times New Roman"/>
          <w:noProof/>
          <w:sz w:val="24"/>
          <w:szCs w:val="24"/>
          <w:lang w:val="en" w:eastAsia="en-GB"/>
        </w:rPr>
        <w:footnoteReference w:id="132"/>
      </w:r>
      <w:r>
        <w:rPr>
          <w:rFonts w:ascii="Times New Roman" w:eastAsia="Times New Roman" w:hAnsi="Times New Roman" w:cs="Times New Roman"/>
          <w:noProof/>
          <w:sz w:val="24"/>
          <w:szCs w:val="24"/>
          <w:lang w:val="en" w:eastAsia="en-GB"/>
        </w:rPr>
        <w:t>. The aim of the</w:t>
      </w:r>
      <w:r>
        <w:rPr>
          <w:rFonts w:ascii="Times New Roman" w:eastAsia="Times New Roman" w:hAnsi="Times New Roman" w:cs="Times New Roman"/>
          <w:noProof/>
          <w:sz w:val="24"/>
          <w:szCs w:val="24"/>
          <w:lang w:val="en" w:eastAsia="en-GB"/>
        </w:rPr>
        <w:t xml:space="preserve"> assessment is to illustrate potential administrative burden reduction for direct payments and rural development brought by the CAP post-2020 modernisation and simplification. It is assumed that Member States take up in the design and delivery of the CAP a</w:t>
      </w:r>
      <w:r>
        <w:rPr>
          <w:rFonts w:ascii="Times New Roman" w:eastAsia="Times New Roman" w:hAnsi="Times New Roman" w:cs="Times New Roman"/>
          <w:noProof/>
          <w:sz w:val="24"/>
          <w:szCs w:val="24"/>
          <w:lang w:val="en" w:eastAsia="en-GB"/>
        </w:rPr>
        <w:t xml:space="preserve"> part of the actions needed to reach these reductions, such as favouring simpler schemes, reducing control of compliance, etc. </w:t>
      </w:r>
    </w:p>
    <w:p w:rsidR="00333A1A" w:rsidRDefault="003D29C9">
      <w:pPr>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br w:type="page"/>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following assumptions are taken for national administrations:</w:t>
      </w:r>
    </w:p>
    <w:tbl>
      <w:tblPr>
        <w:tblStyle w:val="TableGrid"/>
        <w:tblW w:w="0" w:type="auto"/>
        <w:tblLook w:val="04A0" w:firstRow="1" w:lastRow="0" w:firstColumn="1" w:lastColumn="0" w:noHBand="0" w:noVBand="1"/>
      </w:tblPr>
      <w:tblGrid>
        <w:gridCol w:w="1459"/>
        <w:gridCol w:w="7299"/>
      </w:tblGrid>
      <w:tr w:rsidR="00333A1A">
        <w:trPr>
          <w:tblHeader/>
        </w:trPr>
        <w:tc>
          <w:tcPr>
            <w:tcW w:w="8758" w:type="dxa"/>
            <w:gridSpan w:val="2"/>
            <w:shd w:val="clear" w:color="auto" w:fill="BFBFBF" w:themeFill="background1" w:themeFillShade="BF"/>
          </w:tcPr>
          <w:p w:rsidR="00333A1A" w:rsidRDefault="003D29C9">
            <w:pPr>
              <w:jc w:val="both"/>
              <w:rPr>
                <w:b/>
                <w:noProof/>
                <w:lang w:val="en"/>
              </w:rPr>
            </w:pPr>
            <w:r>
              <w:rPr>
                <w:b/>
                <w:noProof/>
                <w:lang w:val="en"/>
              </w:rPr>
              <w:t>Assumptions for national administrations</w:t>
            </w:r>
          </w:p>
        </w:tc>
      </w:tr>
      <w:tr w:rsidR="00333A1A">
        <w:tc>
          <w:tcPr>
            <w:tcW w:w="1459" w:type="dxa"/>
          </w:tcPr>
          <w:p w:rsidR="00333A1A" w:rsidRDefault="003D29C9">
            <w:pPr>
              <w:jc w:val="both"/>
              <w:rPr>
                <w:noProof/>
                <w:lang w:val="en"/>
              </w:rPr>
            </w:pPr>
            <w:r>
              <w:rPr>
                <w:noProof/>
                <w:lang w:val="en"/>
              </w:rPr>
              <w:t>Planning</w:t>
            </w:r>
          </w:p>
        </w:tc>
        <w:tc>
          <w:tcPr>
            <w:tcW w:w="7299" w:type="dxa"/>
          </w:tcPr>
          <w:p w:rsidR="00333A1A" w:rsidRDefault="003D29C9">
            <w:pPr>
              <w:jc w:val="both"/>
              <w:rPr>
                <w:noProof/>
                <w:lang w:val="en"/>
              </w:rPr>
            </w:pPr>
            <w:r>
              <w:rPr>
                <w:noProof/>
                <w:lang w:val="en"/>
              </w:rPr>
              <w:t xml:space="preserve">Simpler </w:t>
            </w:r>
            <w:r>
              <w:rPr>
                <w:noProof/>
                <w:lang w:val="en"/>
              </w:rPr>
              <w:t>and less detailed planning, disappearance of notifications and integration of sectorial programmes. Differences between options determined as follows: lowest variety and complexity in options 3a and 4b, somewhat higher complexity in option 4a, highest comp</w:t>
            </w:r>
            <w:r>
              <w:rPr>
                <w:noProof/>
                <w:lang w:val="en"/>
              </w:rPr>
              <w:t>lexity in options 3b and 5.</w:t>
            </w:r>
          </w:p>
        </w:tc>
      </w:tr>
      <w:tr w:rsidR="00333A1A">
        <w:tc>
          <w:tcPr>
            <w:tcW w:w="1459" w:type="dxa"/>
          </w:tcPr>
          <w:p w:rsidR="00333A1A" w:rsidRDefault="003D29C9">
            <w:pPr>
              <w:jc w:val="both"/>
              <w:rPr>
                <w:noProof/>
                <w:lang w:val="en"/>
              </w:rPr>
            </w:pPr>
            <w:r>
              <w:rPr>
                <w:noProof/>
                <w:lang w:val="en"/>
              </w:rPr>
              <w:t>Applications and payment claims</w:t>
            </w:r>
          </w:p>
        </w:tc>
        <w:tc>
          <w:tcPr>
            <w:tcW w:w="7299" w:type="dxa"/>
          </w:tcPr>
          <w:p w:rsidR="00333A1A" w:rsidRDefault="003D29C9">
            <w:pPr>
              <w:rPr>
                <w:noProof/>
              </w:rPr>
            </w:pPr>
            <w:r>
              <w:rPr>
                <w:noProof/>
                <w:lang w:val="en"/>
              </w:rPr>
              <w:t>Reduced evidence to be verified under administrative checks and payment claims. Under options 3 and 4, the minimum requirements (minimum hectares under 3a and 3b, minimum share in income under 4a</w:t>
            </w:r>
            <w:r>
              <w:rPr>
                <w:noProof/>
                <w:lang w:val="en"/>
              </w:rPr>
              <w:t xml:space="preserve"> and 4b) reduces the number of eligible beneficiaries. Under option 5, the inclusion of ANC payments under direct payments shifts part of the burden from rural development towards direct payments.</w:t>
            </w:r>
          </w:p>
        </w:tc>
      </w:tr>
      <w:tr w:rsidR="00333A1A">
        <w:tc>
          <w:tcPr>
            <w:tcW w:w="1459" w:type="dxa"/>
          </w:tcPr>
          <w:p w:rsidR="00333A1A" w:rsidRDefault="003D29C9">
            <w:pPr>
              <w:jc w:val="both"/>
              <w:rPr>
                <w:noProof/>
                <w:lang w:val="en"/>
              </w:rPr>
            </w:pPr>
            <w:r>
              <w:rPr>
                <w:noProof/>
                <w:lang w:val="en"/>
              </w:rPr>
              <w:t xml:space="preserve">Audits and controls </w:t>
            </w:r>
          </w:p>
        </w:tc>
        <w:tc>
          <w:tcPr>
            <w:tcW w:w="7299" w:type="dxa"/>
          </w:tcPr>
          <w:p w:rsidR="00333A1A" w:rsidRDefault="003D29C9">
            <w:pPr>
              <w:jc w:val="both"/>
              <w:rPr>
                <w:noProof/>
                <w:lang w:val="en"/>
              </w:rPr>
            </w:pPr>
            <w:r>
              <w:rPr>
                <w:noProof/>
                <w:lang w:val="en"/>
              </w:rPr>
              <w:t xml:space="preserve">Less requirements and shift towards control of performance reduces the scope of the controls. The number of controls in reduced in options 3 and 4 proportionally to the reduction in beneficiaries. </w:t>
            </w:r>
          </w:p>
          <w:p w:rsidR="00333A1A" w:rsidRDefault="003D29C9">
            <w:pPr>
              <w:rPr>
                <w:noProof/>
              </w:rPr>
            </w:pPr>
            <w:r>
              <w:rPr>
                <w:noProof/>
                <w:lang w:val="en"/>
              </w:rPr>
              <w:t>Significant reduction in time for audits due to the reduce</w:t>
            </w:r>
            <w:r>
              <w:rPr>
                <w:noProof/>
                <w:lang w:val="en"/>
              </w:rPr>
              <w:t>d EU requirements. The time for performance clearance is function of the CAP plan (and report) – differences between options are assimilated to reductions under planning.</w:t>
            </w:r>
          </w:p>
        </w:tc>
      </w:tr>
      <w:tr w:rsidR="00333A1A">
        <w:tc>
          <w:tcPr>
            <w:tcW w:w="1459" w:type="dxa"/>
          </w:tcPr>
          <w:p w:rsidR="00333A1A" w:rsidRDefault="003D29C9">
            <w:pPr>
              <w:jc w:val="both"/>
              <w:rPr>
                <w:noProof/>
                <w:lang w:val="en"/>
              </w:rPr>
            </w:pPr>
            <w:r>
              <w:rPr>
                <w:noProof/>
                <w:lang w:val="en"/>
              </w:rPr>
              <w:t>Monitoring and reporting</w:t>
            </w:r>
          </w:p>
        </w:tc>
        <w:tc>
          <w:tcPr>
            <w:tcW w:w="7299" w:type="dxa"/>
            <w:shd w:val="clear" w:color="auto" w:fill="auto"/>
          </w:tcPr>
          <w:p w:rsidR="00333A1A" w:rsidRDefault="003D29C9">
            <w:pPr>
              <w:jc w:val="both"/>
              <w:rPr>
                <w:noProof/>
                <w:lang w:val="en"/>
              </w:rPr>
            </w:pPr>
            <w:r>
              <w:rPr>
                <w:noProof/>
                <w:lang w:val="en"/>
              </w:rPr>
              <w:t>Significant reduction in the number of indicators: differen</w:t>
            </w:r>
            <w:r>
              <w:rPr>
                <w:noProof/>
                <w:lang w:val="en"/>
              </w:rPr>
              <w:t>ces between options are assimilated to reductions under planning.</w:t>
            </w:r>
          </w:p>
          <w:p w:rsidR="00333A1A" w:rsidRDefault="003D29C9">
            <w:pPr>
              <w:jc w:val="both"/>
              <w:rPr>
                <w:noProof/>
                <w:lang w:val="en"/>
              </w:rPr>
            </w:pPr>
            <w:r>
              <w:rPr>
                <w:noProof/>
                <w:lang w:val="en"/>
              </w:rPr>
              <w:t>Increased costs for ensuring quality of data (incentivised by the performance clearance) and increased coordination for aggregating data.</w:t>
            </w:r>
          </w:p>
          <w:p w:rsidR="00333A1A" w:rsidRDefault="003D29C9">
            <w:pPr>
              <w:jc w:val="both"/>
              <w:rPr>
                <w:noProof/>
                <w:highlight w:val="yellow"/>
                <w:lang w:val="en"/>
              </w:rPr>
            </w:pPr>
            <w:r>
              <w:rPr>
                <w:noProof/>
                <w:lang w:val="en"/>
              </w:rPr>
              <w:t>Streamlined reporting with variations in function of</w:t>
            </w:r>
            <w:r>
              <w:rPr>
                <w:noProof/>
                <w:lang w:val="en"/>
              </w:rPr>
              <w:t xml:space="preserve"> complexity of option.</w:t>
            </w:r>
          </w:p>
        </w:tc>
      </w:tr>
    </w:tbl>
    <w:p w:rsidR="00333A1A" w:rsidRDefault="003D29C9">
      <w:pPr>
        <w:spacing w:line="240" w:lineRule="auto"/>
        <w:jc w:val="both"/>
        <w:rPr>
          <w:rFonts w:ascii="Times New Roman" w:eastAsia="Times New Roman" w:hAnsi="Times New Roman" w:cs="Times New Roman"/>
          <w:noProof/>
          <w:sz w:val="24"/>
          <w:szCs w:val="24"/>
          <w:highlight w:val="yellow"/>
          <w:lang w:val="en" w:eastAsia="en-GB"/>
        </w:rPr>
      </w:pPr>
      <w:r>
        <w:rPr>
          <w:rFonts w:ascii="Times New Roman" w:eastAsia="Times New Roman" w:hAnsi="Times New Roman" w:cs="Times New Roman"/>
          <w:noProof/>
          <w:sz w:val="24"/>
          <w:szCs w:val="24"/>
          <w:highlight w:val="yellow"/>
          <w:lang w:val="en" w:eastAsia="en-GB"/>
        </w:rPr>
        <w:t xml:space="preserve">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following assumptions are taken for beneficiaries:</w:t>
      </w:r>
    </w:p>
    <w:tbl>
      <w:tblPr>
        <w:tblStyle w:val="TableGrid"/>
        <w:tblW w:w="0" w:type="auto"/>
        <w:tblLook w:val="04A0" w:firstRow="1" w:lastRow="0" w:firstColumn="1" w:lastColumn="0" w:noHBand="0" w:noVBand="1"/>
      </w:tblPr>
      <w:tblGrid>
        <w:gridCol w:w="1459"/>
        <w:gridCol w:w="7299"/>
      </w:tblGrid>
      <w:tr w:rsidR="00333A1A">
        <w:trPr>
          <w:tblHeader/>
        </w:trPr>
        <w:tc>
          <w:tcPr>
            <w:tcW w:w="8758" w:type="dxa"/>
            <w:gridSpan w:val="2"/>
            <w:shd w:val="clear" w:color="auto" w:fill="BFBFBF" w:themeFill="background1" w:themeFillShade="BF"/>
          </w:tcPr>
          <w:p w:rsidR="00333A1A" w:rsidRDefault="003D29C9">
            <w:pPr>
              <w:jc w:val="both"/>
              <w:rPr>
                <w:b/>
                <w:noProof/>
                <w:lang w:val="en"/>
              </w:rPr>
            </w:pPr>
            <w:r>
              <w:rPr>
                <w:b/>
                <w:noProof/>
                <w:lang w:val="en"/>
              </w:rPr>
              <w:t>Assumptions for beneficiaries</w:t>
            </w:r>
          </w:p>
        </w:tc>
      </w:tr>
      <w:tr w:rsidR="00333A1A">
        <w:tc>
          <w:tcPr>
            <w:tcW w:w="1459" w:type="dxa"/>
          </w:tcPr>
          <w:p w:rsidR="00333A1A" w:rsidRDefault="003D29C9">
            <w:pPr>
              <w:jc w:val="both"/>
              <w:rPr>
                <w:noProof/>
                <w:lang w:val="en"/>
              </w:rPr>
            </w:pPr>
            <w:r>
              <w:rPr>
                <w:noProof/>
                <w:lang w:val="en"/>
              </w:rPr>
              <w:t>Applications</w:t>
            </w:r>
          </w:p>
        </w:tc>
        <w:tc>
          <w:tcPr>
            <w:tcW w:w="7299" w:type="dxa"/>
          </w:tcPr>
          <w:p w:rsidR="00333A1A" w:rsidRDefault="003D29C9">
            <w:pPr>
              <w:rPr>
                <w:noProof/>
              </w:rPr>
            </w:pPr>
            <w:r>
              <w:rPr>
                <w:noProof/>
                <w:lang w:val="en"/>
              </w:rPr>
              <w:t xml:space="preserve">Fewer requirements (eligibility criteria) translate in reduced evidence to be submitted and reduced quantity of information to be </w:t>
            </w:r>
            <w:r>
              <w:rPr>
                <w:noProof/>
                <w:lang w:val="en"/>
              </w:rPr>
              <w:t>filled in the application form. Variations between options are function of complexity of options.</w:t>
            </w:r>
          </w:p>
        </w:tc>
      </w:tr>
      <w:tr w:rsidR="00333A1A">
        <w:tc>
          <w:tcPr>
            <w:tcW w:w="1459" w:type="dxa"/>
          </w:tcPr>
          <w:p w:rsidR="00333A1A" w:rsidRDefault="003D29C9">
            <w:pPr>
              <w:jc w:val="both"/>
              <w:rPr>
                <w:noProof/>
                <w:lang w:val="en"/>
              </w:rPr>
            </w:pPr>
            <w:r>
              <w:rPr>
                <w:noProof/>
                <w:lang w:val="en"/>
              </w:rPr>
              <w:t>Controls</w:t>
            </w:r>
          </w:p>
        </w:tc>
        <w:tc>
          <w:tcPr>
            <w:tcW w:w="7299" w:type="dxa"/>
          </w:tcPr>
          <w:p w:rsidR="00333A1A" w:rsidRDefault="003D29C9">
            <w:pPr>
              <w:rPr>
                <w:noProof/>
              </w:rPr>
            </w:pPr>
            <w:r>
              <w:rPr>
                <w:noProof/>
                <w:lang w:val="en"/>
              </w:rPr>
              <w:t>Less requirements and shift towards control of performance reduces the scope of the controls. Higher reduction under option 4b (low complexity of op</w:t>
            </w:r>
            <w:r>
              <w:rPr>
                <w:noProof/>
                <w:lang w:val="en"/>
              </w:rPr>
              <w:t xml:space="preserve">tion + low environmental requirements). </w:t>
            </w:r>
          </w:p>
        </w:tc>
      </w:tr>
    </w:tbl>
    <w:p w:rsidR="00333A1A" w:rsidRDefault="00333A1A">
      <w:pPr>
        <w:spacing w:line="240" w:lineRule="auto"/>
        <w:jc w:val="both"/>
        <w:rPr>
          <w:rFonts w:ascii="Times New Roman" w:eastAsia="Times New Roman" w:hAnsi="Times New Roman" w:cs="Times New Roman"/>
          <w:noProof/>
          <w:sz w:val="24"/>
          <w:szCs w:val="24"/>
          <w:highlight w:val="yellow"/>
          <w:lang w:val="en" w:eastAsia="en-GB"/>
        </w:rPr>
      </w:pPr>
    </w:p>
    <w:p w:rsidR="00333A1A" w:rsidRDefault="003D29C9">
      <w:pPr>
        <w:pStyle w:val="Heading3"/>
        <w:rPr>
          <w:noProof/>
        </w:rPr>
      </w:pPr>
      <w:bookmarkStart w:id="347" w:name="_Toc508635184"/>
      <w:bookmarkStart w:id="348" w:name="_Toc509412553"/>
      <w:r>
        <w:rPr>
          <w:noProof/>
        </w:rPr>
        <w:t>Estimated administrative burden reduction</w:t>
      </w:r>
      <w:bookmarkEnd w:id="347"/>
      <w:bookmarkEnd w:id="348"/>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Given the uncertainty linked to the administrative burden achieved, figures are presented as ranges. The results estimate the annual burden reduction. It should be noted </w:t>
      </w:r>
      <w:r>
        <w:rPr>
          <w:rFonts w:ascii="Times New Roman" w:eastAsia="Times New Roman" w:hAnsi="Times New Roman" w:cs="Times New Roman"/>
          <w:noProof/>
          <w:sz w:val="24"/>
          <w:szCs w:val="24"/>
          <w:lang w:val="en" w:eastAsia="en-GB"/>
        </w:rPr>
        <w:t>however that a number of actions only occur in the first years of the plan (investments, planning, setting-up and adapting of systems) and that the burden may reduce over time as they become more familiar or because it takes some time to shift to new pract</w:t>
      </w:r>
      <w:r>
        <w:rPr>
          <w:rFonts w:ascii="Times New Roman" w:eastAsia="Times New Roman" w:hAnsi="Times New Roman" w:cs="Times New Roman"/>
          <w:noProof/>
          <w:sz w:val="24"/>
          <w:szCs w:val="24"/>
          <w:lang w:val="en" w:eastAsia="en-GB"/>
        </w:rPr>
        <w:t>ices.</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Graph 3 and 4 show the overall estimated potential reduction in administrative burden for the categories of information obligations of respectively national administrations and beneficiaries.</w:t>
      </w:r>
    </w:p>
    <w:p w:rsidR="00333A1A" w:rsidRDefault="003D29C9">
      <w:pPr>
        <w:pStyle w:val="Text1"/>
        <w:keepNext/>
        <w:ind w:left="0"/>
        <w:jc w:val="center"/>
        <w:rPr>
          <w:b/>
          <w:i/>
          <w:noProof/>
          <w:sz w:val="20"/>
        </w:rPr>
      </w:pPr>
      <w:r>
        <w:rPr>
          <w:b/>
          <w:i/>
          <w:noProof/>
          <w:sz w:val="20"/>
        </w:rPr>
        <w:t xml:space="preserve">Graph 3 Potential for administrative burden reduction for </w:t>
      </w:r>
      <w:r>
        <w:rPr>
          <w:b/>
          <w:i/>
          <w:noProof/>
          <w:sz w:val="20"/>
        </w:rPr>
        <w:t>national administrations per cost category</w:t>
      </w:r>
    </w:p>
    <w:p w:rsidR="00333A1A" w:rsidRDefault="003D29C9">
      <w:pPr>
        <w:pStyle w:val="Text1"/>
        <w:ind w:left="0"/>
        <w:jc w:val="center"/>
        <w:rPr>
          <w:b/>
          <w:i/>
          <w:noProof/>
          <w:sz w:val="20"/>
          <w:highlight w:val="yellow"/>
        </w:rPr>
      </w:pPr>
      <w:r>
        <w:rPr>
          <w:noProof/>
          <w:lang w:eastAsia="en-GB"/>
        </w:rPr>
        <w:drawing>
          <wp:inline distT="0" distB="0" distL="0" distR="0" wp14:anchorId="0E429389" wp14:editId="2B22AB77">
            <wp:extent cx="4316730" cy="2158365"/>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16730" cy="2158365"/>
                    </a:xfrm>
                    <a:prstGeom prst="rect">
                      <a:avLst/>
                    </a:prstGeom>
                    <a:noFill/>
                    <a:ln>
                      <a:noFill/>
                    </a:ln>
                  </pic:spPr>
                </pic:pic>
              </a:graphicData>
            </a:graphic>
          </wp:inline>
        </w:drawing>
      </w:r>
    </w:p>
    <w:p w:rsidR="00333A1A" w:rsidRDefault="003D29C9">
      <w:pPr>
        <w:pStyle w:val="Text1"/>
        <w:keepNext/>
        <w:ind w:left="0"/>
        <w:jc w:val="center"/>
        <w:rPr>
          <w:b/>
          <w:i/>
          <w:noProof/>
          <w:sz w:val="20"/>
        </w:rPr>
      </w:pPr>
      <w:r>
        <w:rPr>
          <w:b/>
          <w:i/>
          <w:noProof/>
          <w:sz w:val="20"/>
        </w:rPr>
        <w:t>Graph 4 Potential for administrative burden reduction for beneficiaries per cost category</w:t>
      </w:r>
    </w:p>
    <w:p w:rsidR="00333A1A" w:rsidRDefault="003D29C9">
      <w:pPr>
        <w:pStyle w:val="Text1"/>
        <w:ind w:left="0"/>
        <w:jc w:val="center"/>
        <w:rPr>
          <w:b/>
          <w:i/>
          <w:noProof/>
          <w:sz w:val="20"/>
          <w:highlight w:val="yellow"/>
        </w:rPr>
      </w:pPr>
      <w:r>
        <w:rPr>
          <w:noProof/>
          <w:lang w:eastAsia="en-GB"/>
        </w:rPr>
        <w:drawing>
          <wp:inline distT="0" distB="0" distL="0" distR="0" wp14:anchorId="6C18ACA6" wp14:editId="09A453E5">
            <wp:extent cx="4316730" cy="2158365"/>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16730" cy="2158365"/>
                    </a:xfrm>
                    <a:prstGeom prst="rect">
                      <a:avLst/>
                    </a:prstGeom>
                    <a:noFill/>
                    <a:ln>
                      <a:noFill/>
                    </a:ln>
                  </pic:spPr>
                </pic:pic>
              </a:graphicData>
            </a:graphic>
          </wp:inline>
        </w:drawing>
      </w:r>
    </w:p>
    <w:p w:rsidR="00333A1A" w:rsidRDefault="003D29C9">
      <w:pPr>
        <w:pStyle w:val="Heading3"/>
        <w:numPr>
          <w:ilvl w:val="2"/>
          <w:numId w:val="28"/>
        </w:numPr>
        <w:rPr>
          <w:noProof/>
        </w:rPr>
      </w:pPr>
      <w:bookmarkStart w:id="349" w:name="_Toc508635185"/>
      <w:bookmarkStart w:id="350" w:name="_Toc509412554"/>
      <w:r>
        <w:rPr>
          <w:noProof/>
        </w:rPr>
        <w:t>Estimated administrative burden reduction under the impact assessment options</w:t>
      </w:r>
      <w:bookmarkEnd w:id="349"/>
      <w:bookmarkEnd w:id="350"/>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potential for administrative burden r</w:t>
      </w:r>
      <w:r>
        <w:rPr>
          <w:rFonts w:ascii="Times New Roman" w:eastAsia="Times New Roman" w:hAnsi="Times New Roman" w:cs="Times New Roman"/>
          <w:noProof/>
          <w:sz w:val="24"/>
          <w:szCs w:val="24"/>
          <w:lang w:eastAsia="en-GB"/>
        </w:rPr>
        <w:t>eduction is the highest under option 4b. It combines a low number of payment schemes (basic payment and VCS limited to extensive livestock) and conditionality limited to basic environmental requirements. For national administrations, some additional time g</w:t>
      </w:r>
      <w:r>
        <w:rPr>
          <w:rFonts w:ascii="Times New Roman" w:eastAsia="Times New Roman" w:hAnsi="Times New Roman" w:cs="Times New Roman"/>
          <w:noProof/>
          <w:sz w:val="24"/>
          <w:szCs w:val="24"/>
          <w:lang w:eastAsia="en-GB"/>
        </w:rPr>
        <w:t>ains are also realised by the reduction in beneficiaries with the minimum requirement to be granted the payment at 2% of the average income.</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low complexity in design of option 3a, with a simple flat rate, though supplemented with an eco-scheme with add</w:t>
      </w:r>
      <w:r>
        <w:rPr>
          <w:rFonts w:ascii="Times New Roman" w:eastAsia="Times New Roman" w:hAnsi="Times New Roman" w:cs="Times New Roman"/>
          <w:noProof/>
          <w:sz w:val="24"/>
          <w:szCs w:val="24"/>
          <w:lang w:eastAsia="en-GB"/>
        </w:rPr>
        <w:t xml:space="preserve">itional environmental requirements, results in a fairly high reduction in administrative costs. Additional reduction in administrative burden for national administrations is reached through the important decrease in eligible beneficiaries with the minimum </w:t>
      </w:r>
      <w:r>
        <w:rPr>
          <w:rFonts w:ascii="Times New Roman" w:eastAsia="Times New Roman" w:hAnsi="Times New Roman" w:cs="Times New Roman"/>
          <w:noProof/>
          <w:sz w:val="24"/>
          <w:szCs w:val="24"/>
          <w:lang w:eastAsia="en-GB"/>
        </w:rPr>
        <w:t xml:space="preserve">requirement of 2 hectares. </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Option 4a, while similar in design to option 4b, includes a stricter set of environmental requirements, resulting in a more limited potential reduction in administrative costs.</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conservative approach of option 3b implies a hi</w:t>
      </w:r>
      <w:r>
        <w:rPr>
          <w:rFonts w:ascii="Times New Roman" w:eastAsia="Times New Roman" w:hAnsi="Times New Roman" w:cs="Times New Roman"/>
          <w:noProof/>
          <w:sz w:val="24"/>
          <w:szCs w:val="24"/>
          <w:lang w:eastAsia="en-GB"/>
        </w:rPr>
        <w:t>gh complexity in design, and thus less potential reduction of administrative burden, with the use of entitlements, basic and redistributive payments which are capped per farm and per hectare, and high VCS. Some additional gains result nevertheless from the</w:t>
      </w:r>
      <w:r>
        <w:rPr>
          <w:rFonts w:ascii="Times New Roman" w:eastAsia="Times New Roman" w:hAnsi="Times New Roman" w:cs="Times New Roman"/>
          <w:noProof/>
          <w:sz w:val="24"/>
          <w:szCs w:val="24"/>
          <w:lang w:eastAsia="en-GB"/>
        </w:rPr>
        <w:t xml:space="preserve"> reduction in beneficiaries, similarly to option 3a.</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Option 5 brings the lowest potential reduction in administrative burden, due to the complex (VCS, redistributive payments, top-ups) and prescriptive approach taken by Member States. This option also enta</w:t>
      </w:r>
      <w:r>
        <w:rPr>
          <w:rFonts w:ascii="Times New Roman" w:eastAsia="Times New Roman" w:hAnsi="Times New Roman" w:cs="Times New Roman"/>
          <w:noProof/>
          <w:sz w:val="24"/>
          <w:szCs w:val="24"/>
          <w:lang w:eastAsia="en-GB"/>
        </w:rPr>
        <w:t>ils the highest number of eligible beneficiaries, compared to options 3 and 4 where minimum eligibility requirements are set.</w:t>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Graph 5 shows the overall estimated potential reduction in administrative burden for national administrations. </w:t>
      </w:r>
    </w:p>
    <w:p w:rsidR="00333A1A" w:rsidRDefault="003D29C9">
      <w:pPr>
        <w:pStyle w:val="Text1"/>
        <w:keepNext/>
        <w:ind w:left="0"/>
        <w:jc w:val="center"/>
        <w:rPr>
          <w:b/>
          <w:i/>
          <w:noProof/>
          <w:sz w:val="20"/>
        </w:rPr>
      </w:pPr>
      <w:r>
        <w:rPr>
          <w:b/>
          <w:i/>
          <w:noProof/>
          <w:sz w:val="20"/>
        </w:rPr>
        <w:t xml:space="preserve">Graph 5 Potential </w:t>
      </w:r>
      <w:r>
        <w:rPr>
          <w:b/>
          <w:i/>
          <w:noProof/>
          <w:sz w:val="20"/>
        </w:rPr>
        <w:t>for administrative burden reduction for national administrations per option</w:t>
      </w:r>
    </w:p>
    <w:p w:rsidR="00333A1A" w:rsidRDefault="003D29C9">
      <w:pPr>
        <w:pStyle w:val="Text1"/>
        <w:ind w:left="0"/>
        <w:jc w:val="center"/>
        <w:rPr>
          <w:b/>
          <w:i/>
          <w:noProof/>
          <w:sz w:val="20"/>
          <w:highlight w:val="yellow"/>
        </w:rPr>
      </w:pPr>
      <w:r>
        <w:rPr>
          <w:noProof/>
          <w:lang w:eastAsia="en-GB"/>
        </w:rPr>
        <w:drawing>
          <wp:inline distT="0" distB="0" distL="0" distR="0" wp14:anchorId="003327C6" wp14:editId="45899785">
            <wp:extent cx="4316730" cy="215836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16730" cy="2158365"/>
                    </a:xfrm>
                    <a:prstGeom prst="rect">
                      <a:avLst/>
                    </a:prstGeom>
                    <a:noFill/>
                    <a:ln>
                      <a:noFill/>
                    </a:ln>
                  </pic:spPr>
                </pic:pic>
              </a:graphicData>
            </a:graphic>
          </wp:inline>
        </w:drawing>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Graph 6, the estimated potential administrative burden reduction for a single beneficiary is given.</w:t>
      </w:r>
    </w:p>
    <w:p w:rsidR="00333A1A" w:rsidRDefault="003D29C9">
      <w:pPr>
        <w:pStyle w:val="Text1"/>
        <w:keepNext/>
        <w:ind w:left="0"/>
        <w:jc w:val="center"/>
        <w:rPr>
          <w:b/>
          <w:i/>
          <w:noProof/>
          <w:sz w:val="20"/>
        </w:rPr>
      </w:pPr>
      <w:r>
        <w:rPr>
          <w:b/>
          <w:i/>
          <w:noProof/>
          <w:sz w:val="20"/>
        </w:rPr>
        <w:t>Graph 6 Potential for administrative burden reduction for a single benefici</w:t>
      </w:r>
      <w:r>
        <w:rPr>
          <w:b/>
          <w:i/>
          <w:noProof/>
          <w:sz w:val="20"/>
        </w:rPr>
        <w:t>ary per option</w:t>
      </w:r>
    </w:p>
    <w:p w:rsidR="00333A1A" w:rsidRDefault="003D29C9">
      <w:pPr>
        <w:pStyle w:val="Text1"/>
        <w:ind w:left="0"/>
        <w:jc w:val="center"/>
        <w:rPr>
          <w:b/>
          <w:i/>
          <w:noProof/>
          <w:sz w:val="20"/>
          <w:highlight w:val="yellow"/>
        </w:rPr>
      </w:pPr>
      <w:r>
        <w:rPr>
          <w:noProof/>
          <w:lang w:eastAsia="en-GB"/>
        </w:rPr>
        <w:drawing>
          <wp:inline distT="0" distB="0" distL="0" distR="0" wp14:anchorId="4A8692D2" wp14:editId="27BB71C9">
            <wp:extent cx="4316730" cy="2158365"/>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16730" cy="2158365"/>
                    </a:xfrm>
                    <a:prstGeom prst="rect">
                      <a:avLst/>
                    </a:prstGeom>
                    <a:noFill/>
                    <a:ln>
                      <a:noFill/>
                    </a:ln>
                  </pic:spPr>
                </pic:pic>
              </a:graphicData>
            </a:graphic>
          </wp:inline>
        </w:drawing>
      </w:r>
    </w:p>
    <w:p w:rsidR="00333A1A" w:rsidRDefault="003D29C9">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potential reduction translates in the following estimated annual level of administrative burden (including one-off costs).</w:t>
      </w:r>
    </w:p>
    <w:tbl>
      <w:tblPr>
        <w:tblStyle w:val="TableGrid"/>
        <w:tblW w:w="0" w:type="auto"/>
        <w:jc w:val="center"/>
        <w:tblLook w:val="04A0" w:firstRow="1" w:lastRow="0" w:firstColumn="1" w:lastColumn="0" w:noHBand="0" w:noVBand="1"/>
      </w:tblPr>
      <w:tblGrid>
        <w:gridCol w:w="2376"/>
        <w:gridCol w:w="2526"/>
        <w:gridCol w:w="2526"/>
      </w:tblGrid>
      <w:tr w:rsidR="00333A1A">
        <w:trPr>
          <w:tblHeader/>
          <w:jc w:val="center"/>
        </w:trPr>
        <w:tc>
          <w:tcPr>
            <w:tcW w:w="2376" w:type="dxa"/>
            <w:shd w:val="clear" w:color="auto" w:fill="BFBFBF" w:themeFill="background1" w:themeFillShade="BF"/>
          </w:tcPr>
          <w:p w:rsidR="00333A1A" w:rsidRDefault="00333A1A">
            <w:pPr>
              <w:rPr>
                <w:b/>
                <w:noProof/>
              </w:rPr>
            </w:pPr>
          </w:p>
        </w:tc>
        <w:tc>
          <w:tcPr>
            <w:tcW w:w="2526" w:type="dxa"/>
            <w:shd w:val="clear" w:color="auto" w:fill="BFBFBF" w:themeFill="background1" w:themeFillShade="BF"/>
          </w:tcPr>
          <w:p w:rsidR="00333A1A" w:rsidRDefault="003D29C9">
            <w:pPr>
              <w:jc w:val="center"/>
              <w:rPr>
                <w:b/>
                <w:noProof/>
              </w:rPr>
            </w:pPr>
            <w:r>
              <w:rPr>
                <w:b/>
                <w:noProof/>
              </w:rPr>
              <w:t>Estimated administrative burden under the baseline</w:t>
            </w:r>
          </w:p>
        </w:tc>
        <w:tc>
          <w:tcPr>
            <w:tcW w:w="2526" w:type="dxa"/>
            <w:shd w:val="clear" w:color="auto" w:fill="BFBFBF" w:themeFill="background1" w:themeFillShade="BF"/>
          </w:tcPr>
          <w:p w:rsidR="00333A1A" w:rsidRDefault="003D29C9">
            <w:pPr>
              <w:jc w:val="center"/>
              <w:rPr>
                <w:b/>
                <w:noProof/>
              </w:rPr>
            </w:pPr>
            <w:r>
              <w:rPr>
                <w:b/>
                <w:noProof/>
              </w:rPr>
              <w:t>Estimated administrative burden under the new delivery model</w:t>
            </w:r>
          </w:p>
        </w:tc>
      </w:tr>
      <w:tr w:rsidR="00333A1A">
        <w:trPr>
          <w:trHeight w:val="567"/>
          <w:jc w:val="center"/>
        </w:trPr>
        <w:tc>
          <w:tcPr>
            <w:tcW w:w="2376" w:type="dxa"/>
            <w:vAlign w:val="center"/>
          </w:tcPr>
          <w:p w:rsidR="00333A1A" w:rsidRDefault="003D29C9">
            <w:pPr>
              <w:rPr>
                <w:noProof/>
                <w:lang w:val="en"/>
              </w:rPr>
            </w:pPr>
            <w:r>
              <w:rPr>
                <w:noProof/>
                <w:lang w:val="en"/>
              </w:rPr>
              <w:t>National administrations</w:t>
            </w:r>
          </w:p>
        </w:tc>
        <w:tc>
          <w:tcPr>
            <w:tcW w:w="2526" w:type="dxa"/>
            <w:vAlign w:val="center"/>
          </w:tcPr>
          <w:p w:rsidR="00333A1A" w:rsidRDefault="003D29C9">
            <w:pPr>
              <w:jc w:val="center"/>
              <w:rPr>
                <w:noProof/>
                <w:lang w:val="en"/>
              </w:rPr>
            </w:pPr>
            <w:r>
              <w:rPr>
                <w:noProof/>
                <w:lang w:val="en"/>
              </w:rPr>
              <w:t>EUR 2.98 billion</w:t>
            </w:r>
          </w:p>
        </w:tc>
        <w:tc>
          <w:tcPr>
            <w:tcW w:w="2526" w:type="dxa"/>
            <w:vAlign w:val="center"/>
          </w:tcPr>
          <w:p w:rsidR="00333A1A" w:rsidRDefault="003D29C9">
            <w:pPr>
              <w:jc w:val="center"/>
              <w:rPr>
                <w:noProof/>
                <w:lang w:val="en"/>
              </w:rPr>
            </w:pPr>
            <w:r>
              <w:rPr>
                <w:noProof/>
                <w:lang w:val="en"/>
              </w:rPr>
              <w:t>EUR 2.74-2.82 billion</w:t>
            </w:r>
          </w:p>
        </w:tc>
      </w:tr>
      <w:tr w:rsidR="00333A1A">
        <w:trPr>
          <w:trHeight w:val="567"/>
          <w:jc w:val="center"/>
        </w:trPr>
        <w:tc>
          <w:tcPr>
            <w:tcW w:w="2376" w:type="dxa"/>
            <w:vAlign w:val="center"/>
          </w:tcPr>
          <w:p w:rsidR="00333A1A" w:rsidRDefault="003D29C9">
            <w:pPr>
              <w:rPr>
                <w:noProof/>
                <w:lang w:val="en"/>
              </w:rPr>
            </w:pPr>
            <w:r>
              <w:rPr>
                <w:noProof/>
                <w:lang w:val="en"/>
              </w:rPr>
              <w:t>Beneficiaries</w:t>
            </w:r>
          </w:p>
        </w:tc>
        <w:tc>
          <w:tcPr>
            <w:tcW w:w="2526" w:type="dxa"/>
            <w:vAlign w:val="center"/>
          </w:tcPr>
          <w:p w:rsidR="00333A1A" w:rsidRDefault="003D29C9">
            <w:pPr>
              <w:jc w:val="center"/>
              <w:rPr>
                <w:noProof/>
                <w:lang w:val="en"/>
              </w:rPr>
            </w:pPr>
            <w:r>
              <w:rPr>
                <w:noProof/>
                <w:lang w:val="en"/>
              </w:rPr>
              <w:t>EUR 3.84 billion</w:t>
            </w:r>
          </w:p>
        </w:tc>
        <w:tc>
          <w:tcPr>
            <w:tcW w:w="2526" w:type="dxa"/>
            <w:vAlign w:val="center"/>
          </w:tcPr>
          <w:p w:rsidR="00333A1A" w:rsidRDefault="003D29C9">
            <w:pPr>
              <w:jc w:val="center"/>
              <w:rPr>
                <w:noProof/>
                <w:lang w:val="en"/>
              </w:rPr>
            </w:pPr>
            <w:r>
              <w:rPr>
                <w:noProof/>
                <w:lang w:val="en"/>
              </w:rPr>
              <w:t>EUR 3.43-3.67 billion</w:t>
            </w:r>
          </w:p>
        </w:tc>
      </w:tr>
    </w:tbl>
    <w:p w:rsidR="00333A1A" w:rsidRDefault="00333A1A">
      <w:pPr>
        <w:spacing w:line="240" w:lineRule="auto"/>
        <w:jc w:val="both"/>
        <w:rPr>
          <w:rFonts w:ascii="Times New Roman" w:eastAsia="Times New Roman" w:hAnsi="Times New Roman" w:cs="Times New Roman"/>
          <w:noProof/>
          <w:sz w:val="24"/>
          <w:szCs w:val="24"/>
          <w:highlight w:val="yellow"/>
          <w:lang w:val="en" w:eastAsia="en-GB"/>
        </w:rPr>
      </w:pPr>
      <w:bookmarkStart w:id="351" w:name="_Toc509412555"/>
    </w:p>
    <w:p w:rsidR="00333A1A" w:rsidRDefault="003D29C9">
      <w:pPr>
        <w:pStyle w:val="Heading1"/>
        <w:rPr>
          <w:noProof/>
        </w:rPr>
      </w:pPr>
      <w:bookmarkStart w:id="352" w:name="_Toc513053319"/>
      <w:bookmarkStart w:id="353" w:name="_Toc513053535"/>
      <w:bookmarkStart w:id="354" w:name="_Toc514514666"/>
      <w:r>
        <w:rPr>
          <w:noProof/>
        </w:rPr>
        <w:t>Towards efficient CAP design and delivery</w:t>
      </w:r>
      <w:bookmarkEnd w:id="351"/>
      <w:bookmarkEnd w:id="352"/>
      <w:bookmarkEnd w:id="353"/>
      <w:bookmarkEnd w:id="354"/>
      <w:r>
        <w:rPr>
          <w:noProof/>
        </w:rPr>
        <w:t xml:space="preserve">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Any legislation brings its share of administrative burden. This is necessary for accountability reasons: the achievements of a public intervention should be assessed and reported. Administrative burden is even more unavoidable under financial programmes as</w:t>
      </w:r>
      <w:r>
        <w:rPr>
          <w:rFonts w:ascii="Times New Roman" w:eastAsia="Times New Roman" w:hAnsi="Times New Roman" w:cs="Times New Roman"/>
          <w:noProof/>
          <w:sz w:val="24"/>
          <w:szCs w:val="24"/>
          <w:lang w:val="en" w:eastAsia="en-GB"/>
        </w:rPr>
        <w:t xml:space="preserve"> transactions involving public support will need to be justified. What is important is hence to </w:t>
      </w:r>
      <w:r>
        <w:rPr>
          <w:rFonts w:ascii="Times New Roman" w:eastAsia="Times New Roman" w:hAnsi="Times New Roman" w:cs="Times New Roman"/>
          <w:b/>
          <w:noProof/>
          <w:sz w:val="24"/>
          <w:szCs w:val="24"/>
          <w:lang w:val="en" w:eastAsia="en-GB"/>
        </w:rPr>
        <w:t>balance the need for accountability and simplification to reach a proportionate administrative burden</w:t>
      </w:r>
      <w:r>
        <w:rPr>
          <w:rFonts w:ascii="Times New Roman" w:eastAsia="Times New Roman" w:hAnsi="Times New Roman" w:cs="Times New Roman"/>
          <w:noProof/>
          <w:sz w:val="24"/>
          <w:szCs w:val="24"/>
          <w:lang w:val="en" w:eastAsia="en-GB"/>
        </w:rPr>
        <w:t xml:space="preserve"> (value for money).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This further implies that </w:t>
      </w:r>
      <w:r>
        <w:rPr>
          <w:rFonts w:ascii="Times New Roman" w:eastAsia="Times New Roman" w:hAnsi="Times New Roman" w:cs="Times New Roman"/>
          <w:b/>
          <w:noProof/>
          <w:sz w:val="24"/>
          <w:szCs w:val="24"/>
          <w:lang w:val="en" w:eastAsia="en-GB"/>
        </w:rPr>
        <w:t>trade-offs</w:t>
      </w:r>
      <w:r>
        <w:rPr>
          <w:rFonts w:ascii="Times New Roman" w:eastAsia="Times New Roman" w:hAnsi="Times New Roman" w:cs="Times New Roman"/>
          <w:noProof/>
          <w:sz w:val="24"/>
          <w:szCs w:val="24"/>
          <w:lang w:val="en" w:eastAsia="en-GB"/>
        </w:rPr>
        <w:t xml:space="preserve"> n</w:t>
      </w:r>
      <w:r>
        <w:rPr>
          <w:rFonts w:ascii="Times New Roman" w:eastAsia="Times New Roman" w:hAnsi="Times New Roman" w:cs="Times New Roman"/>
          <w:noProof/>
          <w:sz w:val="24"/>
          <w:szCs w:val="24"/>
          <w:lang w:val="en" w:eastAsia="en-GB"/>
        </w:rPr>
        <w:t>eed to be made when designing national strategies. Better tailoring and targeting of payments and higher environmental requirements may generate more administrative burden, but these may be balanced out by greater effectiveness. Likewise, reducing administ</w:t>
      </w:r>
      <w:r>
        <w:rPr>
          <w:rFonts w:ascii="Times New Roman" w:eastAsia="Times New Roman" w:hAnsi="Times New Roman" w:cs="Times New Roman"/>
          <w:noProof/>
          <w:sz w:val="24"/>
          <w:szCs w:val="24"/>
          <w:lang w:val="en" w:eastAsia="en-GB"/>
        </w:rPr>
        <w:t>rative burden through the increased use of ICT requires potentially significant investments.</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To assess the proportionality of costs, the share of administrative burden in the total CAP budget is calculated, considering the current budget under the baseline</w:t>
      </w:r>
      <w:r>
        <w:rPr>
          <w:rFonts w:ascii="Times New Roman" w:eastAsia="Times New Roman" w:hAnsi="Times New Roman" w:cs="Times New Roman"/>
          <w:noProof/>
          <w:sz w:val="24"/>
          <w:szCs w:val="24"/>
          <w:lang w:val="en" w:eastAsia="en-GB"/>
        </w:rPr>
        <w:t xml:space="preserve"> (BAS) and a reduced budget under the other options. This share is confronted with the MCA score for effectiveness of the options, covering the three challenges (economic, environmental, social). </w:t>
      </w:r>
    </w:p>
    <w:p w:rsidR="00333A1A" w:rsidRDefault="003D29C9">
      <w:pPr>
        <w:spacing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The results are shown in graph 7 below. Options 3a and 5 ar</w:t>
      </w:r>
      <w:r>
        <w:rPr>
          <w:rFonts w:ascii="Times New Roman" w:eastAsia="Times New Roman" w:hAnsi="Times New Roman" w:cs="Times New Roman"/>
          <w:noProof/>
          <w:sz w:val="24"/>
          <w:szCs w:val="24"/>
          <w:lang w:val="en" w:eastAsia="en-GB"/>
        </w:rPr>
        <w:t>e the most efficient options, driven by a high effectiveness, while the baseline with budget cut ranks worst (no change in burden, lowest score for effectiveness).</w:t>
      </w:r>
    </w:p>
    <w:p w:rsidR="00333A1A" w:rsidRDefault="003D29C9">
      <w:pPr>
        <w:pStyle w:val="Text1"/>
        <w:keepNext/>
        <w:ind w:left="0"/>
        <w:jc w:val="center"/>
        <w:rPr>
          <w:b/>
          <w:i/>
          <w:noProof/>
          <w:sz w:val="20"/>
        </w:rPr>
      </w:pPr>
      <w:r>
        <w:rPr>
          <w:b/>
          <w:i/>
          <w:noProof/>
          <w:sz w:val="20"/>
        </w:rPr>
        <w:t>Graph 7 Administrative efficiency of options</w:t>
      </w:r>
    </w:p>
    <w:p w:rsidR="00333A1A" w:rsidRDefault="003D29C9">
      <w:pPr>
        <w:jc w:val="center"/>
        <w:rPr>
          <w:noProof/>
        </w:rPr>
      </w:pPr>
      <w:r>
        <w:rPr>
          <w:noProof/>
          <w:lang w:eastAsia="en-GB"/>
        </w:rPr>
        <w:drawing>
          <wp:inline distT="0" distB="0" distL="0" distR="0" wp14:anchorId="5D08EA49" wp14:editId="3A10CA30">
            <wp:extent cx="3247200" cy="3240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47200" cy="3240000"/>
                    </a:xfrm>
                    <a:prstGeom prst="rect">
                      <a:avLst/>
                    </a:prstGeom>
                    <a:noFill/>
                    <a:ln>
                      <a:noFill/>
                    </a:ln>
                  </pic:spPr>
                </pic:pic>
              </a:graphicData>
            </a:graphic>
          </wp:inline>
        </w:drawing>
      </w:r>
    </w:p>
    <w:p w:rsidR="00333A1A" w:rsidRDefault="003D29C9">
      <w:pPr>
        <w:rPr>
          <w:noProof/>
        </w:rPr>
      </w:pPr>
      <w:r>
        <w:rPr>
          <w:noProof/>
        </w:rPr>
        <w:br w:type="page"/>
      </w:r>
    </w:p>
    <w:p w:rsidR="00333A1A" w:rsidRDefault="003D29C9">
      <w:pPr>
        <w:pStyle w:val="AnnexTitle"/>
        <w:rPr>
          <w:noProof/>
        </w:rPr>
      </w:pPr>
      <w:bookmarkStart w:id="355" w:name="_Toc513053320"/>
      <w:bookmarkStart w:id="356" w:name="_Toc513053536"/>
      <w:bookmarkStart w:id="357" w:name="_Toc514514667"/>
      <w:r>
        <w:rPr>
          <w:noProof/>
        </w:rPr>
        <w:t>Annex 8 - Behavioural evidence from focus g</w:t>
      </w:r>
      <w:r>
        <w:rPr>
          <w:noProof/>
        </w:rPr>
        <w:t>roups with European farmers on approaches to encourage more environmental-friendly practices</w:t>
      </w:r>
      <w:bookmarkEnd w:id="355"/>
      <w:bookmarkEnd w:id="356"/>
      <w:bookmarkEnd w:id="357"/>
    </w:p>
    <w:p w:rsidR="00333A1A" w:rsidRDefault="003D29C9">
      <w:pPr>
        <w:spacing w:after="240" w:line="240" w:lineRule="auto"/>
        <w:jc w:val="center"/>
        <w:rPr>
          <w:rFonts w:ascii="Times New Roman" w:eastAsia="Times New Roman" w:hAnsi="Times New Roman" w:cs="Times New Roman"/>
          <w:b/>
          <w:i/>
          <w:noProof/>
          <w:sz w:val="24"/>
          <w:szCs w:val="20"/>
          <w:lang w:eastAsia="en-GB"/>
        </w:rPr>
      </w:pPr>
      <w:r>
        <w:rPr>
          <w:rFonts w:ascii="Times New Roman" w:eastAsia="Times New Roman" w:hAnsi="Times New Roman" w:cs="Times New Roman"/>
          <w:b/>
          <w:noProof/>
          <w:sz w:val="24"/>
          <w:szCs w:val="20"/>
          <w:lang w:eastAsia="en-GB"/>
        </w:rPr>
        <w:t>Joint Research Centre (JRC)</w:t>
      </w:r>
      <w:r>
        <w:rPr>
          <w:rFonts w:ascii="Times New Roman" w:eastAsia="Times New Roman" w:hAnsi="Times New Roman" w:cs="Times New Roman"/>
          <w:b/>
          <w:noProof/>
          <w:sz w:val="24"/>
          <w:szCs w:val="20"/>
          <w:lang w:eastAsia="en-GB"/>
        </w:rPr>
        <w:br/>
      </w:r>
      <w:r>
        <w:rPr>
          <w:rFonts w:ascii="Times New Roman" w:eastAsia="Times New Roman" w:hAnsi="Times New Roman" w:cs="Times New Roman"/>
          <w:b/>
          <w:i/>
          <w:noProof/>
          <w:sz w:val="24"/>
          <w:szCs w:val="20"/>
          <w:lang w:eastAsia="en-GB"/>
        </w:rPr>
        <w:t>Unit I.2 Foresight, Behavioural Insights and Design for Policy</w:t>
      </w:r>
      <w:r>
        <w:rPr>
          <w:rFonts w:ascii="Times New Roman" w:eastAsia="Times New Roman" w:hAnsi="Times New Roman" w:cs="Times New Roman"/>
          <w:b/>
          <w:i/>
          <w:noProof/>
          <w:sz w:val="24"/>
          <w:szCs w:val="20"/>
          <w:lang w:eastAsia="en-GB"/>
        </w:rPr>
        <w:br/>
        <w:t>with a contribution from Unit D.4 Economics of Agriculture</w:t>
      </w:r>
    </w:p>
    <w:p w:rsidR="00333A1A" w:rsidRDefault="00333A1A">
      <w:pPr>
        <w:pStyle w:val="NoteHeading"/>
        <w:rPr>
          <w:b/>
          <w:noProof/>
        </w:rPr>
      </w:pPr>
    </w:p>
    <w:p w:rsidR="00333A1A" w:rsidRDefault="003D29C9">
      <w:pPr>
        <w:keepNext/>
        <w:spacing w:after="240" w:line="240" w:lineRule="auto"/>
        <w:jc w:val="both"/>
        <w:outlineLvl w:val="1"/>
        <w:rPr>
          <w:rFonts w:ascii="Times New Roman" w:eastAsia="Times New Roman" w:hAnsi="Times New Roman" w:cs="Times New Roman"/>
          <w:b/>
          <w:noProof/>
          <w:sz w:val="24"/>
          <w:szCs w:val="20"/>
        </w:rPr>
      </w:pPr>
      <w:bookmarkStart w:id="358" w:name="_Toc508707794"/>
      <w:r>
        <w:rPr>
          <w:rFonts w:ascii="Times New Roman" w:eastAsia="Times New Roman" w:hAnsi="Times New Roman" w:cs="Times New Roman"/>
          <w:b/>
          <w:noProof/>
          <w:sz w:val="24"/>
          <w:szCs w:val="20"/>
        </w:rPr>
        <w:t xml:space="preserve">Context and </w:t>
      </w:r>
      <w:r>
        <w:rPr>
          <w:rFonts w:ascii="Times New Roman" w:eastAsia="Times New Roman" w:hAnsi="Times New Roman" w:cs="Times New Roman"/>
          <w:b/>
          <w:noProof/>
          <w:sz w:val="24"/>
          <w:szCs w:val="20"/>
        </w:rPr>
        <w:t>objectives</w:t>
      </w:r>
      <w:bookmarkEnd w:id="358"/>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Behavioural sciences are increasingly informing policy-making</w:t>
      </w:r>
      <w:r>
        <w:rPr>
          <w:rFonts w:ascii="Times New Roman" w:eastAsia="Times New Roman" w:hAnsi="Times New Roman" w:cs="Times New Roman"/>
          <w:noProof/>
          <w:sz w:val="24"/>
          <w:szCs w:val="24"/>
          <w:vertAlign w:val="superscript"/>
        </w:rPr>
        <w:footnoteReference w:id="133"/>
      </w:r>
      <w:r>
        <w:rPr>
          <w:rFonts w:ascii="Times New Roman" w:eastAsia="Times New Roman" w:hAnsi="Times New Roman" w:cs="Times New Roman"/>
          <w:noProof/>
          <w:sz w:val="24"/>
          <w:szCs w:val="24"/>
        </w:rPr>
        <w:t>, including agricultural policies</w:t>
      </w:r>
      <w:r>
        <w:rPr>
          <w:rFonts w:ascii="Times New Roman" w:eastAsia="Times New Roman" w:hAnsi="Times New Roman" w:cs="Times New Roman"/>
          <w:noProof/>
          <w:sz w:val="24"/>
          <w:szCs w:val="24"/>
          <w:vertAlign w:val="superscript"/>
        </w:rPr>
        <w:footnoteReference w:id="134"/>
      </w:r>
      <w:r>
        <w:rPr>
          <w:rFonts w:ascii="Times New Roman" w:eastAsia="Times New Roman" w:hAnsi="Times New Roman" w:cs="Times New Roman"/>
          <w:noProof/>
          <w:sz w:val="24"/>
          <w:szCs w:val="24"/>
        </w:rPr>
        <w:t>. Their unique contribution to policy lies in the first-hand evidence they provide regarding how people think and behave.</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For the reform of the Commo</w:t>
      </w:r>
      <w:r>
        <w:rPr>
          <w:rFonts w:ascii="Times New Roman" w:eastAsia="Times New Roman" w:hAnsi="Times New Roman" w:cs="Times New Roman"/>
          <w:noProof/>
          <w:sz w:val="24"/>
          <w:szCs w:val="24"/>
        </w:rPr>
        <w:t xml:space="preserve">n Agricultural Policy to be a success, it is necessary to </w:t>
      </w:r>
      <w:r>
        <w:rPr>
          <w:rFonts w:ascii="Times New Roman" w:eastAsia="Times New Roman" w:hAnsi="Times New Roman" w:cs="Times New Roman"/>
          <w:b/>
          <w:noProof/>
          <w:sz w:val="24"/>
          <w:szCs w:val="24"/>
        </w:rPr>
        <w:t>understand farmers' decision-making and viewpoints</w:t>
      </w:r>
      <w:r>
        <w:rPr>
          <w:rFonts w:ascii="Times New Roman" w:eastAsia="Times New Roman" w:hAnsi="Times New Roman" w:cs="Times New Roman"/>
          <w:noProof/>
          <w:sz w:val="24"/>
          <w:szCs w:val="24"/>
        </w:rPr>
        <w:t xml:space="preserve"> beyond the assumptions made by neoclassical economics, because farmers' motivations are not only driven by profit maximisation</w:t>
      </w:r>
      <w:r>
        <w:rPr>
          <w:rFonts w:ascii="Times New Roman" w:eastAsia="Times New Roman" w:hAnsi="Times New Roman" w:cs="Times New Roman"/>
          <w:noProof/>
          <w:sz w:val="24"/>
          <w:szCs w:val="24"/>
          <w:vertAlign w:val="superscript"/>
        </w:rPr>
        <w:footnoteReference w:id="135"/>
      </w:r>
      <w:r>
        <w:rPr>
          <w:rFonts w:ascii="Times New Roman" w:eastAsia="Times New Roman" w:hAnsi="Times New Roman" w:cs="Times New Roman"/>
          <w:noProof/>
          <w:sz w:val="24"/>
          <w:szCs w:val="24"/>
        </w:rPr>
        <w:t>. The background doc</w:t>
      </w:r>
      <w:r>
        <w:rPr>
          <w:rFonts w:ascii="Times New Roman" w:eastAsia="Times New Roman" w:hAnsi="Times New Roman" w:cs="Times New Roman"/>
          <w:noProof/>
          <w:sz w:val="24"/>
          <w:szCs w:val="24"/>
        </w:rPr>
        <w:t>uments on the economic</w:t>
      </w:r>
      <w:r>
        <w:rPr>
          <w:rFonts w:ascii="Times New Roman" w:eastAsia="Times New Roman" w:hAnsi="Times New Roman" w:cs="Times New Roman"/>
          <w:noProof/>
          <w:sz w:val="24"/>
          <w:szCs w:val="24"/>
          <w:vertAlign w:val="superscript"/>
        </w:rPr>
        <w:footnoteReference w:id="136"/>
      </w:r>
      <w:r>
        <w:rPr>
          <w:rFonts w:ascii="Times New Roman" w:eastAsia="Times New Roman" w:hAnsi="Times New Roman" w:cs="Times New Roman"/>
          <w:noProof/>
          <w:sz w:val="24"/>
          <w:szCs w:val="24"/>
        </w:rPr>
        <w:t xml:space="preserve"> and environmental</w:t>
      </w:r>
      <w:r>
        <w:rPr>
          <w:rFonts w:ascii="Times New Roman" w:eastAsia="Times New Roman" w:hAnsi="Times New Roman" w:cs="Times New Roman"/>
          <w:noProof/>
          <w:sz w:val="24"/>
          <w:szCs w:val="24"/>
          <w:vertAlign w:val="superscript"/>
        </w:rPr>
        <w:footnoteReference w:id="137"/>
      </w:r>
      <w:r>
        <w:rPr>
          <w:rFonts w:ascii="Times New Roman" w:eastAsia="Times New Roman" w:hAnsi="Times New Roman" w:cs="Times New Roman"/>
          <w:noProof/>
          <w:sz w:val="24"/>
          <w:szCs w:val="24"/>
        </w:rPr>
        <w:t xml:space="preserve"> challenges facing agriculture and rural areas – which accompany the Communication on the Future of Food and Farming – include reviews of the behavioural sciences literature.</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this context, a qualitative study wa</w:t>
      </w:r>
      <w:r>
        <w:rPr>
          <w:rFonts w:ascii="Times New Roman" w:eastAsia="Times New Roman" w:hAnsi="Times New Roman" w:cs="Times New Roman"/>
          <w:noProof/>
          <w:sz w:val="24"/>
          <w:szCs w:val="24"/>
        </w:rPr>
        <w:t xml:space="preserve">s conducted to better understand farmers' experience with the three CAP instruments designed to motivate them to adopt more environmentally-friendly practices: cross compliance, green direct payments (i.e., "greening") and voluntary agri-environmental and </w:t>
      </w:r>
      <w:r>
        <w:rPr>
          <w:rFonts w:ascii="Times New Roman" w:eastAsia="Times New Roman" w:hAnsi="Times New Roman" w:cs="Times New Roman"/>
          <w:noProof/>
          <w:sz w:val="24"/>
          <w:szCs w:val="24"/>
        </w:rPr>
        <w:t xml:space="preserve">climate measures. A particular focus was farmers' views and understanding of the logic behind these mandatory, conditional and voluntary schemes. Given the qualitative nature of data collection, the objective was to present </w:t>
      </w:r>
      <w:r>
        <w:rPr>
          <w:rFonts w:ascii="Times New Roman" w:eastAsia="Times New Roman" w:hAnsi="Times New Roman" w:cs="Times New Roman"/>
          <w:b/>
          <w:noProof/>
          <w:sz w:val="24"/>
          <w:szCs w:val="24"/>
        </w:rPr>
        <w:t>narratives</w:t>
      </w:r>
      <w:r>
        <w:rPr>
          <w:rFonts w:ascii="Times New Roman" w:eastAsia="Times New Roman" w:hAnsi="Times New Roman" w:cs="Times New Roman"/>
          <w:noProof/>
          <w:sz w:val="24"/>
          <w:szCs w:val="24"/>
        </w:rPr>
        <w:t>, discourses and perce</w:t>
      </w:r>
      <w:r>
        <w:rPr>
          <w:rFonts w:ascii="Times New Roman" w:eastAsia="Times New Roman" w:hAnsi="Times New Roman" w:cs="Times New Roman"/>
          <w:noProof/>
          <w:sz w:val="24"/>
          <w:szCs w:val="24"/>
        </w:rPr>
        <w:t>ptions expressed by farmers who participated in the exercise</w:t>
      </w:r>
      <w:r>
        <w:rPr>
          <w:rFonts w:ascii="Times New Roman" w:eastAsia="Times New Roman" w:hAnsi="Times New Roman" w:cs="Times New Roman"/>
          <w:noProof/>
          <w:sz w:val="24"/>
          <w:szCs w:val="24"/>
          <w:vertAlign w:val="superscript"/>
        </w:rPr>
        <w:footnoteReference w:id="138"/>
      </w:r>
      <w:r>
        <w:rPr>
          <w:rFonts w:ascii="Times New Roman" w:eastAsia="Times New Roman" w:hAnsi="Times New Roman" w:cs="Times New Roman"/>
          <w:noProof/>
          <w:sz w:val="24"/>
          <w:szCs w:val="24"/>
        </w:rPr>
        <w:t>.</w:t>
      </w:r>
    </w:p>
    <w:p w:rsidR="00333A1A" w:rsidRDefault="003D29C9">
      <w:pPr>
        <w:keepNext/>
        <w:spacing w:before="240" w:after="240" w:line="240" w:lineRule="auto"/>
        <w:jc w:val="both"/>
        <w:outlineLvl w:val="1"/>
        <w:rPr>
          <w:rFonts w:ascii="Times New Roman" w:eastAsia="Times New Roman" w:hAnsi="Times New Roman" w:cs="Times New Roman"/>
          <w:b/>
          <w:noProof/>
          <w:sz w:val="24"/>
          <w:szCs w:val="20"/>
        </w:rPr>
      </w:pPr>
      <w:bookmarkStart w:id="359" w:name="_Toc508707795"/>
      <w:r>
        <w:rPr>
          <w:rFonts w:ascii="Times New Roman" w:eastAsia="Times New Roman" w:hAnsi="Times New Roman" w:cs="Times New Roman"/>
          <w:b/>
          <w:noProof/>
          <w:sz w:val="24"/>
          <w:szCs w:val="20"/>
        </w:rPr>
        <w:t>Methodology</w:t>
      </w:r>
      <w:bookmarkEnd w:id="359"/>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Six focus groups</w:t>
      </w:r>
      <w:r>
        <w:rPr>
          <w:rFonts w:ascii="Times New Roman" w:eastAsia="Times New Roman" w:hAnsi="Times New Roman" w:cs="Times New Roman"/>
          <w:noProof/>
          <w:sz w:val="24"/>
          <w:szCs w:val="24"/>
        </w:rPr>
        <w:t xml:space="preserve"> were carried out in January 2018 in Seville (Spain), Tours (France), and Lublin (Poland). These locations were selected due to the diversity of farming activities, crops and cultural contexts. Each focus group was attended by 6 to 8 farmers who were recru</w:t>
      </w:r>
      <w:r>
        <w:rPr>
          <w:rFonts w:ascii="Times New Roman" w:eastAsia="Times New Roman" w:hAnsi="Times New Roman" w:cs="Times New Roman"/>
          <w:noProof/>
          <w:sz w:val="24"/>
          <w:szCs w:val="24"/>
        </w:rPr>
        <w:t xml:space="preserve">ited over the phone. During recruitment, a screening questionnaire was administrated to ensure that participants were all subject </w:t>
      </w:r>
      <w:r>
        <w:rPr>
          <w:rFonts w:ascii="Times New Roman" w:eastAsia="Times New Roman" w:hAnsi="Times New Roman" w:cs="Times New Roman"/>
          <w:b/>
          <w:noProof/>
          <w:sz w:val="24"/>
          <w:szCs w:val="24"/>
        </w:rPr>
        <w:t>to at least one obligation of greening</w:t>
      </w:r>
      <w:r>
        <w:rPr>
          <w:rFonts w:ascii="Times New Roman" w:eastAsia="Times New Roman" w:hAnsi="Times New Roman" w:cs="Times New Roman"/>
          <w:noProof/>
          <w:sz w:val="24"/>
          <w:szCs w:val="24"/>
        </w:rPr>
        <w:t xml:space="preserve"> and to allow some variety in participants' types of crops, membership in a cooperative,</w:t>
      </w:r>
      <w:r>
        <w:rPr>
          <w:rFonts w:ascii="Times New Roman" w:eastAsia="Times New Roman" w:hAnsi="Times New Roman" w:cs="Times New Roman"/>
          <w:noProof/>
          <w:sz w:val="24"/>
          <w:szCs w:val="24"/>
        </w:rPr>
        <w:t xml:space="preserve"> farm size, and age. As with any focus group, the objective was not to constitute a sample representative of the whole population of farmers in the EU, but rather to get a </w:t>
      </w:r>
      <w:r>
        <w:rPr>
          <w:rFonts w:ascii="Times New Roman" w:eastAsia="Times New Roman" w:hAnsi="Times New Roman" w:cs="Times New Roman"/>
          <w:b/>
          <w:noProof/>
          <w:sz w:val="24"/>
          <w:szCs w:val="24"/>
        </w:rPr>
        <w:t xml:space="preserve">diverse mix </w:t>
      </w:r>
      <w:r>
        <w:rPr>
          <w:rFonts w:ascii="Times New Roman" w:eastAsia="Times New Roman" w:hAnsi="Times New Roman" w:cs="Times New Roman"/>
          <w:noProof/>
          <w:sz w:val="24"/>
          <w:szCs w:val="24"/>
        </w:rPr>
        <w:t>of participants</w:t>
      </w:r>
      <w:r>
        <w:rPr>
          <w:rFonts w:ascii="Times New Roman" w:eastAsia="Times New Roman" w:hAnsi="Times New Roman" w:cs="Times New Roman"/>
          <w:noProof/>
          <w:sz w:val="24"/>
          <w:szCs w:val="24"/>
          <w:vertAlign w:val="superscript"/>
        </w:rPr>
        <w:footnoteReference w:id="139"/>
      </w:r>
      <w:r>
        <w:rPr>
          <w:rFonts w:ascii="Times New Roman" w:eastAsia="Times New Roman" w:hAnsi="Times New Roman" w:cs="Times New Roman"/>
          <w:noProof/>
          <w:sz w:val="24"/>
          <w:szCs w:val="24"/>
        </w:rPr>
        <w:t>.</w:t>
      </w:r>
    </w:p>
    <w:p w:rsidR="00333A1A" w:rsidRDefault="003D29C9">
      <w:pPr>
        <w:widowControl w:val="0"/>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each location, two focus groups were conducted, eac</w:t>
      </w:r>
      <w:r>
        <w:rPr>
          <w:rFonts w:ascii="Times New Roman" w:eastAsia="Times New Roman" w:hAnsi="Times New Roman" w:cs="Times New Roman"/>
          <w:noProof/>
          <w:sz w:val="24"/>
          <w:szCs w:val="24"/>
        </w:rPr>
        <w:t>h one being rather homogeneous with regard to the adoption of environmentally-friendly practices</w:t>
      </w:r>
      <w:r>
        <w:rPr>
          <w:rFonts w:ascii="Times New Roman" w:eastAsia="Times New Roman" w:hAnsi="Times New Roman" w:cs="Times New Roman"/>
          <w:noProof/>
          <w:sz w:val="24"/>
          <w:szCs w:val="24"/>
          <w:vertAlign w:val="superscript"/>
        </w:rPr>
        <w:footnoteReference w:id="140"/>
      </w:r>
      <w:r>
        <w:rPr>
          <w:rFonts w:ascii="Times New Roman" w:eastAsia="Times New Roman" w:hAnsi="Times New Roman" w:cs="Times New Roman"/>
          <w:noProof/>
          <w:sz w:val="24"/>
          <w:szCs w:val="24"/>
        </w:rPr>
        <w:t xml:space="preserve"> in order to encourage participation:</w:t>
      </w:r>
    </w:p>
    <w:p w:rsidR="00333A1A" w:rsidRDefault="003D29C9">
      <w:pPr>
        <w:numPr>
          <w:ilvl w:val="0"/>
          <w:numId w:val="55"/>
        </w:numPr>
        <w:spacing w:after="240" w:line="240" w:lineRule="auto"/>
        <w:ind w:left="426"/>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one focus group with farmers relatively highly committed toward the environment (i.e. 'green' farmers)</w:t>
      </w:r>
    </w:p>
    <w:p w:rsidR="00333A1A" w:rsidRDefault="003D29C9">
      <w:pPr>
        <w:numPr>
          <w:ilvl w:val="0"/>
          <w:numId w:val="55"/>
        </w:numPr>
        <w:spacing w:after="240" w:line="240" w:lineRule="auto"/>
        <w:ind w:left="426"/>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one focus group </w:t>
      </w:r>
      <w:r>
        <w:rPr>
          <w:rFonts w:ascii="Times New Roman" w:eastAsia="Times New Roman" w:hAnsi="Times New Roman" w:cs="Times New Roman"/>
          <w:noProof/>
          <w:sz w:val="24"/>
          <w:szCs w:val="24"/>
        </w:rPr>
        <w:t>with farmers with a low to average environmental commitment (i.e. 'conventional' farmers)</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 semi-structured discussion guide was designed to cover progressively various topics in a funnelling approach: identification of environmentally-(un)friendly practic</w:t>
      </w:r>
      <w:r>
        <w:rPr>
          <w:rFonts w:ascii="Times New Roman" w:eastAsia="Times New Roman" w:hAnsi="Times New Roman" w:cs="Times New Roman"/>
          <w:noProof/>
          <w:sz w:val="24"/>
          <w:szCs w:val="24"/>
        </w:rPr>
        <w:t>es, motivations and barriers to the adoption of more environmentally-friendly practices, current environment-related incentive schemes, recommendation for future incentive schemes. The present document only presents the results from the sections on incenti</w:t>
      </w:r>
      <w:r>
        <w:rPr>
          <w:rFonts w:ascii="Times New Roman" w:eastAsia="Times New Roman" w:hAnsi="Times New Roman" w:cs="Times New Roman"/>
          <w:noProof/>
          <w:sz w:val="24"/>
          <w:szCs w:val="24"/>
        </w:rPr>
        <w:t>ves. Examples of 'verbatims' are provided throughout the document in footnotes.</w:t>
      </w:r>
    </w:p>
    <w:p w:rsidR="00333A1A" w:rsidRDefault="003D29C9">
      <w:pPr>
        <w:keepNext/>
        <w:spacing w:before="240" w:after="0" w:line="240" w:lineRule="auto"/>
        <w:jc w:val="both"/>
        <w:outlineLvl w:val="1"/>
        <w:rPr>
          <w:rFonts w:ascii="Times New Roman" w:eastAsia="Times New Roman" w:hAnsi="Times New Roman" w:cs="Times New Roman"/>
          <w:b/>
          <w:noProof/>
          <w:sz w:val="24"/>
          <w:szCs w:val="20"/>
        </w:rPr>
      </w:pPr>
      <w:bookmarkStart w:id="360" w:name="_Toc508707796"/>
      <w:r>
        <w:rPr>
          <w:rFonts w:ascii="Times New Roman" w:eastAsia="Times New Roman" w:hAnsi="Times New Roman" w:cs="Times New Roman"/>
          <w:b/>
          <w:noProof/>
          <w:sz w:val="24"/>
          <w:szCs w:val="20"/>
        </w:rPr>
        <w:t>Results</w:t>
      </w:r>
      <w:bookmarkEnd w:id="360"/>
    </w:p>
    <w:p w:rsidR="00333A1A" w:rsidRDefault="003D29C9">
      <w:pPr>
        <w:spacing w:before="120"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General discussion on incentives</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When asked to spontaneously mention both positive and negative incentives that can motivate farmers to adopt more environmentally-frien</w:t>
      </w:r>
      <w:r>
        <w:rPr>
          <w:rFonts w:ascii="Times New Roman" w:eastAsia="Times New Roman" w:hAnsi="Times New Roman" w:cs="Times New Roman"/>
          <w:noProof/>
          <w:sz w:val="24"/>
          <w:szCs w:val="24"/>
        </w:rPr>
        <w:t xml:space="preserve">dly practices, participants first and foremost referred to </w:t>
      </w:r>
      <w:r>
        <w:rPr>
          <w:rFonts w:ascii="Times New Roman" w:eastAsia="Times New Roman" w:hAnsi="Times New Roman" w:cs="Times New Roman"/>
          <w:b/>
          <w:noProof/>
          <w:sz w:val="24"/>
          <w:szCs w:val="24"/>
        </w:rPr>
        <w:t>legal and economic tools</w:t>
      </w:r>
      <w:r>
        <w:rPr>
          <w:rFonts w:ascii="Times New Roman" w:eastAsia="Times New Roman" w:hAnsi="Times New Roman" w:cs="Times New Roman"/>
          <w:noProof/>
          <w:sz w:val="24"/>
          <w:szCs w:val="24"/>
        </w:rPr>
        <w:t xml:space="preserve">. The discourse of 'conventional' farmers revolved mainly around obligations, economic sanctions, economic incentives, and </w:t>
      </w:r>
      <w:r>
        <w:rPr>
          <w:rFonts w:ascii="Times New Roman" w:eastAsia="Times New Roman" w:hAnsi="Times New Roman" w:cs="Times New Roman"/>
          <w:b/>
          <w:noProof/>
          <w:sz w:val="24"/>
          <w:szCs w:val="24"/>
        </w:rPr>
        <w:t>mandatory</w:t>
      </w:r>
      <w:r>
        <w:rPr>
          <w:rFonts w:ascii="Times New Roman" w:eastAsia="Times New Roman" w:hAnsi="Times New Roman" w:cs="Times New Roman"/>
          <w:noProof/>
          <w:sz w:val="24"/>
          <w:szCs w:val="24"/>
        </w:rPr>
        <w:t xml:space="preserve"> </w:t>
      </w:r>
      <w:r>
        <w:rPr>
          <w:rFonts w:ascii="Times New Roman" w:eastAsia="Times New Roman" w:hAnsi="Times New Roman" w:cs="Times New Roman"/>
          <w:b/>
          <w:noProof/>
          <w:sz w:val="24"/>
          <w:szCs w:val="24"/>
        </w:rPr>
        <w:t>schemes</w:t>
      </w:r>
      <w:r>
        <w:rPr>
          <w:rFonts w:ascii="Times New Roman" w:eastAsia="Times New Roman" w:hAnsi="Times New Roman" w:cs="Times New Roman"/>
          <w:noProof/>
          <w:sz w:val="24"/>
          <w:szCs w:val="24"/>
          <w:vertAlign w:val="superscript"/>
        </w:rPr>
        <w:footnoteReference w:id="141"/>
      </w:r>
      <w:r>
        <w:rPr>
          <w:rFonts w:ascii="Times New Roman" w:eastAsia="Times New Roman" w:hAnsi="Times New Roman" w:cs="Times New Roman"/>
          <w:noProof/>
          <w:sz w:val="24"/>
          <w:szCs w:val="24"/>
        </w:rPr>
        <w:t>. In contrast, 'green' farmers (</w:t>
      </w:r>
      <w:r>
        <w:rPr>
          <w:rFonts w:ascii="Times New Roman" w:eastAsia="Times New Roman" w:hAnsi="Times New Roman" w:cs="Times New Roman"/>
          <w:noProof/>
          <w:sz w:val="24"/>
          <w:szCs w:val="24"/>
        </w:rPr>
        <w:t xml:space="preserve">especially in Seville and in Tours) tended to more spontaneously discussed </w:t>
      </w:r>
      <w:r>
        <w:rPr>
          <w:rFonts w:ascii="Times New Roman" w:eastAsia="Times New Roman" w:hAnsi="Times New Roman" w:cs="Times New Roman"/>
          <w:b/>
          <w:noProof/>
          <w:sz w:val="24"/>
          <w:szCs w:val="24"/>
        </w:rPr>
        <w:t>voluntary schemes</w:t>
      </w:r>
      <w:r>
        <w:rPr>
          <w:rFonts w:ascii="Times New Roman" w:eastAsia="Times New Roman" w:hAnsi="Times New Roman" w:cs="Times New Roman"/>
          <w:noProof/>
          <w:sz w:val="24"/>
          <w:szCs w:val="24"/>
        </w:rPr>
        <w:t>, not only from the CAP</w:t>
      </w:r>
      <w:r>
        <w:rPr>
          <w:rFonts w:ascii="Times New Roman" w:eastAsia="Times New Roman" w:hAnsi="Times New Roman" w:cs="Times New Roman"/>
          <w:noProof/>
          <w:sz w:val="24"/>
          <w:szCs w:val="24"/>
          <w:vertAlign w:val="superscript"/>
        </w:rPr>
        <w:footnoteReference w:id="142"/>
      </w:r>
      <w:r>
        <w:rPr>
          <w:rFonts w:ascii="Times New Roman" w:eastAsia="Times New Roman" w:hAnsi="Times New Roman" w:cs="Times New Roman"/>
          <w:noProof/>
          <w:sz w:val="24"/>
          <w:szCs w:val="24"/>
        </w:rPr>
        <w:t>. The higher market price for crops grown in a more environmentally-friendly way was also an economic incentive for some</w:t>
      </w:r>
      <w:r>
        <w:rPr>
          <w:rFonts w:ascii="Times New Roman" w:eastAsia="Times New Roman" w:hAnsi="Times New Roman" w:cs="Times New Roman"/>
          <w:noProof/>
          <w:sz w:val="24"/>
          <w:szCs w:val="24"/>
          <w:vertAlign w:val="superscript"/>
        </w:rPr>
        <w:footnoteReference w:id="143"/>
      </w:r>
      <w:r>
        <w:rPr>
          <w:rFonts w:ascii="Times New Roman" w:eastAsia="Times New Roman" w:hAnsi="Times New Roman" w:cs="Times New Roman"/>
          <w:noProof/>
          <w:sz w:val="24"/>
          <w:szCs w:val="24"/>
        </w:rPr>
        <w:t>, but only provided</w:t>
      </w:r>
      <w:r>
        <w:rPr>
          <w:rFonts w:ascii="Times New Roman" w:eastAsia="Times New Roman" w:hAnsi="Times New Roman" w:cs="Times New Roman"/>
          <w:noProof/>
          <w:sz w:val="24"/>
          <w:szCs w:val="24"/>
        </w:rPr>
        <w:t xml:space="preserve"> consumers are sufficiently conscious about these issues</w:t>
      </w:r>
      <w:r>
        <w:rPr>
          <w:rFonts w:ascii="Times New Roman" w:eastAsia="Times New Roman" w:hAnsi="Times New Roman" w:cs="Times New Roman"/>
          <w:noProof/>
          <w:sz w:val="24"/>
          <w:szCs w:val="24"/>
          <w:vertAlign w:val="superscript"/>
        </w:rPr>
        <w:footnoteReference w:id="144"/>
      </w:r>
      <w:r>
        <w:rPr>
          <w:rFonts w:ascii="Times New Roman" w:eastAsia="Times New Roman" w:hAnsi="Times New Roman" w:cs="Times New Roman"/>
          <w:noProof/>
          <w:sz w:val="24"/>
          <w:szCs w:val="24"/>
        </w:rPr>
        <w:t>.</w:t>
      </w:r>
    </w:p>
    <w:p w:rsidR="00333A1A" w:rsidRDefault="003D29C9">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Besides economic tools, participants also mentioned trainings</w:t>
      </w:r>
      <w:r>
        <w:rPr>
          <w:rFonts w:ascii="Times New Roman" w:eastAsia="Times New Roman" w:hAnsi="Times New Roman" w:cs="Times New Roman"/>
          <w:noProof/>
          <w:sz w:val="24"/>
          <w:szCs w:val="24"/>
          <w:vertAlign w:val="superscript"/>
        </w:rPr>
        <w:footnoteReference w:id="145"/>
      </w:r>
      <w:r>
        <w:rPr>
          <w:rFonts w:ascii="Times New Roman" w:eastAsia="Times New Roman" w:hAnsi="Times New Roman" w:cs="Times New Roman"/>
          <w:noProof/>
          <w:sz w:val="24"/>
          <w:szCs w:val="24"/>
        </w:rPr>
        <w:t xml:space="preserve"> (e.g. to understand the appropriate time for spraying pesticides, to become more conscious of the environmental impacts of certain farming practices) and advice from consultants (with some doubts as to their impartiality) as other incentives to motivate t</w:t>
      </w:r>
      <w:r>
        <w:rPr>
          <w:rFonts w:ascii="Times New Roman" w:eastAsia="Times New Roman" w:hAnsi="Times New Roman" w:cs="Times New Roman"/>
          <w:noProof/>
          <w:sz w:val="24"/>
          <w:szCs w:val="24"/>
        </w:rPr>
        <w:t>hem to adopt more environmentally-friendly practices. Collective incentives never spontaneously emerged.</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Prior to specifically tackling CAP related tools, participants freely discussed the overall logic of mandatory, conditional and voluntary schemes. </w:t>
      </w:r>
      <w:r>
        <w:rPr>
          <w:rFonts w:ascii="Times New Roman" w:eastAsia="Times New Roman" w:hAnsi="Times New Roman" w:cs="Times New Roman"/>
          <w:b/>
          <w:noProof/>
          <w:sz w:val="24"/>
          <w:szCs w:val="24"/>
        </w:rPr>
        <w:t>Mand</w:t>
      </w:r>
      <w:r>
        <w:rPr>
          <w:rFonts w:ascii="Times New Roman" w:eastAsia="Times New Roman" w:hAnsi="Times New Roman" w:cs="Times New Roman"/>
          <w:b/>
          <w:noProof/>
          <w:sz w:val="24"/>
          <w:szCs w:val="24"/>
        </w:rPr>
        <w:t>atory schemes</w:t>
      </w:r>
      <w:r>
        <w:rPr>
          <w:rFonts w:ascii="Times New Roman" w:eastAsia="Times New Roman" w:hAnsi="Times New Roman" w:cs="Times New Roman"/>
          <w:noProof/>
          <w:sz w:val="24"/>
          <w:szCs w:val="24"/>
        </w:rPr>
        <w:t xml:space="preserve"> leveraging sanctions to enforce certain regulations on environmentally-friendly practices were deemed </w:t>
      </w:r>
      <w:r>
        <w:rPr>
          <w:rFonts w:ascii="Times New Roman" w:eastAsia="Times New Roman" w:hAnsi="Times New Roman" w:cs="Times New Roman"/>
          <w:b/>
          <w:noProof/>
          <w:sz w:val="24"/>
          <w:szCs w:val="24"/>
        </w:rPr>
        <w:t>relevant</w:t>
      </w:r>
      <w:r>
        <w:rPr>
          <w:rFonts w:ascii="Times New Roman" w:eastAsia="Times New Roman" w:hAnsi="Times New Roman" w:cs="Times New Roman"/>
          <w:noProof/>
          <w:sz w:val="24"/>
          <w:szCs w:val="24"/>
        </w:rPr>
        <w:t xml:space="preserve"> to prevent farmers from causing severe damages to the environment</w:t>
      </w:r>
      <w:r>
        <w:rPr>
          <w:rFonts w:ascii="Times New Roman" w:eastAsia="Times New Roman" w:hAnsi="Times New Roman" w:cs="Times New Roman"/>
          <w:noProof/>
          <w:sz w:val="24"/>
          <w:szCs w:val="24"/>
          <w:vertAlign w:val="superscript"/>
        </w:rPr>
        <w:footnoteReference w:id="146"/>
      </w:r>
      <w:r>
        <w:rPr>
          <w:rFonts w:ascii="Times New Roman" w:eastAsia="Times New Roman" w:hAnsi="Times New Roman" w:cs="Times New Roman"/>
          <w:noProof/>
          <w:sz w:val="24"/>
          <w:szCs w:val="24"/>
        </w:rPr>
        <w:t>. However, generally speaking, participants considered the philos</w:t>
      </w:r>
      <w:r>
        <w:rPr>
          <w:rFonts w:ascii="Times New Roman" w:eastAsia="Times New Roman" w:hAnsi="Times New Roman" w:cs="Times New Roman"/>
          <w:noProof/>
          <w:sz w:val="24"/>
          <w:szCs w:val="24"/>
        </w:rPr>
        <w:t>ophy of</w:t>
      </w:r>
      <w:r>
        <w:rPr>
          <w:rFonts w:ascii="Times New Roman" w:eastAsia="Times New Roman" w:hAnsi="Times New Roman" w:cs="Times New Roman"/>
          <w:b/>
          <w:noProof/>
          <w:sz w:val="24"/>
          <w:szCs w:val="24"/>
        </w:rPr>
        <w:t xml:space="preserve"> voluntary schemes</w:t>
      </w:r>
      <w:r>
        <w:rPr>
          <w:rFonts w:ascii="Times New Roman" w:eastAsia="Times New Roman" w:hAnsi="Times New Roman" w:cs="Times New Roman"/>
          <w:noProof/>
          <w:sz w:val="24"/>
          <w:szCs w:val="24"/>
        </w:rPr>
        <w:t xml:space="preserve">, based on reward, as a more </w:t>
      </w:r>
      <w:r>
        <w:rPr>
          <w:rFonts w:ascii="Times New Roman" w:eastAsia="Times New Roman" w:hAnsi="Times New Roman" w:cs="Times New Roman"/>
          <w:b/>
          <w:noProof/>
          <w:sz w:val="24"/>
          <w:szCs w:val="24"/>
        </w:rPr>
        <w:t>appropriate</w:t>
      </w:r>
      <w:r>
        <w:rPr>
          <w:rFonts w:ascii="Times New Roman" w:eastAsia="Times New Roman" w:hAnsi="Times New Roman" w:cs="Times New Roman"/>
          <w:noProof/>
          <w:sz w:val="24"/>
          <w:szCs w:val="24"/>
        </w:rPr>
        <w:t xml:space="preserve"> tool given its encouraging and constructive approach, compatible with farmers' value of </w:t>
      </w:r>
      <w:r>
        <w:rPr>
          <w:rFonts w:ascii="Times New Roman" w:eastAsia="Times New Roman" w:hAnsi="Times New Roman" w:cs="Times New Roman"/>
          <w:b/>
          <w:noProof/>
          <w:sz w:val="24"/>
          <w:szCs w:val="24"/>
        </w:rPr>
        <w:t>freedom</w:t>
      </w:r>
      <w:r>
        <w:rPr>
          <w:rFonts w:ascii="Times New Roman" w:eastAsia="Times New Roman" w:hAnsi="Times New Roman" w:cs="Times New Roman"/>
          <w:noProof/>
          <w:sz w:val="24"/>
          <w:szCs w:val="24"/>
          <w:vertAlign w:val="superscript"/>
        </w:rPr>
        <w:footnoteReference w:id="147"/>
      </w:r>
      <w:r>
        <w:rPr>
          <w:rFonts w:ascii="Times New Roman" w:eastAsia="Times New Roman" w:hAnsi="Times New Roman" w:cs="Times New Roman"/>
          <w:noProof/>
          <w:sz w:val="24"/>
          <w:szCs w:val="24"/>
        </w:rPr>
        <w:t>. Participants often used the 'stick and carrot' analogy to refer to the different types of sc</w:t>
      </w:r>
      <w:r>
        <w:rPr>
          <w:rFonts w:ascii="Times New Roman" w:eastAsia="Times New Roman" w:hAnsi="Times New Roman" w:cs="Times New Roman"/>
          <w:noProof/>
          <w:sz w:val="24"/>
          <w:szCs w:val="24"/>
        </w:rPr>
        <w:t xml:space="preserve">hemes and the concept of </w:t>
      </w:r>
      <w:r>
        <w:rPr>
          <w:rFonts w:ascii="Times New Roman" w:eastAsia="Times New Roman" w:hAnsi="Times New Roman" w:cs="Times New Roman"/>
          <w:b/>
          <w:noProof/>
          <w:sz w:val="24"/>
          <w:szCs w:val="24"/>
        </w:rPr>
        <w:t>'conditional' schemes</w:t>
      </w:r>
      <w:r>
        <w:rPr>
          <w:rFonts w:ascii="Times New Roman" w:eastAsia="Times New Roman" w:hAnsi="Times New Roman" w:cs="Times New Roman"/>
          <w:noProof/>
          <w:sz w:val="24"/>
          <w:szCs w:val="24"/>
        </w:rPr>
        <w:t xml:space="preserve"> did not often come out spontaneously.</w:t>
      </w:r>
    </w:p>
    <w:p w:rsidR="00333A1A" w:rsidRDefault="003D29C9">
      <w:pPr>
        <w:pBdr>
          <w:top w:val="single" w:sz="4" w:space="1" w:color="auto"/>
          <w:left w:val="single" w:sz="4" w:space="4" w:color="auto"/>
          <w:bottom w:val="single" w:sz="4" w:space="1" w:color="auto"/>
          <w:right w:val="single" w:sz="4" w:space="4" w:color="auto"/>
        </w:pBdr>
        <w:spacing w:after="0" w:line="240" w:lineRule="auto"/>
        <w:ind w:left="851" w:right="963"/>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Key insights</w:t>
      </w:r>
    </w:p>
    <w:p w:rsidR="00333A1A" w:rsidRDefault="003D29C9">
      <w:pPr>
        <w:numPr>
          <w:ilvl w:val="0"/>
          <w:numId w:val="56"/>
        </w:numPr>
        <w:pBdr>
          <w:top w:val="single" w:sz="4" w:space="1" w:color="auto"/>
          <w:left w:val="single" w:sz="4" w:space="4" w:color="auto"/>
          <w:bottom w:val="single" w:sz="4" w:space="1" w:color="auto"/>
          <w:right w:val="single" w:sz="4" w:space="4" w:color="auto"/>
        </w:pBdr>
        <w:spacing w:after="0" w:line="240" w:lineRule="auto"/>
        <w:ind w:left="1276" w:right="963" w:hanging="425"/>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'Green' farmers seem to think more spontaneously of voluntary schemes when reflecting on incentives, compared to 'conventional' farmers whose discourse </w:t>
      </w:r>
      <w:r>
        <w:rPr>
          <w:rFonts w:ascii="Times New Roman" w:eastAsia="Times New Roman" w:hAnsi="Times New Roman" w:cs="Times New Roman"/>
          <w:noProof/>
          <w:sz w:val="24"/>
          <w:szCs w:val="24"/>
        </w:rPr>
        <w:t>revolves more around mandatory schemes.</w:t>
      </w:r>
    </w:p>
    <w:p w:rsidR="00333A1A" w:rsidRDefault="003D29C9">
      <w:pPr>
        <w:numPr>
          <w:ilvl w:val="0"/>
          <w:numId w:val="56"/>
        </w:numPr>
        <w:pBdr>
          <w:top w:val="single" w:sz="4" w:space="1" w:color="auto"/>
          <w:left w:val="single" w:sz="4" w:space="4" w:color="auto"/>
          <w:bottom w:val="single" w:sz="4" w:space="1" w:color="auto"/>
          <w:right w:val="single" w:sz="4" w:space="4" w:color="auto"/>
        </w:pBdr>
        <w:spacing w:after="0" w:line="240" w:lineRule="auto"/>
        <w:ind w:left="1276" w:right="963" w:hanging="425"/>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Voluntary schemes are more encouraging and compatible with freedom values.</w:t>
      </w:r>
    </w:p>
    <w:p w:rsidR="00333A1A" w:rsidRDefault="003D29C9">
      <w:pPr>
        <w:numPr>
          <w:ilvl w:val="0"/>
          <w:numId w:val="56"/>
        </w:numPr>
        <w:pBdr>
          <w:top w:val="single" w:sz="4" w:space="1" w:color="auto"/>
          <w:left w:val="single" w:sz="4" w:space="4" w:color="auto"/>
          <w:bottom w:val="single" w:sz="4" w:space="1" w:color="auto"/>
          <w:right w:val="single" w:sz="4" w:space="4" w:color="auto"/>
        </w:pBdr>
        <w:spacing w:after="0" w:line="240" w:lineRule="auto"/>
        <w:ind w:left="1276" w:right="963" w:hanging="425"/>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Mandatory schemes and sanctions are relevant and important drivers for conventional farmers.</w:t>
      </w:r>
    </w:p>
    <w:p w:rsidR="00333A1A" w:rsidRDefault="003D29C9">
      <w:pPr>
        <w:keepNext/>
        <w:spacing w:before="24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u w:val="single"/>
        </w:rPr>
        <w:t>Cross compliance</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principle of minimum requir</w:t>
      </w:r>
      <w:r>
        <w:rPr>
          <w:rFonts w:ascii="Times New Roman" w:eastAsia="Times New Roman" w:hAnsi="Times New Roman" w:cs="Times New Roman"/>
          <w:noProof/>
          <w:sz w:val="24"/>
          <w:szCs w:val="24"/>
        </w:rPr>
        <w:t xml:space="preserve">ements imposed by the Good Agricultural and Environmental Conditions was generally well perceived by participants. The metaphor that was often mentioned was that of </w:t>
      </w:r>
      <w:r>
        <w:rPr>
          <w:rFonts w:ascii="Times New Roman" w:eastAsia="Times New Roman" w:hAnsi="Times New Roman" w:cs="Times New Roman"/>
          <w:b/>
          <w:noProof/>
          <w:sz w:val="24"/>
          <w:szCs w:val="24"/>
        </w:rPr>
        <w:t>Highway Code</w:t>
      </w:r>
      <w:r>
        <w:rPr>
          <w:rFonts w:ascii="Times New Roman" w:eastAsia="Times New Roman" w:hAnsi="Times New Roman" w:cs="Times New Roman"/>
          <w:noProof/>
          <w:sz w:val="24"/>
          <w:szCs w:val="24"/>
          <w:vertAlign w:val="superscript"/>
        </w:rPr>
        <w:footnoteReference w:id="148"/>
      </w:r>
      <w:r>
        <w:rPr>
          <w:rFonts w:ascii="Times New Roman" w:eastAsia="Times New Roman" w:hAnsi="Times New Roman" w:cs="Times New Roman"/>
          <w:noProof/>
          <w:sz w:val="24"/>
          <w:szCs w:val="24"/>
        </w:rPr>
        <w:t>: just as it is forbidden to drive too fast on roads, it's forbidden, for inst</w:t>
      </w:r>
      <w:r>
        <w:rPr>
          <w:rFonts w:ascii="Times New Roman" w:eastAsia="Times New Roman" w:hAnsi="Times New Roman" w:cs="Times New Roman"/>
          <w:noProof/>
          <w:sz w:val="24"/>
          <w:szCs w:val="24"/>
        </w:rPr>
        <w:t>ance, to spray pesticides very close to rivers. And just as people are not rewarded for driving at the right speed, farmers do not get specific money to meet these requirements</w:t>
      </w:r>
      <w:r>
        <w:rPr>
          <w:rFonts w:ascii="Times New Roman" w:eastAsia="Times New Roman" w:hAnsi="Times New Roman" w:cs="Times New Roman"/>
          <w:noProof/>
          <w:sz w:val="24"/>
          <w:szCs w:val="24"/>
          <w:vertAlign w:val="superscript"/>
        </w:rPr>
        <w:footnoteReference w:id="149"/>
      </w:r>
      <w:r>
        <w:rPr>
          <w:rFonts w:ascii="Times New Roman" w:eastAsia="Times New Roman" w:hAnsi="Times New Roman" w:cs="Times New Roman"/>
          <w:noProof/>
          <w:sz w:val="24"/>
          <w:szCs w:val="24"/>
        </w:rPr>
        <w:t>. Participants justified the existence of cross compliance by the need to ensur</w:t>
      </w:r>
      <w:r>
        <w:rPr>
          <w:rFonts w:ascii="Times New Roman" w:eastAsia="Times New Roman" w:hAnsi="Times New Roman" w:cs="Times New Roman"/>
          <w:noProof/>
          <w:sz w:val="24"/>
          <w:szCs w:val="24"/>
        </w:rPr>
        <w:t>e that every farmer complies with the regulation</w:t>
      </w:r>
      <w:r>
        <w:rPr>
          <w:rFonts w:ascii="Times New Roman" w:eastAsia="Times New Roman" w:hAnsi="Times New Roman" w:cs="Times New Roman"/>
          <w:noProof/>
          <w:sz w:val="24"/>
          <w:szCs w:val="24"/>
          <w:vertAlign w:val="superscript"/>
        </w:rPr>
        <w:footnoteReference w:id="150"/>
      </w:r>
      <w:r>
        <w:rPr>
          <w:rFonts w:ascii="Times New Roman" w:eastAsia="Times New Roman" w:hAnsi="Times New Roman" w:cs="Times New Roman"/>
          <w:noProof/>
          <w:sz w:val="24"/>
          <w:szCs w:val="24"/>
        </w:rPr>
        <w:t xml:space="preserve"> and that serious infringements are penalised</w:t>
      </w:r>
      <w:r>
        <w:rPr>
          <w:rFonts w:ascii="Times New Roman" w:eastAsia="Times New Roman" w:hAnsi="Times New Roman" w:cs="Times New Roman"/>
          <w:noProof/>
          <w:sz w:val="24"/>
          <w:szCs w:val="24"/>
          <w:vertAlign w:val="superscript"/>
        </w:rPr>
        <w:footnoteReference w:id="151"/>
      </w:r>
      <w:r>
        <w:rPr>
          <w:rFonts w:ascii="Times New Roman" w:eastAsia="Times New Roman" w:hAnsi="Times New Roman" w:cs="Times New Roman"/>
          <w:noProof/>
          <w:sz w:val="24"/>
          <w:szCs w:val="24"/>
        </w:rPr>
        <w:t>.</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uneven implementation of cross compliance regulations across the EU was a recurrent topic of discussion among French farmers, this problem being due, accor</w:t>
      </w:r>
      <w:r>
        <w:rPr>
          <w:rFonts w:ascii="Times New Roman" w:eastAsia="Times New Roman" w:hAnsi="Times New Roman" w:cs="Times New Roman"/>
          <w:noProof/>
          <w:sz w:val="24"/>
          <w:szCs w:val="24"/>
        </w:rPr>
        <w:t>ding to them, to each country protecting their farmers' interests and to the unequal controls between different countries</w:t>
      </w:r>
      <w:r>
        <w:rPr>
          <w:rFonts w:ascii="Times New Roman" w:eastAsia="Times New Roman" w:hAnsi="Times New Roman" w:cs="Times New Roman"/>
          <w:noProof/>
          <w:sz w:val="24"/>
          <w:szCs w:val="24"/>
          <w:vertAlign w:val="superscript"/>
        </w:rPr>
        <w:footnoteReference w:id="152"/>
      </w:r>
      <w:r>
        <w:rPr>
          <w:rFonts w:ascii="Times New Roman" w:eastAsia="Times New Roman" w:hAnsi="Times New Roman" w:cs="Times New Roman"/>
          <w:noProof/>
          <w:sz w:val="24"/>
          <w:szCs w:val="24"/>
        </w:rPr>
        <w:t>. In Poland, participants spontaneously expressed the fear of denunciation by neighbouring farmers as a driving force for compliance</w:t>
      </w:r>
      <w:r>
        <w:rPr>
          <w:rFonts w:ascii="Times New Roman" w:eastAsia="Times New Roman" w:hAnsi="Times New Roman" w:cs="Times New Roman"/>
          <w:noProof/>
          <w:sz w:val="24"/>
          <w:szCs w:val="24"/>
          <w:vertAlign w:val="superscript"/>
        </w:rPr>
        <w:footnoteReference w:id="153"/>
      </w:r>
      <w:r>
        <w:rPr>
          <w:rFonts w:ascii="Times New Roman" w:eastAsia="Times New Roman" w:hAnsi="Times New Roman" w:cs="Times New Roman"/>
          <w:noProof/>
          <w:sz w:val="24"/>
          <w:szCs w:val="24"/>
        </w:rPr>
        <w:t>.</w:t>
      </w:r>
    </w:p>
    <w:p w:rsidR="00333A1A" w:rsidRDefault="003D29C9">
      <w:pPr>
        <w:pBdr>
          <w:top w:val="single" w:sz="4" w:space="1" w:color="auto"/>
          <w:left w:val="single" w:sz="4" w:space="4" w:color="auto"/>
          <w:bottom w:val="single" w:sz="4" w:space="1" w:color="auto"/>
          <w:right w:val="single" w:sz="4" w:space="4" w:color="auto"/>
        </w:pBdr>
        <w:spacing w:after="0" w:line="240" w:lineRule="auto"/>
        <w:ind w:left="851" w:right="963"/>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Key insights</w:t>
      </w:r>
    </w:p>
    <w:p w:rsidR="00333A1A" w:rsidRDefault="003D29C9">
      <w:pPr>
        <w:numPr>
          <w:ilvl w:val="0"/>
          <w:numId w:val="56"/>
        </w:numPr>
        <w:pBdr>
          <w:top w:val="single" w:sz="4" w:space="1" w:color="auto"/>
          <w:left w:val="single" w:sz="4" w:space="4" w:color="auto"/>
          <w:bottom w:val="single" w:sz="4" w:space="1" w:color="auto"/>
          <w:right w:val="single" w:sz="4" w:space="4" w:color="auto"/>
        </w:pBdr>
        <w:spacing w:after="0" w:line="240" w:lineRule="auto"/>
        <w:ind w:left="1276" w:right="963" w:hanging="425"/>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Cross compliance is generally well accepted by participating farmers.</w:t>
      </w:r>
    </w:p>
    <w:p w:rsidR="00333A1A" w:rsidRDefault="003D29C9">
      <w:pPr>
        <w:numPr>
          <w:ilvl w:val="0"/>
          <w:numId w:val="56"/>
        </w:numPr>
        <w:pBdr>
          <w:top w:val="single" w:sz="4" w:space="1" w:color="auto"/>
          <w:left w:val="single" w:sz="4" w:space="4" w:color="auto"/>
          <w:bottom w:val="single" w:sz="4" w:space="1" w:color="auto"/>
          <w:right w:val="single" w:sz="4" w:space="4" w:color="auto"/>
        </w:pBdr>
        <w:spacing w:after="0" w:line="240" w:lineRule="auto"/>
        <w:ind w:left="1276" w:right="963" w:hanging="425"/>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Perceived uneven implementation and controls across the EU causes concern for lack of level-playing field</w:t>
      </w:r>
    </w:p>
    <w:p w:rsidR="00333A1A" w:rsidRDefault="003D29C9">
      <w:pPr>
        <w:keepNext/>
        <w:spacing w:before="36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u w:val="single"/>
        </w:rPr>
        <w:t>Greening</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Participants were all </w:t>
      </w:r>
      <w:r>
        <w:rPr>
          <w:rFonts w:ascii="Times New Roman" w:eastAsia="Times New Roman" w:hAnsi="Times New Roman" w:cs="Times New Roman"/>
          <w:b/>
          <w:noProof/>
          <w:sz w:val="24"/>
          <w:szCs w:val="24"/>
        </w:rPr>
        <w:t>well aware</w:t>
      </w:r>
      <w:r>
        <w:rPr>
          <w:rFonts w:ascii="Times New Roman" w:eastAsia="Times New Roman" w:hAnsi="Times New Roman" w:cs="Times New Roman"/>
          <w:noProof/>
          <w:sz w:val="24"/>
          <w:szCs w:val="24"/>
        </w:rPr>
        <w:t xml:space="preserve"> of the greening requirements including the recent changes to some specifications – probably because they were recruited based on the fact that they had to comply with at least one obligation of greening. In contrast, within each group there was no clear c</w:t>
      </w:r>
      <w:r>
        <w:rPr>
          <w:rFonts w:ascii="Times New Roman" w:eastAsia="Times New Roman" w:hAnsi="Times New Roman" w:cs="Times New Roman"/>
          <w:noProof/>
          <w:sz w:val="24"/>
          <w:szCs w:val="24"/>
        </w:rPr>
        <w:t xml:space="preserve">onsensus regarding the </w:t>
      </w:r>
      <w:r>
        <w:rPr>
          <w:rFonts w:ascii="Times New Roman" w:eastAsia="Times New Roman" w:hAnsi="Times New Roman" w:cs="Times New Roman"/>
          <w:b/>
          <w:noProof/>
          <w:sz w:val="24"/>
          <w:szCs w:val="24"/>
        </w:rPr>
        <w:t>voluntary, conditional or mandatory</w:t>
      </w:r>
      <w:r>
        <w:rPr>
          <w:rFonts w:ascii="Times New Roman" w:eastAsia="Times New Roman" w:hAnsi="Times New Roman" w:cs="Times New Roman"/>
          <w:noProof/>
          <w:sz w:val="24"/>
          <w:szCs w:val="24"/>
        </w:rPr>
        <w:t xml:space="preserve"> nature of the practices included in greening</w:t>
      </w:r>
      <w:r>
        <w:rPr>
          <w:rFonts w:ascii="Times New Roman" w:eastAsia="Times New Roman" w:hAnsi="Times New Roman" w:cs="Times New Roman"/>
          <w:noProof/>
          <w:sz w:val="24"/>
          <w:szCs w:val="24"/>
          <w:vertAlign w:val="superscript"/>
        </w:rPr>
        <w:footnoteReference w:id="154"/>
      </w:r>
      <w:r>
        <w:rPr>
          <w:rFonts w:ascii="Times New Roman" w:eastAsia="Times New Roman" w:hAnsi="Times New Roman" w:cs="Times New Roman"/>
          <w:noProof/>
          <w:sz w:val="24"/>
          <w:szCs w:val="24"/>
        </w:rPr>
        <w:t xml:space="preserve">: although participants did understand the possibility to voluntarily opt-out, some described the scheme as mandatory because they needed this payment. </w:t>
      </w:r>
      <w:r>
        <w:rPr>
          <w:rFonts w:ascii="Times New Roman" w:eastAsia="Times New Roman" w:hAnsi="Times New Roman" w:cs="Times New Roman"/>
          <w:noProof/>
          <w:sz w:val="24"/>
          <w:szCs w:val="24"/>
        </w:rPr>
        <w:t>Participants indeed comply with the greening requirements, mainly because they fear losing part of their basic payments</w:t>
      </w:r>
      <w:r>
        <w:rPr>
          <w:rFonts w:ascii="Times New Roman" w:eastAsia="Times New Roman" w:hAnsi="Times New Roman" w:cs="Times New Roman"/>
          <w:noProof/>
          <w:sz w:val="24"/>
          <w:szCs w:val="24"/>
          <w:vertAlign w:val="superscript"/>
        </w:rPr>
        <w:footnoteReference w:id="155"/>
      </w:r>
      <w:r>
        <w:rPr>
          <w:rFonts w:ascii="Times New Roman" w:eastAsia="Times New Roman" w:hAnsi="Times New Roman" w:cs="Times New Roman"/>
          <w:noProof/>
          <w:sz w:val="24"/>
          <w:szCs w:val="24"/>
        </w:rPr>
        <w:t xml:space="preserve">. Likewise, the </w:t>
      </w:r>
      <w:r>
        <w:rPr>
          <w:rFonts w:ascii="Times New Roman" w:eastAsia="Times New Roman" w:hAnsi="Times New Roman" w:cs="Times New Roman"/>
          <w:b/>
          <w:noProof/>
          <w:sz w:val="24"/>
          <w:szCs w:val="24"/>
        </w:rPr>
        <w:t>complement/bonus or a due/right</w:t>
      </w:r>
      <w:r>
        <w:rPr>
          <w:rFonts w:ascii="Times New Roman" w:eastAsia="Times New Roman" w:hAnsi="Times New Roman" w:cs="Times New Roman"/>
          <w:noProof/>
          <w:sz w:val="24"/>
          <w:szCs w:val="24"/>
          <w:vertAlign w:val="superscript"/>
        </w:rPr>
        <w:footnoteReference w:id="156"/>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nature of greening was a disputed concept and the concept of 'conditionality' was virtu</w:t>
      </w:r>
      <w:r>
        <w:rPr>
          <w:rFonts w:ascii="Times New Roman" w:eastAsia="Times New Roman" w:hAnsi="Times New Roman" w:cs="Times New Roman"/>
          <w:noProof/>
          <w:sz w:val="24"/>
          <w:szCs w:val="24"/>
        </w:rPr>
        <w:t xml:space="preserve">ally not used in participants' own words to describe greening.  </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Greening</w:t>
      </w:r>
      <w:r>
        <w:rPr>
          <w:rFonts w:ascii="Times New Roman" w:eastAsia="Times New Roman" w:hAnsi="Times New Roman" w:cs="Times New Roman"/>
          <w:noProof/>
          <w:sz w:val="24"/>
          <w:szCs w:val="24"/>
        </w:rPr>
        <w:t xml:space="preserve"> tends to be viewed </w:t>
      </w:r>
      <w:r>
        <w:rPr>
          <w:rFonts w:ascii="Times New Roman" w:eastAsia="Times New Roman" w:hAnsi="Times New Roman" w:cs="Times New Roman"/>
          <w:b/>
          <w:noProof/>
          <w:sz w:val="24"/>
          <w:szCs w:val="24"/>
        </w:rPr>
        <w:t>positively</w:t>
      </w:r>
      <w:r>
        <w:rPr>
          <w:rFonts w:ascii="Times New Roman" w:eastAsia="Times New Roman" w:hAnsi="Times New Roman" w:cs="Times New Roman"/>
          <w:noProof/>
          <w:sz w:val="24"/>
          <w:szCs w:val="24"/>
        </w:rPr>
        <w:t xml:space="preserve"> as it provides some tangible </w:t>
      </w:r>
      <w:r>
        <w:rPr>
          <w:rFonts w:ascii="Times New Roman" w:eastAsia="Times New Roman" w:hAnsi="Times New Roman" w:cs="Times New Roman"/>
          <w:b/>
          <w:noProof/>
          <w:sz w:val="24"/>
          <w:szCs w:val="24"/>
        </w:rPr>
        <w:t>benefits</w:t>
      </w:r>
      <w:r>
        <w:rPr>
          <w:rFonts w:ascii="Times New Roman" w:eastAsia="Times New Roman" w:hAnsi="Times New Roman" w:cs="Times New Roman"/>
          <w:noProof/>
          <w:sz w:val="24"/>
          <w:szCs w:val="24"/>
        </w:rPr>
        <w:t>, mainly for wildlife (ecological focus areas)</w:t>
      </w:r>
      <w:r>
        <w:rPr>
          <w:rFonts w:ascii="Times New Roman" w:eastAsia="Times New Roman" w:hAnsi="Times New Roman" w:cs="Times New Roman"/>
          <w:noProof/>
          <w:sz w:val="24"/>
          <w:szCs w:val="24"/>
          <w:vertAlign w:val="superscript"/>
        </w:rPr>
        <w:footnoteReference w:id="157"/>
      </w:r>
      <w:r>
        <w:rPr>
          <w:rFonts w:ascii="Times New Roman" w:eastAsia="Times New Roman" w:hAnsi="Times New Roman" w:cs="Times New Roman"/>
          <w:noProof/>
          <w:sz w:val="24"/>
          <w:szCs w:val="24"/>
        </w:rPr>
        <w:t xml:space="preserve">, for soils (crop diversification and catch crops mean less need of </w:t>
      </w:r>
      <w:r>
        <w:rPr>
          <w:rFonts w:ascii="Times New Roman" w:eastAsia="Times New Roman" w:hAnsi="Times New Roman" w:cs="Times New Roman"/>
          <w:noProof/>
          <w:sz w:val="24"/>
          <w:szCs w:val="24"/>
        </w:rPr>
        <w:t>chemicals)</w:t>
      </w:r>
      <w:r>
        <w:rPr>
          <w:rFonts w:ascii="Times New Roman" w:eastAsia="Times New Roman" w:hAnsi="Times New Roman" w:cs="Times New Roman"/>
          <w:noProof/>
          <w:sz w:val="24"/>
          <w:szCs w:val="24"/>
          <w:vertAlign w:val="superscript"/>
        </w:rPr>
        <w:footnoteReference w:id="158"/>
      </w:r>
      <w:r>
        <w:rPr>
          <w:rFonts w:ascii="Times New Roman" w:eastAsia="Times New Roman" w:hAnsi="Times New Roman" w:cs="Times New Roman"/>
          <w:noProof/>
          <w:sz w:val="24"/>
          <w:szCs w:val="24"/>
        </w:rPr>
        <w:t xml:space="preserve"> and ultimately for business</w:t>
      </w:r>
      <w:r>
        <w:rPr>
          <w:rFonts w:ascii="Times New Roman" w:eastAsia="Times New Roman" w:hAnsi="Times New Roman" w:cs="Times New Roman"/>
          <w:noProof/>
          <w:sz w:val="24"/>
          <w:szCs w:val="24"/>
          <w:vertAlign w:val="superscript"/>
        </w:rPr>
        <w:footnoteReference w:id="159"/>
      </w:r>
      <w:r>
        <w:rPr>
          <w:rFonts w:ascii="Times New Roman" w:eastAsia="Times New Roman" w:hAnsi="Times New Roman" w:cs="Times New Roman"/>
          <w:noProof/>
          <w:sz w:val="24"/>
          <w:szCs w:val="24"/>
        </w:rPr>
        <w:t>, without too much constraints</w:t>
      </w:r>
      <w:r>
        <w:rPr>
          <w:rFonts w:ascii="Times New Roman" w:eastAsia="Times New Roman" w:hAnsi="Times New Roman" w:cs="Times New Roman"/>
          <w:noProof/>
          <w:sz w:val="24"/>
          <w:szCs w:val="24"/>
          <w:vertAlign w:val="superscript"/>
        </w:rPr>
        <w:footnoteReference w:id="160"/>
      </w:r>
      <w:r>
        <w:rPr>
          <w:rFonts w:ascii="Times New Roman" w:eastAsia="Times New Roman" w:hAnsi="Times New Roman" w:cs="Times New Roman"/>
          <w:noProof/>
          <w:sz w:val="24"/>
          <w:szCs w:val="24"/>
        </w:rPr>
        <w:t xml:space="preserve">. The three main points of concern spontaneously discussed were the </w:t>
      </w:r>
      <w:r>
        <w:rPr>
          <w:rFonts w:ascii="Times New Roman" w:eastAsia="Times New Roman" w:hAnsi="Times New Roman" w:cs="Times New Roman"/>
          <w:b/>
          <w:noProof/>
          <w:sz w:val="24"/>
          <w:szCs w:val="24"/>
        </w:rPr>
        <w:t>lack of coherence</w:t>
      </w:r>
      <w:r>
        <w:rPr>
          <w:rFonts w:ascii="Times New Roman" w:eastAsia="Times New Roman" w:hAnsi="Times New Roman" w:cs="Times New Roman"/>
          <w:noProof/>
          <w:sz w:val="24"/>
          <w:szCs w:val="24"/>
        </w:rPr>
        <w:t xml:space="preserve"> of some requirements with the stated environmental goals</w:t>
      </w:r>
      <w:r>
        <w:rPr>
          <w:rFonts w:ascii="Times New Roman" w:eastAsia="Times New Roman" w:hAnsi="Times New Roman" w:cs="Times New Roman"/>
          <w:noProof/>
          <w:sz w:val="24"/>
          <w:szCs w:val="24"/>
          <w:vertAlign w:val="superscript"/>
        </w:rPr>
        <w:footnoteReference w:id="161"/>
      </w:r>
      <w:r>
        <w:rPr>
          <w:rFonts w:ascii="Times New Roman" w:eastAsia="Times New Roman" w:hAnsi="Times New Roman" w:cs="Times New Roman"/>
          <w:noProof/>
          <w:sz w:val="24"/>
          <w:szCs w:val="24"/>
        </w:rPr>
        <w:t xml:space="preserve">, </w:t>
      </w:r>
      <w:r>
        <w:rPr>
          <w:rFonts w:ascii="Times New Roman" w:eastAsia="Times New Roman" w:hAnsi="Times New Roman" w:cs="Times New Roman"/>
          <w:b/>
          <w:noProof/>
          <w:sz w:val="24"/>
          <w:szCs w:val="24"/>
        </w:rPr>
        <w:t>scepticism</w:t>
      </w:r>
      <w:r>
        <w:rPr>
          <w:rFonts w:ascii="Times New Roman" w:eastAsia="Times New Roman" w:hAnsi="Times New Roman" w:cs="Times New Roman"/>
          <w:noProof/>
          <w:sz w:val="24"/>
          <w:szCs w:val="24"/>
        </w:rPr>
        <w:t xml:space="preserve"> regarding the true goal of gr</w:t>
      </w:r>
      <w:r>
        <w:rPr>
          <w:rFonts w:ascii="Times New Roman" w:eastAsia="Times New Roman" w:hAnsi="Times New Roman" w:cs="Times New Roman"/>
          <w:noProof/>
          <w:sz w:val="24"/>
          <w:szCs w:val="24"/>
        </w:rPr>
        <w:t>eening</w:t>
      </w:r>
      <w:r>
        <w:rPr>
          <w:rFonts w:ascii="Times New Roman" w:eastAsia="Times New Roman" w:hAnsi="Times New Roman" w:cs="Times New Roman"/>
          <w:noProof/>
          <w:sz w:val="24"/>
          <w:szCs w:val="24"/>
          <w:vertAlign w:val="superscript"/>
        </w:rPr>
        <w:footnoteReference w:id="162"/>
      </w:r>
      <w:r>
        <w:rPr>
          <w:rFonts w:ascii="Times New Roman" w:eastAsia="Times New Roman" w:hAnsi="Times New Roman" w:cs="Times New Roman"/>
          <w:noProof/>
          <w:sz w:val="24"/>
          <w:szCs w:val="24"/>
        </w:rPr>
        <w:t xml:space="preserve"> and the lack of </w:t>
      </w:r>
      <w:r>
        <w:rPr>
          <w:rFonts w:ascii="Times New Roman" w:eastAsia="Times New Roman" w:hAnsi="Times New Roman" w:cs="Times New Roman"/>
          <w:b/>
          <w:noProof/>
          <w:sz w:val="24"/>
          <w:szCs w:val="24"/>
        </w:rPr>
        <w:t>additivity</w:t>
      </w:r>
      <w:r>
        <w:rPr>
          <w:rFonts w:ascii="Times New Roman" w:eastAsia="Times New Roman" w:hAnsi="Times New Roman" w:cs="Times New Roman"/>
          <w:noProof/>
          <w:sz w:val="24"/>
          <w:szCs w:val="24"/>
          <w:vertAlign w:val="superscript"/>
        </w:rPr>
        <w:footnoteReference w:id="163"/>
      </w:r>
      <w:r>
        <w:rPr>
          <w:rFonts w:ascii="Times New Roman" w:eastAsia="Times New Roman" w:hAnsi="Times New Roman" w:cs="Times New Roman"/>
          <w:noProof/>
          <w:sz w:val="24"/>
          <w:szCs w:val="24"/>
        </w:rPr>
        <w:t>. There is a perception, also, that greening demands could increase in the future</w:t>
      </w:r>
      <w:r>
        <w:rPr>
          <w:rFonts w:ascii="Times New Roman" w:eastAsia="Times New Roman" w:hAnsi="Times New Roman" w:cs="Times New Roman"/>
          <w:noProof/>
          <w:sz w:val="24"/>
          <w:szCs w:val="24"/>
          <w:vertAlign w:val="superscript"/>
        </w:rPr>
        <w:footnoteReference w:id="164"/>
      </w:r>
      <w:r>
        <w:rPr>
          <w:rFonts w:ascii="Times New Roman" w:eastAsia="Times New Roman" w:hAnsi="Times New Roman" w:cs="Times New Roman"/>
          <w:noProof/>
          <w:sz w:val="24"/>
          <w:szCs w:val="24"/>
        </w:rPr>
        <w:t>.</w:t>
      </w:r>
    </w:p>
    <w:p w:rsidR="00333A1A" w:rsidRDefault="003D29C9">
      <w:pPr>
        <w:pBdr>
          <w:top w:val="single" w:sz="4" w:space="1" w:color="auto"/>
          <w:left w:val="single" w:sz="4" w:space="4" w:color="auto"/>
          <w:bottom w:val="single" w:sz="4" w:space="1" w:color="auto"/>
          <w:right w:val="single" w:sz="4" w:space="4" w:color="auto"/>
        </w:pBdr>
        <w:spacing w:after="0" w:line="240" w:lineRule="auto"/>
        <w:ind w:left="646" w:right="964"/>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Key insights</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Greening is part of participating farmers' understanding of the Common Agricultural Policy.</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voluntary, conditional or </w:t>
      </w:r>
      <w:r>
        <w:rPr>
          <w:rFonts w:ascii="Times New Roman" w:eastAsia="Times New Roman" w:hAnsi="Times New Roman" w:cs="Times New Roman"/>
          <w:noProof/>
          <w:sz w:val="24"/>
          <w:szCs w:val="24"/>
        </w:rPr>
        <w:t>mandatory nature of greening is debated.</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Participating farmers view greening overall as positive even though they express some concerns.</w:t>
      </w:r>
    </w:p>
    <w:p w:rsidR="00333A1A" w:rsidRDefault="003D29C9">
      <w:pPr>
        <w:spacing w:before="360"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Agri-environmental and climate measures</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Overall, participants viewed agri-environmental and climate measures as a </w:t>
      </w:r>
      <w:r>
        <w:rPr>
          <w:rFonts w:ascii="Times New Roman" w:eastAsia="Times New Roman" w:hAnsi="Times New Roman" w:cs="Times New Roman"/>
          <w:noProof/>
          <w:sz w:val="24"/>
          <w:szCs w:val="24"/>
        </w:rPr>
        <w:t>voluntary scheme</w:t>
      </w:r>
      <w:r>
        <w:rPr>
          <w:rFonts w:ascii="Times New Roman" w:eastAsia="Times New Roman" w:hAnsi="Times New Roman" w:cs="Times New Roman"/>
          <w:noProof/>
          <w:sz w:val="24"/>
          <w:szCs w:val="24"/>
          <w:vertAlign w:val="superscript"/>
        </w:rPr>
        <w:footnoteReference w:id="165"/>
      </w:r>
      <w:r>
        <w:rPr>
          <w:rFonts w:ascii="Times New Roman" w:eastAsia="Times New Roman" w:hAnsi="Times New Roman" w:cs="Times New Roman"/>
          <w:noProof/>
          <w:sz w:val="24"/>
          <w:szCs w:val="24"/>
        </w:rPr>
        <w:t xml:space="preserve"> and they were aware of their existence, except most Polish participants in the 'conventional' group</w:t>
      </w:r>
      <w:r>
        <w:rPr>
          <w:rFonts w:ascii="Times New Roman" w:eastAsia="Times New Roman" w:hAnsi="Times New Roman" w:cs="Times New Roman"/>
          <w:noProof/>
          <w:sz w:val="24"/>
          <w:szCs w:val="24"/>
          <w:vertAlign w:val="superscript"/>
        </w:rPr>
        <w:footnoteReference w:id="166"/>
      </w:r>
      <w:r>
        <w:rPr>
          <w:rFonts w:ascii="Times New Roman" w:eastAsia="Times New Roman" w:hAnsi="Times New Roman" w:cs="Times New Roman"/>
          <w:noProof/>
          <w:sz w:val="24"/>
          <w:szCs w:val="24"/>
        </w:rPr>
        <w:t xml:space="preserve">. The </w:t>
      </w:r>
      <w:r>
        <w:rPr>
          <w:rFonts w:ascii="Times New Roman" w:eastAsia="Times New Roman" w:hAnsi="Times New Roman" w:cs="Times New Roman"/>
          <w:b/>
          <w:noProof/>
          <w:sz w:val="24"/>
          <w:szCs w:val="24"/>
        </w:rPr>
        <w:t>motivations</w:t>
      </w:r>
      <w:r>
        <w:rPr>
          <w:rFonts w:ascii="Times New Roman" w:eastAsia="Times New Roman" w:hAnsi="Times New Roman" w:cs="Times New Roman"/>
          <w:noProof/>
          <w:sz w:val="24"/>
          <w:szCs w:val="24"/>
        </w:rPr>
        <w:t xml:space="preserve"> to participate in these voluntary schemes are mainly </w:t>
      </w:r>
      <w:r>
        <w:rPr>
          <w:rFonts w:ascii="Times New Roman" w:eastAsia="Times New Roman" w:hAnsi="Times New Roman" w:cs="Times New Roman"/>
          <w:b/>
          <w:noProof/>
          <w:sz w:val="24"/>
          <w:szCs w:val="24"/>
        </w:rPr>
        <w:t>economic</w:t>
      </w:r>
      <w:r>
        <w:rPr>
          <w:rFonts w:ascii="Times New Roman" w:eastAsia="Times New Roman" w:hAnsi="Times New Roman" w:cs="Times New Roman"/>
          <w:noProof/>
          <w:sz w:val="24"/>
          <w:szCs w:val="24"/>
          <w:vertAlign w:val="superscript"/>
        </w:rPr>
        <w:footnoteReference w:id="167"/>
      </w:r>
      <w:r>
        <w:rPr>
          <w:rFonts w:ascii="Times New Roman" w:eastAsia="Times New Roman" w:hAnsi="Times New Roman" w:cs="Times New Roman"/>
          <w:noProof/>
          <w:sz w:val="24"/>
          <w:szCs w:val="24"/>
        </w:rPr>
        <w:t>: there is indeed a feeling that these schemes provide a m</w:t>
      </w:r>
      <w:r>
        <w:rPr>
          <w:rFonts w:ascii="Times New Roman" w:eastAsia="Times New Roman" w:hAnsi="Times New Roman" w:cs="Times New Roman"/>
          <w:noProof/>
          <w:sz w:val="24"/>
          <w:szCs w:val="24"/>
        </w:rPr>
        <w:t xml:space="preserve">uch-needed financial extra necessary for the economic survival of some farmers. The administrative </w:t>
      </w:r>
      <w:r>
        <w:rPr>
          <w:rFonts w:ascii="Times New Roman" w:eastAsia="Times New Roman" w:hAnsi="Times New Roman" w:cs="Times New Roman"/>
          <w:b/>
          <w:noProof/>
          <w:sz w:val="24"/>
          <w:szCs w:val="24"/>
        </w:rPr>
        <w:t>constraints</w:t>
      </w:r>
      <w:r>
        <w:rPr>
          <w:rFonts w:ascii="Times New Roman" w:eastAsia="Times New Roman" w:hAnsi="Times New Roman" w:cs="Times New Roman"/>
          <w:noProof/>
          <w:sz w:val="24"/>
          <w:szCs w:val="24"/>
        </w:rPr>
        <w:t xml:space="preserve"> as well as the </w:t>
      </w:r>
      <w:r>
        <w:rPr>
          <w:rFonts w:ascii="Times New Roman" w:eastAsia="Times New Roman" w:hAnsi="Times New Roman" w:cs="Times New Roman"/>
          <w:b/>
          <w:noProof/>
          <w:sz w:val="24"/>
          <w:szCs w:val="24"/>
        </w:rPr>
        <w:t>controls</w:t>
      </w:r>
      <w:r>
        <w:rPr>
          <w:rFonts w:ascii="Times New Roman" w:eastAsia="Times New Roman" w:hAnsi="Times New Roman" w:cs="Times New Roman"/>
          <w:noProof/>
          <w:sz w:val="24"/>
          <w:szCs w:val="24"/>
        </w:rPr>
        <w:t xml:space="preserve"> are seen as stringent</w:t>
      </w:r>
      <w:r>
        <w:rPr>
          <w:rFonts w:ascii="Times New Roman" w:eastAsia="Times New Roman" w:hAnsi="Times New Roman" w:cs="Times New Roman"/>
          <w:noProof/>
          <w:sz w:val="24"/>
          <w:szCs w:val="24"/>
          <w:vertAlign w:val="superscript"/>
        </w:rPr>
        <w:footnoteReference w:id="168"/>
      </w:r>
      <w:r>
        <w:rPr>
          <w:rFonts w:ascii="Times New Roman" w:eastAsia="Times New Roman" w:hAnsi="Times New Roman" w:cs="Times New Roman"/>
          <w:noProof/>
          <w:sz w:val="24"/>
          <w:szCs w:val="24"/>
        </w:rPr>
        <w:t xml:space="preserve"> and therefore putt off many participants</w:t>
      </w:r>
      <w:r>
        <w:rPr>
          <w:rFonts w:ascii="Times New Roman" w:eastAsia="Times New Roman" w:hAnsi="Times New Roman" w:cs="Times New Roman"/>
          <w:noProof/>
          <w:sz w:val="24"/>
          <w:szCs w:val="24"/>
          <w:vertAlign w:val="superscript"/>
        </w:rPr>
        <w:footnoteReference w:id="169"/>
      </w:r>
      <w:r>
        <w:rPr>
          <w:rFonts w:ascii="Times New Roman" w:eastAsia="Times New Roman" w:hAnsi="Times New Roman" w:cs="Times New Roman"/>
          <w:noProof/>
          <w:sz w:val="24"/>
          <w:szCs w:val="24"/>
        </w:rPr>
        <w:t>.</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focus groups in France and Poland, participants expr</w:t>
      </w:r>
      <w:r>
        <w:rPr>
          <w:rFonts w:ascii="Times New Roman" w:eastAsia="Times New Roman" w:hAnsi="Times New Roman" w:cs="Times New Roman"/>
          <w:noProof/>
          <w:sz w:val="24"/>
          <w:szCs w:val="24"/>
        </w:rPr>
        <w:t xml:space="preserve">essed some scepticism regarding agri-environmental and climate measures: French participants saw them as </w:t>
      </w:r>
      <w:r>
        <w:rPr>
          <w:rFonts w:ascii="Times New Roman" w:eastAsia="Times New Roman" w:hAnsi="Times New Roman" w:cs="Times New Roman"/>
          <w:b/>
          <w:noProof/>
          <w:sz w:val="24"/>
          <w:szCs w:val="24"/>
        </w:rPr>
        <w:t xml:space="preserve">too selective </w:t>
      </w:r>
      <w:r>
        <w:rPr>
          <w:rFonts w:ascii="Times New Roman" w:eastAsia="Times New Roman" w:hAnsi="Times New Roman" w:cs="Times New Roman"/>
          <w:noProof/>
          <w:sz w:val="24"/>
          <w:szCs w:val="24"/>
        </w:rPr>
        <w:t>in their criteria</w:t>
      </w:r>
      <w:r>
        <w:rPr>
          <w:rFonts w:ascii="Times New Roman" w:eastAsia="Times New Roman" w:hAnsi="Times New Roman" w:cs="Times New Roman"/>
          <w:noProof/>
          <w:sz w:val="24"/>
          <w:szCs w:val="24"/>
          <w:vertAlign w:val="superscript"/>
        </w:rPr>
        <w:footnoteReference w:id="170"/>
      </w:r>
      <w:r>
        <w:rPr>
          <w:rFonts w:ascii="Times New Roman" w:eastAsia="Times New Roman" w:hAnsi="Times New Roman" w:cs="Times New Roman"/>
          <w:noProof/>
          <w:sz w:val="24"/>
          <w:szCs w:val="24"/>
        </w:rPr>
        <w:t xml:space="preserve"> and sometimes not additive</w:t>
      </w:r>
      <w:r>
        <w:rPr>
          <w:rFonts w:ascii="Times New Roman" w:eastAsia="Times New Roman" w:hAnsi="Times New Roman" w:cs="Times New Roman"/>
          <w:noProof/>
          <w:sz w:val="24"/>
          <w:szCs w:val="24"/>
          <w:vertAlign w:val="superscript"/>
        </w:rPr>
        <w:footnoteReference w:id="171"/>
      </w:r>
      <w:r>
        <w:rPr>
          <w:rFonts w:ascii="Times New Roman" w:eastAsia="Times New Roman" w:hAnsi="Times New Roman" w:cs="Times New Roman"/>
          <w:noProof/>
          <w:sz w:val="24"/>
          <w:szCs w:val="24"/>
        </w:rPr>
        <w:t>, and mentioned that these voluntary schemes are mainly signed by smaller farmers due to th</w:t>
      </w:r>
      <w:r>
        <w:rPr>
          <w:rFonts w:ascii="Times New Roman" w:eastAsia="Times New Roman" w:hAnsi="Times New Roman" w:cs="Times New Roman"/>
          <w:noProof/>
          <w:sz w:val="24"/>
          <w:szCs w:val="24"/>
        </w:rPr>
        <w:t>eir high need for additional income</w:t>
      </w:r>
      <w:r>
        <w:rPr>
          <w:rFonts w:ascii="Times New Roman" w:eastAsia="Times New Roman" w:hAnsi="Times New Roman" w:cs="Times New Roman"/>
          <w:noProof/>
          <w:sz w:val="24"/>
          <w:szCs w:val="24"/>
          <w:vertAlign w:val="superscript"/>
        </w:rPr>
        <w:footnoteReference w:id="172"/>
      </w:r>
      <w:r>
        <w:rPr>
          <w:rFonts w:ascii="Times New Roman" w:eastAsia="Times New Roman" w:hAnsi="Times New Roman" w:cs="Times New Roman"/>
          <w:noProof/>
          <w:sz w:val="24"/>
          <w:szCs w:val="24"/>
        </w:rPr>
        <w:t xml:space="preserve">. Among the main points of concern, Polish participants repeatedly mentioned </w:t>
      </w:r>
      <w:r>
        <w:rPr>
          <w:rFonts w:ascii="Times New Roman" w:eastAsia="Times New Roman" w:hAnsi="Times New Roman" w:cs="Times New Roman"/>
          <w:b/>
          <w:noProof/>
          <w:sz w:val="24"/>
          <w:szCs w:val="24"/>
        </w:rPr>
        <w:t>information asymmetry</w:t>
      </w:r>
      <w:r>
        <w:rPr>
          <w:rFonts w:ascii="Times New Roman" w:eastAsia="Times New Roman" w:hAnsi="Times New Roman" w:cs="Times New Roman"/>
          <w:noProof/>
          <w:sz w:val="24"/>
          <w:szCs w:val="24"/>
        </w:rPr>
        <w:t xml:space="preserve"> (i.e. there is a perception that some farmers have access to privileged, early information on some calls for voluntary sc</w:t>
      </w:r>
      <w:r>
        <w:rPr>
          <w:rFonts w:ascii="Times New Roman" w:eastAsia="Times New Roman" w:hAnsi="Times New Roman" w:cs="Times New Roman"/>
          <w:noProof/>
          <w:sz w:val="24"/>
          <w:szCs w:val="24"/>
        </w:rPr>
        <w:t>hemes)</w:t>
      </w:r>
      <w:r>
        <w:rPr>
          <w:rFonts w:ascii="Times New Roman" w:eastAsia="Times New Roman" w:hAnsi="Times New Roman" w:cs="Times New Roman"/>
          <w:noProof/>
          <w:sz w:val="24"/>
          <w:szCs w:val="24"/>
          <w:vertAlign w:val="superscript"/>
        </w:rPr>
        <w:footnoteReference w:id="173"/>
      </w:r>
      <w:r>
        <w:rPr>
          <w:rFonts w:ascii="Times New Roman" w:eastAsia="Times New Roman" w:hAnsi="Times New Roman" w:cs="Times New Roman"/>
          <w:noProof/>
          <w:sz w:val="24"/>
          <w:szCs w:val="24"/>
        </w:rPr>
        <w:t>, difficulty in applying</w:t>
      </w:r>
      <w:r>
        <w:rPr>
          <w:rFonts w:ascii="Times New Roman" w:eastAsia="Times New Roman" w:hAnsi="Times New Roman" w:cs="Times New Roman"/>
          <w:noProof/>
          <w:sz w:val="24"/>
          <w:szCs w:val="24"/>
          <w:vertAlign w:val="superscript"/>
        </w:rPr>
        <w:footnoteReference w:id="174"/>
      </w:r>
      <w:r>
        <w:rPr>
          <w:rFonts w:ascii="Times New Roman" w:eastAsia="Times New Roman" w:hAnsi="Times New Roman" w:cs="Times New Roman"/>
          <w:noProof/>
          <w:sz w:val="24"/>
          <w:szCs w:val="24"/>
        </w:rPr>
        <w:t xml:space="preserve"> and </w:t>
      </w:r>
      <w:r>
        <w:rPr>
          <w:rFonts w:ascii="Times New Roman" w:eastAsia="Times New Roman" w:hAnsi="Times New Roman" w:cs="Times New Roman"/>
          <w:b/>
          <w:noProof/>
          <w:sz w:val="24"/>
          <w:szCs w:val="24"/>
        </w:rPr>
        <w:t>biased granting</w:t>
      </w:r>
      <w:r>
        <w:rPr>
          <w:rFonts w:ascii="Times New Roman" w:eastAsia="Times New Roman" w:hAnsi="Times New Roman" w:cs="Times New Roman"/>
          <w:noProof/>
          <w:sz w:val="24"/>
          <w:szCs w:val="24"/>
        </w:rPr>
        <w:t xml:space="preserve"> of the schemes</w:t>
      </w:r>
      <w:r>
        <w:rPr>
          <w:rFonts w:ascii="Times New Roman" w:eastAsia="Times New Roman" w:hAnsi="Times New Roman" w:cs="Times New Roman"/>
          <w:noProof/>
          <w:sz w:val="24"/>
          <w:szCs w:val="24"/>
          <w:vertAlign w:val="superscript"/>
        </w:rPr>
        <w:footnoteReference w:id="175"/>
      </w:r>
      <w:r>
        <w:rPr>
          <w:rFonts w:ascii="Times New Roman" w:eastAsia="Times New Roman" w:hAnsi="Times New Roman" w:cs="Times New Roman"/>
          <w:noProof/>
          <w:sz w:val="24"/>
          <w:szCs w:val="24"/>
        </w:rPr>
        <w:t>. Virtually all groups digressed on the issue of changing rules during the completion of the voluntary scheme</w:t>
      </w:r>
      <w:r>
        <w:rPr>
          <w:rFonts w:ascii="Times New Roman" w:eastAsia="Times New Roman" w:hAnsi="Times New Roman" w:cs="Times New Roman"/>
          <w:noProof/>
          <w:sz w:val="24"/>
          <w:szCs w:val="24"/>
          <w:vertAlign w:val="superscript"/>
        </w:rPr>
        <w:footnoteReference w:id="176"/>
      </w:r>
      <w:r>
        <w:rPr>
          <w:rFonts w:ascii="Times New Roman" w:eastAsia="Times New Roman" w:hAnsi="Times New Roman" w:cs="Times New Roman"/>
          <w:noProof/>
          <w:sz w:val="24"/>
          <w:szCs w:val="24"/>
        </w:rPr>
        <w:t>.</w:t>
      </w:r>
    </w:p>
    <w:p w:rsidR="00333A1A" w:rsidRDefault="003D29C9">
      <w:pPr>
        <w:pBdr>
          <w:top w:val="single" w:sz="4" w:space="1" w:color="auto"/>
          <w:left w:val="single" w:sz="4" w:space="4" w:color="auto"/>
          <w:bottom w:val="single" w:sz="4" w:space="1" w:color="auto"/>
          <w:right w:val="single" w:sz="4" w:space="4" w:color="auto"/>
        </w:pBdr>
        <w:spacing w:after="0" w:line="240" w:lineRule="auto"/>
        <w:ind w:left="646" w:right="964"/>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Key insights</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existence and nature of agri-environmental and climate meas</w:t>
      </w:r>
      <w:r>
        <w:rPr>
          <w:rFonts w:ascii="Times New Roman" w:eastAsia="Times New Roman" w:hAnsi="Times New Roman" w:cs="Times New Roman"/>
          <w:noProof/>
          <w:sz w:val="24"/>
          <w:szCs w:val="24"/>
        </w:rPr>
        <w:t>ures is well understood, with the notable exception of Polish participants in the conventional group.</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Environmental motives generally play little role in sign-up.</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Participants in Poland view agri-environmental and climate measures as difficult to obtain be</w:t>
      </w:r>
      <w:r>
        <w:rPr>
          <w:rFonts w:ascii="Times New Roman" w:eastAsia="Times New Roman" w:hAnsi="Times New Roman" w:cs="Times New Roman"/>
          <w:noProof/>
          <w:sz w:val="24"/>
          <w:szCs w:val="24"/>
        </w:rPr>
        <w:t>cause of information asymmetry and biased granting.</w:t>
      </w:r>
    </w:p>
    <w:p w:rsidR="00333A1A" w:rsidRDefault="003D29C9">
      <w:pPr>
        <w:spacing w:before="360"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Recommendations for future incentive schemes</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Throughout the focus groups, farmers' narratives abundantly revolved around how incentive schemes </w:t>
      </w:r>
      <w:r>
        <w:rPr>
          <w:rFonts w:ascii="Times New Roman" w:eastAsia="Times New Roman" w:hAnsi="Times New Roman" w:cs="Times New Roman"/>
          <w:i/>
          <w:noProof/>
          <w:sz w:val="24"/>
          <w:szCs w:val="24"/>
        </w:rPr>
        <w:t>should</w:t>
      </w:r>
      <w:r>
        <w:rPr>
          <w:rFonts w:ascii="Times New Roman" w:eastAsia="Times New Roman" w:hAnsi="Times New Roman" w:cs="Times New Roman"/>
          <w:noProof/>
          <w:sz w:val="24"/>
          <w:szCs w:val="24"/>
        </w:rPr>
        <w:t xml:space="preserve"> be designed. The following box summarises the main recommendations.</w:t>
      </w:r>
    </w:p>
    <w:p w:rsidR="00333A1A" w:rsidRDefault="003D29C9">
      <w:pPr>
        <w:pBdr>
          <w:top w:val="single" w:sz="4" w:space="1" w:color="auto"/>
          <w:left w:val="single" w:sz="4" w:space="4" w:color="auto"/>
          <w:bottom w:val="single" w:sz="4" w:space="1" w:color="auto"/>
          <w:right w:val="single" w:sz="4" w:space="4" w:color="auto"/>
        </w:pBdr>
        <w:spacing w:after="0" w:line="240" w:lineRule="auto"/>
        <w:ind w:left="646" w:right="964"/>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Key insights</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Incentive schemes should still come from the EU</w:t>
      </w:r>
      <w:r>
        <w:rPr>
          <w:rFonts w:ascii="Times New Roman" w:eastAsia="Times New Roman" w:hAnsi="Times New Roman" w:cs="Times New Roman"/>
          <w:noProof/>
          <w:sz w:val="24"/>
          <w:szCs w:val="24"/>
          <w:vertAlign w:val="superscript"/>
        </w:rPr>
        <w:footnoteReference w:id="177"/>
      </w:r>
      <w:r>
        <w:rPr>
          <w:rFonts w:ascii="Times New Roman" w:eastAsia="Times New Roman" w:hAnsi="Times New Roman" w:cs="Times New Roman"/>
          <w:noProof/>
          <w:sz w:val="24"/>
          <w:szCs w:val="24"/>
        </w:rPr>
        <w:t>.</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 xml:space="preserve">A better knowledge of farming in general and rural, local conditions in particular is needed to design coherent and </w:t>
      </w:r>
      <w:r>
        <w:rPr>
          <w:rFonts w:ascii="Times New Roman" w:eastAsia="Times New Roman" w:hAnsi="Times New Roman" w:cs="Times New Roman"/>
          <w:noProof/>
          <w:sz w:val="24"/>
          <w:szCs w:val="24"/>
        </w:rPr>
        <w:t>meaningful incentives</w:t>
      </w:r>
      <w:r>
        <w:rPr>
          <w:rFonts w:ascii="Times New Roman" w:eastAsia="Times New Roman" w:hAnsi="Times New Roman" w:cs="Times New Roman"/>
          <w:noProof/>
          <w:sz w:val="24"/>
          <w:szCs w:val="24"/>
          <w:vertAlign w:val="superscript"/>
        </w:rPr>
        <w:footnoteReference w:id="178"/>
      </w:r>
      <w:r>
        <w:rPr>
          <w:rFonts w:ascii="Times New Roman" w:eastAsia="Times New Roman" w:hAnsi="Times New Roman" w:cs="Times New Roman"/>
          <w:noProof/>
          <w:sz w:val="24"/>
          <w:szCs w:val="24"/>
        </w:rPr>
        <w:t xml:space="preserve"> .</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Better educating consumers about the value of environmentally-friendly products</w:t>
      </w:r>
      <w:r>
        <w:rPr>
          <w:rFonts w:ascii="Times New Roman" w:eastAsia="Times New Roman" w:hAnsi="Times New Roman" w:cs="Times New Roman"/>
          <w:noProof/>
          <w:sz w:val="24"/>
          <w:szCs w:val="24"/>
          <w:vertAlign w:val="superscript"/>
        </w:rPr>
        <w:footnoteReference w:id="179"/>
      </w:r>
      <w:r>
        <w:rPr>
          <w:rFonts w:ascii="Times New Roman" w:eastAsia="Times New Roman" w:hAnsi="Times New Roman" w:cs="Times New Roman"/>
          <w:noProof/>
          <w:sz w:val="24"/>
          <w:szCs w:val="24"/>
        </w:rPr>
        <w:t xml:space="preserve"> would allow farmers to sell their products at a better price.</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Targeting incentive schemes to 'real' farmers</w:t>
      </w:r>
      <w:r>
        <w:rPr>
          <w:rFonts w:ascii="Times New Roman" w:eastAsia="Times New Roman" w:hAnsi="Times New Roman" w:cs="Times New Roman"/>
          <w:noProof/>
          <w:sz w:val="24"/>
          <w:szCs w:val="24"/>
          <w:vertAlign w:val="superscript"/>
        </w:rPr>
        <w:footnoteReference w:id="180"/>
      </w:r>
      <w:r>
        <w:rPr>
          <w:rFonts w:ascii="Times New Roman" w:eastAsia="Times New Roman" w:hAnsi="Times New Roman" w:cs="Times New Roman"/>
          <w:noProof/>
          <w:sz w:val="24"/>
          <w:szCs w:val="24"/>
        </w:rPr>
        <w:t xml:space="preserve"> and, more specifically, to small farmers</w:t>
      </w:r>
      <w:r>
        <w:rPr>
          <w:rFonts w:ascii="Times New Roman" w:eastAsia="Times New Roman" w:hAnsi="Times New Roman" w:cs="Times New Roman"/>
          <w:noProof/>
          <w:sz w:val="24"/>
          <w:szCs w:val="24"/>
          <w:vertAlign w:val="superscript"/>
        </w:rPr>
        <w:footnoteReference w:id="181"/>
      </w:r>
      <w:r>
        <w:rPr>
          <w:rFonts w:ascii="Times New Roman" w:eastAsia="Times New Roman" w:hAnsi="Times New Roman" w:cs="Times New Roman"/>
          <w:noProof/>
          <w:sz w:val="24"/>
          <w:szCs w:val="24"/>
        </w:rPr>
        <w:t>.</w:t>
      </w:r>
    </w:p>
    <w:p w:rsidR="00333A1A" w:rsidRDefault="003D29C9">
      <w:pPr>
        <w:numPr>
          <w:ilvl w:val="0"/>
          <w:numId w:val="57"/>
        </w:numPr>
        <w:pBdr>
          <w:top w:val="single" w:sz="4" w:space="1" w:color="auto"/>
          <w:left w:val="single" w:sz="4" w:space="4" w:color="auto"/>
          <w:bottom w:val="single" w:sz="4" w:space="1" w:color="auto"/>
          <w:right w:val="single" w:sz="4" w:space="4" w:color="auto"/>
        </w:pBdr>
        <w:spacing w:after="0" w:line="240" w:lineRule="auto"/>
        <w:ind w:right="964"/>
        <w:contextualSpacing/>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More level-playing field between farmers as to voluntary schemes, between EU Member States and between the EU and the rest of the world as to environmental constraints and controls</w:t>
      </w:r>
      <w:r>
        <w:rPr>
          <w:rFonts w:ascii="Times New Roman" w:eastAsia="Times New Roman" w:hAnsi="Times New Roman" w:cs="Times New Roman"/>
          <w:noProof/>
          <w:sz w:val="24"/>
          <w:szCs w:val="24"/>
          <w:vertAlign w:val="superscript"/>
        </w:rPr>
        <w:footnoteReference w:id="182"/>
      </w:r>
      <w:r>
        <w:rPr>
          <w:rFonts w:ascii="Times New Roman" w:eastAsia="Times New Roman" w:hAnsi="Times New Roman" w:cs="Times New Roman"/>
          <w:noProof/>
          <w:sz w:val="24"/>
          <w:szCs w:val="24"/>
        </w:rPr>
        <w:t>.</w:t>
      </w:r>
    </w:p>
    <w:p w:rsidR="00333A1A" w:rsidRDefault="00333A1A">
      <w:pPr>
        <w:rPr>
          <w:noProof/>
        </w:rPr>
      </w:pPr>
    </w:p>
    <w:p w:rsidR="00333A1A" w:rsidRDefault="003D29C9">
      <w:pPr>
        <w:rPr>
          <w:rFonts w:ascii="Times New Roman" w:eastAsia="Times New Roman" w:hAnsi="Times New Roman" w:cs="Times New Roman"/>
          <w:b/>
          <w:noProof/>
          <w:sz w:val="32"/>
          <w:szCs w:val="20"/>
        </w:rPr>
      </w:pPr>
      <w:bookmarkStart w:id="361" w:name="_Toc513053324"/>
      <w:bookmarkStart w:id="362" w:name="_Toc513053540"/>
      <w:r>
        <w:rPr>
          <w:noProof/>
        </w:rPr>
        <w:br w:type="page"/>
      </w:r>
    </w:p>
    <w:p w:rsidR="00333A1A" w:rsidRDefault="003D29C9">
      <w:pPr>
        <w:pStyle w:val="AnnexTitle"/>
        <w:rPr>
          <w:noProof/>
          <w:lang w:val="da-DK"/>
        </w:rPr>
      </w:pPr>
      <w:bookmarkStart w:id="363" w:name="_Toc514514668"/>
      <w:r>
        <w:rPr>
          <w:noProof/>
          <w:lang w:val="da-DK"/>
        </w:rPr>
        <w:t>Annex 9 – Bibliography</w:t>
      </w:r>
      <w:bookmarkEnd w:id="361"/>
      <w:bookmarkEnd w:id="362"/>
      <w:bookmarkEnd w:id="363"/>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lang w:val="da-DK"/>
        </w:rPr>
        <w:t xml:space="preserve">AD </w:t>
      </w:r>
      <w:r>
        <w:rPr>
          <w:rFonts w:ascii="Times New Roman" w:eastAsia="Times New Roman" w:hAnsi="Times New Roman" w:cs="Times New Roman"/>
          <w:i/>
          <w:noProof/>
          <w:color w:val="000000"/>
          <w:sz w:val="24"/>
          <w:szCs w:val="24"/>
          <w:lang w:val="da-DK"/>
        </w:rPr>
        <w:t>et al.</w:t>
      </w:r>
      <w:r>
        <w:rPr>
          <w:rFonts w:ascii="Times New Roman" w:eastAsia="Times New Roman" w:hAnsi="Times New Roman" w:cs="Times New Roman"/>
          <w:noProof/>
          <w:sz w:val="24"/>
          <w:szCs w:val="24"/>
          <w:lang w:val="da-DK"/>
        </w:rPr>
        <w:t xml:space="preserve"> </w:t>
      </w:r>
      <w:r>
        <w:rPr>
          <w:rFonts w:ascii="Times New Roman" w:eastAsia="Times New Roman" w:hAnsi="Times New Roman" w:cs="Times New Roman"/>
          <w:noProof/>
          <w:sz w:val="24"/>
          <w:szCs w:val="24"/>
        </w:rPr>
        <w:t xml:space="preserve">(2009) </w:t>
      </w:r>
      <w:hyperlink r:id="rId91" w:history="1">
        <w:r>
          <w:rPr>
            <w:rFonts w:ascii="Times New Roman" w:eastAsia="Times New Roman" w:hAnsi="Times New Roman" w:cs="Times New Roman"/>
            <w:noProof/>
            <w:color w:val="0000FF"/>
            <w:sz w:val="24"/>
            <w:szCs w:val="24"/>
            <w:u w:val="single"/>
          </w:rPr>
          <w:t xml:space="preserve">Evaluation </w:t>
        </w:r>
        <w:r>
          <w:rPr>
            <w:rFonts w:ascii="Times New Roman" w:eastAsia="Times New Roman" w:hAnsi="Times New Roman" w:cs="Times New Roman"/>
            <w:noProof/>
            <w:color w:val="0000FF"/>
            <w:sz w:val="24"/>
            <w:szCs w:val="24"/>
            <w:u w:val="single"/>
            <w:lang w:val="en"/>
          </w:rPr>
          <w:t>of the Implementation of the Farm Advisory System</w:t>
        </w:r>
      </w:hyperlink>
      <w:r>
        <w:rPr>
          <w:rFonts w:ascii="Times New Roman" w:eastAsia="Times New Roman" w:hAnsi="Times New Roman" w:cs="Times New Roman"/>
          <w:noProof/>
          <w:color w:val="000000"/>
          <w:sz w:val="24"/>
          <w:szCs w:val="24"/>
          <w:lang w:val="en"/>
        </w:rPr>
        <w:t>, Study to the European Commission.</w:t>
      </w:r>
    </w:p>
    <w:p w:rsidR="00333A1A" w:rsidRDefault="003D29C9">
      <w:pPr>
        <w:spacing w:afterLines="60" w:after="144" w:line="240" w:lineRule="auto"/>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 xml:space="preserve">Agricultural Markets Task Force (2016) </w:t>
      </w:r>
      <w:hyperlink r:id="rId92" w:history="1">
        <w:r>
          <w:rPr>
            <w:rFonts w:ascii="Times New Roman" w:eastAsia="Times New Roman" w:hAnsi="Times New Roman" w:cs="Times New Roman"/>
            <w:bCs/>
            <w:noProof/>
            <w:color w:val="0000FF"/>
            <w:sz w:val="24"/>
            <w:szCs w:val="24"/>
            <w:u w:val="single"/>
          </w:rPr>
          <w:t>Improving market outcomes, enhancing the position of farmers in the supply chain</w:t>
        </w:r>
      </w:hyperlink>
      <w:r>
        <w:rPr>
          <w:rFonts w:ascii="Times New Roman" w:eastAsia="Times New Roman" w:hAnsi="Times New Roman" w:cs="Times New Roman"/>
          <w:bCs/>
          <w:noProof/>
          <w:sz w:val="24"/>
          <w:szCs w:val="24"/>
        </w:rPr>
        <w:t xml:space="preserve">, </w:t>
      </w:r>
      <w:r>
        <w:rPr>
          <w:rFonts w:ascii="Times New Roman" w:eastAsia="Times New Roman" w:hAnsi="Times New Roman" w:cs="Times New Roman"/>
          <w:noProof/>
          <w:sz w:val="24"/>
          <w:szCs w:val="24"/>
        </w:rPr>
        <w:t xml:space="preserve">Final </w:t>
      </w:r>
      <w:r>
        <w:rPr>
          <w:rFonts w:ascii="Times New Roman" w:eastAsia="Times New Roman" w:hAnsi="Times New Roman" w:cs="Times New Roman"/>
          <w:bCs/>
          <w:noProof/>
          <w:sz w:val="24"/>
          <w:szCs w:val="24"/>
        </w:rPr>
        <w:t>report for the European Commission.</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Agrosynergie (2015) </w:t>
      </w:r>
      <w:hyperlink r:id="rId93" w:tgtFrame="_self" w:tooltip="Evaluation of Article 68 measures" w:history="1">
        <w:r>
          <w:rPr>
            <w:rFonts w:ascii="Times New Roman" w:hAnsi="Times New Roman" w:cs="Times New Roman"/>
            <w:noProof/>
            <w:color w:val="0000FF"/>
            <w:sz w:val="24"/>
            <w:szCs w:val="24"/>
            <w:u w:val="single"/>
          </w:rPr>
          <w:t>Evaluation of Article 68 measures</w:t>
        </w:r>
      </w:hyperlink>
      <w:r>
        <w:rPr>
          <w:rFonts w:ascii="Times New Roman" w:hAnsi="Times New Roman" w:cs="Times New Roman"/>
          <w:noProof/>
          <w:sz w:val="24"/>
          <w:szCs w:val="24"/>
        </w:rPr>
        <w:t>, Study to the European Commission.</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Agrosynergie GEIE (forthcoming) </w:t>
      </w:r>
      <w:hyperlink r:id="rId94" w:history="1">
        <w:r>
          <w:rPr>
            <w:rFonts w:ascii="Times New Roman" w:hAnsi="Times New Roman" w:cs="Times New Roman"/>
            <w:noProof/>
            <w:color w:val="0000FF" w:themeColor="hyperlink"/>
            <w:sz w:val="24"/>
            <w:szCs w:val="24"/>
            <w:u w:val="single"/>
          </w:rPr>
          <w:t>Impact of the CAP measures towards the general objective "viable food production"</w:t>
        </w:r>
      </w:hyperlink>
      <w:r>
        <w:rPr>
          <w:rFonts w:ascii="Times New Roman" w:hAnsi="Times New Roman" w:cs="Times New Roman"/>
          <w:noProof/>
          <w:sz w:val="24"/>
          <w:szCs w:val="24"/>
        </w:rPr>
        <w:t>, 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lang w:val="en"/>
        </w:rPr>
        <w:t>Alliance Enviro</w:t>
      </w:r>
      <w:r>
        <w:rPr>
          <w:rFonts w:ascii="Times New Roman" w:eastAsia="Times New Roman" w:hAnsi="Times New Roman" w:cs="Times New Roman"/>
          <w:noProof/>
          <w:color w:val="000000"/>
          <w:sz w:val="24"/>
          <w:szCs w:val="24"/>
          <w:lang w:val="en"/>
        </w:rPr>
        <w:t xml:space="preserve">nment (2007) </w:t>
      </w:r>
      <w:hyperlink r:id="rId95" w:history="1">
        <w:r>
          <w:rPr>
            <w:rFonts w:ascii="Times New Roman" w:eastAsia="Times New Roman" w:hAnsi="Times New Roman" w:cs="Times New Roman"/>
            <w:noProof/>
            <w:color w:val="0000FF"/>
            <w:sz w:val="24"/>
            <w:szCs w:val="24"/>
            <w:u w:val="single"/>
            <w:lang w:val="en"/>
          </w:rPr>
          <w:t>Evaluation of the application of cross compliance as foreseen under regulation 1782/2003</w:t>
        </w:r>
      </w:hyperlink>
      <w:r>
        <w:rPr>
          <w:rFonts w:ascii="Times New Roman" w:eastAsia="Times New Roman" w:hAnsi="Times New Roman" w:cs="Times New Roman"/>
          <w:noProof/>
          <w:color w:val="000000"/>
          <w:sz w:val="24"/>
          <w:szCs w:val="24"/>
          <w:lang w:val="en"/>
        </w:rPr>
        <w:t>, 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lang w:val="en"/>
        </w:rPr>
        <w:t xml:space="preserve">Alliance Environment </w:t>
      </w:r>
      <w:r>
        <w:rPr>
          <w:rFonts w:ascii="Times New Roman" w:eastAsia="Times New Roman" w:hAnsi="Times New Roman" w:cs="Times New Roman"/>
          <w:i/>
          <w:noProof/>
          <w:color w:val="000000"/>
          <w:sz w:val="24"/>
          <w:szCs w:val="24"/>
          <w:lang w:val="en"/>
        </w:rPr>
        <w:t>et al.</w:t>
      </w:r>
      <w:r>
        <w:rPr>
          <w:rFonts w:ascii="Times New Roman" w:eastAsia="Times New Roman" w:hAnsi="Times New Roman" w:cs="Times New Roman"/>
          <w:noProof/>
          <w:color w:val="000000"/>
          <w:sz w:val="24"/>
          <w:szCs w:val="24"/>
          <w:lang w:val="en"/>
        </w:rPr>
        <w:t xml:space="preserve"> (2017) </w:t>
      </w:r>
      <w:hyperlink r:id="rId96" w:history="1">
        <w:r>
          <w:rPr>
            <w:rFonts w:ascii="Times New Roman" w:eastAsia="Times New Roman" w:hAnsi="Times New Roman" w:cs="Times New Roman"/>
            <w:noProof/>
            <w:color w:val="0000FF"/>
            <w:sz w:val="24"/>
            <w:szCs w:val="24"/>
            <w:u w:val="single"/>
            <w:lang w:val="en"/>
          </w:rPr>
          <w:t>Evaluation study of the payment for agricultural practices beneficial for the climate and the environment</w:t>
        </w:r>
      </w:hyperlink>
      <w:r>
        <w:rPr>
          <w:rFonts w:ascii="Times New Roman" w:eastAsia="Times New Roman" w:hAnsi="Times New Roman" w:cs="Times New Roman"/>
          <w:noProof/>
          <w:color w:val="000000"/>
          <w:sz w:val="24"/>
          <w:szCs w:val="24"/>
        </w:rPr>
        <w:t>,</w:t>
      </w:r>
      <w:r>
        <w:rPr>
          <w:rFonts w:ascii="Times New Roman" w:eastAsia="Times New Roman" w:hAnsi="Times New Roman" w:cs="Times New Roman"/>
          <w:noProof/>
          <w:color w:val="000000"/>
          <w:sz w:val="24"/>
          <w:szCs w:val="24"/>
          <w:lang w:val="en"/>
        </w:rPr>
        <w:t xml:space="preserve"> Study to the European Comm</w:t>
      </w:r>
      <w:r>
        <w:rPr>
          <w:rFonts w:ascii="Times New Roman" w:eastAsia="Times New Roman" w:hAnsi="Times New Roman" w:cs="Times New Roman"/>
          <w:noProof/>
          <w:color w:val="000000"/>
          <w:sz w:val="24"/>
          <w:szCs w:val="24"/>
          <w:lang w:val="en"/>
        </w:rPr>
        <w:t xml:space="preserve">ission. Report of the evaluator. </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Alterra Wageningen UR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(2011) </w:t>
      </w:r>
      <w:hyperlink r:id="rId97" w:history="1">
        <w:r>
          <w:rPr>
            <w:rFonts w:ascii="Times New Roman" w:eastAsia="Times New Roman" w:hAnsi="Times New Roman" w:cs="Times New Roman"/>
            <w:noProof/>
            <w:color w:val="0000FF"/>
            <w:sz w:val="24"/>
            <w:szCs w:val="24"/>
            <w:u w:val="single"/>
          </w:rPr>
          <w:t xml:space="preserve">Impacts of renewable energy on European farmers. </w:t>
        </w:r>
        <w:r>
          <w:rPr>
            <w:rFonts w:ascii="Times New Roman" w:eastAsia="Times New Roman" w:hAnsi="Times New Roman" w:cs="Times New Roman"/>
            <w:noProof/>
            <w:color w:val="0000FF"/>
            <w:sz w:val="24"/>
            <w:szCs w:val="24"/>
            <w:u w:val="single"/>
          </w:rPr>
          <w:t>Creating benefits for farmers and society</w:t>
        </w:r>
      </w:hyperlink>
      <w:r>
        <w:rPr>
          <w:rFonts w:ascii="Times New Roman" w:eastAsia="Times New Roman" w:hAnsi="Times New Roman" w:cs="Times New Roman"/>
          <w:noProof/>
          <w:sz w:val="24"/>
          <w:szCs w:val="24"/>
        </w:rPr>
        <w:t>, 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Arete (2013) – </w:t>
      </w:r>
      <w:hyperlink r:id="rId98" w:history="1">
        <w:r>
          <w:rPr>
            <w:rFonts w:ascii="Times New Roman" w:eastAsia="Times New Roman" w:hAnsi="Times New Roman" w:cs="Times New Roman"/>
            <w:noProof/>
            <w:color w:val="0000FF"/>
            <w:sz w:val="24"/>
            <w:szCs w:val="24"/>
            <w:u w:val="single"/>
          </w:rPr>
          <w:t>Study on assessing the added value of PDO/PGI products</w:t>
        </w:r>
      </w:hyperlink>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en-US"/>
        </w:rPr>
        <w:t>Study to the Europe</w:t>
      </w:r>
      <w:r>
        <w:rPr>
          <w:rFonts w:ascii="Times New Roman" w:eastAsia="Times New Roman" w:hAnsi="Times New Roman" w:cs="Times New Roman"/>
          <w:noProof/>
          <w:sz w:val="24"/>
          <w:szCs w:val="24"/>
          <w:lang w:val="en-US"/>
        </w:rPr>
        <w:t>an Commission.</w:t>
      </w:r>
    </w:p>
    <w:p w:rsidR="00333A1A" w:rsidRDefault="003D29C9">
      <w:pPr>
        <w:spacing w:afterLines="60" w:after="144" w:line="240" w:lineRule="auto"/>
        <w:jc w:val="both"/>
        <w:rPr>
          <w:rFonts w:ascii="Times New Roman" w:eastAsia="Calibri" w:hAnsi="Times New Roman" w:cs="Times New Roman"/>
          <w:noProof/>
          <w:sz w:val="24"/>
          <w:szCs w:val="24"/>
        </w:rPr>
      </w:pPr>
      <w:r>
        <w:rPr>
          <w:rFonts w:ascii="Times New Roman" w:eastAsia="Times New Roman" w:hAnsi="Times New Roman" w:cs="Times New Roman"/>
          <w:noProof/>
          <w:sz w:val="24"/>
          <w:szCs w:val="24"/>
          <w:lang w:val="es-ES"/>
        </w:rPr>
        <w:t>Arroyo De Sande, C</w:t>
      </w:r>
      <w:r>
        <w:rPr>
          <w:rFonts w:ascii="Times New Roman" w:eastAsia="Times New Roman" w:hAnsi="Times New Roman" w:cs="Times New Roman"/>
          <w:noProof/>
          <w:sz w:val="20"/>
          <w:szCs w:val="20"/>
          <w:lang w:val="es-ES"/>
        </w:rPr>
        <w:t xml:space="preserve"> </w:t>
      </w:r>
      <w:r>
        <w:rPr>
          <w:rFonts w:ascii="Times New Roman" w:eastAsia="Times New Roman" w:hAnsi="Times New Roman" w:cs="Times New Roman"/>
          <w:i/>
          <w:noProof/>
          <w:sz w:val="24"/>
          <w:szCs w:val="24"/>
          <w:lang w:val="es-ES"/>
        </w:rPr>
        <w:t>el al</w:t>
      </w:r>
      <w:r>
        <w:rPr>
          <w:rFonts w:ascii="Times New Roman" w:eastAsia="Times New Roman" w:hAnsi="Times New Roman" w:cs="Times New Roman"/>
          <w:noProof/>
          <w:sz w:val="24"/>
          <w:szCs w:val="24"/>
          <w:lang w:val="es-ES"/>
        </w:rPr>
        <w:t xml:space="preserve">. </w:t>
      </w:r>
      <w:r>
        <w:rPr>
          <w:rFonts w:ascii="Times New Roman" w:eastAsia="Times New Roman" w:hAnsi="Times New Roman" w:cs="Times New Roman"/>
          <w:noProof/>
          <w:sz w:val="24"/>
          <w:szCs w:val="24"/>
        </w:rPr>
        <w:t>(2018) Provision of social care and support services in remote rural areas</w:t>
      </w:r>
      <w:r>
        <w:rPr>
          <w:rFonts w:ascii="Times New Roman" w:eastAsia="Times New Roman" w:hAnsi="Times New Roman" w:cs="Times New Roman"/>
          <w:noProof/>
          <w:sz w:val="24"/>
          <w:szCs w:val="20"/>
        </w:rPr>
        <w:t>:</w:t>
      </w:r>
      <w:r>
        <w:rPr>
          <w:rFonts w:ascii="Times New Roman" w:eastAsia="Calibri" w:hAnsi="Times New Roman" w:cs="Times New Roman"/>
          <w:noProof/>
          <w:sz w:val="24"/>
          <w:szCs w:val="24"/>
        </w:rPr>
        <w:t xml:space="preserve"> Challenges and opportunities, </w:t>
      </w:r>
      <w:r>
        <w:rPr>
          <w:rFonts w:ascii="Times New Roman" w:eastAsia="Times New Roman" w:hAnsi="Times New Roman" w:cs="Times New Roman"/>
          <w:noProof/>
          <w:sz w:val="24"/>
          <w:szCs w:val="24"/>
        </w:rPr>
        <w:t>European association of service providers for persons with disabilities.</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Augère-Granier, M.-L. (2016) </w:t>
      </w:r>
      <w:hyperlink r:id="rId99" w:history="1">
        <w:r>
          <w:rPr>
            <w:rFonts w:ascii="Times New Roman" w:eastAsia="Times New Roman" w:hAnsi="Times New Roman" w:cs="Times New Roman"/>
            <w:noProof/>
            <w:color w:val="0000FF"/>
            <w:sz w:val="24"/>
            <w:szCs w:val="24"/>
            <w:u w:val="single"/>
          </w:rPr>
          <w:t>Short Food Supply Chains and Local Food Systems of the EU</w:t>
        </w:r>
      </w:hyperlink>
      <w:r>
        <w:rPr>
          <w:rFonts w:ascii="Times New Roman" w:eastAsia="Times New Roman" w:hAnsi="Times New Roman" w:cs="Times New Roman"/>
          <w:noProof/>
          <w:sz w:val="24"/>
          <w:szCs w:val="24"/>
        </w:rPr>
        <w:t>, European Parliamentary Research Service.</w:t>
      </w:r>
    </w:p>
    <w:p w:rsidR="00333A1A" w:rsidRDefault="003D29C9">
      <w:pPr>
        <w:autoSpaceDE w:val="0"/>
        <w:autoSpaceDN w:val="0"/>
        <w:adjustRightInd w:val="0"/>
        <w:spacing w:afterLines="60" w:after="144" w:line="240" w:lineRule="auto"/>
        <w:jc w:val="both"/>
        <w:rPr>
          <w:rFonts w:ascii="Times New Roman" w:eastAsia="Calibri" w:hAnsi="Times New Roman" w:cs="Times New Roman"/>
          <w:noProof/>
          <w:color w:val="000000"/>
          <w:sz w:val="24"/>
          <w:szCs w:val="24"/>
        </w:rPr>
      </w:pPr>
      <w:r>
        <w:rPr>
          <w:rFonts w:ascii="Times New Roman" w:eastAsia="Times New Roman" w:hAnsi="Times New Roman" w:cs="Times New Roman"/>
          <w:noProof/>
          <w:sz w:val="24"/>
          <w:szCs w:val="24"/>
        </w:rPr>
        <w:t>Augère-Granier</w:t>
      </w:r>
      <w:r>
        <w:rPr>
          <w:rFonts w:ascii="Times New Roman" w:eastAsia="Calibri" w:hAnsi="Times New Roman" w:cs="Times New Roman"/>
          <w:noProof/>
          <w:color w:val="000000"/>
          <w:sz w:val="24"/>
          <w:szCs w:val="24"/>
        </w:rPr>
        <w:t xml:space="preserve">, </w:t>
      </w:r>
      <w:r>
        <w:rPr>
          <w:rFonts w:ascii="Times New Roman" w:eastAsia="Times New Roman" w:hAnsi="Times New Roman" w:cs="Times New Roman"/>
          <w:noProof/>
          <w:sz w:val="24"/>
          <w:szCs w:val="24"/>
        </w:rPr>
        <w:t xml:space="preserve">M-L. (2017) </w:t>
      </w:r>
      <w:hyperlink r:id="rId100" w:history="1">
        <w:r>
          <w:rPr>
            <w:rFonts w:ascii="Times New Roman" w:eastAsia="Times New Roman" w:hAnsi="Times New Roman" w:cs="Times New Roman"/>
            <w:noProof/>
            <w:color w:val="0000FF"/>
            <w:sz w:val="24"/>
            <w:szCs w:val="24"/>
            <w:u w:val="single"/>
          </w:rPr>
          <w:t>Rural poverty in the European Union</w:t>
        </w:r>
      </w:hyperlink>
      <w:r>
        <w:rPr>
          <w:rFonts w:ascii="Times New Roman" w:eastAsia="Times New Roman" w:hAnsi="Times New Roman" w:cs="Times New Roman"/>
          <w:noProof/>
          <w:sz w:val="24"/>
          <w:szCs w:val="24"/>
        </w:rPr>
        <w:t>, European</w:t>
      </w:r>
      <w:r>
        <w:rPr>
          <w:rFonts w:ascii="Times New Roman" w:eastAsia="Calibri" w:hAnsi="Times New Roman" w:cs="Times New Roman"/>
          <w:noProof/>
          <w:color w:val="000000"/>
          <w:sz w:val="24"/>
          <w:szCs w:val="24"/>
        </w:rPr>
        <w:t xml:space="preserve"> Parliamentary Research Service.</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Baldock, D. </w:t>
      </w:r>
      <w:r>
        <w:rPr>
          <w:rFonts w:ascii="Times New Roman" w:eastAsia="Times New Roman" w:hAnsi="Times New Roman" w:cs="Times New Roman"/>
          <w:i/>
          <w:noProof/>
          <w:sz w:val="24"/>
          <w:szCs w:val="24"/>
        </w:rPr>
        <w:t xml:space="preserve">et al. </w:t>
      </w:r>
      <w:r>
        <w:rPr>
          <w:rFonts w:ascii="Times New Roman" w:eastAsia="Times New Roman" w:hAnsi="Times New Roman" w:cs="Times New Roman"/>
          <w:noProof/>
          <w:sz w:val="24"/>
          <w:szCs w:val="24"/>
        </w:rPr>
        <w:t>(2018)</w:t>
      </w:r>
      <w:r>
        <w:rPr>
          <w:rFonts w:ascii="Times New Roman" w:eastAsia="Times New Roman" w:hAnsi="Times New Roman" w:cs="Times New Roman"/>
          <w:i/>
          <w:noProof/>
          <w:sz w:val="24"/>
          <w:szCs w:val="24"/>
        </w:rPr>
        <w:t xml:space="preserve"> </w:t>
      </w:r>
      <w:hyperlink r:id="rId101" w:history="1">
        <w:r>
          <w:rPr>
            <w:rFonts w:ascii="Times New Roman" w:eastAsia="Times New Roman" w:hAnsi="Times New Roman" w:cs="Times New Roman"/>
            <w:noProof/>
            <w:color w:val="0000FF"/>
            <w:sz w:val="24"/>
            <w:szCs w:val="24"/>
            <w:u w:val="single"/>
          </w:rPr>
          <w:t>Measuring the CAP’s environmental and climate performance</w:t>
        </w:r>
      </w:hyperlink>
      <w:r>
        <w:rPr>
          <w:rFonts w:ascii="Times New Roman" w:eastAsia="Times New Roman" w:hAnsi="Times New Roman" w:cs="Times New Roman"/>
          <w:noProof/>
          <w:sz w:val="24"/>
          <w:szCs w:val="24"/>
        </w:rPr>
        <w:t>,  Institute of European Environmental Policy.</w:t>
      </w:r>
    </w:p>
    <w:p w:rsidR="00333A1A" w:rsidRDefault="003D29C9">
      <w:pPr>
        <w:autoSpaceDE w:val="0"/>
        <w:autoSpaceDN w:val="0"/>
        <w:adjustRightInd w:val="0"/>
        <w:spacing w:afterLines="60" w:after="144" w:line="240" w:lineRule="auto"/>
        <w:jc w:val="both"/>
        <w:rPr>
          <w:rFonts w:ascii="Times New Roman" w:eastAsia="Calibri" w:hAnsi="Times New Roman" w:cs="Times New Roman"/>
          <w:noProof/>
          <w:color w:val="000000"/>
          <w:sz w:val="24"/>
          <w:szCs w:val="24"/>
        </w:rPr>
      </w:pPr>
      <w:r>
        <w:rPr>
          <w:rFonts w:ascii="Times New Roman" w:eastAsia="Times New Roman" w:hAnsi="Times New Roman" w:cs="Times New Roman"/>
          <w:noProof/>
          <w:sz w:val="24"/>
          <w:szCs w:val="24"/>
        </w:rPr>
        <w:t xml:space="preserve">Bardaji, I.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102" w:history="1">
        <w:r>
          <w:rPr>
            <w:rFonts w:ascii="Times New Roman" w:eastAsia="Times New Roman" w:hAnsi="Times New Roman" w:cs="Times New Roman"/>
            <w:noProof/>
            <w:color w:val="0000FF"/>
            <w:sz w:val="24"/>
            <w:szCs w:val="24"/>
            <w:u w:val="single"/>
          </w:rPr>
          <w:t>State of play of risk management: Tools implemented by member States during the period 2014- 2020: national and European frameworks</w:t>
        </w:r>
      </w:hyperlink>
      <w:r>
        <w:rPr>
          <w:rFonts w:ascii="Times New Roman" w:eastAsia="Times New Roman" w:hAnsi="Times New Roman" w:cs="Times New Roman"/>
          <w:noProof/>
          <w:sz w:val="24"/>
          <w:szCs w:val="24"/>
        </w:rPr>
        <w:t xml:space="preserve">, </w:t>
      </w:r>
      <w:r>
        <w:rPr>
          <w:rFonts w:ascii="Times New Roman" w:eastAsia="Calibri" w:hAnsi="Times New Roman" w:cs="Times New Roman"/>
          <w:noProof/>
          <w:color w:val="000000"/>
          <w:sz w:val="24"/>
          <w:szCs w:val="24"/>
        </w:rPr>
        <w:t>Study to the European Parliament Committee on Agriculture and Rural Development.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Beedell</w:t>
      </w:r>
      <w:r>
        <w:rPr>
          <w:rFonts w:ascii="Times New Roman" w:eastAsia="Times New Roman" w:hAnsi="Times New Roman" w:cs="Times New Roman"/>
          <w:noProof/>
          <w:sz w:val="24"/>
          <w:szCs w:val="24"/>
        </w:rPr>
        <w:t xml:space="preserve">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(1999) </w:t>
      </w:r>
      <w:hyperlink r:id="rId103" w:history="1">
        <w:r>
          <w:rPr>
            <w:rFonts w:ascii="Times New Roman" w:eastAsia="Times New Roman" w:hAnsi="Times New Roman" w:cs="Times New Roman"/>
            <w:noProof/>
            <w:color w:val="0000FF"/>
            <w:sz w:val="24"/>
            <w:szCs w:val="24"/>
            <w:u w:val="single"/>
          </w:rPr>
          <w:t>Explaining Farmers’ Conservation Behaviour: Why Do Farmers Behave the Way They Do?</w:t>
        </w:r>
      </w:hyperlink>
      <w:r>
        <w:rPr>
          <w:rFonts w:ascii="Times New Roman" w:eastAsia="Times New Roman" w:hAnsi="Times New Roman" w:cs="Times New Roman"/>
          <w:noProof/>
          <w:sz w:val="24"/>
          <w:szCs w:val="24"/>
        </w:rPr>
        <w:t xml:space="preserve"> Journal of Environmental Management, </w:t>
      </w:r>
      <w:hyperlink r:id="rId104" w:tooltip="Go to table of contents for this volume/issue" w:history="1">
        <w:r>
          <w:rPr>
            <w:rFonts w:ascii="Times New Roman" w:eastAsia="Times New Roman" w:hAnsi="Times New Roman" w:cs="Times New Roman"/>
            <w:noProof/>
            <w:sz w:val="24"/>
            <w:szCs w:val="24"/>
          </w:rPr>
          <w:t>Volume 57, Issue 3</w:t>
        </w:r>
      </w:hyperlink>
      <w:r>
        <w:rPr>
          <w:rFonts w:ascii="Times New Roman" w:eastAsia="Times New Roman" w:hAnsi="Times New Roman" w:cs="Times New Roman"/>
          <w:noProof/>
          <w:sz w:val="24"/>
          <w:szCs w:val="24"/>
        </w:rPr>
        <w:t>.</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231F20"/>
          <w:sz w:val="24"/>
          <w:szCs w:val="24"/>
          <w:lang w:eastAsia="en-GB"/>
        </w:rPr>
        <w:t>Bertolini,</w:t>
      </w:r>
      <w:r>
        <w:rPr>
          <w:rFonts w:ascii="Times New Roman" w:eastAsia="Times New Roman" w:hAnsi="Times New Roman" w:cs="Times New Roman"/>
          <w:noProof/>
          <w:sz w:val="24"/>
          <w:szCs w:val="24"/>
        </w:rPr>
        <w:t xml:space="preserve">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(2008) </w:t>
      </w:r>
      <w:hyperlink r:id="rId105" w:history="1">
        <w:r>
          <w:rPr>
            <w:rFonts w:ascii="Times New Roman" w:eastAsia="Times New Roman" w:hAnsi="Times New Roman" w:cs="Times New Roman"/>
            <w:noProof/>
            <w:color w:val="0000FF"/>
            <w:sz w:val="24"/>
            <w:szCs w:val="24"/>
            <w:u w:val="single"/>
          </w:rPr>
          <w:t>Poverty and social exclusion in</w:t>
        </w:r>
        <w:r>
          <w:rPr>
            <w:rFonts w:ascii="Times New Roman" w:eastAsia="Times New Roman" w:hAnsi="Times New Roman" w:cs="Times New Roman"/>
            <w:noProof/>
            <w:color w:val="0000FF"/>
            <w:sz w:val="24"/>
            <w:szCs w:val="24"/>
            <w:u w:val="single"/>
          </w:rPr>
          <w:t xml:space="preserve"> rural areas</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Study to the European Commission.</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Bijman J.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(2012) </w:t>
      </w:r>
      <w:hyperlink r:id="rId106" w:history="1">
        <w:r>
          <w:rPr>
            <w:rFonts w:ascii="Times New Roman" w:eastAsia="Calibri" w:hAnsi="Times New Roman" w:cs="Times New Roman"/>
            <w:noProof/>
            <w:color w:val="0000FF"/>
            <w:sz w:val="24"/>
            <w:szCs w:val="24"/>
            <w:u w:val="single"/>
          </w:rPr>
          <w:t>Support for Farmers Cooperatives</w:t>
        </w:r>
      </w:hyperlink>
      <w:r>
        <w:rPr>
          <w:rFonts w:ascii="Times New Roman" w:eastAsia="Calibri" w:hAnsi="Times New Roman" w:cs="Times New Roman"/>
          <w:noProof/>
          <w:color w:val="0000FF"/>
          <w:sz w:val="24"/>
          <w:szCs w:val="24"/>
          <w:u w:val="single"/>
        </w:rPr>
        <w:t>,</w:t>
      </w:r>
      <w:r>
        <w:rPr>
          <w:rFonts w:ascii="Times New Roman" w:eastAsia="Calibri" w:hAnsi="Times New Roman" w:cs="Times New Roman"/>
          <w:noProof/>
          <w:color w:val="000000"/>
          <w:sz w:val="24"/>
          <w:szCs w:val="24"/>
        </w:rPr>
        <w:t xml:space="preserve"> </w:t>
      </w:r>
      <w:r>
        <w:rPr>
          <w:rFonts w:ascii="Times New Roman" w:eastAsia="Times New Roman" w:hAnsi="Times New Roman" w:cs="Times New Roman"/>
          <w:noProof/>
          <w:sz w:val="24"/>
          <w:szCs w:val="24"/>
        </w:rPr>
        <w:t>Study to the Europ</w:t>
      </w:r>
      <w:r>
        <w:rPr>
          <w:rFonts w:ascii="Times New Roman" w:eastAsia="Times New Roman" w:hAnsi="Times New Roman" w:cs="Times New Roman"/>
          <w:noProof/>
          <w:sz w:val="24"/>
          <w:szCs w:val="24"/>
        </w:rPr>
        <w:t>ean Commission.</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Blomquist J.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(2014) </w:t>
      </w:r>
      <w:hyperlink r:id="rId107" w:history="1">
        <w:r>
          <w:rPr>
            <w:rFonts w:ascii="Times New Roman" w:hAnsi="Times New Roman" w:cs="Times New Roman"/>
            <w:noProof/>
            <w:color w:val="0000FF"/>
            <w:sz w:val="24"/>
            <w:szCs w:val="24"/>
            <w:u w:val="single"/>
          </w:rPr>
          <w:t>Do the CAP Subsidies Increase Employment in Sweden? Estimating the Open Economy Relative Multiplier Using an Exogenous Change in the CAP</w:t>
        </w:r>
      </w:hyperlink>
      <w:r>
        <w:rPr>
          <w:rFonts w:ascii="Times New Roman" w:hAnsi="Times New Roman" w:cs="Times New Roman"/>
          <w:noProof/>
          <w:color w:val="0000FF"/>
          <w:sz w:val="24"/>
          <w:szCs w:val="24"/>
          <w:u w:val="single"/>
        </w:rPr>
        <w:t>,</w:t>
      </w:r>
      <w:r>
        <w:rPr>
          <w:rFonts w:ascii="Times New Roman" w:hAnsi="Times New Roman" w:cs="Times New Roman"/>
          <w:noProof/>
          <w:sz w:val="24"/>
          <w:szCs w:val="24"/>
        </w:rPr>
        <w:t xml:space="preserve"> EAAE 2014</w:t>
      </w:r>
      <w:r>
        <w:rPr>
          <w:rFonts w:ascii="Times New Roman" w:hAnsi="Times New Roman" w:cs="Times New Roman"/>
          <w:noProof/>
          <w:sz w:val="24"/>
          <w:szCs w:val="24"/>
        </w:rPr>
        <w:t xml:space="preserve"> Congress ‘Agri-Food and Rural Innovations for Healthier Societies’, Ljubljana, Slovenia.</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lang w:val="fr-BE"/>
        </w:rPr>
      </w:pPr>
      <w:r>
        <w:rPr>
          <w:rFonts w:ascii="Times New Roman" w:eastAsia="Times New Roman" w:hAnsi="Times New Roman" w:cs="Times New Roman"/>
          <w:noProof/>
          <w:sz w:val="24"/>
          <w:szCs w:val="24"/>
        </w:rPr>
        <w:t xml:space="preserve">Bock B.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(2015) </w:t>
      </w:r>
      <w:hyperlink r:id="rId108" w:history="1">
        <w:r>
          <w:rPr>
            <w:rFonts w:ascii="Times New Roman" w:eastAsia="Times New Roman" w:hAnsi="Times New Roman" w:cs="Times New Roman"/>
            <w:noProof/>
            <w:color w:val="0000FF"/>
            <w:sz w:val="24"/>
            <w:szCs w:val="24"/>
            <w:u w:val="single"/>
          </w:rPr>
          <w:t>Changing</w:t>
        </w:r>
        <w:r>
          <w:rPr>
            <w:rFonts w:ascii="Times New Roman" w:eastAsia="Times New Roman" w:hAnsi="Times New Roman" w:cs="Times New Roman"/>
            <w:noProof/>
            <w:color w:val="0000FF"/>
            <w:sz w:val="24"/>
            <w:szCs w:val="24"/>
            <w:u w:val="single"/>
          </w:rPr>
          <w:t xml:space="preserve"> social characteristics, patterns of inequality and exclusion.</w:t>
        </w:r>
      </w:hyperlink>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fr-BE"/>
        </w:rPr>
        <w:t>In Territorial cohesion in rural Europe. Editions K.Kopus A., De Lima F.</w:t>
      </w:r>
    </w:p>
    <w:p w:rsidR="00333A1A" w:rsidRDefault="003D29C9">
      <w:pPr>
        <w:spacing w:afterLines="60" w:after="144" w:line="240" w:lineRule="auto"/>
        <w:jc w:val="both"/>
        <w:rPr>
          <w:rFonts w:ascii="Times New Roman" w:eastAsia="Times New Roman" w:hAnsi="Times New Roman" w:cs="Times New Roman"/>
          <w:noProof/>
          <w:sz w:val="24"/>
          <w:szCs w:val="24"/>
          <w:lang w:val="fr-BE"/>
        </w:rPr>
      </w:pPr>
      <w:r>
        <w:rPr>
          <w:rFonts w:ascii="Times New Roman" w:eastAsia="Times New Roman" w:hAnsi="Times New Roman" w:cs="Times New Roman"/>
          <w:noProof/>
          <w:sz w:val="24"/>
          <w:szCs w:val="24"/>
          <w:lang w:val="fr-BE"/>
        </w:rPr>
        <w:t xml:space="preserve">Bonnet, F. (2016) </w:t>
      </w:r>
      <w:hyperlink r:id="rId109" w:history="1">
        <w:r>
          <w:rPr>
            <w:rFonts w:ascii="Times New Roman" w:eastAsia="Times New Roman" w:hAnsi="Times New Roman" w:cs="Times New Roman"/>
            <w:noProof/>
            <w:color w:val="0000FF"/>
            <w:sz w:val="24"/>
            <w:szCs w:val="24"/>
            <w:u w:val="single"/>
            <w:lang w:val="fr-BE"/>
          </w:rPr>
          <w:t>Aménag</w:t>
        </w:r>
        <w:r>
          <w:rPr>
            <w:rFonts w:ascii="Times New Roman" w:eastAsia="Times New Roman" w:hAnsi="Times New Roman" w:cs="Times New Roman"/>
            <w:noProof/>
            <w:color w:val="0000FF"/>
            <w:sz w:val="24"/>
            <w:szCs w:val="24"/>
            <w:u w:val="single"/>
            <w:lang w:val="fr-BE"/>
          </w:rPr>
          <w:t>er les territoires ruraux et périurbains</w:t>
        </w:r>
      </w:hyperlink>
      <w:r>
        <w:rPr>
          <w:rFonts w:ascii="Times New Roman" w:eastAsia="Times New Roman" w:hAnsi="Times New Roman" w:cs="Times New Roman"/>
          <w:noProof/>
          <w:sz w:val="24"/>
          <w:szCs w:val="24"/>
          <w:lang w:val="fr-BE"/>
        </w:rPr>
        <w:t>, Ministre du Logement, de l’Egalité des territoires et de la Ruralité, France.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Borrelli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(2017) </w:t>
      </w:r>
      <w:hyperlink r:id="rId110" w:history="1">
        <w:r>
          <w:rPr>
            <w:rFonts w:ascii="Times New Roman" w:eastAsia="Times New Roman" w:hAnsi="Times New Roman" w:cs="Times New Roman"/>
            <w:noProof/>
            <w:color w:val="0000FF"/>
            <w:sz w:val="24"/>
            <w:szCs w:val="24"/>
            <w:u w:val="single"/>
          </w:rPr>
          <w:t xml:space="preserve">A new assessment of soil loss due to </w:t>
        </w:r>
        <w:r>
          <w:rPr>
            <w:rFonts w:ascii="Times New Roman" w:eastAsia="Times New Roman" w:hAnsi="Times New Roman" w:cs="Times New Roman"/>
            <w:noProof/>
            <w:color w:val="0000FF"/>
            <w:sz w:val="24"/>
            <w:szCs w:val="24"/>
            <w:u w:val="single"/>
          </w:rPr>
          <w:t>wind erosion in European agricultural soils using a quantitative spatially distributed modelling approach</w:t>
        </w:r>
      </w:hyperlink>
      <w:r>
        <w:rPr>
          <w:rFonts w:ascii="Times New Roman" w:eastAsia="Times New Roman" w:hAnsi="Times New Roman" w:cs="Times New Roman"/>
          <w:noProof/>
          <w:sz w:val="24"/>
          <w:szCs w:val="24"/>
        </w:rPr>
        <w:t>, Land Degradation &amp; Development, Volume 28, Issue 1.</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Boulanger,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111" w:history="1">
        <w:r>
          <w:rPr>
            <w:rFonts w:ascii="Times New Roman" w:eastAsia="Times New Roman" w:hAnsi="Times New Roman" w:cs="Times New Roman"/>
            <w:noProof/>
            <w:color w:val="0000FF"/>
            <w:sz w:val="24"/>
            <w:szCs w:val="24"/>
            <w:u w:val="single"/>
          </w:rPr>
          <w:t>Cumulative economic impact of future trade agreements on EU agriculture</w:t>
        </w:r>
        <w:r>
          <w:rPr>
            <w:rFonts w:ascii="Times New Roman" w:eastAsia="Times New Roman" w:hAnsi="Times New Roman" w:cs="Times New Roman"/>
            <w:noProof/>
            <w:sz w:val="24"/>
            <w:szCs w:val="24"/>
          </w:rPr>
          <w:t>, European Commission</w:t>
        </w:r>
      </w:hyperlink>
      <w:r>
        <w:rPr>
          <w:rFonts w:ascii="Times New Roman" w:eastAsia="Times New Roman" w:hAnsi="Times New Roman" w:cs="Times New Roman"/>
          <w:noProof/>
          <w:sz w:val="24"/>
          <w:szCs w:val="24"/>
        </w:rPr>
        <w:t xml:space="preserve">, Joint Research Centre (JRC). </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lang w:val="fr-BE"/>
        </w:rPr>
      </w:pPr>
      <w:r>
        <w:rPr>
          <w:rFonts w:ascii="Times New Roman" w:eastAsia="Times New Roman" w:hAnsi="Times New Roman" w:cs="Times New Roman"/>
          <w:noProof/>
          <w:sz w:val="24"/>
          <w:szCs w:val="24"/>
          <w:lang w:val="fr-BE"/>
        </w:rPr>
        <w:t xml:space="preserve">Boulineau, E. </w:t>
      </w:r>
      <w:r>
        <w:rPr>
          <w:rFonts w:ascii="Times New Roman" w:eastAsia="Times New Roman" w:hAnsi="Times New Roman" w:cs="Times New Roman"/>
          <w:i/>
          <w:noProof/>
          <w:sz w:val="24"/>
          <w:szCs w:val="24"/>
          <w:lang w:val="fr-BE"/>
        </w:rPr>
        <w:t>et al.</w:t>
      </w:r>
      <w:r>
        <w:rPr>
          <w:rFonts w:ascii="Times New Roman" w:eastAsia="Times New Roman" w:hAnsi="Times New Roman" w:cs="Times New Roman"/>
          <w:noProof/>
          <w:sz w:val="24"/>
          <w:szCs w:val="24"/>
          <w:lang w:val="fr-BE"/>
        </w:rPr>
        <w:t xml:space="preserve"> (2014) La pauvreté en Europe. Une approche géographique, </w:t>
      </w:r>
      <w:r>
        <w:rPr>
          <w:rFonts w:ascii="Times New Roman" w:eastAsia="Times New Roman" w:hAnsi="Times New Roman" w:cs="Times New Roman"/>
          <w:noProof/>
          <w:sz w:val="24"/>
          <w:szCs w:val="24"/>
          <w:lang w:val="fr-BE"/>
        </w:rPr>
        <w:t>Editions PUR, Géographie sociale.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Breustedt G.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(2013) </w:t>
      </w:r>
      <w:hyperlink r:id="rId112" w:history="1">
        <w:r>
          <w:rPr>
            <w:rFonts w:ascii="Times New Roman" w:eastAsia="Times New Roman" w:hAnsi="Times New Roman" w:cs="Times New Roman"/>
            <w:noProof/>
            <w:color w:val="0000FF"/>
            <w:sz w:val="24"/>
            <w:szCs w:val="24"/>
            <w:u w:val="single"/>
          </w:rPr>
          <w:t xml:space="preserve">Calibrating agri-environmental schemes </w:t>
        </w:r>
        <w:r>
          <w:rPr>
            <w:rFonts w:ascii="Times New Roman" w:eastAsia="Times New Roman" w:hAnsi="Times New Roman" w:cs="Times New Roman"/>
            <w:noProof/>
            <w:color w:val="0000FF"/>
            <w:sz w:val="24"/>
            <w:szCs w:val="24"/>
            <w:u w:val="single"/>
          </w:rPr>
          <w:t>using a two-stage discrete choice experiments - Discrete-Choice-Experiments</w:t>
        </w:r>
      </w:hyperlink>
      <w:r>
        <w:rPr>
          <w:rFonts w:ascii="Times New Roman" w:eastAsia="Times New Roman" w:hAnsi="Times New Roman" w:cs="Times New Roman"/>
          <w:noProof/>
          <w:sz w:val="24"/>
          <w:szCs w:val="24"/>
        </w:rPr>
        <w:t xml:space="preserve"> German Journal of Agricultural Economics, Volume 62, Issue 4.</w:t>
      </w:r>
    </w:p>
    <w:p w:rsidR="00333A1A" w:rsidRDefault="003D29C9">
      <w:pPr>
        <w:spacing w:afterLines="60" w:after="144" w:line="240" w:lineRule="auto"/>
        <w:jc w:val="both"/>
        <w:rPr>
          <w:rFonts w:ascii="Times New Roman" w:hAnsi="Times New Roman" w:cs="Times New Roman"/>
          <w:noProof/>
          <w:color w:val="000000"/>
          <w:sz w:val="24"/>
          <w:szCs w:val="24"/>
        </w:rPr>
      </w:pPr>
      <w:r>
        <w:rPr>
          <w:rFonts w:ascii="Times New Roman" w:eastAsia="Times New Roman" w:hAnsi="Times New Roman" w:cs="Times New Roman"/>
          <w:noProof/>
          <w:sz w:val="24"/>
          <w:szCs w:val="24"/>
        </w:rPr>
        <w:t xml:space="preserve">Brown D.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(2010) </w:t>
      </w:r>
      <w:hyperlink r:id="rId113" w:history="1">
        <w:r>
          <w:rPr>
            <w:rFonts w:ascii="Times New Roman" w:eastAsia="Times New Roman" w:hAnsi="Times New Roman" w:cs="Times New Roman"/>
            <w:noProof/>
            <w:color w:val="0000FF"/>
            <w:sz w:val="24"/>
            <w:szCs w:val="24"/>
            <w:u w:val="single"/>
          </w:rPr>
          <w:t>Rethinking the OECD’s New Rural Demography</w:t>
        </w:r>
      </w:hyperlink>
      <w:r>
        <w:rPr>
          <w:rFonts w:ascii="Times New Roman" w:eastAsia="Times New Roman" w:hAnsi="Times New Roman" w:cs="Times New Roman"/>
          <w:noProof/>
          <w:sz w:val="24"/>
          <w:szCs w:val="24"/>
        </w:rPr>
        <w:t>, Centre for Rural Economy, University of Newcastle Upon Tyne.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Brunori, G.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(2000) </w:t>
      </w:r>
      <w:hyperlink r:id="rId114" w:history="1">
        <w:r>
          <w:rPr>
            <w:rFonts w:ascii="Times New Roman" w:eastAsia="Times New Roman" w:hAnsi="Times New Roman" w:cs="Times New Roman"/>
            <w:noProof/>
            <w:color w:val="0000FF"/>
            <w:sz w:val="24"/>
            <w:szCs w:val="24"/>
            <w:u w:val="single"/>
          </w:rPr>
          <w:t>Synergie and Coherence through Col</w:t>
        </w:r>
        <w:r>
          <w:rPr>
            <w:rFonts w:ascii="Times New Roman" w:eastAsia="Times New Roman" w:hAnsi="Times New Roman" w:cs="Times New Roman"/>
            <w:noProof/>
            <w:color w:val="0000FF"/>
            <w:sz w:val="24"/>
            <w:szCs w:val="24"/>
            <w:u w:val="single"/>
          </w:rPr>
          <w:t>lective Action: some</w:t>
        </w:r>
        <w:r>
          <w:rPr>
            <w:rFonts w:ascii="Times New Roman" w:eastAsia="Times New Roman" w:hAnsi="Times New Roman" w:cs="Times New Roman"/>
            <w:noProof/>
            <w:color w:val="0000FF"/>
            <w:sz w:val="24"/>
            <w:szCs w:val="24"/>
            <w:u w:val="single"/>
            <w:lang w:val="en-US"/>
          </w:rPr>
          <w:t xml:space="preserve"> </w:t>
        </w:r>
        <w:r>
          <w:rPr>
            <w:rFonts w:ascii="Times New Roman" w:eastAsia="Times New Roman" w:hAnsi="Times New Roman" w:cs="Times New Roman"/>
            <w:noProof/>
            <w:color w:val="0000FF"/>
            <w:sz w:val="24"/>
            <w:szCs w:val="24"/>
            <w:u w:val="single"/>
          </w:rPr>
          <w:t>insights from wine routes in Tuscany</w:t>
        </w:r>
      </w:hyperlink>
      <w:r>
        <w:rPr>
          <w:rFonts w:ascii="Times New Roman" w:eastAsia="Times New Roman" w:hAnsi="Times New Roman" w:cs="Times New Roman"/>
          <w:noProof/>
          <w:sz w:val="24"/>
          <w:szCs w:val="24"/>
        </w:rPr>
        <w:t>, Sociologia Ruralis,</w:t>
      </w:r>
      <w:r>
        <w:rPr>
          <w:rFonts w:ascii="Times New Roman" w:eastAsia="Times New Roman" w:hAnsi="Times New Roman" w:cs="Times New Roman"/>
          <w:noProof/>
          <w:sz w:val="24"/>
          <w:szCs w:val="24"/>
          <w:lang w:val="en-US"/>
        </w:rPr>
        <w:t xml:space="preserve"> Volume </w:t>
      </w:r>
      <w:r>
        <w:rPr>
          <w:rFonts w:ascii="Times New Roman" w:eastAsia="Times New Roman" w:hAnsi="Times New Roman" w:cs="Times New Roman"/>
          <w:noProof/>
          <w:sz w:val="24"/>
          <w:szCs w:val="24"/>
        </w:rPr>
        <w:t>40, Issue 4.</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Bureau, J.C. (2017) </w:t>
      </w:r>
      <w:hyperlink r:id="rId115" w:history="1">
        <w:r>
          <w:rPr>
            <w:rFonts w:ascii="Times New Roman" w:hAnsi="Times New Roman" w:cs="Times New Roman"/>
            <w:noProof/>
            <w:color w:val="0000FF"/>
            <w:sz w:val="24"/>
            <w:szCs w:val="24"/>
            <w:u w:val="single"/>
          </w:rPr>
          <w:t xml:space="preserve">Does the WTO discipline really </w:t>
        </w:r>
        <w:r>
          <w:rPr>
            <w:rFonts w:ascii="Times New Roman" w:hAnsi="Times New Roman" w:cs="Times New Roman"/>
            <w:noProof/>
            <w:color w:val="0000FF"/>
            <w:sz w:val="24"/>
            <w:szCs w:val="24"/>
            <w:u w:val="single"/>
          </w:rPr>
          <w:t>constrain the design of CAP payments?</w:t>
        </w:r>
      </w:hyperlink>
      <w:r>
        <w:rPr>
          <w:rFonts w:ascii="Times New Roman" w:hAnsi="Times New Roman" w:cs="Times New Roman"/>
          <w:noProof/>
          <w:sz w:val="24"/>
          <w:szCs w:val="24"/>
        </w:rPr>
        <w:t>, website.</w:t>
      </w:r>
    </w:p>
    <w:p w:rsidR="00333A1A" w:rsidRDefault="003D29C9">
      <w:pPr>
        <w:spacing w:afterLines="60" w:after="144"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rPr>
        <w:t xml:space="preserve">Business Wire (2015) </w:t>
      </w:r>
      <w:hyperlink r:id="rId116" w:anchor=".VWgZmmN0Z8E" w:history="1">
        <w:r>
          <w:rPr>
            <w:rFonts w:ascii="Times New Roman" w:eastAsia="Times New Roman" w:hAnsi="Times New Roman" w:cs="Times New Roman"/>
            <w:noProof/>
            <w:color w:val="0000FF"/>
            <w:sz w:val="24"/>
            <w:szCs w:val="24"/>
            <w:u w:val="single"/>
          </w:rPr>
          <w:t>Research and Markets: France Crop Prot</w:t>
        </w:r>
        <w:r>
          <w:rPr>
            <w:rFonts w:ascii="Times New Roman" w:eastAsia="Times New Roman" w:hAnsi="Times New Roman" w:cs="Times New Roman"/>
            <w:noProof/>
            <w:color w:val="0000FF"/>
            <w:sz w:val="24"/>
            <w:szCs w:val="24"/>
            <w:u w:val="single"/>
          </w:rPr>
          <w:t>ection Pesticides Market - Growth, Trends and Forecasts (2015-2020)</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Cannarella C</w:t>
      </w:r>
      <w:r>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i/>
          <w:noProof/>
          <w:sz w:val="24"/>
          <w:szCs w:val="24"/>
          <w:lang w:val="en-US"/>
        </w:rPr>
        <w:t>et al</w:t>
      </w:r>
      <w:r>
        <w:rPr>
          <w:rFonts w:ascii="Times New Roman" w:eastAsia="Times New Roman" w:hAnsi="Times New Roman" w:cs="Times New Roman"/>
          <w:noProof/>
          <w:sz w:val="24"/>
          <w:szCs w:val="24"/>
          <w:lang w:val="en-US"/>
        </w:rPr>
        <w:t xml:space="preserve"> (2007) </w:t>
      </w:r>
      <w:hyperlink r:id="rId117" w:history="1">
        <w:r>
          <w:rPr>
            <w:rFonts w:ascii="Times New Roman" w:eastAsia="Times New Roman" w:hAnsi="Times New Roman" w:cs="Times New Roman"/>
            <w:noProof/>
            <w:color w:val="0000FF"/>
            <w:sz w:val="24"/>
            <w:szCs w:val="24"/>
            <w:u w:val="single"/>
          </w:rPr>
          <w:t>Barriers to Innovation in Rural Enterprises:</w:t>
        </w:r>
        <w:r>
          <w:rPr>
            <w:rFonts w:ascii="Times New Roman" w:eastAsia="Times New Roman" w:hAnsi="Times New Roman" w:cs="Times New Roman"/>
            <w:noProof/>
            <w:color w:val="0000FF"/>
            <w:sz w:val="24"/>
            <w:szCs w:val="24"/>
            <w:u w:val="single"/>
            <w:lang w:val="en-US"/>
          </w:rPr>
          <w:t xml:space="preserve"> </w:t>
        </w:r>
        <w:r>
          <w:rPr>
            <w:rFonts w:ascii="Times New Roman" w:eastAsia="Times New Roman" w:hAnsi="Times New Roman" w:cs="Times New Roman"/>
            <w:noProof/>
            <w:color w:val="0000FF"/>
            <w:sz w:val="24"/>
            <w:szCs w:val="24"/>
            <w:u w:val="single"/>
          </w:rPr>
          <w:t>the Strategy of “Doing No</w:t>
        </w:r>
        <w:r>
          <w:rPr>
            <w:rFonts w:ascii="Times New Roman" w:eastAsia="Times New Roman" w:hAnsi="Times New Roman" w:cs="Times New Roman"/>
            <w:noProof/>
            <w:color w:val="0000FF"/>
            <w:sz w:val="24"/>
            <w:szCs w:val="24"/>
            <w:u w:val="single"/>
          </w:rPr>
          <w:t>thing”</w:t>
        </w:r>
        <w:r>
          <w:rPr>
            <w:rFonts w:ascii="Times New Roman" w:eastAsia="Times New Roman" w:hAnsi="Times New Roman" w:cs="Times New Roman"/>
            <w:noProof/>
            <w:color w:val="0000FF"/>
            <w:sz w:val="24"/>
            <w:szCs w:val="24"/>
            <w:u w:val="single"/>
            <w:lang w:val="en-US"/>
          </w:rPr>
          <w:t>,</w:t>
        </w:r>
      </w:hyperlink>
      <w:r>
        <w:rPr>
          <w:rFonts w:ascii="Times New Roman" w:eastAsia="Times New Roman" w:hAnsi="Times New Roman" w:cs="Times New Roman"/>
          <w:noProof/>
          <w:sz w:val="24"/>
          <w:szCs w:val="24"/>
          <w:lang w:val="en-US"/>
        </w:rPr>
        <w:t xml:space="preserve"> New Medit n°4.</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Capgemini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(2010) </w:t>
      </w:r>
      <w:hyperlink r:id="rId118" w:history="1">
        <w:r>
          <w:rPr>
            <w:rFonts w:ascii="Times New Roman" w:hAnsi="Times New Roman" w:cs="Times New Roman"/>
            <w:noProof/>
            <w:color w:val="0000FF"/>
            <w:sz w:val="24"/>
            <w:szCs w:val="24"/>
            <w:u w:val="single"/>
          </w:rPr>
          <w:t xml:space="preserve">EU Project on Baseline Measurement and Reduction of </w:t>
        </w:r>
        <w:r>
          <w:rPr>
            <w:rFonts w:ascii="Times New Roman" w:hAnsi="Times New Roman" w:cs="Times New Roman"/>
            <w:noProof/>
            <w:color w:val="0000FF"/>
            <w:sz w:val="24"/>
            <w:szCs w:val="24"/>
            <w:u w:val="single"/>
          </w:rPr>
          <w:t>Administrative Costs</w:t>
        </w:r>
      </w:hyperlink>
      <w:r>
        <w:rPr>
          <w:rFonts w:ascii="Times New Roman" w:hAnsi="Times New Roman" w:cs="Times New Roman"/>
          <w:noProof/>
          <w:color w:val="0000FF"/>
          <w:sz w:val="24"/>
          <w:szCs w:val="24"/>
          <w:u w:val="single"/>
        </w:rPr>
        <w:t>,</w:t>
      </w:r>
      <w:r>
        <w:rPr>
          <w:rFonts w:ascii="Times New Roman" w:hAnsi="Times New Roman" w:cs="Times New Roman"/>
          <w:noProof/>
          <w:sz w:val="24"/>
          <w:szCs w:val="24"/>
        </w:rPr>
        <w:t xml:space="preserve"> Study to the European Commission.</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Capgemini </w:t>
      </w:r>
      <w:r>
        <w:rPr>
          <w:rFonts w:ascii="Times New Roman" w:eastAsia="Times New Roman" w:hAnsi="Times New Roman" w:cs="Times New Roman"/>
          <w:i/>
          <w:noProof/>
          <w:color w:val="000000"/>
          <w:sz w:val="24"/>
          <w:szCs w:val="24"/>
          <w:lang w:val="en"/>
        </w:rPr>
        <w:t>et al.</w:t>
      </w:r>
      <w:r>
        <w:rPr>
          <w:rFonts w:ascii="Times New Roman" w:eastAsia="Times New Roman" w:hAnsi="Times New Roman" w:cs="Times New Roman"/>
          <w:noProof/>
          <w:color w:val="000000"/>
          <w:sz w:val="24"/>
          <w:szCs w:val="24"/>
          <w:lang w:val="en"/>
        </w:rPr>
        <w:t xml:space="preserve"> </w:t>
      </w:r>
      <w:r>
        <w:rPr>
          <w:rFonts w:ascii="Times New Roman" w:hAnsi="Times New Roman" w:cs="Times New Roman"/>
          <w:noProof/>
          <w:sz w:val="24"/>
          <w:szCs w:val="24"/>
        </w:rPr>
        <w:t xml:space="preserve">(2011) </w:t>
      </w:r>
      <w:hyperlink r:id="rId119" w:history="1">
        <w:r>
          <w:rPr>
            <w:rFonts w:ascii="Times New Roman" w:hAnsi="Times New Roman" w:cs="Times New Roman"/>
            <w:noProof/>
            <w:color w:val="0000FF"/>
            <w:sz w:val="24"/>
            <w:szCs w:val="24"/>
            <w:u w:val="single"/>
          </w:rPr>
          <w:t>Study on administrative burden reduction associated with the implementation of certain Ru</w:t>
        </w:r>
        <w:r>
          <w:rPr>
            <w:rFonts w:ascii="Times New Roman" w:hAnsi="Times New Roman" w:cs="Times New Roman"/>
            <w:noProof/>
            <w:color w:val="0000FF"/>
            <w:sz w:val="24"/>
            <w:szCs w:val="24"/>
            <w:u w:val="single"/>
          </w:rPr>
          <w:t>ral Development measures</w:t>
        </w:r>
      </w:hyperlink>
      <w:r>
        <w:rPr>
          <w:rFonts w:ascii="Times New Roman" w:hAnsi="Times New Roman" w:cs="Times New Roman"/>
          <w:noProof/>
          <w:color w:val="0000FF"/>
          <w:sz w:val="24"/>
          <w:szCs w:val="24"/>
          <w:u w:val="single"/>
        </w:rPr>
        <w:t>,</w:t>
      </w:r>
      <w:r>
        <w:rPr>
          <w:rFonts w:ascii="Times New Roman" w:hAnsi="Times New Roman" w:cs="Times New Roman"/>
          <w:noProof/>
          <w:sz w:val="24"/>
          <w:szCs w:val="24"/>
        </w:rPr>
        <w:t xml:space="preserve"> Study to the European Commission.</w:t>
      </w:r>
    </w:p>
    <w:p w:rsidR="00333A1A" w:rsidRDefault="003D29C9">
      <w:pPr>
        <w:autoSpaceDE w:val="0"/>
        <w:autoSpaceDN w:val="0"/>
        <w:adjustRightInd w:val="0"/>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CEMA, </w:t>
      </w:r>
      <w:hyperlink r:id="rId120" w:history="1">
        <w:r>
          <w:rPr>
            <w:rFonts w:ascii="Times New Roman" w:eastAsia="Times New Roman" w:hAnsi="Times New Roman" w:cs="Times New Roman"/>
            <w:noProof/>
            <w:color w:val="0000FF"/>
            <w:sz w:val="24"/>
            <w:szCs w:val="20"/>
            <w:u w:val="single"/>
          </w:rPr>
          <w:t>European Agricultural Machinery Association</w:t>
        </w:r>
      </w:hyperlink>
      <w:r>
        <w:rPr>
          <w:rFonts w:ascii="Times New Roman" w:eastAsia="Times New Roman" w:hAnsi="Times New Roman" w:cs="Times New Roman"/>
          <w:noProof/>
          <w:sz w:val="24"/>
          <w:szCs w:val="20"/>
        </w:rPr>
        <w:t>, website.</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Ciaian,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121" w:history="1">
        <w:r>
          <w:rPr>
            <w:rFonts w:ascii="Times New Roman" w:eastAsia="Times New Roman" w:hAnsi="Times New Roman" w:cs="Times New Roman"/>
            <w:noProof/>
            <w:color w:val="0000FF"/>
            <w:sz w:val="24"/>
            <w:szCs w:val="24"/>
            <w:u w:val="single"/>
          </w:rPr>
          <w:t>The Impact of the 2013 CAP Reform on the Decoupled Payments' Capitalization into Land Values in the EU</w:t>
        </w:r>
      </w:hyperlink>
      <w:r>
        <w:rPr>
          <w:rFonts w:ascii="Times New Roman" w:eastAsia="Times New Roman" w:hAnsi="Times New Roman" w:cs="Times New Roman"/>
          <w:noProof/>
          <w:sz w:val="24"/>
          <w:szCs w:val="24"/>
        </w:rPr>
        <w:t>, European Commission, Joint Research Centre (JRC).</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Coffey </w:t>
      </w:r>
      <w:r>
        <w:rPr>
          <w:rFonts w:ascii="Times New Roman" w:hAnsi="Times New Roman" w:cs="Times New Roman"/>
          <w:i/>
          <w:noProof/>
          <w:sz w:val="24"/>
          <w:szCs w:val="24"/>
        </w:rPr>
        <w:t>et al.</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(2016) </w:t>
      </w:r>
      <w:hyperlink r:id="rId122" w:history="1">
        <w:r>
          <w:rPr>
            <w:rFonts w:ascii="Times New Roman" w:hAnsi="Times New Roman" w:cs="Times New Roman"/>
            <w:noProof/>
            <w:color w:val="0000FF"/>
            <w:sz w:val="24"/>
            <w:szCs w:val="24"/>
            <w:u w:val="single"/>
            <w:lang w:val="en-US"/>
          </w:rPr>
          <w:t>Evaluation study on the implementation of the new European Innovation Partnerships (EIP) for Agricultural Productivity and Sustainability</w:t>
        </w:r>
      </w:hyperlink>
      <w:r>
        <w:rPr>
          <w:rFonts w:ascii="Times New Roman" w:hAnsi="Times New Roman" w:cs="Times New Roman"/>
          <w:noProof/>
          <w:sz w:val="24"/>
          <w:szCs w:val="24"/>
          <w:lang w:val="en-US"/>
        </w:rPr>
        <w:t xml:space="preserve">, </w:t>
      </w:r>
      <w:r>
        <w:rPr>
          <w:rFonts w:ascii="Times New Roman" w:hAnsi="Times New Roman" w:cs="Times New Roman"/>
          <w:noProof/>
          <w:sz w:val="24"/>
          <w:szCs w:val="24"/>
        </w:rPr>
        <w:t>Study to the European Commission.</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Cogeca </w:t>
      </w:r>
      <w:r>
        <w:rPr>
          <w:rFonts w:ascii="Times New Roman" w:eastAsia="Times New Roman" w:hAnsi="Times New Roman" w:cs="Times New Roman"/>
          <w:noProof/>
          <w:sz w:val="24"/>
          <w:szCs w:val="24"/>
        </w:rPr>
        <w:t>(2015) "</w:t>
      </w:r>
      <w:hyperlink r:id="rId123" w:history="1">
        <w:r>
          <w:rPr>
            <w:rFonts w:ascii="Times New Roman" w:eastAsia="Times New Roman" w:hAnsi="Times New Roman" w:cs="Times New Roman"/>
            <w:noProof/>
            <w:color w:val="0000FF"/>
            <w:sz w:val="24"/>
            <w:szCs w:val="24"/>
            <w:u w:val="single"/>
          </w:rPr>
          <w:t>Development of agricultural cooperatives in the EU, 2014</w:t>
        </w:r>
      </w:hyperlink>
      <w:r>
        <w:rPr>
          <w:rFonts w:ascii="Times New Roman" w:eastAsia="Times New Roman" w:hAnsi="Times New Roman" w:cs="Times New Roman"/>
          <w:noProof/>
          <w:sz w:val="24"/>
          <w:szCs w:val="24"/>
        </w:rPr>
        <w:t>" PUB (14) 9112:2, Brussels.</w:t>
      </w:r>
    </w:p>
    <w:p w:rsidR="00333A1A" w:rsidRDefault="003D29C9">
      <w:pPr>
        <w:autoSpaceDE w:val="0"/>
        <w:autoSpaceDN w:val="0"/>
        <w:adjustRightInd w:val="0"/>
        <w:spacing w:afterLines="60" w:after="144"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Copenhagen Economics (2016) </w:t>
      </w:r>
      <w:hyperlink r:id="rId124" w:history="1">
        <w:r>
          <w:rPr>
            <w:rFonts w:ascii="Times New Roman" w:hAnsi="Times New Roman" w:cs="Times New Roman"/>
            <w:bCs/>
            <w:noProof/>
            <w:color w:val="0000FF"/>
            <w:sz w:val="24"/>
            <w:szCs w:val="24"/>
            <w:u w:val="single"/>
          </w:rPr>
          <w:t>Impacts of EU trade agreements on the agricultural sector</w:t>
        </w:r>
      </w:hyperlink>
      <w:r>
        <w:rPr>
          <w:rFonts w:ascii="Times New Roman" w:hAnsi="Times New Roman" w:cs="Times New Roman"/>
          <w:bCs/>
          <w:noProof/>
          <w:color w:val="0000FF"/>
          <w:sz w:val="24"/>
          <w:szCs w:val="24"/>
          <w:u w:val="single"/>
        </w:rPr>
        <w:t xml:space="preserve">, </w:t>
      </w:r>
      <w:r>
        <w:rPr>
          <w:rFonts w:ascii="Times New Roman" w:eastAsia="Times New Roman" w:hAnsi="Times New Roman" w:cs="Times New Roman"/>
          <w:noProof/>
          <w:sz w:val="24"/>
          <w:szCs w:val="24"/>
        </w:rPr>
        <w:t>Study to the European Commission.</w:t>
      </w:r>
    </w:p>
    <w:p w:rsidR="00333A1A" w:rsidRDefault="003D29C9">
      <w:pPr>
        <w:autoSpaceDE w:val="0"/>
        <w:autoSpaceDN w:val="0"/>
        <w:adjustRightInd w:val="0"/>
        <w:spacing w:afterLines="60" w:after="144" w:line="240" w:lineRule="auto"/>
        <w:jc w:val="both"/>
        <w:rPr>
          <w:rFonts w:ascii="Times New Roman" w:eastAsia="Calibri" w:hAnsi="Times New Roman" w:cs="Times New Roman"/>
          <w:noProof/>
          <w:sz w:val="24"/>
          <w:szCs w:val="24"/>
        </w:rPr>
      </w:pPr>
      <w:r>
        <w:rPr>
          <w:rFonts w:ascii="Times New Roman" w:eastAsia="Times New Roman" w:hAnsi="Times New Roman" w:cs="Times New Roman"/>
          <w:noProof/>
          <w:sz w:val="24"/>
          <w:szCs w:val="24"/>
        </w:rPr>
        <w:t xml:space="preserve">Cordier, J. (2014) </w:t>
      </w:r>
      <w:hyperlink r:id="rId125" w:history="1">
        <w:r>
          <w:rPr>
            <w:rFonts w:ascii="Times New Roman" w:eastAsia="Calibri" w:hAnsi="Times New Roman" w:cs="Times New Roman"/>
            <w:noProof/>
            <w:color w:val="0000FF"/>
            <w:sz w:val="24"/>
            <w:szCs w:val="24"/>
            <w:u w:val="single"/>
          </w:rPr>
          <w:t>Comparative analysis of risk management tools supported by the 2014 farm bill and the CAP 2014-2020</w:t>
        </w:r>
      </w:hyperlink>
      <w:r>
        <w:rPr>
          <w:rFonts w:ascii="Times New Roman" w:eastAsia="Calibri" w:hAnsi="Times New Roman" w:cs="Times New Roman"/>
          <w:noProof/>
          <w:sz w:val="24"/>
          <w:szCs w:val="24"/>
        </w:rPr>
        <w:t>, Study to the European Parliament</w:t>
      </w:r>
    </w:p>
    <w:p w:rsidR="00333A1A" w:rsidRDefault="003D29C9">
      <w:pPr>
        <w:autoSpaceDE w:val="0"/>
        <w:autoSpaceDN w:val="0"/>
        <w:adjustRightInd w:val="0"/>
        <w:spacing w:after="0" w:line="240" w:lineRule="auto"/>
        <w:jc w:val="both"/>
        <w:rPr>
          <w:rFonts w:ascii="Times New Roman" w:eastAsia="Calibri" w:hAnsi="Times New Roman" w:cs="Times New Roman"/>
          <w:noProof/>
          <w:color w:val="000000"/>
          <w:sz w:val="24"/>
          <w:szCs w:val="24"/>
          <w:lang w:eastAsia="en-GB"/>
        </w:rPr>
      </w:pPr>
      <w:r>
        <w:rPr>
          <w:rFonts w:ascii="Times New Roman" w:eastAsia="Calibri" w:hAnsi="Times New Roman" w:cs="Times New Roman"/>
          <w:noProof/>
          <w:color w:val="000000"/>
          <w:sz w:val="24"/>
          <w:szCs w:val="24"/>
        </w:rPr>
        <w:t>Council of the Europ</w:t>
      </w:r>
      <w:r>
        <w:rPr>
          <w:rFonts w:ascii="Times New Roman" w:eastAsia="Calibri" w:hAnsi="Times New Roman" w:cs="Times New Roman"/>
          <w:noProof/>
          <w:color w:val="000000"/>
          <w:sz w:val="24"/>
          <w:szCs w:val="24"/>
        </w:rPr>
        <w:t xml:space="preserve">ean Union (2018) </w:t>
      </w:r>
      <w:hyperlink r:id="rId126" w:history="1">
        <w:r>
          <w:rPr>
            <w:rFonts w:ascii="Times New Roman" w:eastAsia="Calibri" w:hAnsi="Times New Roman" w:cs="Times New Roman"/>
            <w:noProof/>
            <w:color w:val="0000FF"/>
            <w:sz w:val="24"/>
            <w:szCs w:val="24"/>
            <w:u w:val="single"/>
            <w:lang w:eastAsia="en-GB"/>
          </w:rPr>
          <w:t>Communication on "The Future of Food and Farming"</w:t>
        </w:r>
      </w:hyperlink>
      <w:r>
        <w:rPr>
          <w:rFonts w:ascii="Times New Roman" w:eastAsia="Calibri" w:hAnsi="Times New Roman" w:cs="Times New Roman"/>
          <w:noProof/>
          <w:color w:val="000000"/>
          <w:sz w:val="24"/>
          <w:szCs w:val="24"/>
          <w:lang w:eastAsia="en-GB"/>
        </w:rPr>
        <w:t xml:space="preserve"> – Presidency conclusions, 7324/18 </w:t>
      </w:r>
    </w:p>
    <w:p w:rsidR="00333A1A" w:rsidRDefault="00333A1A">
      <w:pPr>
        <w:autoSpaceDE w:val="0"/>
        <w:autoSpaceDN w:val="0"/>
        <w:adjustRightInd w:val="0"/>
        <w:spacing w:after="0" w:line="240" w:lineRule="auto"/>
        <w:jc w:val="both"/>
        <w:rPr>
          <w:rFonts w:ascii="Times New Roman" w:eastAsia="Calibri" w:hAnsi="Times New Roman" w:cs="Times New Roman"/>
          <w:i/>
          <w:noProof/>
          <w:color w:val="000000"/>
          <w:sz w:val="24"/>
          <w:szCs w:val="24"/>
          <w:lang w:eastAsia="en-GB"/>
        </w:rPr>
      </w:pP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Courteny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(2011) </w:t>
      </w:r>
      <w:hyperlink r:id="rId127" w:history="1">
        <w:r>
          <w:rPr>
            <w:rFonts w:ascii="Times New Roman" w:eastAsia="Times New Roman" w:hAnsi="Times New Roman" w:cs="Times New Roman"/>
            <w:noProof/>
            <w:color w:val="0000FF"/>
            <w:sz w:val="24"/>
            <w:szCs w:val="24"/>
            <w:u w:val="single"/>
          </w:rPr>
          <w:t>European Development Opportunities for Rural Areas, (EDORA)</w:t>
        </w:r>
      </w:hyperlink>
      <w:r>
        <w:rPr>
          <w:rFonts w:ascii="Times New Roman" w:eastAsia="Times New Roman" w:hAnsi="Times New Roman" w:cs="Times New Roman"/>
          <w:noProof/>
          <w:sz w:val="24"/>
          <w:szCs w:val="24"/>
        </w:rPr>
        <w:t xml:space="preserve">, Study to the European Commission </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rPr>
        <w:t xml:space="preserve">Crescenzi R. </w:t>
      </w:r>
      <w:r>
        <w:rPr>
          <w:rFonts w:ascii="Times New Roman" w:eastAsia="Times New Roman" w:hAnsi="Times New Roman" w:cs="Times New Roman"/>
          <w:i/>
          <w:noProof/>
          <w:color w:val="000000"/>
          <w:sz w:val="24"/>
          <w:szCs w:val="24"/>
        </w:rPr>
        <w:t>et al.</w:t>
      </w:r>
      <w:r>
        <w:rPr>
          <w:rFonts w:ascii="Times New Roman" w:eastAsia="Times New Roman" w:hAnsi="Times New Roman" w:cs="Times New Roman"/>
          <w:noProof/>
          <w:color w:val="000000"/>
          <w:sz w:val="24"/>
          <w:szCs w:val="24"/>
        </w:rPr>
        <w:t xml:space="preserve"> (2014) </w:t>
      </w:r>
      <w:hyperlink r:id="rId128" w:history="1">
        <w:r>
          <w:rPr>
            <w:rFonts w:ascii="Times New Roman" w:eastAsia="Times New Roman" w:hAnsi="Times New Roman" w:cs="Times New Roman"/>
            <w:noProof/>
            <w:color w:val="0000FF"/>
            <w:sz w:val="24"/>
            <w:szCs w:val="24"/>
            <w:u w:val="single"/>
          </w:rPr>
          <w:t>The EU Cohesion policy in context: regional growth and the influence of agricultural and rural development policies</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color w:val="000000"/>
          <w:sz w:val="24"/>
          <w:szCs w:val="24"/>
        </w:rPr>
        <w:t xml:space="preserve"> Department of Geography and Environment, Lo</w:t>
      </w:r>
      <w:r>
        <w:rPr>
          <w:rFonts w:ascii="Times New Roman" w:eastAsia="Times New Roman" w:hAnsi="Times New Roman" w:cs="Times New Roman"/>
          <w:noProof/>
          <w:color w:val="000000"/>
          <w:sz w:val="24"/>
          <w:szCs w:val="24"/>
        </w:rPr>
        <w:t>ndon School of Economics and Political Science</w:t>
      </w:r>
      <w:r>
        <w:rPr>
          <w:rFonts w:ascii="Times New Roman" w:eastAsia="Times New Roman" w:hAnsi="Times New Roman" w:cs="Times New Roman"/>
          <w:noProof/>
          <w:sz w:val="24"/>
          <w:szCs w:val="24"/>
        </w:rPr>
        <w:t>, LEQS Paper N° 85.</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Crescenzi R. </w:t>
      </w:r>
      <w:r>
        <w:rPr>
          <w:rFonts w:ascii="Times New Roman" w:eastAsia="Times New Roman" w:hAnsi="Times New Roman" w:cs="Times New Roman"/>
          <w:i/>
          <w:noProof/>
          <w:color w:val="000000"/>
          <w:sz w:val="24"/>
          <w:szCs w:val="24"/>
        </w:rPr>
        <w:t>et al.</w:t>
      </w:r>
      <w:r>
        <w:rPr>
          <w:rFonts w:ascii="Times New Roman" w:eastAsia="Times New Roman" w:hAnsi="Times New Roman" w:cs="Times New Roman"/>
          <w:noProof/>
          <w:color w:val="000000"/>
          <w:sz w:val="24"/>
          <w:szCs w:val="24"/>
        </w:rPr>
        <w:t xml:space="preserve"> (2016) </w:t>
      </w:r>
      <w:hyperlink r:id="rId129" w:history="1">
        <w:r>
          <w:rPr>
            <w:rFonts w:ascii="Times New Roman" w:eastAsia="Calibri" w:hAnsi="Times New Roman" w:cs="Times New Roman"/>
            <w:noProof/>
            <w:color w:val="0000FF"/>
            <w:sz w:val="24"/>
            <w:szCs w:val="24"/>
            <w:u w:val="single"/>
          </w:rPr>
          <w:t>The EU Cohesion policy in context: Does a bottom-up approach work in all</w:t>
        </w:r>
        <w:r>
          <w:rPr>
            <w:rFonts w:ascii="Times New Roman" w:eastAsia="Calibri" w:hAnsi="Times New Roman" w:cs="Times New Roman"/>
            <w:noProof/>
            <w:color w:val="0000FF"/>
            <w:sz w:val="24"/>
            <w:szCs w:val="24"/>
            <w:u w:val="single"/>
          </w:rPr>
          <w:t xml:space="preserve"> regions?</w:t>
        </w:r>
      </w:hyperlink>
      <w:r>
        <w:rPr>
          <w:rFonts w:ascii="Times New Roman" w:eastAsia="Times New Roman" w:hAnsi="Times New Roman" w:cs="Times New Roman"/>
          <w:noProof/>
          <w:color w:val="000000"/>
          <w:sz w:val="24"/>
          <w:szCs w:val="24"/>
        </w:rPr>
        <w:t xml:space="preserve"> Department of Geography and Environment, Environment and Planning A, Volume 48, Issue 11. </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Dauvin, M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(2014) </w:t>
      </w:r>
      <w:hyperlink r:id="rId130" w:history="1">
        <w:r>
          <w:rPr>
            <w:rFonts w:ascii="Times New Roman" w:hAnsi="Times New Roman" w:cs="Times New Roman"/>
            <w:noProof/>
            <w:color w:val="0000FF"/>
            <w:sz w:val="24"/>
            <w:szCs w:val="24"/>
            <w:u w:val="single"/>
          </w:rPr>
          <w:t xml:space="preserve">Estimating broadband diffusion </w:t>
        </w:r>
        <w:r>
          <w:rPr>
            <w:rFonts w:ascii="Times New Roman" w:hAnsi="Times New Roman" w:cs="Times New Roman"/>
            <w:noProof/>
            <w:color w:val="0000FF"/>
            <w:sz w:val="24"/>
            <w:szCs w:val="24"/>
            <w:u w:val="single"/>
          </w:rPr>
          <w:t>in the EU using NUTS1 regional data</w:t>
        </w:r>
      </w:hyperlink>
      <w:r>
        <w:rPr>
          <w:rFonts w:ascii="Times New Roman" w:hAnsi="Times New Roman" w:cs="Times New Roman"/>
          <w:noProof/>
          <w:sz w:val="24"/>
          <w:szCs w:val="24"/>
        </w:rPr>
        <w:t>, Economic Research Southern Africa (ERSA).</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Davidova S.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(2013) </w:t>
      </w:r>
      <w:hyperlink r:id="rId131" w:history="1">
        <w:r>
          <w:rPr>
            <w:rFonts w:ascii="Times New Roman" w:hAnsi="Times New Roman" w:cs="Times New Roman"/>
            <w:noProof/>
            <w:color w:val="0000FF"/>
            <w:sz w:val="24"/>
            <w:szCs w:val="24"/>
            <w:u w:val="single"/>
          </w:rPr>
          <w:t>Semi-subsistence farming: value an</w:t>
        </w:r>
        <w:r>
          <w:rPr>
            <w:rFonts w:ascii="Times New Roman" w:hAnsi="Times New Roman" w:cs="Times New Roman"/>
            <w:noProof/>
            <w:color w:val="0000FF"/>
            <w:sz w:val="24"/>
            <w:szCs w:val="24"/>
            <w:u w:val="single"/>
          </w:rPr>
          <w:t>d directions of development</w:t>
        </w:r>
      </w:hyperlink>
      <w:r>
        <w:rPr>
          <w:rFonts w:ascii="Times New Roman" w:hAnsi="Times New Roman" w:cs="Times New Roman"/>
          <w:noProof/>
          <w:sz w:val="24"/>
          <w:szCs w:val="24"/>
        </w:rPr>
        <w:t>, Study to the European Parliament.</w:t>
      </w:r>
    </w:p>
    <w:p w:rsidR="00333A1A" w:rsidRDefault="003D29C9">
      <w:pPr>
        <w:spacing w:afterLines="60" w:after="144" w:line="240" w:lineRule="auto"/>
        <w:jc w:val="both"/>
        <w:rPr>
          <w:rFonts w:ascii="Times New Roman" w:hAnsi="Times New Roman" w:cs="Times New Roman"/>
          <w:iCs/>
          <w:noProof/>
          <w:sz w:val="24"/>
          <w:szCs w:val="24"/>
        </w:rPr>
      </w:pPr>
      <w:r>
        <w:rPr>
          <w:rFonts w:ascii="Times New Roman" w:hAnsi="Times New Roman" w:cs="Times New Roman"/>
          <w:bCs/>
          <w:noProof/>
          <w:sz w:val="24"/>
          <w:szCs w:val="24"/>
        </w:rPr>
        <w:t xml:space="preserve">Dax, T </w:t>
      </w:r>
      <w:r>
        <w:rPr>
          <w:rFonts w:ascii="Times New Roman" w:hAnsi="Times New Roman" w:cs="Times New Roman"/>
          <w:bCs/>
          <w:i/>
          <w:noProof/>
          <w:sz w:val="24"/>
          <w:szCs w:val="24"/>
        </w:rPr>
        <w:t>et al.</w:t>
      </w:r>
      <w:r>
        <w:rPr>
          <w:rFonts w:ascii="Times New Roman" w:hAnsi="Times New Roman" w:cs="Times New Roman"/>
          <w:bCs/>
          <w:noProof/>
          <w:sz w:val="24"/>
          <w:szCs w:val="24"/>
        </w:rPr>
        <w:t xml:space="preserve"> (2016) </w:t>
      </w:r>
      <w:hyperlink r:id="rId132" w:history="1">
        <w:r>
          <w:rPr>
            <w:rFonts w:ascii="Times New Roman" w:hAnsi="Times New Roman" w:cs="Times New Roman"/>
            <w:bCs/>
            <w:noProof/>
            <w:color w:val="0000FF"/>
            <w:sz w:val="24"/>
            <w:szCs w:val="24"/>
            <w:u w:val="single"/>
          </w:rPr>
          <w:t>The future of Rural Development</w:t>
        </w:r>
      </w:hyperlink>
      <w:r>
        <w:rPr>
          <w:rFonts w:ascii="Times New Roman" w:hAnsi="Times New Roman" w:cs="Times New Roman"/>
          <w:bCs/>
          <w:noProof/>
          <w:sz w:val="24"/>
          <w:szCs w:val="24"/>
        </w:rPr>
        <w:t>,</w:t>
      </w:r>
      <w:r>
        <w:rPr>
          <w:rFonts w:ascii="Times New Roman" w:hAnsi="Times New Roman" w:cs="Times New Roman"/>
          <w:noProof/>
          <w:sz w:val="24"/>
          <w:szCs w:val="24"/>
        </w:rPr>
        <w:t xml:space="preserve"> Workshop on "</w:t>
      </w:r>
      <w:r>
        <w:rPr>
          <w:rFonts w:ascii="Times New Roman" w:hAnsi="Times New Roman" w:cs="Times New Roman"/>
          <w:iCs/>
          <w:noProof/>
          <w:sz w:val="24"/>
          <w:szCs w:val="24"/>
        </w:rPr>
        <w:t xml:space="preserve">‘Reflections on the </w:t>
      </w:r>
      <w:r>
        <w:rPr>
          <w:rFonts w:ascii="Times New Roman" w:hAnsi="Times New Roman" w:cs="Times New Roman"/>
          <w:iCs/>
          <w:noProof/>
          <w:sz w:val="24"/>
          <w:szCs w:val="24"/>
        </w:rPr>
        <w:t>agricultural challenges post-2020 in the EU: preparing the next CAP".</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Defrancesco, E.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(2008) </w:t>
      </w:r>
      <w:hyperlink r:id="rId133" w:history="1">
        <w:r>
          <w:rPr>
            <w:rFonts w:ascii="Times New Roman" w:eastAsia="Times New Roman" w:hAnsi="Times New Roman" w:cs="Times New Roman"/>
            <w:noProof/>
            <w:color w:val="0000FF"/>
            <w:sz w:val="24"/>
            <w:szCs w:val="24"/>
            <w:u w:val="single"/>
          </w:rPr>
          <w:t>Factors affecting farmers’ participation in agri-environmental measures: a northern Ital</w:t>
        </w:r>
        <w:r>
          <w:rPr>
            <w:rFonts w:ascii="Times New Roman" w:eastAsia="Times New Roman" w:hAnsi="Times New Roman" w:cs="Times New Roman"/>
            <w:noProof/>
            <w:color w:val="0000FF"/>
            <w:sz w:val="24"/>
            <w:szCs w:val="24"/>
            <w:u w:val="single"/>
          </w:rPr>
          <w:t>ian perspective</w:t>
        </w:r>
      </w:hyperlink>
      <w:r>
        <w:rPr>
          <w:rFonts w:ascii="Times New Roman" w:eastAsia="Times New Roman" w:hAnsi="Times New Roman" w:cs="Times New Roman"/>
          <w:noProof/>
          <w:sz w:val="24"/>
          <w:szCs w:val="24"/>
        </w:rPr>
        <w:t xml:space="preserve">, Agricultural Economics, Volume 59, Issue 1. </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rPr>
        <w:t>Deloitte</w:t>
      </w:r>
      <w:r>
        <w:rPr>
          <w:rFonts w:ascii="Times New Roman" w:hAnsi="Times New Roman" w:cs="Times New Roman"/>
          <w:noProof/>
          <w:sz w:val="24"/>
          <w:szCs w:val="24"/>
        </w:rPr>
        <w:t xml:space="preserve"> (2012) </w:t>
      </w:r>
      <w:hyperlink r:id="rId134" w:history="1">
        <w:r>
          <w:rPr>
            <w:rFonts w:ascii="Times New Roman" w:hAnsi="Times New Roman" w:cs="Times New Roman"/>
            <w:noProof/>
            <w:color w:val="0000FF"/>
            <w:sz w:val="24"/>
            <w:szCs w:val="24"/>
            <w:u w:val="single"/>
          </w:rPr>
          <w:t>eGovernance study at EU / Member State level</w:t>
        </w:r>
      </w:hyperlink>
      <w:r>
        <w:rPr>
          <w:rFonts w:ascii="Times New Roman" w:hAnsi="Times New Roman" w:cs="Times New Roman"/>
          <w:noProof/>
          <w:color w:val="0000FF"/>
          <w:sz w:val="24"/>
          <w:szCs w:val="24"/>
          <w:u w:val="single"/>
        </w:rPr>
        <w:t xml:space="preserve">, </w:t>
      </w:r>
      <w:r>
        <w:rPr>
          <w:rFonts w:ascii="Times New Roman" w:hAnsi="Times New Roman" w:cs="Times New Roman"/>
          <w:noProof/>
          <w:sz w:val="24"/>
          <w:szCs w:val="24"/>
        </w:rPr>
        <w:t>Study to the European Commission.</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Dudu, H.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(2017) </w:t>
      </w:r>
      <w:hyperlink r:id="rId135" w:history="1">
        <w:r>
          <w:rPr>
            <w:rFonts w:ascii="Times New Roman" w:eastAsia="Times New Roman" w:hAnsi="Times New Roman" w:cs="Times New Roman"/>
            <w:noProof/>
            <w:color w:val="0000FF"/>
            <w:sz w:val="24"/>
            <w:szCs w:val="24"/>
            <w:u w:val="single"/>
          </w:rPr>
          <w:t>Impa</w:t>
        </w:r>
        <w:r>
          <w:rPr>
            <w:rFonts w:ascii="Times New Roman" w:eastAsia="Times New Roman" w:hAnsi="Times New Roman" w:cs="Times New Roman"/>
            <w:noProof/>
            <w:color w:val="0000FF"/>
            <w:sz w:val="24"/>
            <w:szCs w:val="24"/>
            <w:u w:val="single"/>
          </w:rPr>
          <w:t>ct of CAP Pillar II Payments on Agricultural Productivity</w:t>
        </w:r>
      </w:hyperlink>
      <w:r>
        <w:rPr>
          <w:rFonts w:ascii="Times New Roman" w:eastAsia="Times New Roman" w:hAnsi="Times New Roman" w:cs="Times New Roman"/>
          <w:noProof/>
          <w:sz w:val="24"/>
          <w:szCs w:val="24"/>
        </w:rPr>
        <w:t>, European Commission, Joint Research Centre (JRC).</w:t>
      </w:r>
    </w:p>
    <w:p w:rsidR="00333A1A" w:rsidRDefault="003D29C9">
      <w:pPr>
        <w:spacing w:afterLines="60" w:after="144"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rPr>
        <w:t xml:space="preserve">Ecorys (2010) </w:t>
      </w:r>
      <w:hyperlink r:id="rId136" w:history="1">
        <w:r>
          <w:rPr>
            <w:rFonts w:ascii="Times New Roman" w:eastAsia="Times New Roman" w:hAnsi="Times New Roman" w:cs="Times New Roman"/>
            <w:noProof/>
            <w:color w:val="0000FF"/>
            <w:sz w:val="24"/>
            <w:szCs w:val="24"/>
            <w:u w:val="single"/>
          </w:rPr>
          <w:t xml:space="preserve">Study on </w:t>
        </w:r>
        <w:r>
          <w:rPr>
            <w:rFonts w:ascii="Times New Roman" w:eastAsia="Times New Roman" w:hAnsi="Times New Roman" w:cs="Times New Roman"/>
            <w:noProof/>
            <w:color w:val="0000FF"/>
            <w:sz w:val="24"/>
            <w:szCs w:val="24"/>
            <w:u w:val="single"/>
          </w:rPr>
          <w:t>employment, growth and innovation in rural areas</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Study to the European Commission.</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Ecorys (2014) </w:t>
      </w:r>
      <w:hyperlink r:id="rId137" w:history="1">
        <w:r>
          <w:rPr>
            <w:rFonts w:ascii="Times New Roman" w:hAnsi="Times New Roman" w:cs="Times New Roman"/>
            <w:noProof/>
            <w:color w:val="0000FF"/>
            <w:sz w:val="24"/>
            <w:szCs w:val="24"/>
            <w:u w:val="single"/>
          </w:rPr>
          <w:t>"Gold-plating" in EAFRD, To what extent d</w:t>
        </w:r>
        <w:r>
          <w:rPr>
            <w:rFonts w:ascii="Times New Roman" w:hAnsi="Times New Roman" w:cs="Times New Roman"/>
            <w:noProof/>
            <w:color w:val="0000FF"/>
            <w:sz w:val="24"/>
            <w:szCs w:val="24"/>
            <w:u w:val="single"/>
          </w:rPr>
          <w:t>o national rules unnecessarily add to complexity and, as a result, increase the risk of errors</w:t>
        </w:r>
      </w:hyperlink>
      <w:r>
        <w:rPr>
          <w:rFonts w:ascii="Times New Roman" w:hAnsi="Times New Roman" w:cs="Times New Roman"/>
          <w:noProof/>
          <w:color w:val="0000FF"/>
          <w:sz w:val="24"/>
          <w:szCs w:val="24"/>
          <w:u w:val="single"/>
        </w:rPr>
        <w:t xml:space="preserve">, </w:t>
      </w:r>
      <w:r>
        <w:rPr>
          <w:rFonts w:ascii="Times New Roman" w:hAnsi="Times New Roman" w:cs="Times New Roman"/>
          <w:noProof/>
          <w:sz w:val="24"/>
          <w:szCs w:val="24"/>
        </w:rPr>
        <w:t>Study to the European Parliament.</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Ecorys (2015) </w:t>
      </w:r>
      <w:hyperlink r:id="rId138" w:history="1">
        <w:r>
          <w:rPr>
            <w:rFonts w:ascii="Times New Roman" w:eastAsia="Times New Roman" w:hAnsi="Times New Roman" w:cs="Times New Roman"/>
            <w:noProof/>
            <w:color w:val="0000FF" w:themeColor="hyperlink"/>
            <w:sz w:val="24"/>
            <w:szCs w:val="24"/>
            <w:u w:val="single"/>
            <w:lang w:eastAsia="en-GB"/>
          </w:rPr>
          <w:t>Pilot project: Exchange progr</w:t>
        </w:r>
        <w:r>
          <w:rPr>
            <w:rFonts w:ascii="Times New Roman" w:eastAsia="Times New Roman" w:hAnsi="Times New Roman" w:cs="Times New Roman"/>
            <w:noProof/>
            <w:color w:val="0000FF" w:themeColor="hyperlink"/>
            <w:sz w:val="24"/>
            <w:szCs w:val="24"/>
            <w:u w:val="single"/>
            <w:lang w:eastAsia="en-GB"/>
          </w:rPr>
          <w:t>ammes for young farmers</w:t>
        </w:r>
      </w:hyperlink>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rPr>
        <w:t xml:space="preserve">Study to the European Commission. </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Ecorys (2017) </w:t>
      </w:r>
      <w:hyperlink r:id="rId139" w:history="1">
        <w:r>
          <w:rPr>
            <w:rFonts w:ascii="Times New Roman" w:eastAsia="Times New Roman" w:hAnsi="Times New Roman" w:cs="Times New Roman"/>
            <w:noProof/>
            <w:color w:val="0000FF"/>
            <w:sz w:val="24"/>
            <w:szCs w:val="24"/>
            <w:u w:val="single"/>
          </w:rPr>
          <w:t>Modernising and simplifying the CAP. Summary of the r</w:t>
        </w:r>
        <w:r>
          <w:rPr>
            <w:rFonts w:ascii="Times New Roman" w:eastAsia="Times New Roman" w:hAnsi="Times New Roman" w:cs="Times New Roman"/>
            <w:noProof/>
            <w:color w:val="0000FF"/>
            <w:sz w:val="24"/>
            <w:szCs w:val="24"/>
            <w:u w:val="single"/>
          </w:rPr>
          <w:t>esults of the public consultation</w:t>
        </w:r>
      </w:hyperlink>
      <w:r>
        <w:rPr>
          <w:rFonts w:ascii="Times New Roman" w:eastAsia="Times New Roman" w:hAnsi="Times New Roman" w:cs="Times New Roman"/>
          <w:noProof/>
          <w:sz w:val="24"/>
          <w:szCs w:val="24"/>
        </w:rPr>
        <w:t>, 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Ecorys (Forthcoming) Synthesis of Rural Development Programmes (RDP) ex-post evaluations of period 2007-2013.</w:t>
      </w:r>
    </w:p>
    <w:p w:rsidR="00333A1A" w:rsidRDefault="003D29C9">
      <w:pPr>
        <w:tabs>
          <w:tab w:val="left" w:pos="5954"/>
        </w:tabs>
        <w:autoSpaceDE w:val="0"/>
        <w:autoSpaceDN w:val="0"/>
        <w:adjustRightInd w:val="0"/>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Ecorys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 xml:space="preserve">(2010) </w:t>
      </w:r>
      <w:hyperlink r:id="rId140" w:history="1">
        <w:r>
          <w:rPr>
            <w:rFonts w:ascii="Times New Roman" w:hAnsi="Times New Roman" w:cs="Times New Roman"/>
            <w:iCs/>
            <w:noProof/>
            <w:color w:val="0000FF"/>
            <w:sz w:val="24"/>
            <w:szCs w:val="24"/>
            <w:u w:val="single"/>
          </w:rPr>
          <w:t>Study on employment, growth and innovation in rural areas (SEGIRA</w:t>
        </w:r>
        <w:r>
          <w:rPr>
            <w:rFonts w:ascii="Times New Roman" w:hAnsi="Times New Roman" w:cs="Times New Roman"/>
            <w:noProof/>
            <w:color w:val="0000FF"/>
            <w:sz w:val="24"/>
            <w:szCs w:val="24"/>
            <w:u w:val="single"/>
          </w:rPr>
          <w:t>),</w:t>
        </w:r>
      </w:hyperlink>
      <w:r>
        <w:rPr>
          <w:rFonts w:ascii="Times New Roman" w:hAnsi="Times New Roman" w:cs="Times New Roman"/>
          <w:noProof/>
          <w:sz w:val="24"/>
          <w:szCs w:val="24"/>
        </w:rPr>
        <w:t xml:space="preserve"> Study to the European Commission.</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Ecorys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(2016) </w:t>
      </w:r>
      <w:hyperlink r:id="rId141" w:history="1">
        <w:r>
          <w:rPr>
            <w:rFonts w:ascii="Times New Roman" w:hAnsi="Times New Roman" w:cs="Times New Roman"/>
            <w:noProof/>
            <w:color w:val="0000FF"/>
            <w:sz w:val="24"/>
            <w:szCs w:val="24"/>
            <w:u w:val="single"/>
          </w:rPr>
          <w:t>Mapping and analysis of the implementation of the CAP</w:t>
        </w:r>
      </w:hyperlink>
      <w:r>
        <w:rPr>
          <w:rFonts w:ascii="Times New Roman" w:hAnsi="Times New Roman" w:cs="Times New Roman"/>
          <w:noProof/>
          <w:color w:val="0000FF"/>
          <w:sz w:val="24"/>
          <w:szCs w:val="24"/>
          <w:u w:val="single"/>
        </w:rPr>
        <w:t>,</w:t>
      </w:r>
      <w:r>
        <w:rPr>
          <w:rFonts w:ascii="Times New Roman" w:hAnsi="Times New Roman" w:cs="Times New Roman"/>
          <w:noProof/>
          <w:sz w:val="24"/>
          <w:szCs w:val="24"/>
        </w:rPr>
        <w:t xml:space="preserve"> Study to the European Commission. </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Ecorys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0"/>
          <w:szCs w:val="24"/>
        </w:rPr>
        <w:t xml:space="preserve"> </w:t>
      </w:r>
      <w:r>
        <w:rPr>
          <w:rFonts w:ascii="Times New Roman" w:eastAsia="Times New Roman" w:hAnsi="Times New Roman" w:cs="Times New Roman"/>
          <w:noProof/>
          <w:sz w:val="24"/>
          <w:szCs w:val="24"/>
        </w:rPr>
        <w:t xml:space="preserve">(Forthcoming) Study on </w:t>
      </w:r>
      <w:r>
        <w:rPr>
          <w:rFonts w:ascii="Times New Roman" w:eastAsia="Times New Roman" w:hAnsi="Times New Roman" w:cs="Times New Roman"/>
          <w:noProof/>
          <w:sz w:val="24"/>
          <w:szCs w:val="24"/>
        </w:rPr>
        <w:t>risk management in EU Agriculture. Study to the European Commission.</w:t>
      </w:r>
    </w:p>
    <w:p w:rsidR="00333A1A" w:rsidRDefault="003D29C9">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rPr>
        <w:t xml:space="preserve">EIP AGRI Focus Group (2015) </w:t>
      </w:r>
      <w:hyperlink r:id="rId142" w:history="1">
        <w:r>
          <w:rPr>
            <w:rFonts w:ascii="Times New Roman" w:eastAsia="Times New Roman" w:hAnsi="Times New Roman" w:cs="Times New Roman"/>
            <w:noProof/>
            <w:color w:val="0000FF"/>
            <w:sz w:val="24"/>
            <w:szCs w:val="24"/>
            <w:u w:val="single"/>
          </w:rPr>
          <w:t>Precision Farming</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lang w:eastAsia="en-GB"/>
        </w:rPr>
        <w:t xml:space="preserve"> Study to the European Commission.</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EIP-AGRI (2017) </w:t>
      </w:r>
      <w:hyperlink r:id="rId143" w:history="1">
        <w:r>
          <w:rPr>
            <w:rFonts w:ascii="Times New Roman" w:eastAsia="Times New Roman" w:hAnsi="Times New Roman" w:cs="Times New Roman"/>
            <w:noProof/>
            <w:color w:val="0000FF"/>
            <w:sz w:val="24"/>
            <w:szCs w:val="24"/>
            <w:u w:val="single"/>
          </w:rPr>
          <w:t>Horizon 2020. Multi-actor projects</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 xml:space="preserve">Study to the European Commission. </w:t>
      </w:r>
    </w:p>
    <w:p w:rsidR="00333A1A" w:rsidRDefault="003D29C9">
      <w:pPr>
        <w:autoSpaceDE w:val="0"/>
        <w:autoSpaceDN w:val="0"/>
        <w:adjustRightInd w:val="0"/>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EIP-A</w:t>
      </w:r>
      <w:r>
        <w:rPr>
          <w:rFonts w:ascii="Times New Roman" w:eastAsia="Times New Roman" w:hAnsi="Times New Roman" w:cs="Times New Roman"/>
          <w:noProof/>
          <w:sz w:val="24"/>
          <w:szCs w:val="24"/>
        </w:rPr>
        <w:t>GRI (2017)</w:t>
      </w:r>
      <w:r>
        <w:rPr>
          <w:rFonts w:ascii="Times New Roman" w:eastAsia="Times New Roman" w:hAnsi="Times New Roman" w:cs="Times New Roman"/>
          <w:noProof/>
          <w:sz w:val="24"/>
          <w:szCs w:val="20"/>
        </w:rPr>
        <w:t xml:space="preserve"> </w:t>
      </w:r>
      <w:hyperlink r:id="rId144" w:history="1">
        <w:r>
          <w:rPr>
            <w:rFonts w:ascii="Times New Roman" w:eastAsia="Times New Roman" w:hAnsi="Times New Roman" w:cs="Times New Roman"/>
            <w:noProof/>
            <w:color w:val="0000FF"/>
            <w:sz w:val="24"/>
            <w:szCs w:val="24"/>
            <w:u w:val="single"/>
          </w:rPr>
          <w:t>List of multi-actor projects</w:t>
        </w:r>
      </w:hyperlink>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Agriculture and Innovation, </w:t>
      </w:r>
      <w:r>
        <w:rPr>
          <w:rFonts w:ascii="Times New Roman" w:hAnsi="Times New Roman" w:cs="Times New Roman"/>
          <w:noProof/>
          <w:sz w:val="24"/>
          <w:szCs w:val="24"/>
        </w:rPr>
        <w:t>website.</w:t>
      </w:r>
    </w:p>
    <w:p w:rsidR="00333A1A" w:rsidRDefault="003D29C9">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EIP-AGRI (2017) </w:t>
      </w:r>
      <w:hyperlink r:id="rId145" w:history="1">
        <w:r>
          <w:rPr>
            <w:rFonts w:ascii="Times New Roman" w:eastAsia="Times New Roman" w:hAnsi="Times New Roman" w:cs="Times New Roman"/>
            <w:noProof/>
            <w:color w:val="0000FF"/>
            <w:sz w:val="24"/>
            <w:szCs w:val="24"/>
            <w:u w:val="single"/>
            <w:lang w:eastAsia="en-GB"/>
          </w:rPr>
          <w:t>Shaping the digital (r)evolution in agriculture</w:t>
        </w:r>
      </w:hyperlink>
      <w:r>
        <w:rPr>
          <w:rFonts w:ascii="Times New Roman" w:eastAsia="Times New Roman" w:hAnsi="Times New Roman" w:cs="Times New Roman"/>
          <w:noProof/>
          <w:sz w:val="24"/>
          <w:szCs w:val="24"/>
          <w:lang w:eastAsia="en-GB"/>
        </w:rPr>
        <w:t xml:space="preserve"> 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EIP-AGRI (2017) </w:t>
      </w:r>
      <w:hyperlink r:id="rId146" w:history="1">
        <w:r>
          <w:rPr>
            <w:rFonts w:ascii="Times New Roman" w:eastAsia="Times New Roman" w:hAnsi="Times New Roman" w:cs="Times New Roman"/>
            <w:noProof/>
            <w:color w:val="0000FF"/>
            <w:sz w:val="24"/>
            <w:szCs w:val="24"/>
            <w:u w:val="single"/>
            <w:lang w:eastAsia="en-GB"/>
          </w:rPr>
          <w:t>Skills development: education &amp; training, advice, peer to peer exchange and networking</w:t>
        </w:r>
      </w:hyperlink>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4"/>
          <w:lang w:eastAsia="en-GB"/>
        </w:rPr>
        <w:t>Agri Innovation Summit (AIS) "Innovation – shaping the future", 12 October.</w:t>
      </w:r>
    </w:p>
    <w:p w:rsidR="00333A1A" w:rsidRDefault="003D29C9">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EIP-AGRI (</w:t>
      </w:r>
      <w:r>
        <w:rPr>
          <w:rFonts w:ascii="Times New Roman" w:eastAsia="Times New Roman" w:hAnsi="Times New Roman" w:cs="Times New Roman"/>
          <w:noProof/>
          <w:sz w:val="24"/>
          <w:szCs w:val="24"/>
          <w:lang w:eastAsia="en-GB"/>
        </w:rPr>
        <w:t xml:space="preserve">2018) </w:t>
      </w:r>
      <w:hyperlink r:id="rId147" w:history="1">
        <w:r>
          <w:rPr>
            <w:rFonts w:ascii="Times New Roman" w:eastAsia="Times New Roman" w:hAnsi="Times New Roman" w:cs="Times New Roman"/>
            <w:noProof/>
            <w:color w:val="0000FF"/>
            <w:sz w:val="24"/>
            <w:szCs w:val="24"/>
            <w:u w:val="single"/>
            <w:lang w:val="en"/>
          </w:rPr>
          <w:t>Brochure Agricultural Knowledge and Innovation Systems</w:t>
        </w:r>
      </w:hyperlink>
      <w:r>
        <w:rPr>
          <w:rFonts w:ascii="Times New Roman" w:eastAsia="Times New Roman" w:hAnsi="Times New Roman" w:cs="Times New Roman"/>
          <w:noProof/>
          <w:color w:val="333333"/>
          <w:sz w:val="24"/>
          <w:szCs w:val="24"/>
          <w:lang w:val="en"/>
        </w:rPr>
        <w:t xml:space="preserve">, </w:t>
      </w:r>
      <w:r>
        <w:rPr>
          <w:rFonts w:ascii="Times New Roman" w:eastAsia="Times New Roman" w:hAnsi="Times New Roman" w:cs="Times New Roman"/>
          <w:noProof/>
          <w:sz w:val="24"/>
          <w:szCs w:val="24"/>
          <w:lang w:eastAsia="en-GB"/>
        </w:rPr>
        <w:t xml:space="preserve">Study to the European Commission. </w:t>
      </w:r>
    </w:p>
    <w:p w:rsidR="00333A1A" w:rsidRDefault="003D29C9">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4"/>
          <w:lang w:eastAsia="en-GB"/>
        </w:rPr>
        <w:t xml:space="preserve">EIP-AGRI, Focus Group (2015) </w:t>
      </w:r>
      <w:hyperlink r:id="rId148" w:history="1">
        <w:r>
          <w:rPr>
            <w:rFonts w:ascii="Times New Roman" w:eastAsia="Calibri" w:hAnsi="Times New Roman" w:cs="Times New Roman"/>
            <w:noProof/>
            <w:color w:val="0000FF"/>
            <w:sz w:val="24"/>
            <w:szCs w:val="24"/>
            <w:u w:val="single"/>
            <w:lang w:eastAsia="en-GB"/>
          </w:rPr>
          <w:t>Innovative Short Food Supply Chain management</w:t>
        </w:r>
      </w:hyperlink>
      <w:r>
        <w:rPr>
          <w:rFonts w:ascii="Times New Roman" w:eastAsia="Times New Roman" w:hAnsi="Times New Roman" w:cs="Times New Roman"/>
          <w:noProof/>
          <w:sz w:val="24"/>
          <w:szCs w:val="20"/>
          <w:lang w:eastAsia="en-GB"/>
        </w:rPr>
        <w:t>, Report to the European Commission.</w:t>
      </w:r>
    </w:p>
    <w:p w:rsidR="00333A1A" w:rsidRDefault="003D29C9">
      <w:pPr>
        <w:spacing w:after="120" w:line="240" w:lineRule="auto"/>
        <w:jc w:val="both"/>
        <w:rPr>
          <w:rFonts w:ascii="Times New Roman" w:eastAsia="Calibri" w:hAnsi="Times New Roman" w:cs="Times New Roman"/>
          <w:noProof/>
          <w:color w:val="000000"/>
          <w:sz w:val="24"/>
          <w:szCs w:val="24"/>
          <w:lang w:eastAsia="en-GB"/>
        </w:rPr>
      </w:pPr>
      <w:r>
        <w:rPr>
          <w:rFonts w:ascii="Times New Roman" w:eastAsia="Times New Roman" w:hAnsi="Times New Roman" w:cs="Times New Roman"/>
          <w:noProof/>
          <w:sz w:val="24"/>
          <w:szCs w:val="24"/>
          <w:lang w:eastAsia="en-GB"/>
        </w:rPr>
        <w:t xml:space="preserve">EIP-AGRI, </w:t>
      </w:r>
      <w:r>
        <w:rPr>
          <w:rFonts w:ascii="Times New Roman" w:eastAsia="Times New Roman" w:hAnsi="Times New Roman" w:cs="Times New Roman"/>
          <w:noProof/>
          <w:sz w:val="24"/>
          <w:szCs w:val="24"/>
          <w:lang w:val="en-US"/>
        </w:rPr>
        <w:t>Workshop</w:t>
      </w:r>
      <w:r>
        <w:rPr>
          <w:rFonts w:ascii="Times New Roman" w:eastAsia="Times New Roman" w:hAnsi="Times New Roman" w:cs="Times New Roman"/>
          <w:noProof/>
          <w:sz w:val="24"/>
          <w:szCs w:val="24"/>
          <w:lang w:eastAsia="en-GB"/>
        </w:rPr>
        <w:t xml:space="preserve"> (2017)</w:t>
      </w:r>
      <w:r>
        <w:rPr>
          <w:rFonts w:ascii="Times New Roman" w:eastAsia="Times New Roman" w:hAnsi="Times New Roman" w:cs="Times New Roman"/>
          <w:noProof/>
          <w:sz w:val="24"/>
          <w:szCs w:val="20"/>
        </w:rPr>
        <w:t xml:space="preserve"> </w:t>
      </w:r>
      <w:hyperlink r:id="rId149" w:history="1">
        <w:r>
          <w:rPr>
            <w:rFonts w:ascii="Times New Roman" w:eastAsia="Times New Roman" w:hAnsi="Times New Roman" w:cs="Times New Roman"/>
            <w:noProof/>
            <w:color w:val="0000FF"/>
            <w:sz w:val="24"/>
            <w:szCs w:val="24"/>
            <w:u w:val="single"/>
            <w:lang w:val="en-US"/>
          </w:rPr>
          <w:t>Cities and Food: connecting consumers and producers</w:t>
        </w:r>
      </w:hyperlink>
      <w:r>
        <w:rPr>
          <w:rFonts w:ascii="Times New Roman" w:eastAsia="Times New Roman" w:hAnsi="Times New Roman" w:cs="Times New Roman"/>
          <w:noProof/>
          <w:color w:val="0000FF"/>
          <w:sz w:val="24"/>
          <w:szCs w:val="24"/>
          <w:u w:val="single"/>
          <w:lang w:val="en-US"/>
        </w:rPr>
        <w:t>,</w:t>
      </w:r>
      <w:r>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0"/>
          <w:lang w:eastAsia="en-GB"/>
        </w:rPr>
        <w:t>Report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Eurofound (2014), </w:t>
      </w:r>
      <w:hyperlink r:id="rId150" w:history="1">
        <w:r>
          <w:rPr>
            <w:rFonts w:ascii="Times New Roman" w:eastAsia="Times New Roman" w:hAnsi="Times New Roman" w:cs="Times New Roman"/>
            <w:noProof/>
            <w:color w:val="0000FF"/>
            <w:sz w:val="24"/>
            <w:szCs w:val="24"/>
            <w:u w:val="single"/>
          </w:rPr>
          <w:t>Quality of life in urban and rural Europe</w:t>
        </w:r>
      </w:hyperlink>
      <w:r>
        <w:rPr>
          <w:rFonts w:ascii="Times New Roman" w:eastAsia="Times New Roman" w:hAnsi="Times New Roman" w:cs="Times New Roman"/>
          <w:noProof/>
          <w:sz w:val="24"/>
          <w:szCs w:val="24"/>
        </w:rPr>
        <w:t>, Publications Office of the European Union, Luxembourg.</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EUROISLANDS (2011) – </w:t>
      </w:r>
      <w:hyperlink r:id="rId151" w:history="1">
        <w:r>
          <w:rPr>
            <w:rFonts w:ascii="Times New Roman" w:eastAsia="Times New Roman" w:hAnsi="Times New Roman" w:cs="Times New Roman"/>
            <w:noProof/>
            <w:color w:val="0000FF"/>
            <w:sz w:val="24"/>
            <w:szCs w:val="24"/>
            <w:u w:val="single"/>
          </w:rPr>
          <w:t>The development of the Islands</w:t>
        </w:r>
      </w:hyperlink>
      <w:r>
        <w:rPr>
          <w:rFonts w:ascii="Times New Roman" w:eastAsia="Times New Roman" w:hAnsi="Times New Roman" w:cs="Times New Roman"/>
          <w:noProof/>
          <w:sz w:val="24"/>
          <w:szCs w:val="24"/>
        </w:rPr>
        <w:t xml:space="preserve"> - European Islands and Cohesion Policy, </w:t>
      </w:r>
      <w:hyperlink r:id="rId152" w:history="1">
        <w:r>
          <w:rPr>
            <w:rFonts w:ascii="Times New Roman" w:eastAsia="Times New Roman" w:hAnsi="Times New Roman" w:cs="Times New Roman"/>
            <w:noProof/>
            <w:color w:val="0000FF"/>
            <w:sz w:val="24"/>
            <w:szCs w:val="24"/>
            <w:u w:val="single"/>
          </w:rPr>
          <w:t>Annex IV- Analysis if the relevant literature</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ESPON programme.</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(2008) </w:t>
      </w:r>
      <w:hyperlink r:id="rId153" w:history="1">
        <w:r>
          <w:rPr>
            <w:rFonts w:ascii="Times New Roman" w:hAnsi="Times New Roman" w:cs="Times New Roman"/>
            <w:noProof/>
            <w:color w:val="0000FF"/>
            <w:sz w:val="24"/>
            <w:szCs w:val="24"/>
            <w:u w:val="single"/>
          </w:rPr>
          <w:t>Green Paper on Territorial</w:t>
        </w:r>
        <w:r>
          <w:rPr>
            <w:rFonts w:ascii="Times New Roman" w:hAnsi="Times New Roman" w:cs="Times New Roman"/>
            <w:noProof/>
            <w:color w:val="0000FF"/>
            <w:sz w:val="24"/>
            <w:szCs w:val="24"/>
            <w:u w:val="single"/>
          </w:rPr>
          <w:t xml:space="preserve"> Cohesion. Turning territorial diversity into strength</w:t>
        </w:r>
      </w:hyperlink>
      <w:r>
        <w:rPr>
          <w:rFonts w:ascii="Times New Roman" w:hAnsi="Times New Roman" w:cs="Times New Roman"/>
          <w:noProof/>
          <w:sz w:val="24"/>
          <w:szCs w:val="24"/>
        </w:rPr>
        <w:t xml:space="preserve">, Communication from the Commission to the Council, the European Parliament, the Committee of the Regions and the European Economic and Social Committee, COM 616 final. </w:t>
      </w:r>
    </w:p>
    <w:p w:rsidR="00333A1A" w:rsidRDefault="003D29C9">
      <w:pPr>
        <w:spacing w:afterLines="60" w:after="144"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European Commission (2012) </w:t>
      </w:r>
      <w:hyperlink r:id="rId154" w:history="1">
        <w:r>
          <w:rPr>
            <w:rFonts w:ascii="Times New Roman" w:hAnsi="Times New Roman" w:cs="Times New Roman"/>
            <w:bCs/>
            <w:noProof/>
            <w:color w:val="0000FF" w:themeColor="hyperlink"/>
            <w:sz w:val="24"/>
            <w:szCs w:val="24"/>
            <w:u w:val="single"/>
          </w:rPr>
          <w:t>Innovating for Sustainable Growth: A Bioeconomy for Europe</w:t>
        </w:r>
      </w:hyperlink>
      <w:r>
        <w:rPr>
          <w:rFonts w:ascii="Times New Roman" w:hAnsi="Times New Roman" w:cs="Times New Roman"/>
          <w:bCs/>
          <w:noProof/>
          <w:sz w:val="24"/>
          <w:szCs w:val="24"/>
        </w:rPr>
        <w:t xml:space="preserve"> Communication from the Commission to the European Parliament, the Council, the European Economic and Social Committee and the Committee of the Regions, COM 60 final</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(2012) </w:t>
      </w:r>
      <w:hyperlink r:id="rId155" w:history="1">
        <w:r>
          <w:rPr>
            <w:rFonts w:ascii="Times New Roman" w:eastAsia="Times New Roman" w:hAnsi="Times New Roman" w:cs="Times New Roman"/>
            <w:noProof/>
            <w:color w:val="0000FF"/>
            <w:sz w:val="24"/>
            <w:szCs w:val="24"/>
            <w:u w:val="single"/>
          </w:rPr>
          <w:t>The Implementation of the Water Framework Directive (2000/60/EC) River Basin Management Plans</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Report from the Commission to the European Parliament and the Council, COM 670 final. </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(2013) </w:t>
      </w:r>
      <w:hyperlink r:id="rId156" w:history="1">
        <w:r>
          <w:rPr>
            <w:rFonts w:ascii="Times New Roman" w:eastAsia="Times New Roman" w:hAnsi="Times New Roman" w:cs="Times New Roman"/>
            <w:noProof/>
            <w:color w:val="0000FF"/>
            <w:sz w:val="24"/>
            <w:szCs w:val="24"/>
            <w:u w:val="single"/>
          </w:rPr>
          <w:t>Impact Assessment</w:t>
        </w:r>
      </w:hyperlink>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color w:val="000000"/>
          <w:sz w:val="24"/>
          <w:szCs w:val="20"/>
        </w:rPr>
        <w:t>Communication from the Commission to the Council, the European Parliament, the European Economic and Social Committee and he Committee of the Regions a Clean Air P</w:t>
      </w:r>
      <w:r>
        <w:rPr>
          <w:rFonts w:ascii="Times New Roman" w:eastAsia="Times New Roman" w:hAnsi="Times New Roman" w:cs="Times New Roman"/>
          <w:noProof/>
          <w:color w:val="000000"/>
          <w:sz w:val="24"/>
          <w:szCs w:val="20"/>
        </w:rPr>
        <w:t>rogramme for Europe, Proposal for a Directive of the European Parliament and of the Council on the limitation of emissions of certain pollutants into the air from medium combustion plants, Proposal for a Directive of the European Parliament and of the Coun</w:t>
      </w:r>
      <w:r>
        <w:rPr>
          <w:rFonts w:ascii="Times New Roman" w:eastAsia="Times New Roman" w:hAnsi="Times New Roman" w:cs="Times New Roman"/>
          <w:noProof/>
          <w:color w:val="000000"/>
          <w:sz w:val="24"/>
          <w:szCs w:val="20"/>
        </w:rPr>
        <w:t>cil on the reduction of national emissions of certain atmospheric pollutants and amending Directive 2003/35/EC, Proposal for a Council Decision on the acceptance of the Amendment to the 1999 Protocol to the 1979 Convention on Long-Range Transboundary Air P</w:t>
      </w:r>
      <w:r>
        <w:rPr>
          <w:rFonts w:ascii="Times New Roman" w:eastAsia="Times New Roman" w:hAnsi="Times New Roman" w:cs="Times New Roman"/>
          <w:noProof/>
          <w:color w:val="000000"/>
          <w:sz w:val="24"/>
          <w:szCs w:val="20"/>
        </w:rPr>
        <w:t xml:space="preserve">ollution to Abate Acidification, Eutrophication and Ground-level Ozone, </w:t>
      </w:r>
      <w:r>
        <w:rPr>
          <w:rFonts w:ascii="Times New Roman" w:eastAsia="Times New Roman" w:hAnsi="Times New Roman" w:cs="Times New Roman"/>
          <w:noProof/>
          <w:sz w:val="24"/>
          <w:szCs w:val="24"/>
        </w:rPr>
        <w:t>Staff Working Document 531 final.</w:t>
      </w:r>
    </w:p>
    <w:p w:rsidR="00333A1A" w:rsidRDefault="003D29C9">
      <w:pPr>
        <w:spacing w:afterLines="60" w:after="144" w:line="240" w:lineRule="auto"/>
        <w:ind w:hanging="11"/>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 xml:space="preserve">European Commission (2014) Commission Implementing Regulation (EU) No 834/2014 of 22 July 2014 laying down rules for the </w:t>
      </w:r>
      <w:hyperlink r:id="rId157" w:history="1">
        <w:r>
          <w:rPr>
            <w:rFonts w:ascii="Times New Roman" w:eastAsia="Times New Roman" w:hAnsi="Times New Roman" w:cs="Times New Roman"/>
            <w:bCs/>
            <w:noProof/>
            <w:color w:val="0000FF"/>
            <w:sz w:val="24"/>
            <w:szCs w:val="24"/>
            <w:u w:val="single"/>
          </w:rPr>
          <w:t>application of the common monitoring and evaluation framework of the common agricultural policy.</w:t>
        </w:r>
      </w:hyperlink>
    </w:p>
    <w:p w:rsidR="00333A1A" w:rsidRDefault="003D29C9">
      <w:pPr>
        <w:tabs>
          <w:tab w:val="left" w:pos="6253"/>
        </w:tabs>
        <w:spacing w:afterLines="60" w:after="144" w:line="240" w:lineRule="auto"/>
        <w:jc w:val="both"/>
        <w:rPr>
          <w:rFonts w:ascii="Times New Roman" w:eastAsia="Times New Roman" w:hAnsi="Times New Roman" w:cs="Times New Roman"/>
          <w:noProof/>
          <w:color w:val="0000FF"/>
          <w:sz w:val="24"/>
          <w:szCs w:val="24"/>
          <w:u w:val="single"/>
          <w:lang w:val="fr-BE"/>
        </w:rPr>
      </w:pPr>
      <w:r>
        <w:rPr>
          <w:rFonts w:ascii="Times New Roman" w:eastAsia="Times New Roman" w:hAnsi="Times New Roman" w:cs="Times New Roman"/>
          <w:noProof/>
          <w:sz w:val="24"/>
          <w:szCs w:val="24"/>
          <w:lang w:val="fr-BE"/>
        </w:rPr>
        <w:t xml:space="preserve">European Commission (2014, 2016) </w:t>
      </w:r>
      <w:hyperlink r:id="rId158" w:history="1">
        <w:r>
          <w:rPr>
            <w:rFonts w:ascii="Times New Roman" w:eastAsia="Times New Roman" w:hAnsi="Times New Roman" w:cs="Times New Roman"/>
            <w:noProof/>
            <w:color w:val="0000FF"/>
            <w:sz w:val="24"/>
            <w:szCs w:val="24"/>
            <w:u w:val="single"/>
            <w:lang w:val="fr-BE"/>
          </w:rPr>
          <w:t>EU Market observatories</w:t>
        </w:r>
      </w:hyperlink>
      <w:r>
        <w:rPr>
          <w:rFonts w:ascii="Times New Roman" w:eastAsia="Times New Roman" w:hAnsi="Times New Roman" w:cs="Times New Roman"/>
          <w:noProof/>
          <w:sz w:val="24"/>
          <w:szCs w:val="24"/>
          <w:lang w:val="fr-BE"/>
        </w:rPr>
        <w:t>, website.</w:t>
      </w:r>
    </w:p>
    <w:p w:rsidR="00333A1A" w:rsidRDefault="003D29C9">
      <w:pPr>
        <w:spacing w:afterLines="60" w:after="144" w:line="240" w:lineRule="auto"/>
        <w:jc w:val="both"/>
        <w:rPr>
          <w:rFonts w:ascii="Times New Roman" w:hAnsi="Times New Roman" w:cs="Times New Roman"/>
          <w:noProof/>
          <w:sz w:val="24"/>
          <w:szCs w:val="20"/>
        </w:rPr>
      </w:pPr>
      <w:r>
        <w:rPr>
          <w:rFonts w:ascii="Times New Roman" w:hAnsi="Times New Roman" w:cs="Times New Roman"/>
          <w:noProof/>
          <w:sz w:val="24"/>
          <w:szCs w:val="20"/>
        </w:rPr>
        <w:t xml:space="preserve">European Commission (2015) </w:t>
      </w:r>
      <w:hyperlink r:id="rId159" w:history="1">
        <w:r>
          <w:rPr>
            <w:rFonts w:ascii="Times New Roman" w:hAnsi="Times New Roman" w:cs="Times New Roman"/>
            <w:noProof/>
            <w:color w:val="0000FF"/>
            <w:sz w:val="24"/>
            <w:szCs w:val="20"/>
            <w:u w:val="single"/>
          </w:rPr>
          <w:t>Better Regulation for Bet</w:t>
        </w:r>
        <w:r>
          <w:rPr>
            <w:rFonts w:ascii="Times New Roman" w:hAnsi="Times New Roman" w:cs="Times New Roman"/>
            <w:noProof/>
            <w:color w:val="0000FF"/>
            <w:sz w:val="24"/>
            <w:szCs w:val="20"/>
            <w:u w:val="single"/>
          </w:rPr>
          <w:t>ter Results — An EU Agenda</w:t>
        </w:r>
      </w:hyperlink>
      <w:r>
        <w:rPr>
          <w:rFonts w:ascii="Times New Roman" w:hAnsi="Times New Roman" w:cs="Times New Roman"/>
          <w:noProof/>
          <w:sz w:val="24"/>
          <w:szCs w:val="20"/>
        </w:rPr>
        <w:t>, Communication from the Commission to the European Parliament, the Council, the European Economic and Social Committee and the Committee of the Regions, COM 215 final.</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(2015) </w:t>
      </w:r>
      <w:hyperlink r:id="rId160" w:history="1">
        <w:r>
          <w:rPr>
            <w:rFonts w:ascii="Times New Roman" w:hAnsi="Times New Roman" w:cs="Times New Roman"/>
            <w:noProof/>
            <w:color w:val="0000FF"/>
            <w:sz w:val="24"/>
            <w:szCs w:val="24"/>
            <w:u w:val="single"/>
          </w:rPr>
          <w:t>Better Regulation Toolbox</w:t>
        </w:r>
      </w:hyperlink>
      <w:r>
        <w:rPr>
          <w:rFonts w:ascii="Times New Roman" w:hAnsi="Times New Roman" w:cs="Times New Roman"/>
          <w:noProof/>
          <w:color w:val="0000FF"/>
          <w:sz w:val="24"/>
          <w:szCs w:val="24"/>
          <w:u w:val="single"/>
        </w:rPr>
        <w:t>.</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(2015) </w:t>
      </w:r>
      <w:hyperlink r:id="rId161" w:history="1">
        <w:r>
          <w:rPr>
            <w:rFonts w:ascii="Times New Roman" w:eastAsia="Times New Roman" w:hAnsi="Times New Roman" w:cs="Times New Roman"/>
            <w:noProof/>
            <w:color w:val="0000FF"/>
            <w:sz w:val="24"/>
            <w:szCs w:val="24"/>
            <w:u w:val="single"/>
          </w:rPr>
          <w:t>Digital Agenda Scoreboard: Most targets reached, time has come to lift digital borders</w:t>
        </w:r>
      </w:hyperlink>
      <w:r>
        <w:rPr>
          <w:rFonts w:ascii="Times New Roman" w:eastAsia="Times New Roman" w:hAnsi="Times New Roman" w:cs="Times New Roman"/>
          <w:noProof/>
          <w:color w:val="0000FF"/>
          <w:sz w:val="24"/>
          <w:szCs w:val="24"/>
          <w:u w:val="single"/>
        </w:rPr>
        <w:t>,</w:t>
      </w:r>
      <w:r>
        <w:rPr>
          <w:rFonts w:ascii="Times New Roman" w:hAnsi="Times New Roman" w:cs="Times New Roman"/>
          <w:noProof/>
          <w:sz w:val="24"/>
          <w:szCs w:val="20"/>
        </w:rPr>
        <w:t xml:space="preserve"> website</w:t>
      </w:r>
      <w:r>
        <w:rPr>
          <w:rFonts w:ascii="Times New Roman" w:eastAsia="Times New Roman" w:hAnsi="Times New Roman" w:cs="Times New Roman"/>
          <w:noProof/>
          <w:sz w:val="24"/>
          <w:szCs w:val="24"/>
        </w:rPr>
        <w: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European C</w:t>
      </w:r>
      <w:r>
        <w:rPr>
          <w:rFonts w:ascii="Times New Roman" w:eastAsia="Times New Roman" w:hAnsi="Times New Roman" w:cs="Times New Roman"/>
          <w:noProof/>
          <w:sz w:val="24"/>
          <w:szCs w:val="24"/>
        </w:rPr>
        <w:t xml:space="preserve">ommission (2015) </w:t>
      </w:r>
      <w:hyperlink r:id="rId162" w:history="1">
        <w:r>
          <w:rPr>
            <w:rFonts w:ascii="Times New Roman" w:eastAsia="Times New Roman" w:hAnsi="Times New Roman" w:cs="Times New Roman"/>
            <w:noProof/>
            <w:color w:val="0000FF"/>
            <w:sz w:val="24"/>
            <w:szCs w:val="24"/>
            <w:u w:val="single"/>
          </w:rPr>
          <w:t>Ecological flows in the implementation of the Water Framework Directive</w:t>
        </w:r>
      </w:hyperlink>
      <w:r>
        <w:rPr>
          <w:rFonts w:ascii="Times New Roman" w:eastAsia="Times New Roman" w:hAnsi="Times New Roman" w:cs="Times New Roman"/>
          <w:noProof/>
          <w:sz w:val="24"/>
          <w:szCs w:val="24"/>
        </w:rPr>
        <w:t>, CIS guidan</w:t>
      </w:r>
      <w:r>
        <w:rPr>
          <w:rFonts w:ascii="Times New Roman" w:eastAsia="Times New Roman" w:hAnsi="Times New Roman" w:cs="Times New Roman"/>
          <w:noProof/>
          <w:sz w:val="24"/>
          <w:szCs w:val="24"/>
        </w:rPr>
        <w:t>ce document nº31, Technical Report 086</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(2015) </w:t>
      </w:r>
      <w:hyperlink r:id="rId163" w:history="1">
        <w:r>
          <w:rPr>
            <w:rFonts w:ascii="Times New Roman" w:hAnsi="Times New Roman" w:cs="Times New Roman"/>
            <w:noProof/>
            <w:color w:val="0000FF"/>
            <w:sz w:val="24"/>
            <w:szCs w:val="20"/>
            <w:u w:val="single"/>
          </w:rPr>
          <w:t>Glossary of the Common Agricultural Policy</w:t>
        </w:r>
      </w:hyperlink>
      <w:r>
        <w:rPr>
          <w:rFonts w:ascii="Times New Roman" w:hAnsi="Times New Roman" w:cs="Times New Roman"/>
          <w:noProof/>
          <w:sz w:val="24"/>
          <w:szCs w:val="20"/>
        </w:rPr>
        <w:t>,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 xml:space="preserve">European Commission (2015) </w:t>
      </w:r>
      <w:hyperlink r:id="rId164" w:history="1">
        <w:r>
          <w:rPr>
            <w:rFonts w:ascii="Times New Roman" w:eastAsia="Times New Roman" w:hAnsi="Times New Roman" w:cs="Times New Roman"/>
            <w:noProof/>
            <w:color w:val="0000FF"/>
            <w:sz w:val="24"/>
            <w:szCs w:val="24"/>
            <w:u w:val="single"/>
          </w:rPr>
          <w:t>The mid-term review of the EU biodiversity strategy to 2020</w:t>
        </w:r>
      </w:hyperlink>
      <w:r>
        <w:rPr>
          <w:rFonts w:ascii="Times New Roman" w:eastAsia="Times New Roman" w:hAnsi="Times New Roman" w:cs="Times New Roman"/>
          <w:noProof/>
          <w:sz w:val="24"/>
          <w:szCs w:val="24"/>
        </w:rPr>
        <w:t>, Report from the Commission to the European Parliament and the Council, 478</w:t>
      </w:r>
      <w:r>
        <w:rPr>
          <w:rFonts w:ascii="Times New Roman" w:eastAsia="Times New Roman" w:hAnsi="Times New Roman" w:cs="Times New Roman"/>
          <w:noProof/>
          <w:color w:val="000000"/>
          <w:sz w:val="24"/>
          <w:szCs w:val="24"/>
        </w:rPr>
        <w:t xml:space="preserve"> final</w:t>
      </w:r>
      <w:r>
        <w:rPr>
          <w:rFonts w:ascii="Times New Roman" w:eastAsia="Times New Roman" w:hAnsi="Times New Roman" w:cs="Times New Roman"/>
          <w:noProof/>
          <w:sz w:val="24"/>
          <w:szCs w:val="24"/>
        </w:rPr>
        <w:t>.</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(2016) </w:t>
      </w:r>
      <w:hyperlink r:id="rId165" w:history="1">
        <w:r>
          <w:rPr>
            <w:rFonts w:ascii="Times New Roman" w:hAnsi="Times New Roman" w:cs="Times New Roman"/>
            <w:noProof/>
            <w:color w:val="0000FF"/>
            <w:sz w:val="24"/>
            <w:szCs w:val="24"/>
            <w:u w:val="single"/>
          </w:rPr>
          <w:t>Annual Activity Report</w:t>
        </w:r>
      </w:hyperlink>
      <w:r>
        <w:rPr>
          <w:rFonts w:ascii="Times New Roman" w:hAnsi="Times New Roman" w:cs="Times New Roman"/>
          <w:noProof/>
          <w:sz w:val="24"/>
          <w:szCs w:val="24"/>
        </w:rPr>
        <w:t xml:space="preserve"> and </w:t>
      </w:r>
      <w:hyperlink r:id="rId166" w:history="1">
        <w:r>
          <w:rPr>
            <w:rFonts w:ascii="Times New Roman" w:hAnsi="Times New Roman" w:cs="Times New Roman"/>
            <w:noProof/>
            <w:color w:val="0000FF"/>
            <w:sz w:val="24"/>
            <w:szCs w:val="24"/>
            <w:u w:val="single"/>
          </w:rPr>
          <w:t>annexes</w:t>
        </w:r>
      </w:hyperlink>
      <w:r>
        <w:rPr>
          <w:rFonts w:ascii="Times New Roman" w:hAnsi="Times New Roman" w:cs="Times New Roman"/>
          <w:noProof/>
          <w:sz w:val="24"/>
          <w:szCs w:val="24"/>
        </w:rPr>
        <w:t xml:space="preserve">, Directorate General for Agriculture and Rural Development. </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(2016) </w:t>
      </w:r>
      <w:hyperlink r:id="rId167" w:history="1">
        <w:r>
          <w:rPr>
            <w:rFonts w:ascii="Times New Roman" w:eastAsia="Times New Roman" w:hAnsi="Times New Roman" w:cs="Times New Roman"/>
            <w:noProof/>
            <w:color w:val="0000FF"/>
            <w:sz w:val="24"/>
            <w:szCs w:val="24"/>
            <w:u w:val="single"/>
          </w:rPr>
          <w:t>CAP context indicators</w:t>
        </w:r>
      </w:hyperlink>
      <w:r>
        <w:rPr>
          <w:rFonts w:ascii="Times New Roman" w:hAnsi="Times New Roman" w:cs="Times New Roman"/>
          <w:noProof/>
          <w:sz w:val="24"/>
          <w:szCs w:val="24"/>
        </w:rPr>
        <w:t>, Directorate General for Agricul</w:t>
      </w:r>
      <w:r>
        <w:rPr>
          <w:rFonts w:ascii="Times New Roman" w:hAnsi="Times New Roman" w:cs="Times New Roman"/>
          <w:noProof/>
          <w:sz w:val="24"/>
          <w:szCs w:val="24"/>
        </w:rPr>
        <w:t>ture and Rural Development.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European Commission (</w:t>
      </w:r>
      <w:r>
        <w:rPr>
          <w:rFonts w:ascii="Times New Roman" w:eastAsia="Times New Roman" w:hAnsi="Times New Roman" w:cs="Times New Roman"/>
          <w:bCs/>
          <w:noProof/>
          <w:sz w:val="24"/>
          <w:szCs w:val="24"/>
        </w:rPr>
        <w:t xml:space="preserve">2016) </w:t>
      </w:r>
      <w:hyperlink r:id="rId168" w:history="1">
        <w:r>
          <w:rPr>
            <w:rFonts w:ascii="Times New Roman" w:eastAsia="Times New Roman" w:hAnsi="Times New Roman" w:cs="Times New Roman"/>
            <w:bCs/>
            <w:noProof/>
            <w:color w:val="0000FF"/>
            <w:sz w:val="24"/>
            <w:szCs w:val="24"/>
            <w:u w:val="single"/>
          </w:rPr>
          <w:t>Cork 2.0: European Conference on Rural Development</w:t>
        </w:r>
      </w:hyperlink>
      <w:r>
        <w:rPr>
          <w:rFonts w:ascii="Times New Roman" w:eastAsia="Times New Roman" w:hAnsi="Times New Roman" w:cs="Times New Roman"/>
          <w:bCs/>
          <w:noProof/>
          <w:color w:val="0000FF"/>
          <w:sz w:val="24"/>
          <w:szCs w:val="24"/>
          <w:u w:val="single"/>
        </w:rPr>
        <w:t>,</w:t>
      </w:r>
      <w:r>
        <w:rPr>
          <w:rFonts w:ascii="Times New Roman" w:hAnsi="Times New Roman" w:cs="Times New Roman"/>
          <w:noProof/>
          <w:sz w:val="24"/>
          <w:szCs w:val="24"/>
        </w:rPr>
        <w:t xml:space="preserve"> website.</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(2016) </w:t>
      </w:r>
      <w:hyperlink r:id="rId169" w:history="1">
        <w:r>
          <w:rPr>
            <w:rFonts w:ascii="Times New Roman" w:hAnsi="Times New Roman" w:cs="Times New Roman"/>
            <w:noProof/>
            <w:color w:val="0000FF"/>
            <w:sz w:val="24"/>
            <w:szCs w:val="24"/>
            <w:u w:val="single"/>
          </w:rPr>
          <w:t>Development of the dairy market situation and the operation of the "Milk Package" provisions</w:t>
        </w:r>
      </w:hyperlink>
      <w:r>
        <w:rPr>
          <w:rFonts w:ascii="Times New Roman" w:hAnsi="Times New Roman" w:cs="Times New Roman"/>
          <w:noProof/>
          <w:sz w:val="24"/>
          <w:szCs w:val="24"/>
        </w:rPr>
        <w:t>, Report from the Commission to the European Parliament and the Council, COM 724 final.</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European</w:t>
      </w:r>
      <w:r>
        <w:rPr>
          <w:rFonts w:ascii="Times New Roman" w:hAnsi="Times New Roman" w:cs="Times New Roman"/>
          <w:noProof/>
          <w:sz w:val="24"/>
          <w:szCs w:val="24"/>
        </w:rPr>
        <w:t xml:space="preserve"> Commission (2016) </w:t>
      </w:r>
      <w:hyperlink r:id="rId170" w:history="1">
        <w:r>
          <w:rPr>
            <w:rFonts w:ascii="Times New Roman" w:hAnsi="Times New Roman" w:cs="Times New Roman"/>
            <w:noProof/>
            <w:color w:val="0000FF" w:themeColor="hyperlink"/>
            <w:sz w:val="24"/>
            <w:szCs w:val="24"/>
            <w:u w:val="single"/>
          </w:rPr>
          <w:t>European Research and Innovation for Food and Nutrition Security</w:t>
        </w:r>
      </w:hyperlink>
      <w:r>
        <w:rPr>
          <w:rFonts w:ascii="Times New Roman" w:hAnsi="Times New Roman" w:cs="Times New Roman"/>
          <w:noProof/>
          <w:sz w:val="24"/>
          <w:szCs w:val="24"/>
        </w:rPr>
        <w:t xml:space="preserve"> Staff Working Document 319 final</w:t>
      </w:r>
    </w:p>
    <w:p w:rsidR="00333A1A" w:rsidRDefault="003D29C9">
      <w:pPr>
        <w:autoSpaceDE w:val="0"/>
        <w:autoSpaceDN w:val="0"/>
        <w:adjustRightInd w:val="0"/>
        <w:spacing w:afterLines="60" w:after="144"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European Commission (2016) </w:t>
      </w:r>
      <w:hyperlink r:id="rId171" w:history="1">
        <w:r>
          <w:rPr>
            <w:rFonts w:ascii="Times New Roman" w:hAnsi="Times New Roman" w:cs="Times New Roman"/>
            <w:iCs/>
            <w:noProof/>
            <w:color w:val="0000FF"/>
            <w:sz w:val="24"/>
            <w:szCs w:val="24"/>
            <w:u w:val="single"/>
          </w:rPr>
          <w:t>Final paper on a strategic approach to EU agricultural research and innovation</w:t>
        </w:r>
      </w:hyperlink>
      <w:r>
        <w:rPr>
          <w:rFonts w:ascii="Times New Roman" w:hAnsi="Times New Roman" w:cs="Times New Roman"/>
          <w:iCs/>
          <w:noProof/>
          <w:sz w:val="24"/>
          <w:szCs w:val="24"/>
        </w:rPr>
        <w:t>, Horizon 2020.</w:t>
      </w:r>
    </w:p>
    <w:p w:rsidR="00333A1A" w:rsidRDefault="003D29C9">
      <w:pPr>
        <w:spacing w:afterLines="60" w:after="144"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European Commission</w:t>
      </w:r>
      <w:r>
        <w:rPr>
          <w:rFonts w:ascii="Times New Roman" w:eastAsia="Times New Roman" w:hAnsi="Times New Roman" w:cs="Times New Roman"/>
          <w:noProof/>
          <w:color w:val="000000"/>
          <w:sz w:val="24"/>
          <w:szCs w:val="24"/>
          <w:lang w:eastAsia="en-GB"/>
        </w:rPr>
        <w:t xml:space="preserve"> </w:t>
      </w:r>
      <w:r>
        <w:rPr>
          <w:rFonts w:ascii="Times New Roman" w:hAnsi="Times New Roman" w:cs="Times New Roman"/>
          <w:noProof/>
          <w:sz w:val="24"/>
          <w:szCs w:val="24"/>
        </w:rPr>
        <w:t xml:space="preserve">(2016) </w:t>
      </w:r>
      <w:hyperlink r:id="rId172" w:history="1">
        <w:r>
          <w:rPr>
            <w:rFonts w:ascii="Times New Roman" w:eastAsia="Times New Roman" w:hAnsi="Times New Roman" w:cs="Times New Roman"/>
            <w:noProof/>
            <w:color w:val="0000FF"/>
            <w:sz w:val="24"/>
            <w:szCs w:val="24"/>
            <w:u w:val="single"/>
            <w:lang w:eastAsia="en-GB"/>
          </w:rPr>
          <w:t>Fitness check of the EU nature legislation (birds and habitats directives)</w:t>
        </w:r>
      </w:hyperlink>
      <w:r>
        <w:rPr>
          <w:rFonts w:ascii="Times New Roman" w:eastAsia="Times New Roman" w:hAnsi="Times New Roman" w:cs="Times New Roman"/>
          <w:noProof/>
          <w:color w:val="000000"/>
          <w:sz w:val="24"/>
          <w:szCs w:val="24"/>
          <w:lang w:eastAsia="en-GB"/>
        </w:rPr>
        <w:t>, Staff working document 472.</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sz w:val="24"/>
          <w:szCs w:val="24"/>
        </w:rPr>
        <w:t>European Commission (2016)</w:t>
      </w:r>
      <w:r>
        <w:rPr>
          <w:rFonts w:ascii="Times New Roman" w:eastAsia="Times New Roman" w:hAnsi="Times New Roman" w:cs="Times New Roman"/>
          <w:noProof/>
          <w:color w:val="000000"/>
          <w:sz w:val="24"/>
          <w:szCs w:val="24"/>
        </w:rPr>
        <w:t xml:space="preserve"> </w:t>
      </w:r>
      <w:hyperlink r:id="rId173" w:history="1">
        <w:r>
          <w:rPr>
            <w:rFonts w:ascii="Times New Roman" w:eastAsia="Times New Roman" w:hAnsi="Times New Roman" w:cs="Times New Roman"/>
            <w:noProof/>
            <w:color w:val="0000FF" w:themeColor="hyperlink"/>
            <w:sz w:val="24"/>
            <w:szCs w:val="24"/>
            <w:u w:val="single"/>
          </w:rPr>
          <w:t>Monitoring EU Agri-Food Trade: Development until December 2016</w:t>
        </w:r>
      </w:hyperlink>
      <w:r>
        <w:rPr>
          <w:rFonts w:ascii="Times New Roman" w:eastAsia="Times New Roman" w:hAnsi="Times New Roman" w:cs="Times New Roman"/>
          <w:noProof/>
          <w:sz w:val="24"/>
          <w:szCs w:val="24"/>
        </w:rPr>
        <w:t>, Directorate General for Agriculture and Rural Development, websi</w:t>
      </w:r>
      <w:r>
        <w:rPr>
          <w:rFonts w:ascii="Times New Roman" w:eastAsia="Times New Roman" w:hAnsi="Times New Roman" w:cs="Times New Roman"/>
          <w:noProof/>
          <w:sz w:val="24"/>
          <w:szCs w:val="24"/>
        </w:rPr>
        <w:t>te.</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(2016) </w:t>
      </w:r>
      <w:hyperlink r:id="rId174" w:history="1">
        <w:r>
          <w:rPr>
            <w:rFonts w:ascii="Times New Roman" w:eastAsia="Times New Roman" w:hAnsi="Times New Roman" w:cs="Times New Roman"/>
            <w:noProof/>
            <w:color w:val="0000FF"/>
            <w:sz w:val="24"/>
            <w:szCs w:val="24"/>
            <w:u w:val="single"/>
          </w:rPr>
          <w:t>Next steps for a sustainable European future: European Action for sustainability</w:t>
        </w:r>
      </w:hyperlink>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 xml:space="preserve">Communication from </w:t>
      </w:r>
      <w:r>
        <w:rPr>
          <w:rFonts w:ascii="Times New Roman" w:hAnsi="Times New Roman" w:cs="Times New Roman"/>
          <w:noProof/>
          <w:sz w:val="24"/>
          <w:szCs w:val="24"/>
        </w:rPr>
        <w:t>the Commission to the European Parliament, the Council, the European Economic and Social Committee and the Committee of the Regions,</w:t>
      </w:r>
      <w:r>
        <w:rPr>
          <w:rFonts w:ascii="Times New Roman" w:eastAsia="Times New Roman" w:hAnsi="Times New Roman" w:cs="Times New Roman"/>
          <w:noProof/>
          <w:sz w:val="24"/>
          <w:szCs w:val="24"/>
        </w:rPr>
        <w:t xml:space="preserve"> 739 final. </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(2016) </w:t>
      </w:r>
      <w:hyperlink r:id="rId175" w:history="1">
        <w:r>
          <w:rPr>
            <w:rFonts w:ascii="Times New Roman" w:eastAsia="Times New Roman" w:hAnsi="Times New Roman" w:cs="Times New Roman"/>
            <w:noProof/>
            <w:color w:val="0000FF"/>
            <w:sz w:val="24"/>
            <w:szCs w:val="24"/>
            <w:u w:val="single"/>
          </w:rPr>
          <w:t>Productivity in EU agriculture – slowly but steadily growing</w:t>
        </w:r>
      </w:hyperlink>
      <w:r>
        <w:rPr>
          <w:rFonts w:ascii="Times New Roman" w:eastAsia="Times New Roman" w:hAnsi="Times New Roman" w:cs="Times New Roman"/>
          <w:noProof/>
          <w:sz w:val="24"/>
          <w:szCs w:val="24"/>
        </w:rPr>
        <w:t xml:space="preserve">, Directorate General for Agriculture and Rural Development, EU Agricultural Market Brief n°10. </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(2016) </w:t>
      </w:r>
      <w:hyperlink r:id="rId176" w:history="1">
        <w:r>
          <w:rPr>
            <w:rFonts w:ascii="Times New Roman" w:eastAsia="Times New Roman" w:hAnsi="Times New Roman" w:cs="Times New Roman"/>
            <w:noProof/>
            <w:color w:val="0000FF"/>
            <w:sz w:val="24"/>
            <w:szCs w:val="24"/>
            <w:u w:val="single"/>
          </w:rPr>
          <w:t>Prospect for the EU agricultural markets and income 2016-2026</w:t>
        </w:r>
      </w:hyperlink>
      <w:r>
        <w:rPr>
          <w:rFonts w:ascii="Times New Roman" w:eastAsia="Times New Roman" w:hAnsi="Times New Roman" w:cs="Times New Roman"/>
          <w:noProof/>
          <w:sz w:val="24"/>
          <w:szCs w:val="24"/>
        </w:rPr>
        <w:t>, Directorate General for Agriculture and Rural Development, EU Agricultural Outlook Report.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w:t>
      </w:r>
      <w:r>
        <w:rPr>
          <w:rFonts w:ascii="Times New Roman" w:eastAsia="Times New Roman" w:hAnsi="Times New Roman" w:cs="Times New Roman"/>
          <w:noProof/>
          <w:sz w:val="24"/>
          <w:szCs w:val="24"/>
        </w:rPr>
        <w:t xml:space="preserve">uropean Commission (2016) </w:t>
      </w:r>
      <w:hyperlink r:id="rId177" w:history="1">
        <w:r>
          <w:rPr>
            <w:rFonts w:ascii="Times New Roman" w:hAnsi="Times New Roman" w:cs="Times New Roman"/>
            <w:noProof/>
            <w:color w:val="0000FF" w:themeColor="hyperlink"/>
            <w:sz w:val="24"/>
            <w:szCs w:val="24"/>
            <w:u w:val="single"/>
          </w:rPr>
          <w:t>REFIT Platform Opinion on the submission by the European Environmental Bureau on Effectiveness and Efficiency of the Common Agricultural</w:t>
        </w:r>
        <w:r>
          <w:rPr>
            <w:rFonts w:ascii="Times New Roman" w:hAnsi="Times New Roman" w:cs="Times New Roman"/>
            <w:noProof/>
            <w:color w:val="0000FF" w:themeColor="hyperlink"/>
            <w:sz w:val="24"/>
            <w:szCs w:val="24"/>
            <w:u w:val="single"/>
          </w:rPr>
          <w:t xml:space="preserve"> Policy</w:t>
        </w:r>
      </w:hyperlink>
      <w:r>
        <w:rPr>
          <w:rFonts w:ascii="Times New Roman" w:hAnsi="Times New Roman" w:cs="Times New Roman"/>
          <w:noProof/>
          <w:color w:val="0000FF" w:themeColor="hyperlink"/>
          <w:sz w:val="24"/>
          <w:szCs w:val="24"/>
          <w:u w:val="single"/>
        </w:rPr>
        <w:t>,</w:t>
      </w:r>
      <w:r>
        <w:rPr>
          <w:rFonts w:ascii="Times New Roman" w:eastAsia="Times New Roman" w:hAnsi="Times New Roman" w:cs="Times New Roman"/>
          <w:noProof/>
          <w:sz w:val="24"/>
          <w:szCs w:val="24"/>
        </w:rPr>
        <w:t xml:space="preserve"> Refit Platform Opinion.</w:t>
      </w:r>
    </w:p>
    <w:p w:rsidR="00333A1A" w:rsidRDefault="003D29C9">
      <w:pPr>
        <w:spacing w:afterLines="60" w:after="144" w:line="240" w:lineRule="auto"/>
        <w:jc w:val="both"/>
        <w:rPr>
          <w:rFonts w:ascii="Times New Roman" w:hAnsi="Times New Roman" w:cs="Times New Roman"/>
          <w:noProof/>
          <w:sz w:val="24"/>
          <w:szCs w:val="24"/>
          <w:lang w:val="ca-ES"/>
        </w:rPr>
      </w:pPr>
      <w:r>
        <w:rPr>
          <w:rFonts w:ascii="Times New Roman" w:eastAsia="Times New Roman" w:hAnsi="Times New Roman" w:cs="Times New Roman"/>
          <w:noProof/>
          <w:sz w:val="24"/>
          <w:szCs w:val="24"/>
        </w:rPr>
        <w:t xml:space="preserve">European Commission (2016) </w:t>
      </w:r>
      <w:hyperlink r:id="rId178" w:history="1">
        <w:r>
          <w:rPr>
            <w:rFonts w:ascii="Times New Roman" w:hAnsi="Times New Roman" w:cs="Times New Roman"/>
            <w:noProof/>
            <w:color w:val="0000FF" w:themeColor="hyperlink"/>
            <w:sz w:val="24"/>
            <w:szCs w:val="24"/>
            <w:u w:val="single"/>
          </w:rPr>
          <w:t>REFIT Platform Opinion on the submission by the Freistaat Saachsen on the overlaps between Pillar I and</w:t>
        </w:r>
        <w:r>
          <w:rPr>
            <w:rFonts w:ascii="Times New Roman" w:hAnsi="Times New Roman" w:cs="Times New Roman"/>
            <w:noProof/>
            <w:color w:val="0000FF" w:themeColor="hyperlink"/>
            <w:sz w:val="24"/>
            <w:szCs w:val="24"/>
            <w:u w:val="single"/>
          </w:rPr>
          <w:t xml:space="preserve"> II of the Common Agricultural Policy</w:t>
        </w:r>
      </w:hyperlink>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Refit Platform Opinion, Stakeholder Suggestions.</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(2016) </w:t>
      </w:r>
      <w:hyperlink r:id="rId179" w:history="1">
        <w:r>
          <w:rPr>
            <w:rFonts w:ascii="Times New Roman" w:hAnsi="Times New Roman" w:cs="Times New Roman"/>
            <w:noProof/>
            <w:color w:val="0000FF"/>
            <w:sz w:val="24"/>
            <w:szCs w:val="24"/>
            <w:u w:val="single"/>
          </w:rPr>
          <w:t>REFIT Platform Recommendations and other work: Agriculture and Rural Development</w:t>
        </w:r>
      </w:hyperlink>
      <w:r>
        <w:rPr>
          <w:rFonts w:ascii="Times New Roman" w:hAnsi="Times New Roman" w:cs="Times New Roman"/>
          <w:noProof/>
          <w:sz w:val="24"/>
          <w:szCs w:val="24"/>
        </w:rPr>
        <w:t>, website.</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European Commission (</w:t>
      </w:r>
      <w:r>
        <w:rPr>
          <w:rFonts w:ascii="Times New Roman" w:hAnsi="Times New Roman" w:cs="Times New Roman"/>
          <w:noProof/>
          <w:sz w:val="24"/>
          <w:szCs w:val="24"/>
        </w:rPr>
        <w:t xml:space="preserve">2016) </w:t>
      </w:r>
      <w:hyperlink r:id="rId180" w:history="1">
        <w:r>
          <w:rPr>
            <w:rFonts w:ascii="Times New Roman" w:hAnsi="Times New Roman" w:cs="Times New Roman"/>
            <w:noProof/>
            <w:color w:val="0000FF"/>
            <w:sz w:val="24"/>
            <w:szCs w:val="24"/>
            <w:u w:val="single"/>
          </w:rPr>
          <w:t>Review of the Greening after one year</w:t>
        </w:r>
      </w:hyperlink>
      <w:r>
        <w:rPr>
          <w:rFonts w:ascii="Times New Roman" w:hAnsi="Times New Roman" w:cs="Times New Roman"/>
          <w:noProof/>
          <w:sz w:val="24"/>
          <w:szCs w:val="24"/>
        </w:rPr>
        <w:t xml:space="preserve">, Staff Working Document, 218 final. </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European Commission (2016) </w:t>
      </w:r>
      <w:hyperlink r:id="rId181" w:history="1">
        <w:r>
          <w:rPr>
            <w:rFonts w:ascii="Times New Roman" w:eastAsia="Times New Roman" w:hAnsi="Times New Roman" w:cs="Times New Roman"/>
            <w:noProof/>
            <w:color w:val="0000FF"/>
            <w:sz w:val="24"/>
            <w:szCs w:val="24"/>
            <w:u w:val="single"/>
          </w:rPr>
          <w:t>The implementation of the scheme of specific measures for agriculture in favour of the outermost regions of the Union (POSEI)</w:t>
        </w:r>
      </w:hyperlink>
      <w:r>
        <w:rPr>
          <w:rFonts w:ascii="Times New Roman" w:hAnsi="Times New Roman" w:cs="Times New Roman"/>
          <w:noProof/>
          <w:sz w:val="24"/>
          <w:szCs w:val="24"/>
        </w:rPr>
        <w:t xml:space="preserve"> </w:t>
      </w:r>
      <w:r>
        <w:rPr>
          <w:rFonts w:ascii="Times New Roman" w:eastAsia="Times New Roman" w:hAnsi="Times New Roman" w:cs="Times New Roman"/>
          <w:noProof/>
          <w:color w:val="000000"/>
          <w:sz w:val="24"/>
          <w:szCs w:val="24"/>
        </w:rPr>
        <w:t>Report from the Commission to the European Parliament and the</w:t>
      </w:r>
      <w:r>
        <w:rPr>
          <w:rFonts w:ascii="Times New Roman" w:eastAsia="Times New Roman" w:hAnsi="Times New Roman" w:cs="Times New Roman"/>
          <w:noProof/>
          <w:color w:val="000000"/>
          <w:sz w:val="24"/>
          <w:szCs w:val="24"/>
        </w:rPr>
        <w:t xml:space="preserve"> Council, </w:t>
      </w:r>
      <w:r>
        <w:rPr>
          <w:rFonts w:ascii="Times New Roman" w:hAnsi="Times New Roman" w:cs="Times New Roman"/>
          <w:noProof/>
          <w:sz w:val="24"/>
          <w:szCs w:val="24"/>
        </w:rPr>
        <w:t xml:space="preserve">COM 797 final. </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European</w:t>
      </w:r>
      <w:r>
        <w:rPr>
          <w:rFonts w:ascii="Times New Roman" w:eastAsia="Times New Roman" w:hAnsi="Times New Roman" w:cs="Times New Roman"/>
          <w:noProof/>
          <w:sz w:val="20"/>
          <w:szCs w:val="24"/>
        </w:rPr>
        <w:t xml:space="preserve"> </w:t>
      </w:r>
      <w:r>
        <w:rPr>
          <w:rFonts w:ascii="Times New Roman" w:eastAsia="Times New Roman" w:hAnsi="Times New Roman" w:cs="Times New Roman"/>
          <w:noProof/>
          <w:sz w:val="24"/>
          <w:szCs w:val="24"/>
        </w:rPr>
        <w:t>Commission (2017) "</w:t>
      </w:r>
      <w:hyperlink r:id="rId182" w:history="1">
        <w:r>
          <w:rPr>
            <w:rFonts w:ascii="Times New Roman" w:eastAsia="Times New Roman" w:hAnsi="Times New Roman" w:cs="Times New Roman"/>
            <w:noProof/>
            <w:color w:val="0000FF"/>
            <w:sz w:val="24"/>
            <w:szCs w:val="24"/>
            <w:u w:val="single"/>
          </w:rPr>
          <w:t>Reflection Paper on the future of EU Finances</w:t>
        </w:r>
      </w:hyperlink>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eastAsia="en-GB"/>
        </w:rPr>
        <w:t>COM</w:t>
      </w:r>
      <w:r>
        <w:rPr>
          <w:rFonts w:ascii="Times New Roman" w:eastAsia="Times New Roman" w:hAnsi="Times New Roman" w:cs="Times New Roman"/>
          <w:noProof/>
          <w:sz w:val="20"/>
          <w:szCs w:val="20"/>
          <w:lang w:eastAsia="en-GB"/>
        </w:rPr>
        <w:t xml:space="preserve"> </w:t>
      </w:r>
      <w:r>
        <w:rPr>
          <w:rFonts w:ascii="Times New Roman" w:eastAsia="Times New Roman" w:hAnsi="Times New Roman" w:cs="Times New Roman"/>
          <w:noProof/>
          <w:sz w:val="24"/>
          <w:szCs w:val="24"/>
          <w:lang w:eastAsia="en-GB"/>
        </w:rPr>
        <w:t>358.</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(2017) </w:t>
      </w:r>
      <w:hyperlink r:id="rId183" w:history="1">
        <w:r>
          <w:rPr>
            <w:rFonts w:ascii="Times New Roman" w:eastAsia="Times New Roman" w:hAnsi="Times New Roman" w:cs="Times New Roman"/>
            <w:noProof/>
            <w:color w:val="0000FF"/>
            <w:sz w:val="24"/>
            <w:szCs w:val="24"/>
            <w:u w:val="single"/>
          </w:rPr>
          <w:t>A stronger and renewed strategic partnership with the EU's outermost regions</w:t>
        </w:r>
      </w:hyperlink>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 xml:space="preserve">Communication from the Commission to the European Parliament, the Council, </w:t>
      </w:r>
      <w:r>
        <w:rPr>
          <w:rFonts w:ascii="Times New Roman" w:hAnsi="Times New Roman" w:cs="Times New Roman"/>
          <w:noProof/>
          <w:sz w:val="24"/>
          <w:szCs w:val="24"/>
        </w:rPr>
        <w:t xml:space="preserve">the European Economic and Social Committee and the Committee of the Regions, COM </w:t>
      </w:r>
      <w:r>
        <w:rPr>
          <w:rFonts w:ascii="Times New Roman" w:eastAsia="Times New Roman" w:hAnsi="Times New Roman" w:cs="Times New Roman"/>
          <w:noProof/>
          <w:sz w:val="24"/>
          <w:szCs w:val="24"/>
        </w:rPr>
        <w:t xml:space="preserve">623 final. </w:t>
      </w:r>
    </w:p>
    <w:p w:rsidR="00333A1A" w:rsidRDefault="003D29C9">
      <w:pPr>
        <w:spacing w:afterLines="60" w:after="144"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European Commission (2017) </w:t>
      </w:r>
      <w:hyperlink r:id="rId184" w:history="1">
        <w:r>
          <w:rPr>
            <w:rFonts w:ascii="Times New Roman" w:eastAsia="Times New Roman" w:hAnsi="Times New Roman" w:cs="Times New Roman"/>
            <w:noProof/>
            <w:color w:val="0000FF"/>
            <w:sz w:val="24"/>
            <w:szCs w:val="24"/>
            <w:u w:val="single"/>
            <w:lang w:eastAsia="en-GB"/>
          </w:rPr>
          <w:t>Agriculture and Sustain</w:t>
        </w:r>
        <w:r>
          <w:rPr>
            <w:rFonts w:ascii="Times New Roman" w:eastAsia="Times New Roman" w:hAnsi="Times New Roman" w:cs="Times New Roman"/>
            <w:noProof/>
            <w:color w:val="0000FF"/>
            <w:sz w:val="24"/>
            <w:szCs w:val="24"/>
            <w:u w:val="single"/>
            <w:lang w:eastAsia="en-GB"/>
          </w:rPr>
          <w:t>able Water Management in the EU</w:t>
        </w:r>
      </w:hyperlink>
      <w:r>
        <w:rPr>
          <w:rFonts w:ascii="Times New Roman" w:eastAsia="Times New Roman" w:hAnsi="Times New Roman" w:cs="Times New Roman"/>
          <w:noProof/>
          <w:color w:val="000000"/>
          <w:sz w:val="24"/>
          <w:szCs w:val="24"/>
          <w:lang w:eastAsia="en-GB"/>
        </w:rPr>
        <w:t>, Staff working document 153.</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(2017) </w:t>
      </w:r>
      <w:hyperlink r:id="rId185" w:history="1">
        <w:r>
          <w:rPr>
            <w:rFonts w:ascii="Times New Roman" w:hAnsi="Times New Roman" w:cs="Times New Roman"/>
            <w:noProof/>
            <w:color w:val="0000FF"/>
            <w:sz w:val="24"/>
            <w:szCs w:val="24"/>
            <w:u w:val="single"/>
          </w:rPr>
          <w:t>Background documents on challenges facing EU agriculture and rural areas: economic, social, environmental</w:t>
        </w:r>
        <w:r>
          <w:rPr>
            <w:rFonts w:ascii="Times New Roman" w:hAnsi="Times New Roman" w:cs="Times New Roman"/>
            <w:noProof/>
            <w:color w:val="0000FF"/>
            <w:sz w:val="24"/>
            <w:szCs w:val="24"/>
            <w:u w:val="single"/>
          </w:rPr>
          <w:t xml:space="preserve"> and climate</w:t>
        </w:r>
      </w:hyperlink>
      <w:r>
        <w:rPr>
          <w:rFonts w:ascii="Times New Roman" w:hAnsi="Times New Roman" w:cs="Times New Roman"/>
          <w:noProof/>
          <w:sz w:val="24"/>
          <w:szCs w:val="24"/>
        </w:rPr>
        <w:t>, Directorate General for agriculture and rural development.</w:t>
      </w:r>
    </w:p>
    <w:p w:rsidR="00333A1A" w:rsidRDefault="003D29C9">
      <w:pPr>
        <w:spacing w:afterLines="60" w:after="144" w:line="240" w:lineRule="auto"/>
        <w:jc w:val="both"/>
        <w:rPr>
          <w:rFonts w:ascii="Times New Roman" w:eastAsia="Times New Roman" w:hAnsi="Times New Roman" w:cs="Times New Roman"/>
          <w:bCs/>
          <w:noProof/>
          <w:sz w:val="24"/>
          <w:szCs w:val="24"/>
        </w:rPr>
      </w:pPr>
      <w:r>
        <w:rPr>
          <w:rFonts w:ascii="Times New Roman" w:eastAsia="Times New Roman" w:hAnsi="Times New Roman" w:cs="Times New Roman"/>
          <w:noProof/>
          <w:sz w:val="24"/>
          <w:szCs w:val="24"/>
        </w:rPr>
        <w:t>European Commission (</w:t>
      </w:r>
      <w:r>
        <w:rPr>
          <w:rFonts w:ascii="Times New Roman" w:eastAsia="Times New Roman" w:hAnsi="Times New Roman" w:cs="Times New Roman"/>
          <w:bCs/>
          <w:noProof/>
          <w:sz w:val="24"/>
          <w:szCs w:val="24"/>
        </w:rPr>
        <w:t xml:space="preserve">2017) </w:t>
      </w:r>
      <w:hyperlink r:id="rId186" w:history="1">
        <w:r>
          <w:rPr>
            <w:rFonts w:ascii="Times New Roman" w:eastAsia="Times New Roman" w:hAnsi="Times New Roman" w:cs="Times New Roman"/>
            <w:bCs/>
            <w:noProof/>
            <w:color w:val="0000FF"/>
            <w:sz w:val="24"/>
            <w:szCs w:val="24"/>
            <w:u w:val="single"/>
          </w:rPr>
          <w:t xml:space="preserve">Consultation on modernising and simplifying the common agricultural </w:t>
        </w:r>
        <w:r>
          <w:rPr>
            <w:rFonts w:ascii="Times New Roman" w:eastAsia="Times New Roman" w:hAnsi="Times New Roman" w:cs="Times New Roman"/>
            <w:bCs/>
            <w:noProof/>
            <w:color w:val="0000FF"/>
            <w:sz w:val="24"/>
            <w:szCs w:val="24"/>
            <w:u w:val="single"/>
          </w:rPr>
          <w:t>policy (CAP)</w:t>
        </w:r>
      </w:hyperlink>
      <w:r>
        <w:rPr>
          <w:rFonts w:ascii="Times New Roman" w:eastAsia="Times New Roman" w:hAnsi="Times New Roman" w:cs="Times New Roman"/>
          <w:bCs/>
          <w:noProof/>
          <w:sz w:val="24"/>
          <w:szCs w:val="24"/>
        </w:rPr>
        <w:t>, Directorate General for Agriculture and Rural Development, website.</w:t>
      </w:r>
    </w:p>
    <w:p w:rsidR="00333A1A" w:rsidRDefault="003D29C9">
      <w:pPr>
        <w:spacing w:after="120" w:line="240" w:lineRule="auto"/>
        <w:ind w:hanging="1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(2017) </w:t>
      </w:r>
      <w:hyperlink r:id="rId187" w:history="1">
        <w:r>
          <w:rPr>
            <w:rFonts w:ascii="Times New Roman" w:eastAsia="Times New Roman" w:hAnsi="Times New Roman" w:cs="Times New Roman"/>
            <w:noProof/>
            <w:color w:val="0000FF"/>
            <w:sz w:val="24"/>
            <w:szCs w:val="24"/>
            <w:u w:val="single"/>
            <w:lang w:val="en"/>
          </w:rPr>
          <w:t>EU Agricultural outlook for the agricultural markets and</w:t>
        </w:r>
        <w:r>
          <w:rPr>
            <w:rFonts w:ascii="Times New Roman" w:eastAsia="Times New Roman" w:hAnsi="Times New Roman" w:cs="Times New Roman"/>
            <w:noProof/>
            <w:color w:val="0000FF"/>
            <w:sz w:val="24"/>
            <w:szCs w:val="24"/>
            <w:u w:val="single"/>
            <w:lang w:val="en"/>
          </w:rPr>
          <w:t xml:space="preserve"> income 2017-2030</w:t>
        </w:r>
      </w:hyperlink>
      <w:r>
        <w:rPr>
          <w:rFonts w:ascii="Times New Roman" w:eastAsia="Times New Roman" w:hAnsi="Times New Roman" w:cs="Times New Roman"/>
          <w:noProof/>
          <w:color w:val="0000FF"/>
          <w:sz w:val="24"/>
          <w:szCs w:val="24"/>
          <w:u w:val="single"/>
          <w:lang w:val="en"/>
        </w:rPr>
        <w:t>,</w:t>
      </w:r>
      <w:r>
        <w:rPr>
          <w:rFonts w:ascii="Times New Roman" w:eastAsia="Times New Roman" w:hAnsi="Times New Roman" w:cs="Times New Roman"/>
          <w:noProof/>
          <w:color w:val="000000"/>
          <w:sz w:val="24"/>
          <w:szCs w:val="24"/>
          <w:lang w:val="en"/>
        </w:rPr>
        <w:t xml:space="preserve"> </w:t>
      </w:r>
      <w:r>
        <w:rPr>
          <w:rFonts w:ascii="Times New Roman" w:eastAsia="Times New Roman" w:hAnsi="Times New Roman" w:cs="Times New Roman"/>
          <w:noProof/>
          <w:sz w:val="24"/>
          <w:szCs w:val="24"/>
        </w:rPr>
        <w:t xml:space="preserve">Directorate General of Agriculture and Rural Development, Joint Research Centre (JRC). </w:t>
      </w:r>
    </w:p>
    <w:p w:rsidR="00333A1A" w:rsidRDefault="003D29C9">
      <w:pPr>
        <w:spacing w:afterLines="60" w:after="144" w:line="240" w:lineRule="auto"/>
        <w:jc w:val="both"/>
        <w:rPr>
          <w:rFonts w:ascii="Times New Roman" w:eastAsia="Times New Roman" w:hAnsi="Times New Roman" w:cs="Times New Roman"/>
          <w:noProof/>
          <w:sz w:val="24"/>
          <w:szCs w:val="24"/>
          <w:u w:val="single"/>
          <w:lang w:val="en" w:eastAsia="en-GB"/>
        </w:rPr>
      </w:pPr>
      <w:r>
        <w:rPr>
          <w:rFonts w:ascii="Times New Roman" w:hAnsi="Times New Roman" w:cs="Times New Roman"/>
          <w:noProof/>
          <w:sz w:val="24"/>
          <w:szCs w:val="24"/>
        </w:rPr>
        <w:t xml:space="preserve">European Commission (2017) </w:t>
      </w:r>
      <w:hyperlink r:id="rId188" w:history="1">
        <w:r>
          <w:rPr>
            <w:rFonts w:ascii="Times New Roman" w:hAnsi="Times New Roman" w:cs="Times New Roman"/>
            <w:noProof/>
            <w:color w:val="0000FF"/>
            <w:sz w:val="24"/>
            <w:szCs w:val="24"/>
            <w:u w:val="single"/>
          </w:rPr>
          <w:t>Eurobarometers on the Common Agricultural Policy</w:t>
        </w:r>
      </w:hyperlink>
      <w:r>
        <w:rPr>
          <w:rFonts w:ascii="Times New Roman" w:hAnsi="Times New Roman" w:cs="Times New Roman"/>
          <w:noProof/>
          <w:color w:val="0000FF"/>
          <w:sz w:val="24"/>
          <w:szCs w:val="24"/>
          <w:u w:val="single"/>
        </w:rPr>
        <w:t>,</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(2017) </w:t>
      </w:r>
      <w:hyperlink r:id="rId189" w:history="1">
        <w:r>
          <w:rPr>
            <w:rFonts w:ascii="Times New Roman" w:eastAsia="Times New Roman" w:hAnsi="Times New Roman" w:cs="Times New Roman"/>
            <w:noProof/>
            <w:color w:val="0000FF"/>
            <w:sz w:val="24"/>
            <w:szCs w:val="24"/>
            <w:u w:val="single"/>
          </w:rPr>
          <w:t>Europe's Digital Progress Report</w:t>
        </w:r>
      </w:hyperlink>
      <w:r>
        <w:rPr>
          <w:rFonts w:ascii="Times New Roman" w:eastAsia="Times New Roman" w:hAnsi="Times New Roman" w:cs="Times New Roman"/>
          <w:noProof/>
          <w:sz w:val="24"/>
          <w:szCs w:val="24"/>
        </w:rPr>
        <w:t>, Staff Working Document 160 final.</w:t>
      </w:r>
    </w:p>
    <w:p w:rsidR="00333A1A" w:rsidRDefault="003D29C9">
      <w:pPr>
        <w:spacing w:after="120" w:line="240" w:lineRule="auto"/>
        <w:jc w:val="both"/>
        <w:rPr>
          <w:rFonts w:ascii="Times New Roman" w:eastAsia="Times New Roman" w:hAnsi="Times New Roman" w:cs="Times New Roman"/>
          <w:bCs/>
          <w:noProof/>
          <w:sz w:val="24"/>
          <w:szCs w:val="24"/>
        </w:rPr>
      </w:pPr>
      <w:r>
        <w:rPr>
          <w:rFonts w:ascii="Times New Roman" w:eastAsia="Times New Roman" w:hAnsi="Times New Roman" w:cs="Times New Roman"/>
          <w:noProof/>
          <w:sz w:val="24"/>
          <w:szCs w:val="24"/>
        </w:rPr>
        <w:t>European Commission (</w:t>
      </w:r>
      <w:r>
        <w:rPr>
          <w:rFonts w:ascii="Times New Roman" w:eastAsia="Times New Roman" w:hAnsi="Times New Roman" w:cs="Times New Roman"/>
          <w:bCs/>
          <w:noProof/>
          <w:sz w:val="24"/>
          <w:szCs w:val="24"/>
        </w:rPr>
        <w:t xml:space="preserve">2017) </w:t>
      </w:r>
      <w:hyperlink r:id="rId190" w:history="1">
        <w:r>
          <w:rPr>
            <w:rFonts w:ascii="Times New Roman" w:eastAsia="Times New Roman" w:hAnsi="Times New Roman" w:cs="Times New Roman"/>
            <w:noProof/>
            <w:color w:val="0000FF"/>
            <w:sz w:val="24"/>
            <w:szCs w:val="24"/>
            <w:u w:val="single"/>
          </w:rPr>
          <w:t>Evaluation and studies plan</w:t>
        </w:r>
      </w:hyperlink>
      <w:r>
        <w:rPr>
          <w:rFonts w:ascii="Times New Roman" w:eastAsia="Times New Roman" w:hAnsi="Times New Roman" w:cs="Times New Roman"/>
          <w:noProof/>
          <w:color w:val="0000FF"/>
          <w:sz w:val="24"/>
          <w:szCs w:val="24"/>
          <w:u w:val="single"/>
        </w:rPr>
        <w:t xml:space="preserve"> 2017-</w:t>
      </w:r>
      <w:r>
        <w:rPr>
          <w:rFonts w:ascii="Times New Roman" w:eastAsia="Times New Roman" w:hAnsi="Times New Roman" w:cs="Times New Roman"/>
          <w:noProof/>
          <w:color w:val="0000FF"/>
          <w:sz w:val="24"/>
          <w:szCs w:val="24"/>
          <w:u w:val="single"/>
        </w:rPr>
        <w:t>2021</w:t>
      </w:r>
      <w:r>
        <w:rPr>
          <w:rFonts w:ascii="Times New Roman" w:eastAsia="Times New Roman" w:hAnsi="Times New Roman" w:cs="Times New Roman"/>
          <w:bCs/>
          <w:noProof/>
          <w:sz w:val="24"/>
          <w:szCs w:val="24"/>
        </w:rPr>
        <w:t>, Directorate General for Agriculture and Rural Development.</w:t>
      </w:r>
    </w:p>
    <w:p w:rsidR="00333A1A" w:rsidRDefault="003D29C9">
      <w:pPr>
        <w:spacing w:afterLines="60" w:after="144" w:line="240" w:lineRule="auto"/>
        <w:jc w:val="both"/>
        <w:rPr>
          <w:rFonts w:ascii="Times New Roman" w:hAnsi="Times New Roman" w:cs="Times New Roman"/>
          <w:noProof/>
          <w:sz w:val="24"/>
          <w:szCs w:val="24"/>
        </w:rPr>
      </w:pPr>
      <w:bookmarkStart w:id="364" w:name="_Hlk508827611"/>
      <w:r>
        <w:rPr>
          <w:rFonts w:ascii="Times New Roman" w:hAnsi="Times New Roman" w:cs="Times New Roman"/>
          <w:noProof/>
          <w:sz w:val="24"/>
          <w:szCs w:val="24"/>
        </w:rPr>
        <w:t xml:space="preserve">European Commission </w:t>
      </w:r>
      <w:bookmarkStart w:id="365" w:name="_Hlk508826269"/>
      <w:bookmarkEnd w:id="364"/>
      <w:r>
        <w:rPr>
          <w:rFonts w:ascii="Times New Roman" w:hAnsi="Times New Roman" w:cs="Times New Roman"/>
          <w:noProof/>
          <w:sz w:val="24"/>
          <w:szCs w:val="24"/>
        </w:rPr>
        <w:t>(2017)</w:t>
      </w:r>
      <w:bookmarkEnd w:id="365"/>
      <w:r>
        <w:rPr>
          <w:rFonts w:ascii="Times New Roman" w:hAnsi="Times New Roman" w:cs="Times New Roman"/>
          <w:noProof/>
          <w:sz w:val="24"/>
          <w:szCs w:val="24"/>
        </w:rPr>
        <w:t xml:space="preserve"> </w:t>
      </w:r>
      <w:hyperlink r:id="rId191" w:history="1">
        <w:r>
          <w:rPr>
            <w:rFonts w:ascii="Times New Roman" w:hAnsi="Times New Roman" w:cs="Times New Roman"/>
            <w:noProof/>
            <w:color w:val="0000FF"/>
            <w:sz w:val="24"/>
            <w:szCs w:val="24"/>
            <w:u w:val="single"/>
          </w:rPr>
          <w:t>Evaluation of the impact of the CAP me</w:t>
        </w:r>
        <w:r>
          <w:rPr>
            <w:rFonts w:ascii="Times New Roman" w:hAnsi="Times New Roman" w:cs="Times New Roman"/>
            <w:noProof/>
            <w:color w:val="0000FF"/>
            <w:sz w:val="24"/>
            <w:szCs w:val="24"/>
            <w:u w:val="single"/>
          </w:rPr>
          <w:t>asures towards the general objective of “viable food production</w:t>
        </w:r>
      </w:hyperlink>
      <w:r>
        <w:rPr>
          <w:rFonts w:ascii="Times New Roman" w:hAnsi="Times New Roman" w:cs="Times New Roman"/>
          <w:noProof/>
          <w:sz w:val="24"/>
          <w:szCs w:val="24"/>
        </w:rPr>
        <w:t>”, Indicative roadmap.</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European Commission (2017) </w:t>
      </w:r>
      <w:hyperlink r:id="rId192" w:history="1">
        <w:r>
          <w:rPr>
            <w:rFonts w:ascii="Times New Roman" w:eastAsia="Times New Roman" w:hAnsi="Times New Roman" w:cs="Times New Roman"/>
            <w:noProof/>
            <w:color w:val="0000FF"/>
            <w:sz w:val="24"/>
            <w:szCs w:val="24"/>
            <w:u w:val="single"/>
            <w:lang w:eastAsia="en-GB"/>
          </w:rPr>
          <w:t xml:space="preserve">Fuelling the potential </w:t>
        </w:r>
        <w:r>
          <w:rPr>
            <w:rFonts w:ascii="Times New Roman" w:eastAsia="Times New Roman" w:hAnsi="Times New Roman" w:cs="Times New Roman"/>
            <w:noProof/>
            <w:color w:val="0000FF"/>
            <w:sz w:val="24"/>
            <w:szCs w:val="24"/>
            <w:u w:val="single"/>
            <w:lang w:eastAsia="en-GB"/>
          </w:rPr>
          <w:t>of advisors for innovation</w:t>
        </w:r>
      </w:hyperlink>
      <w:r>
        <w:rPr>
          <w:rFonts w:ascii="Times New Roman" w:eastAsia="Times New Roman" w:hAnsi="Times New Roman" w:cs="Times New Roman"/>
          <w:noProof/>
          <w:color w:val="0000FF"/>
          <w:sz w:val="24"/>
          <w:szCs w:val="24"/>
          <w:u w:val="single"/>
          <w:lang w:eastAsia="en-GB"/>
        </w:rPr>
        <w:t>,</w:t>
      </w:r>
      <w:r>
        <w:rPr>
          <w:rFonts w:ascii="Times New Roman" w:eastAsia="Times New Roman" w:hAnsi="Times New Roman" w:cs="Times New Roman"/>
          <w:noProof/>
          <w:sz w:val="24"/>
          <w:szCs w:val="24"/>
          <w:lang w:eastAsia="en-GB"/>
        </w:rPr>
        <w:t xml:space="preserve"> Directorate General of Research and Innovation, H2020 project Call RUR-16-2019.</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(2017) </w:t>
      </w:r>
      <w:hyperlink r:id="rId193" w:history="1">
        <w:r>
          <w:rPr>
            <w:rFonts w:ascii="Times New Roman" w:hAnsi="Times New Roman" w:cs="Times New Roman"/>
            <w:noProof/>
            <w:color w:val="0000FF"/>
            <w:sz w:val="24"/>
            <w:szCs w:val="24"/>
            <w:u w:val="single"/>
          </w:rPr>
          <w:t>H</w:t>
        </w:r>
        <w:r>
          <w:rPr>
            <w:rFonts w:ascii="Times New Roman" w:hAnsi="Times New Roman" w:cs="Times New Roman"/>
            <w:noProof/>
            <w:color w:val="0000FF"/>
            <w:sz w:val="24"/>
            <w:szCs w:val="24"/>
            <w:u w:val="single"/>
          </w:rPr>
          <w:t>igh Level Group monitoring simplification for beneficiaries of ESI Funds</w:t>
        </w:r>
      </w:hyperlink>
      <w:r>
        <w:rPr>
          <w:rFonts w:ascii="Times New Roman" w:hAnsi="Times New Roman" w:cs="Times New Roman"/>
          <w:noProof/>
          <w:sz w:val="24"/>
          <w:szCs w:val="24"/>
        </w:rPr>
        <w:t>, Regional Policy.</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(2017) </w:t>
      </w:r>
      <w:hyperlink r:id="rId194" w:history="1">
        <w:r>
          <w:rPr>
            <w:rFonts w:ascii="Times New Roman" w:hAnsi="Times New Roman" w:cs="Times New Roman"/>
            <w:noProof/>
            <w:color w:val="0000FF"/>
            <w:sz w:val="24"/>
            <w:szCs w:val="24"/>
            <w:u w:val="single"/>
          </w:rPr>
          <w:t>Horizon 2020 interim evalua</w:t>
        </w:r>
        <w:r>
          <w:rPr>
            <w:rFonts w:ascii="Times New Roman" w:hAnsi="Times New Roman" w:cs="Times New Roman"/>
            <w:noProof/>
            <w:color w:val="0000FF"/>
            <w:sz w:val="24"/>
            <w:szCs w:val="24"/>
            <w:u w:val="single"/>
          </w:rPr>
          <w:t>tion on societal challenges Societal challenge 2: Food Security, Sustainable Agriculture and Forestry, Marine, Maritime and Inland Water Research and the Bioeconomy</w:t>
        </w:r>
      </w:hyperlink>
      <w:r>
        <w:rPr>
          <w:rFonts w:ascii="Times New Roman" w:hAnsi="Times New Roman" w:cs="Times New Roman"/>
          <w:noProof/>
          <w:sz w:val="24"/>
          <w:szCs w:val="24"/>
        </w:rPr>
        <w:t>, Directorate General for Research and Innovation.</w:t>
      </w:r>
    </w:p>
    <w:p w:rsidR="00333A1A" w:rsidRDefault="003D29C9">
      <w:pPr>
        <w:spacing w:afterLines="60" w:after="144" w:line="240" w:lineRule="auto"/>
        <w:ind w:hanging="1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rPr>
        <w:t>European Commission (2017)</w:t>
      </w:r>
      <w:r>
        <w:rPr>
          <w:noProof/>
        </w:rPr>
        <w:t xml:space="preserve"> </w:t>
      </w:r>
      <w:hyperlink r:id="rId195" w:history="1">
        <w:r>
          <w:rPr>
            <w:rFonts w:ascii="Times New Roman" w:eastAsia="Times New Roman" w:hAnsi="Times New Roman" w:cs="Times New Roman"/>
            <w:bCs/>
            <w:noProof/>
            <w:color w:val="0000FF" w:themeColor="hyperlink"/>
            <w:sz w:val="24"/>
            <w:szCs w:val="24"/>
            <w:u w:val="single"/>
            <w:lang w:eastAsia="en-GB"/>
          </w:rPr>
          <w:t xml:space="preserve">Implementation of the ecological focus area </w:t>
        </w:r>
        <w:r>
          <w:rPr>
            <w:rFonts w:ascii="Times New Roman" w:eastAsia="Times New Roman" w:hAnsi="Times New Roman" w:cs="Times New Roman"/>
            <w:noProof/>
            <w:color w:val="0000FF" w:themeColor="hyperlink"/>
            <w:sz w:val="24"/>
            <w:szCs w:val="24"/>
            <w:u w:val="single"/>
          </w:rPr>
          <w:t>obligation</w:t>
        </w:r>
        <w:r>
          <w:rPr>
            <w:rFonts w:ascii="Times New Roman" w:eastAsia="Times New Roman" w:hAnsi="Times New Roman" w:cs="Times New Roman"/>
            <w:bCs/>
            <w:noProof/>
            <w:color w:val="0000FF" w:themeColor="hyperlink"/>
            <w:sz w:val="24"/>
            <w:szCs w:val="24"/>
            <w:u w:val="single"/>
            <w:lang w:eastAsia="en-GB"/>
          </w:rPr>
          <w:t xml:space="preserve"> under the green direct payment scheme</w:t>
        </w:r>
      </w:hyperlink>
      <w:r>
        <w:rPr>
          <w:rFonts w:ascii="Times New Roman" w:eastAsia="Times New Roman" w:hAnsi="Times New Roman" w:cs="Times New Roman"/>
          <w:bCs/>
          <w:noProof/>
          <w:color w:val="0000FF" w:themeColor="hyperlink"/>
          <w:sz w:val="24"/>
          <w:szCs w:val="24"/>
          <w:u w:val="single"/>
          <w:lang w:eastAsia="en-GB"/>
        </w:rPr>
        <w:t>,</w:t>
      </w:r>
      <w:r>
        <w:rPr>
          <w:rFonts w:ascii="Times New Roman" w:eastAsia="Times New Roman" w:hAnsi="Times New Roman" w:cs="Times New Roman"/>
          <w:bCs/>
          <w:noProof/>
          <w:sz w:val="24"/>
          <w:szCs w:val="24"/>
          <w:lang w:eastAsia="en-GB"/>
        </w:rPr>
        <w:t xml:space="preserve"> Report from the Commission to the European Parliament and the Council, </w:t>
      </w:r>
      <w:r>
        <w:rPr>
          <w:rFonts w:ascii="Times New Roman" w:eastAsia="Times New Roman" w:hAnsi="Times New Roman" w:cs="Times New Roman"/>
          <w:noProof/>
          <w:sz w:val="24"/>
          <w:szCs w:val="24"/>
          <w:lang w:eastAsia="en-GB"/>
        </w:rPr>
        <w:t>0152 final of 29 March.</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(2017) </w:t>
      </w:r>
      <w:hyperlink r:id="rId196" w:history="1">
        <w:r>
          <w:rPr>
            <w:rFonts w:ascii="Times New Roman" w:eastAsia="Times New Roman" w:hAnsi="Times New Roman" w:cs="Times New Roman"/>
            <w:noProof/>
            <w:color w:val="0000FF"/>
            <w:sz w:val="24"/>
            <w:szCs w:val="24"/>
            <w:u w:val="single"/>
          </w:rPr>
          <w:t>Inequality and poverty – what action is being taken by Member States?</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Directorate General for Employmen</w:t>
      </w:r>
      <w:r>
        <w:rPr>
          <w:rFonts w:ascii="Times New Roman" w:eastAsia="Times New Roman" w:hAnsi="Times New Roman" w:cs="Times New Roman"/>
          <w:noProof/>
          <w:sz w:val="24"/>
          <w:szCs w:val="24"/>
        </w:rPr>
        <w:t>t, Social Affairs and Inclusion, website.</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(2017) </w:t>
      </w:r>
      <w:hyperlink r:id="rId197" w:history="1">
        <w:r>
          <w:rPr>
            <w:rFonts w:ascii="Times New Roman" w:eastAsia="Times New Roman" w:hAnsi="Times New Roman" w:cs="Times New Roman"/>
            <w:noProof/>
            <w:color w:val="0000FF"/>
            <w:sz w:val="24"/>
            <w:szCs w:val="24"/>
            <w:u w:val="single"/>
          </w:rPr>
          <w:t>Managing risk in the dairy sector: how futures markets could help</w:t>
        </w:r>
      </w:hyperlink>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Directorate General for Agriculture and Rural Development, EU Agricultural Market Brief n°11.</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(2017) </w:t>
      </w:r>
      <w:hyperlink r:id="rId198" w:history="1">
        <w:r>
          <w:rPr>
            <w:rFonts w:ascii="Times New Roman" w:eastAsia="Times New Roman" w:hAnsi="Times New Roman" w:cs="Times New Roman"/>
            <w:noProof/>
            <w:color w:val="0000FF"/>
            <w:sz w:val="24"/>
            <w:szCs w:val="24"/>
            <w:u w:val="single"/>
          </w:rPr>
          <w:t>Mode</w:t>
        </w:r>
        <w:r>
          <w:rPr>
            <w:rFonts w:ascii="Times New Roman" w:eastAsia="Times New Roman" w:hAnsi="Times New Roman" w:cs="Times New Roman"/>
            <w:noProof/>
            <w:color w:val="0000FF"/>
            <w:sz w:val="24"/>
            <w:szCs w:val="24"/>
            <w:u w:val="single"/>
          </w:rPr>
          <w:t>rnising and Simplifying the CAP, Economic challenges facing EU agriculture</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Directorate General for Agriculture and Rural Development.</w:t>
      </w:r>
    </w:p>
    <w:p w:rsidR="00333A1A" w:rsidRDefault="003D29C9">
      <w:pPr>
        <w:spacing w:afterLines="60" w:after="144" w:line="240" w:lineRule="auto"/>
        <w:jc w:val="both"/>
        <w:rPr>
          <w:rFonts w:ascii="Times New Roman" w:hAnsi="Times New Roman" w:cs="Times New Roman"/>
          <w:noProof/>
          <w:color w:val="0000FF" w:themeColor="hyperlink"/>
          <w:sz w:val="24"/>
          <w:szCs w:val="24"/>
          <w:u w:val="single"/>
        </w:rPr>
      </w:pPr>
      <w:r>
        <w:rPr>
          <w:rFonts w:ascii="Times New Roman" w:eastAsia="Times New Roman" w:hAnsi="Times New Roman" w:cs="Times New Roman"/>
          <w:noProof/>
          <w:sz w:val="24"/>
          <w:szCs w:val="24"/>
        </w:rPr>
        <w:t xml:space="preserve">European Commission (2017) </w:t>
      </w:r>
      <w:hyperlink r:id="rId199" w:history="1">
        <w:r>
          <w:rPr>
            <w:rFonts w:ascii="Times New Roman" w:hAnsi="Times New Roman" w:cs="Times New Roman"/>
            <w:noProof/>
            <w:color w:val="0000FF" w:themeColor="hyperlink"/>
            <w:sz w:val="24"/>
            <w:szCs w:val="24"/>
            <w:u w:val="single"/>
          </w:rPr>
          <w:t>REFIT Plat</w:t>
        </w:r>
        <w:r>
          <w:rPr>
            <w:rFonts w:ascii="Times New Roman" w:hAnsi="Times New Roman" w:cs="Times New Roman"/>
            <w:noProof/>
            <w:color w:val="0000FF" w:themeColor="hyperlink"/>
            <w:sz w:val="24"/>
            <w:szCs w:val="24"/>
            <w:u w:val="single"/>
          </w:rPr>
          <w:t>form Opinion on the submission by the Swedish Industry and Commerce for Better Regulation (NNR) on 'Greening'</w:t>
        </w:r>
      </w:hyperlink>
      <w:r>
        <w:rPr>
          <w:rFonts w:ascii="Times New Roman" w:hAnsi="Times New Roman" w:cs="Times New Roman"/>
          <w:noProof/>
          <w:color w:val="0000FF" w:themeColor="hyperlink"/>
          <w:sz w:val="24"/>
          <w:szCs w:val="24"/>
          <w:u w:val="single"/>
        </w:rPr>
        <w:t xml:space="preserve">, </w:t>
      </w:r>
      <w:r>
        <w:rPr>
          <w:rFonts w:ascii="Times New Roman" w:eastAsia="Times New Roman" w:hAnsi="Times New Roman" w:cs="Times New Roman"/>
          <w:noProof/>
          <w:sz w:val="24"/>
          <w:szCs w:val="24"/>
        </w:rPr>
        <w:t>Refit Platform Opinion.</w:t>
      </w:r>
    </w:p>
    <w:p w:rsidR="00333A1A" w:rsidRDefault="003D29C9">
      <w:pPr>
        <w:autoSpaceDE w:val="0"/>
        <w:autoSpaceDN w:val="0"/>
        <w:adjustRightInd w:val="0"/>
        <w:spacing w:afterLines="60" w:after="144"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sz w:val="24"/>
          <w:szCs w:val="24"/>
        </w:rPr>
        <w:t xml:space="preserve">European Commission (2017) </w:t>
      </w:r>
      <w:hyperlink r:id="rId200" w:history="1">
        <w:r>
          <w:rPr>
            <w:rFonts w:ascii="Times New Roman" w:eastAsia="Calibri" w:hAnsi="Times New Roman" w:cs="Times New Roman"/>
            <w:noProof/>
            <w:color w:val="0000FF"/>
            <w:sz w:val="24"/>
            <w:szCs w:val="24"/>
            <w:u w:val="single"/>
          </w:rPr>
          <w:t>Reflection Paper on the future of EU Finances</w:t>
        </w:r>
      </w:hyperlink>
      <w:r>
        <w:rPr>
          <w:rFonts w:ascii="Times New Roman" w:eastAsia="Calibri" w:hAnsi="Times New Roman" w:cs="Times New Roman"/>
          <w:noProof/>
          <w:color w:val="0000FF"/>
          <w:sz w:val="24"/>
          <w:szCs w:val="24"/>
          <w:u w:val="single"/>
        </w:rPr>
        <w:t>,</w:t>
      </w:r>
      <w:r>
        <w:rPr>
          <w:rFonts w:ascii="Times New Roman" w:eastAsia="Calibri" w:hAnsi="Times New Roman" w:cs="Times New Roman"/>
          <w:noProof/>
          <w:sz w:val="24"/>
          <w:szCs w:val="24"/>
        </w:rPr>
        <w:t xml:space="preserve"> COM 358 final.</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(2017) </w:t>
      </w:r>
      <w:hyperlink r:id="rId201" w:history="1">
        <w:r>
          <w:rPr>
            <w:rFonts w:ascii="Times New Roman" w:hAnsi="Times New Roman" w:cs="Times New Roman"/>
            <w:noProof/>
            <w:color w:val="0000FF"/>
            <w:sz w:val="24"/>
            <w:szCs w:val="24"/>
            <w:u w:val="single"/>
          </w:rPr>
          <w:t>Report from the Commission to the European Parliament and the Council on the implementation of the ecological focus area obligation under the direct payment scheme,</w:t>
        </w:r>
      </w:hyperlink>
      <w:r>
        <w:rPr>
          <w:rFonts w:ascii="Times New Roman" w:hAnsi="Times New Roman" w:cs="Times New Roman"/>
          <w:noProof/>
          <w:sz w:val="24"/>
          <w:szCs w:val="24"/>
        </w:rPr>
        <w:t xml:space="preserve"> Staff Working Document 121 fin</w:t>
      </w:r>
      <w:r>
        <w:rPr>
          <w:rFonts w:ascii="Times New Roman" w:hAnsi="Times New Roman" w:cs="Times New Roman"/>
          <w:noProof/>
          <w:sz w:val="24"/>
          <w:szCs w:val="24"/>
        </w:rPr>
        <w:t>al.</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(2017) </w:t>
      </w:r>
      <w:hyperlink r:id="rId202" w:history="1">
        <w:r>
          <w:rPr>
            <w:rFonts w:ascii="Times New Roman" w:eastAsia="Times New Roman" w:hAnsi="Times New Roman" w:cs="Times New Roman"/>
            <w:noProof/>
            <w:color w:val="0000FF"/>
            <w:sz w:val="24"/>
            <w:szCs w:val="24"/>
            <w:u w:val="single"/>
          </w:rPr>
          <w:t>Risk management schemes in EU agriculture: Dealing with risk and volatility</w:t>
        </w:r>
      </w:hyperlink>
      <w:r>
        <w:rPr>
          <w:rFonts w:ascii="Times New Roman" w:eastAsia="Times New Roman" w:hAnsi="Times New Roman" w:cs="Times New Roman"/>
          <w:noProof/>
          <w:sz w:val="24"/>
          <w:szCs w:val="24"/>
        </w:rPr>
        <w:t>, Directorate General for Agri</w:t>
      </w:r>
      <w:r>
        <w:rPr>
          <w:rFonts w:ascii="Times New Roman" w:eastAsia="Times New Roman" w:hAnsi="Times New Roman" w:cs="Times New Roman"/>
          <w:noProof/>
          <w:sz w:val="24"/>
          <w:szCs w:val="24"/>
        </w:rPr>
        <w:t xml:space="preserve">cultural and Rural Development., EU Agricultural Market Brief n°12. </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European Commission (2017) </w:t>
      </w:r>
      <w:hyperlink r:id="rId203" w:history="1">
        <w:r>
          <w:rPr>
            <w:rFonts w:ascii="Times New Roman" w:eastAsia="Times New Roman" w:hAnsi="Times New Roman" w:cs="Times New Roman"/>
            <w:noProof/>
            <w:color w:val="0000FF"/>
            <w:sz w:val="24"/>
            <w:szCs w:val="24"/>
            <w:u w:val="single"/>
          </w:rPr>
          <w:t xml:space="preserve">The Digital Economy and </w:t>
        </w:r>
        <w:r>
          <w:rPr>
            <w:rFonts w:ascii="Times New Roman" w:eastAsia="Calibri" w:hAnsi="Times New Roman" w:cs="Times New Roman"/>
            <w:noProof/>
            <w:color w:val="0000FF"/>
            <w:sz w:val="24"/>
            <w:szCs w:val="24"/>
            <w:u w:val="single"/>
          </w:rPr>
          <w:t>Society</w:t>
        </w:r>
        <w:r>
          <w:rPr>
            <w:rFonts w:ascii="Times New Roman" w:eastAsia="Times New Roman" w:hAnsi="Times New Roman" w:cs="Times New Roman"/>
            <w:noProof/>
            <w:color w:val="0000FF"/>
            <w:sz w:val="24"/>
            <w:szCs w:val="24"/>
            <w:u w:val="single"/>
          </w:rPr>
          <w:t xml:space="preserve"> Index</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website.</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 xml:space="preserve">European Commission (2017) </w:t>
      </w:r>
      <w:hyperlink r:id="rId204" w:history="1">
        <w:r>
          <w:rPr>
            <w:rFonts w:ascii="Times New Roman" w:eastAsia="Times New Roman" w:hAnsi="Times New Roman" w:cs="Times New Roman"/>
            <w:noProof/>
            <w:color w:val="0000FF"/>
            <w:sz w:val="24"/>
            <w:szCs w:val="20"/>
            <w:u w:val="single"/>
          </w:rPr>
          <w:t>The Future Of Food And Farming</w:t>
        </w:r>
      </w:hyperlink>
      <w:r>
        <w:rPr>
          <w:rFonts w:ascii="Times New Roman" w:eastAsia="Times New Roman" w:hAnsi="Times New Roman" w:cs="Times New Roman"/>
          <w:noProof/>
          <w:sz w:val="24"/>
          <w:szCs w:val="20"/>
        </w:rPr>
        <w:t>, Communication from the Commission to the European Parliament, the Council, the European Economic and Social</w:t>
      </w:r>
      <w:r>
        <w:rPr>
          <w:rFonts w:ascii="Times New Roman" w:eastAsia="Times New Roman" w:hAnsi="Times New Roman" w:cs="Times New Roman"/>
          <w:noProof/>
          <w:sz w:val="24"/>
          <w:szCs w:val="20"/>
        </w:rPr>
        <w:t xml:space="preserve"> Committee and the Committee of the Regions, COM 713 final.</w:t>
      </w:r>
    </w:p>
    <w:p w:rsidR="00333A1A" w:rsidRDefault="003D29C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(2017) </w:t>
      </w:r>
      <w:hyperlink r:id="rId205" w:history="1">
        <w:r>
          <w:rPr>
            <w:rFonts w:ascii="Times New Roman" w:hAnsi="Times New Roman" w:cs="Times New Roman"/>
            <w:noProof/>
            <w:color w:val="0000FF"/>
            <w:sz w:val="24"/>
            <w:szCs w:val="24"/>
            <w:u w:val="single"/>
          </w:rPr>
          <w:t>Workshops for Impact Assessment</w:t>
        </w:r>
      </w:hyperlink>
      <w:r>
        <w:rPr>
          <w:rFonts w:ascii="Times New Roman" w:hAnsi="Times New Roman" w:cs="Times New Roman"/>
          <w:noProof/>
          <w:sz w:val="24"/>
          <w:szCs w:val="24"/>
        </w:rPr>
        <w:t>, Directorate General for Agriculture and Rural Dev</w:t>
      </w:r>
      <w:r>
        <w:rPr>
          <w:rFonts w:ascii="Times New Roman" w:hAnsi="Times New Roman" w:cs="Times New Roman"/>
          <w:noProof/>
          <w:sz w:val="24"/>
          <w:szCs w:val="24"/>
        </w:rPr>
        <w:t>elopment,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(2017) </w:t>
      </w:r>
      <w:hyperlink r:id="rId206" w:history="1">
        <w:r>
          <w:rPr>
            <w:rFonts w:ascii="Times New Roman" w:eastAsia="Times New Roman" w:hAnsi="Times New Roman" w:cs="Times New Roman"/>
            <w:noProof/>
            <w:color w:val="0000FF"/>
            <w:sz w:val="24"/>
            <w:szCs w:val="24"/>
            <w:u w:val="single"/>
          </w:rPr>
          <w:t>Young farmers in the EU</w:t>
        </w:r>
      </w:hyperlink>
      <w:r>
        <w:rPr>
          <w:rFonts w:ascii="Times New Roman" w:eastAsia="Times New Roman" w:hAnsi="Times New Roman" w:cs="Times New Roman"/>
          <w:noProof/>
          <w:sz w:val="24"/>
          <w:szCs w:val="24"/>
        </w:rPr>
        <w:t>, Directorate General of Agricultural and Rural Development., EU Agricu</w:t>
      </w:r>
      <w:r>
        <w:rPr>
          <w:rFonts w:ascii="Times New Roman" w:eastAsia="Times New Roman" w:hAnsi="Times New Roman" w:cs="Times New Roman"/>
          <w:noProof/>
          <w:sz w:val="24"/>
          <w:szCs w:val="24"/>
        </w:rPr>
        <w:t>ltural and Farm Economics Briefs n°15.</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(2017), </w:t>
      </w:r>
      <w:hyperlink r:id="rId207" w:history="1">
        <w:r>
          <w:rPr>
            <w:rFonts w:ascii="Times New Roman" w:eastAsia="Times New Roman" w:hAnsi="Times New Roman" w:cs="Times New Roman"/>
            <w:noProof/>
            <w:color w:val="0000FF"/>
            <w:sz w:val="24"/>
            <w:szCs w:val="24"/>
            <w:u w:val="single"/>
          </w:rPr>
          <w:t>Agriculture and Sustainable Water Management in the EU</w:t>
        </w:r>
      </w:hyperlink>
      <w:r>
        <w:rPr>
          <w:rFonts w:ascii="Times New Roman" w:eastAsia="Times New Roman" w:hAnsi="Times New Roman" w:cs="Times New Roman"/>
          <w:noProof/>
          <w:sz w:val="24"/>
          <w:szCs w:val="24"/>
        </w:rPr>
        <w:t>, Staff Working Docume</w:t>
      </w:r>
      <w:r>
        <w:rPr>
          <w:rFonts w:ascii="Times New Roman" w:eastAsia="Times New Roman" w:hAnsi="Times New Roman" w:cs="Times New Roman"/>
          <w:noProof/>
          <w:sz w:val="24"/>
          <w:szCs w:val="24"/>
        </w:rPr>
        <w:t>nt 153 final.</w:t>
      </w:r>
    </w:p>
    <w:p w:rsidR="00333A1A" w:rsidRDefault="003D29C9">
      <w:pPr>
        <w:pStyle w:val="FootnoteText"/>
        <w:spacing w:after="240"/>
        <w:ind w:left="0" w:firstLine="0"/>
        <w:jc w:val="both"/>
        <w:rPr>
          <w:noProof/>
          <w:sz w:val="24"/>
          <w:szCs w:val="24"/>
        </w:rPr>
      </w:pPr>
      <w:r>
        <w:rPr>
          <w:noProof/>
          <w:sz w:val="24"/>
          <w:szCs w:val="24"/>
        </w:rPr>
        <w:t xml:space="preserve">European Commission (2018) </w:t>
      </w:r>
      <w:hyperlink r:id="rId208" w:history="1">
        <w:r>
          <w:rPr>
            <w:rStyle w:val="Hyperlink"/>
            <w:noProof/>
            <w:sz w:val="24"/>
            <w:szCs w:val="24"/>
          </w:rPr>
          <w:t xml:space="preserve">A Modern Budget for a Union that Protects, Empowers and Defends, the Multiannual Financial </w:t>
        </w:r>
        <w:r>
          <w:rPr>
            <w:rStyle w:val="Hyperlink"/>
            <w:noProof/>
            <w:sz w:val="24"/>
            <w:szCs w:val="24"/>
          </w:rPr>
          <w:t>Framework for 2021-2027</w:t>
        </w:r>
      </w:hyperlink>
      <w:r>
        <w:rPr>
          <w:noProof/>
          <w:sz w:val="24"/>
          <w:szCs w:val="24"/>
        </w:rPr>
        <w:t>, COM (2018) 321 final.</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(2018) </w:t>
      </w:r>
      <w:hyperlink r:id="rId209" w:history="1">
        <w:r>
          <w:rPr>
            <w:rFonts w:ascii="Times New Roman" w:eastAsia="Times New Roman" w:hAnsi="Times New Roman" w:cs="Times New Roman"/>
            <w:noProof/>
            <w:color w:val="0000FF"/>
            <w:sz w:val="24"/>
            <w:szCs w:val="24"/>
            <w:u w:val="single"/>
          </w:rPr>
          <w:t xml:space="preserve">A new, modern Multiannual Financial </w:t>
        </w:r>
        <w:r>
          <w:rPr>
            <w:rFonts w:ascii="Times New Roman" w:eastAsia="Times New Roman" w:hAnsi="Times New Roman" w:cs="Times New Roman"/>
            <w:noProof/>
            <w:color w:val="0000FF"/>
            <w:sz w:val="24"/>
            <w:szCs w:val="24"/>
            <w:u w:val="single"/>
          </w:rPr>
          <w:t>Framework for a European Union that delivers efficiently on its priorities post-2020</w:t>
        </w:r>
      </w:hyperlink>
      <w:r>
        <w:rPr>
          <w:rFonts w:ascii="Times New Roman" w:eastAsia="Times New Roman" w:hAnsi="Times New Roman" w:cs="Times New Roman"/>
          <w:noProof/>
          <w:sz w:val="24"/>
          <w:szCs w:val="24"/>
        </w:rPr>
        <w:t>, Communication from the Commission to the European Parliament, the European Council and the Council, COM 98 final, 14 February.</w:t>
      </w:r>
    </w:p>
    <w:p w:rsidR="00333A1A" w:rsidRDefault="003D29C9">
      <w:pPr>
        <w:spacing w:afterLines="60" w:after="144" w:line="240" w:lineRule="auto"/>
        <w:jc w:val="both"/>
        <w:rPr>
          <w:rFonts w:ascii="Times New Roman" w:eastAsia="Calibri" w:hAnsi="Times New Roman" w:cs="Times New Roman"/>
          <w:noProof/>
          <w:sz w:val="24"/>
          <w:szCs w:val="24"/>
        </w:rPr>
      </w:pPr>
      <w:r>
        <w:rPr>
          <w:rFonts w:ascii="Times New Roman" w:eastAsia="Times New Roman" w:hAnsi="Times New Roman" w:cs="Times New Roman"/>
          <w:noProof/>
          <w:sz w:val="24"/>
          <w:szCs w:val="24"/>
        </w:rPr>
        <w:t xml:space="preserve">European Commission (2018) </w:t>
      </w:r>
      <w:hyperlink r:id="rId210" w:history="1">
        <w:r>
          <w:rPr>
            <w:rFonts w:ascii="Times New Roman" w:eastAsia="Times New Roman" w:hAnsi="Times New Roman" w:cs="Times New Roman"/>
            <w:noProof/>
            <w:color w:val="0000FF"/>
            <w:sz w:val="24"/>
            <w:szCs w:val="24"/>
            <w:u w:val="single"/>
          </w:rPr>
          <w:t>Cooperatives</w:t>
        </w:r>
      </w:hyperlink>
      <w:r>
        <w:rPr>
          <w:rFonts w:ascii="Times New Roman" w:eastAsia="Times New Roman" w:hAnsi="Times New Roman" w:cs="Times New Roman"/>
          <w:noProof/>
          <w:sz w:val="24"/>
          <w:szCs w:val="24"/>
        </w:rPr>
        <w:t>, Directorate General for Internal Market, Industry, Entrepreneurship and SMEs, website.</w:t>
      </w:r>
    </w:p>
    <w:p w:rsidR="00333A1A" w:rsidRDefault="003D29C9">
      <w:pPr>
        <w:spacing w:afterLines="60" w:after="144" w:line="240" w:lineRule="auto"/>
        <w:rPr>
          <w:rFonts w:ascii="Times New Roman" w:eastAsia="Times New Roman" w:hAnsi="Times New Roman" w:cs="Times New Roman"/>
          <w:noProof/>
          <w:sz w:val="24"/>
          <w:szCs w:val="20"/>
          <w:lang w:val="en"/>
        </w:rPr>
      </w:pPr>
      <w:r>
        <w:rPr>
          <w:rFonts w:ascii="Times New Roman" w:hAnsi="Times New Roman" w:cs="Times New Roman"/>
          <w:noProof/>
          <w:sz w:val="24"/>
          <w:szCs w:val="24"/>
        </w:rPr>
        <w:t xml:space="preserve">European Commission (2018) </w:t>
      </w:r>
      <w:hyperlink r:id="rId211" w:history="1">
        <w:r>
          <w:rPr>
            <w:rFonts w:ascii="Times New Roman" w:eastAsia="Times New Roman" w:hAnsi="Times New Roman" w:cs="Times New Roman"/>
            <w:noProof/>
            <w:color w:val="0000FF"/>
            <w:sz w:val="24"/>
            <w:szCs w:val="20"/>
            <w:u w:val="single"/>
            <w:lang w:val="en"/>
          </w:rPr>
          <w:t>Review of the EU Air policy</w:t>
        </w:r>
      </w:hyperlink>
      <w:r>
        <w:rPr>
          <w:rFonts w:ascii="Times New Roman" w:eastAsia="Times New Roman" w:hAnsi="Times New Roman" w:cs="Times New Roman"/>
          <w:noProof/>
          <w:sz w:val="24"/>
          <w:szCs w:val="24"/>
        </w:rPr>
        <w:t>, website.</w:t>
      </w:r>
    </w:p>
    <w:p w:rsidR="00333A1A" w:rsidRDefault="003D29C9">
      <w:pPr>
        <w:spacing w:after="120" w:line="240" w:lineRule="auto"/>
        <w:ind w:hanging="1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Commission, </w:t>
      </w:r>
      <w:hyperlink r:id="rId212" w:history="1">
        <w:r>
          <w:rPr>
            <w:rFonts w:ascii="Times New Roman" w:eastAsia="Times New Roman" w:hAnsi="Times New Roman" w:cs="Times New Roman"/>
            <w:noProof/>
            <w:color w:val="0000FF"/>
            <w:sz w:val="24"/>
            <w:szCs w:val="24"/>
            <w:u w:val="single"/>
          </w:rPr>
          <w:t>Future of the CAP</w:t>
        </w:r>
      </w:hyperlink>
      <w:r>
        <w:rPr>
          <w:rFonts w:ascii="Times New Roman" w:eastAsia="Times New Roman" w:hAnsi="Times New Roman" w:cs="Times New Roman"/>
          <w:noProof/>
          <w:sz w:val="24"/>
          <w:szCs w:val="24"/>
        </w:rPr>
        <w:t xml:space="preserve"> Directorate General for Agriculture and Rural Development,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European Commission, </w:t>
      </w:r>
      <w:hyperlink r:id="rId213" w:history="1">
        <w:r>
          <w:rPr>
            <w:rFonts w:ascii="Times New Roman" w:eastAsia="Times New Roman" w:hAnsi="Times New Roman" w:cs="Times New Roman"/>
            <w:noProof/>
            <w:color w:val="0000FF"/>
            <w:sz w:val="24"/>
            <w:szCs w:val="24"/>
            <w:u w:val="single"/>
          </w:rPr>
          <w:t>Investment Plan for Europe: The Juncker Plan</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website.</w:t>
      </w:r>
    </w:p>
    <w:p w:rsidR="00333A1A" w:rsidRDefault="003D29C9">
      <w:pPr>
        <w:spacing w:afterLines="60" w:after="144" w:line="240" w:lineRule="auto"/>
        <w:jc w:val="both"/>
        <w:rPr>
          <w:rFonts w:ascii="Times New Roman" w:eastAsia="Times New Roman" w:hAnsi="Times New Roman" w:cs="Times New Roman"/>
          <w:noProof/>
          <w:color w:val="0000FF"/>
          <w:sz w:val="24"/>
          <w:szCs w:val="24"/>
          <w:u w:val="single"/>
          <w:lang w:val="en"/>
        </w:rPr>
      </w:pPr>
      <w:r>
        <w:rPr>
          <w:rFonts w:ascii="Times New Roman" w:eastAsia="Times New Roman" w:hAnsi="Times New Roman" w:cs="Times New Roman"/>
          <w:noProof/>
          <w:sz w:val="24"/>
          <w:szCs w:val="24"/>
          <w:lang w:val="en"/>
        </w:rPr>
        <w:t xml:space="preserve">European Commission, </w:t>
      </w:r>
      <w:hyperlink r:id="rId214" w:history="1">
        <w:r>
          <w:rPr>
            <w:rFonts w:ascii="Times New Roman" w:eastAsia="Times New Roman" w:hAnsi="Times New Roman" w:cs="Times New Roman"/>
            <w:noProof/>
            <w:color w:val="0000FF"/>
            <w:sz w:val="24"/>
            <w:szCs w:val="24"/>
            <w:u w:val="single"/>
            <w:lang w:val="en"/>
          </w:rPr>
          <w:t>Water Scarcity &amp; Droughts in the European Union</w:t>
        </w:r>
      </w:hyperlink>
      <w:r>
        <w:rPr>
          <w:rFonts w:ascii="Times New Roman" w:eastAsia="Times New Roman" w:hAnsi="Times New Roman" w:cs="Times New Roman"/>
          <w:noProof/>
          <w:color w:val="0000FF"/>
          <w:sz w:val="24"/>
          <w:szCs w:val="24"/>
          <w:u w:val="single"/>
          <w:lang w:val="en"/>
        </w:rPr>
        <w:t xml:space="preserve">, </w:t>
      </w:r>
      <w:r>
        <w:rPr>
          <w:rFonts w:ascii="Times New Roman" w:eastAsia="Times New Roman" w:hAnsi="Times New Roman" w:cs="Times New Roman"/>
          <w:noProof/>
          <w:sz w:val="24"/>
          <w:szCs w:val="24"/>
        </w:rPr>
        <w:t>Previously completed studies 2007-2010,</w:t>
      </w:r>
      <w:r>
        <w:rPr>
          <w:rFonts w:ascii="Times New Roman" w:eastAsia="Times New Roman" w:hAnsi="Times New Roman" w:cs="Times New Roman"/>
          <w:noProof/>
          <w:sz w:val="24"/>
          <w:szCs w:val="24"/>
          <w:lang w:val="en"/>
        </w:rPr>
        <w:t xml:space="preserve"> Directorate General for Environment, website</w:t>
      </w:r>
    </w:p>
    <w:p w:rsidR="00333A1A" w:rsidRDefault="003D29C9">
      <w:pPr>
        <w:spacing w:after="120" w:line="240" w:lineRule="auto"/>
        <w:jc w:val="both"/>
        <w:rPr>
          <w:rFonts w:ascii="Times New Roman" w:eastAsia="Times New Roman" w:hAnsi="Times New Roman" w:cs="Times New Roman"/>
          <w:noProof/>
          <w:color w:val="0000FF"/>
          <w:sz w:val="24"/>
          <w:szCs w:val="24"/>
          <w:u w:val="single"/>
          <w:lang w:val="en"/>
        </w:rPr>
      </w:pPr>
      <w:r>
        <w:rPr>
          <w:rFonts w:ascii="Times New Roman" w:eastAsia="Times New Roman" w:hAnsi="Times New Roman" w:cs="Times New Roman"/>
          <w:bCs/>
          <w:noProof/>
          <w:color w:val="444444"/>
          <w:sz w:val="24"/>
          <w:szCs w:val="24"/>
          <w:lang w:val="en"/>
        </w:rPr>
        <w:t>European Council (1992) Directive 92</w:t>
      </w:r>
      <w:r>
        <w:rPr>
          <w:rFonts w:ascii="Times New Roman" w:eastAsia="Times New Roman" w:hAnsi="Times New Roman" w:cs="Times New Roman"/>
          <w:bCs/>
          <w:noProof/>
          <w:color w:val="444444"/>
          <w:sz w:val="24"/>
          <w:szCs w:val="24"/>
          <w:lang w:val="en"/>
        </w:rPr>
        <w:t xml:space="preserve">/43/EEC of 21 May 1992 </w:t>
      </w:r>
      <w:hyperlink r:id="rId215" w:history="1">
        <w:r>
          <w:rPr>
            <w:rFonts w:ascii="Times New Roman" w:eastAsia="Times New Roman" w:hAnsi="Times New Roman" w:cs="Times New Roman"/>
            <w:noProof/>
            <w:color w:val="0000FF"/>
            <w:sz w:val="24"/>
            <w:szCs w:val="24"/>
            <w:u w:val="single"/>
            <w:lang w:val="en"/>
          </w:rPr>
          <w:t>on the conservation of natural habitats and of wild fauna and flora</w:t>
        </w:r>
      </w:hyperlink>
      <w:r>
        <w:rPr>
          <w:rFonts w:ascii="Times New Roman" w:eastAsia="Times New Roman" w:hAnsi="Times New Roman" w:cs="Times New Roman"/>
          <w:noProof/>
          <w:color w:val="0000FF"/>
          <w:sz w:val="24"/>
          <w:szCs w:val="24"/>
          <w:u w:val="single"/>
          <w:lang w:val="en"/>
        </w:rPr>
        <w: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Court of Auditors (2013) </w:t>
      </w:r>
      <w:hyperlink r:id="rId216" w:history="1">
        <w:r>
          <w:rPr>
            <w:rFonts w:ascii="Times New Roman" w:eastAsia="Times New Roman" w:hAnsi="Times New Roman" w:cs="Times New Roman"/>
            <w:noProof/>
            <w:color w:val="0000FF"/>
            <w:sz w:val="24"/>
            <w:szCs w:val="24"/>
            <w:u w:val="single"/>
          </w:rPr>
          <w:t>Have the Member States and the Commission achieved value for money with the measures for diversifying the rural economy?</w:t>
        </w:r>
      </w:hyperlink>
      <w:r>
        <w:rPr>
          <w:rFonts w:ascii="Times New Roman" w:eastAsia="Times New Roman" w:hAnsi="Times New Roman" w:cs="Times New Roman"/>
          <w:noProof/>
          <w:sz w:val="24"/>
          <w:szCs w:val="24"/>
        </w:rPr>
        <w:t>, Special Report N°6.</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European Court of Auditors (2014)</w:t>
      </w:r>
      <w:r>
        <w:rPr>
          <w:rFonts w:ascii="Times New Roman" w:hAnsi="Times New Roman" w:cs="Times New Roman"/>
          <w:noProof/>
          <w:sz w:val="24"/>
          <w:szCs w:val="24"/>
        </w:rPr>
        <w:t xml:space="preserve"> </w:t>
      </w:r>
      <w:hyperlink r:id="rId217" w:history="1">
        <w:r>
          <w:rPr>
            <w:rFonts w:ascii="Times New Roman" w:hAnsi="Times New Roman" w:cs="Times New Roman"/>
            <w:noProof/>
            <w:color w:val="0000FF"/>
            <w:sz w:val="24"/>
            <w:szCs w:val="24"/>
            <w:u w:val="single"/>
          </w:rPr>
          <w:t>Integration of EU water policy objectives with the CAP: a partial success</w:t>
        </w:r>
      </w:hyperlink>
      <w:r>
        <w:rPr>
          <w:rFonts w:ascii="Times New Roman" w:hAnsi="Times New Roman" w:cs="Times New Roman"/>
          <w:noProof/>
          <w:sz w:val="24"/>
          <w:szCs w:val="24"/>
        </w:rPr>
        <w:t>, Special Report N°04.</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Court of Auditors (2015) </w:t>
      </w:r>
      <w:hyperlink r:id="rId218" w:history="1">
        <w:r>
          <w:rPr>
            <w:rFonts w:ascii="Times New Roman" w:eastAsia="Times New Roman" w:hAnsi="Times New Roman" w:cs="Times New Roman"/>
            <w:noProof/>
            <w:color w:val="0000FF"/>
            <w:sz w:val="24"/>
            <w:szCs w:val="24"/>
            <w:u w:val="single"/>
          </w:rPr>
          <w:t>EU support for rural infrastructure: potential to achieve significantly greater value for money</w:t>
        </w:r>
      </w:hyperlink>
      <w:r>
        <w:rPr>
          <w:rFonts w:ascii="Times New Roman" w:eastAsia="Times New Roman" w:hAnsi="Times New Roman" w:cs="Times New Roman"/>
          <w:noProof/>
          <w:sz w:val="24"/>
          <w:szCs w:val="24"/>
        </w:rPr>
        <w:t>, Special Report N°25.</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Court of Auditors (2015) </w:t>
      </w:r>
      <w:hyperlink r:id="rId219" w:history="1">
        <w:r>
          <w:rPr>
            <w:rFonts w:ascii="Times New Roman" w:eastAsia="Times New Roman" w:hAnsi="Times New Roman" w:cs="Times New Roman"/>
            <w:noProof/>
            <w:color w:val="0000FF"/>
            <w:sz w:val="24"/>
            <w:szCs w:val="24"/>
            <w:u w:val="single"/>
          </w:rPr>
          <w:t>The cost-effectiveness of EU Rural Development support for non-productive investments in agriculture</w:t>
        </w:r>
      </w:hyperlink>
      <w:r>
        <w:rPr>
          <w:rFonts w:ascii="Times New Roman" w:eastAsia="Times New Roman" w:hAnsi="Times New Roman" w:cs="Times New Roman"/>
          <w:noProof/>
          <w:sz w:val="24"/>
          <w:szCs w:val="24"/>
        </w:rPr>
        <w:t>, Special report N°20</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Court of Auditors (2015) </w:t>
      </w:r>
      <w:hyperlink r:id="rId220" w:history="1">
        <w:r>
          <w:rPr>
            <w:rFonts w:ascii="Times New Roman" w:eastAsia="Times New Roman" w:hAnsi="Times New Roman" w:cs="Times New Roman"/>
            <w:noProof/>
            <w:color w:val="0000FF"/>
            <w:sz w:val="24"/>
            <w:szCs w:val="24"/>
            <w:u w:val="single"/>
          </w:rPr>
          <w:t>The EU priority of promoting a knowledge-based rural economy has been affected by poor management of knowledge-transfer and advisory measures</w:t>
        </w:r>
      </w:hyperlink>
      <w:r>
        <w:rPr>
          <w:rFonts w:ascii="Times New Roman" w:eastAsia="Times New Roman" w:hAnsi="Times New Roman" w:cs="Times New Roman"/>
          <w:noProof/>
          <w:sz w:val="24"/>
          <w:szCs w:val="24"/>
        </w:rPr>
        <w:t>, Special Report N°12.</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European Court of Auditors (2016)</w:t>
      </w:r>
      <w:r>
        <w:rPr>
          <w:rFonts w:ascii="Times New Roman" w:hAnsi="Times New Roman" w:cs="Times New Roman"/>
          <w:noProof/>
          <w:sz w:val="24"/>
          <w:szCs w:val="24"/>
        </w:rPr>
        <w:t xml:space="preserve"> </w:t>
      </w:r>
      <w:hyperlink r:id="rId221" w:history="1">
        <w:r>
          <w:rPr>
            <w:rFonts w:ascii="Times New Roman" w:hAnsi="Times New Roman" w:cs="Times New Roman"/>
            <w:noProof/>
            <w:color w:val="0000FF"/>
            <w:sz w:val="24"/>
            <w:szCs w:val="24"/>
            <w:u w:val="single"/>
          </w:rPr>
          <w:t>Is the Commission's system for performance measurement in relation to farmers' income well designed and based on sound data?</w:t>
        </w:r>
      </w:hyperlink>
      <w:r>
        <w:rPr>
          <w:rFonts w:ascii="Times New Roman" w:hAnsi="Times New Roman" w:cs="Times New Roman"/>
          <w:noProof/>
          <w:sz w:val="24"/>
          <w:szCs w:val="24"/>
        </w:rPr>
        <w:t>, Special report N°1.</w:t>
      </w:r>
    </w:p>
    <w:p w:rsidR="00333A1A" w:rsidRDefault="003D29C9">
      <w:pPr>
        <w:spacing w:afterLines="60" w:after="144" w:line="240" w:lineRule="auto"/>
        <w:ind w:hanging="1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Court of Auditors (2016) </w:t>
      </w:r>
      <w:hyperlink r:id="rId222" w:history="1">
        <w:r>
          <w:rPr>
            <w:rFonts w:ascii="Times New Roman" w:eastAsia="Times New Roman" w:hAnsi="Times New Roman" w:cs="Times New Roman"/>
            <w:noProof/>
            <w:color w:val="0000FF"/>
            <w:sz w:val="24"/>
            <w:szCs w:val="24"/>
            <w:u w:val="single"/>
          </w:rPr>
          <w:t>Making cross compliance more effective and achieving simplification remains challenging</w:t>
        </w:r>
      </w:hyperlink>
      <w:r>
        <w:rPr>
          <w:rFonts w:ascii="Times New Roman" w:eastAsia="Times New Roman" w:hAnsi="Times New Roman" w:cs="Times New Roman"/>
          <w:noProof/>
          <w:sz w:val="24"/>
          <w:szCs w:val="24"/>
        </w:rPr>
        <w:t>, Special report N</w:t>
      </w:r>
      <w:r>
        <w:rPr>
          <w:rFonts w:ascii="Times New Roman" w:eastAsia="Times New Roman" w:hAnsi="Times New Roman" w:cs="Times New Roman"/>
          <w:noProof/>
          <w:sz w:val="24"/>
          <w:szCs w:val="24"/>
          <w:vertAlign w:val="superscript"/>
        </w:rPr>
        <w:t>o</w:t>
      </w:r>
      <w:r>
        <w:rPr>
          <w:rFonts w:ascii="Times New Roman" w:eastAsia="Times New Roman" w:hAnsi="Times New Roman" w:cs="Times New Roman"/>
          <w:noProof/>
          <w:sz w:val="24"/>
          <w:szCs w:val="24"/>
        </w:rPr>
        <w:t xml:space="preserve"> 26.</w:t>
      </w:r>
    </w:p>
    <w:p w:rsidR="00333A1A" w:rsidRDefault="003D29C9">
      <w:pPr>
        <w:spacing w:afterLines="60" w:after="144" w:line="240" w:lineRule="auto"/>
        <w:ind w:hanging="1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Court of Auditors (2017) </w:t>
      </w:r>
      <w:hyperlink r:id="rId223" w:history="1">
        <w:r>
          <w:rPr>
            <w:rFonts w:ascii="Times New Roman" w:eastAsia="Times New Roman" w:hAnsi="Times New Roman" w:cs="Times New Roman"/>
            <w:noProof/>
            <w:color w:val="0000FF"/>
            <w:sz w:val="24"/>
            <w:szCs w:val="24"/>
            <w:u w:val="single"/>
          </w:rPr>
          <w:t>Greening – a more complex income support scheme, not yet environmentally effective</w:t>
        </w:r>
      </w:hyperlink>
      <w:r>
        <w:rPr>
          <w:rFonts w:ascii="Times New Roman" w:eastAsia="Times New Roman" w:hAnsi="Times New Roman" w:cs="Times New Roman"/>
          <w:noProof/>
          <w:sz w:val="24"/>
          <w:szCs w:val="24"/>
        </w:rPr>
        <w:t>, Special Report N</w:t>
      </w:r>
      <w:r>
        <w:rPr>
          <w:rFonts w:ascii="Times New Roman" w:eastAsia="Times New Roman" w:hAnsi="Times New Roman" w:cs="Times New Roman"/>
          <w:noProof/>
          <w:sz w:val="24"/>
          <w:szCs w:val="24"/>
          <w:vertAlign w:val="superscript"/>
        </w:rPr>
        <w:t xml:space="preserve">o </w:t>
      </w:r>
      <w:r>
        <w:rPr>
          <w:rFonts w:ascii="Times New Roman" w:eastAsia="Times New Roman" w:hAnsi="Times New Roman" w:cs="Times New Roman"/>
          <w:noProof/>
          <w:sz w:val="24"/>
          <w:szCs w:val="24"/>
        </w:rPr>
        <w:t>21.</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Court of Auditors (2017) </w:t>
      </w:r>
      <w:hyperlink r:id="rId224" w:history="1">
        <w:r>
          <w:rPr>
            <w:rFonts w:ascii="Times New Roman" w:eastAsia="Times New Roman" w:hAnsi="Times New Roman" w:cs="Times New Roman"/>
            <w:noProof/>
            <w:color w:val="0000FF"/>
            <w:sz w:val="24"/>
            <w:szCs w:val="24"/>
            <w:u w:val="single"/>
          </w:rPr>
          <w:t xml:space="preserve">More efforts needed to implement the </w:t>
        </w:r>
        <w:r>
          <w:rPr>
            <w:rFonts w:ascii="Times New Roman" w:eastAsia="Times New Roman" w:hAnsi="Times New Roman" w:cs="Times New Roman"/>
            <w:noProof/>
            <w:color w:val="0000FF"/>
            <w:sz w:val="24"/>
            <w:szCs w:val="24"/>
            <w:u w:val="single"/>
          </w:rPr>
          <w:t>Natura 2000 network to its full potential</w:t>
        </w:r>
      </w:hyperlink>
      <w:r>
        <w:rPr>
          <w:rFonts w:ascii="Times New Roman" w:eastAsia="Times New Roman" w:hAnsi="Times New Roman" w:cs="Times New Roman"/>
          <w:noProof/>
          <w:sz w:val="24"/>
          <w:szCs w:val="24"/>
        </w:rPr>
        <w:t>, Special Report N°1.</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Court of Auditors (2017) </w:t>
      </w:r>
      <w:hyperlink r:id="rId225" w:history="1">
        <w:r>
          <w:rPr>
            <w:rFonts w:ascii="Times New Roman" w:hAnsi="Times New Roman" w:cs="Times New Roman"/>
            <w:noProof/>
            <w:color w:val="0000FF"/>
            <w:sz w:val="24"/>
            <w:szCs w:val="24"/>
            <w:u w:val="single"/>
          </w:rPr>
          <w:t>Rural Development Programming: less complexity and more focus on results needed</w:t>
        </w:r>
      </w:hyperlink>
      <w:r>
        <w:rPr>
          <w:rFonts w:ascii="Times New Roman" w:hAnsi="Times New Roman" w:cs="Times New Roman"/>
          <w:noProof/>
          <w:color w:val="0000FF"/>
          <w:sz w:val="24"/>
          <w:szCs w:val="24"/>
          <w:u w:val="single"/>
        </w:rPr>
        <w:t>,</w:t>
      </w:r>
      <w:r>
        <w:rPr>
          <w:rFonts w:ascii="Times New Roman" w:hAnsi="Times New Roman" w:cs="Times New Roman"/>
          <w:noProof/>
          <w:sz w:val="24"/>
          <w:szCs w:val="24"/>
        </w:rPr>
        <w:t xml:space="preserve"> Spec</w:t>
      </w:r>
      <w:r>
        <w:rPr>
          <w:rFonts w:ascii="Times New Roman" w:hAnsi="Times New Roman" w:cs="Times New Roman"/>
          <w:noProof/>
          <w:sz w:val="24"/>
          <w:szCs w:val="24"/>
        </w:rPr>
        <w:t>ial report N°16.</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Court of Auditors (2017) </w:t>
      </w:r>
      <w:hyperlink r:id="rId226" w:history="1">
        <w:r>
          <w:rPr>
            <w:rFonts w:ascii="Times New Roman" w:hAnsi="Times New Roman" w:cs="Times New Roman"/>
            <w:bCs/>
            <w:noProof/>
            <w:color w:val="0000FF" w:themeColor="hyperlink"/>
            <w:kern w:val="36"/>
            <w:sz w:val="24"/>
            <w:szCs w:val="24"/>
            <w:u w:val="single"/>
            <w:lang w:val="en"/>
          </w:rPr>
          <w:t>The certification bodies’ new role on CAP expenditure: a positive step towards a single audit model but with significant weaknesses</w:t>
        </w:r>
        <w:r>
          <w:rPr>
            <w:rFonts w:ascii="Times New Roman" w:hAnsi="Times New Roman" w:cs="Times New Roman"/>
            <w:bCs/>
            <w:noProof/>
            <w:color w:val="0000FF" w:themeColor="hyperlink"/>
            <w:kern w:val="36"/>
            <w:sz w:val="24"/>
            <w:szCs w:val="24"/>
            <w:u w:val="single"/>
            <w:lang w:val="en"/>
          </w:rPr>
          <w:t xml:space="preserve"> to be addressed</w:t>
        </w:r>
      </w:hyperlink>
      <w:r>
        <w:rPr>
          <w:rFonts w:ascii="Times New Roman" w:hAnsi="Times New Roman" w:cs="Times New Roman"/>
          <w:bCs/>
          <w:noProof/>
          <w:kern w:val="36"/>
          <w:sz w:val="24"/>
          <w:szCs w:val="24"/>
          <w:lang w:val="en"/>
        </w:rPr>
        <w:t xml:space="preserve"> </w:t>
      </w:r>
      <w:r>
        <w:rPr>
          <w:rFonts w:ascii="Times New Roman" w:hAnsi="Times New Roman" w:cs="Times New Roman"/>
          <w:noProof/>
          <w:sz w:val="24"/>
          <w:szCs w:val="24"/>
        </w:rPr>
        <w:t>Special report N°7.</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Court of Auditors (2017). </w:t>
      </w:r>
      <w:hyperlink r:id="rId227" w:history="1">
        <w:r>
          <w:rPr>
            <w:rFonts w:ascii="Times New Roman" w:eastAsia="Times New Roman" w:hAnsi="Times New Roman" w:cs="Times New Roman"/>
            <w:noProof/>
            <w:color w:val="0000FF"/>
            <w:sz w:val="24"/>
            <w:szCs w:val="24"/>
            <w:u w:val="single"/>
          </w:rPr>
          <w:t>EU support to young farmers should be better targeted to foster effective generational rene</w:t>
        </w:r>
        <w:r>
          <w:rPr>
            <w:rFonts w:ascii="Times New Roman" w:eastAsia="Times New Roman" w:hAnsi="Times New Roman" w:cs="Times New Roman"/>
            <w:noProof/>
            <w:color w:val="0000FF"/>
            <w:sz w:val="24"/>
            <w:szCs w:val="24"/>
            <w:u w:val="single"/>
          </w:rPr>
          <w:t>wal</w:t>
        </w:r>
      </w:hyperlink>
      <w:r>
        <w:rPr>
          <w:rFonts w:ascii="Times New Roman" w:eastAsia="Times New Roman" w:hAnsi="Times New Roman" w:cs="Times New Roman"/>
          <w:noProof/>
          <w:sz w:val="24"/>
          <w:szCs w:val="24"/>
        </w:rPr>
        <w:t>, Special Report n°10.</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Environment Agency (2015) </w:t>
      </w:r>
      <w:hyperlink r:id="rId228" w:history="1">
        <w:r>
          <w:rPr>
            <w:rFonts w:ascii="Times New Roman" w:eastAsia="Times New Roman" w:hAnsi="Times New Roman" w:cs="Times New Roman"/>
            <w:noProof/>
            <w:color w:val="0000FF"/>
            <w:sz w:val="24"/>
            <w:szCs w:val="24"/>
            <w:u w:val="single"/>
          </w:rPr>
          <w:t>Agriculture and climate change</w:t>
        </w:r>
      </w:hyperlink>
      <w:r>
        <w:rPr>
          <w:rFonts w:ascii="Times New Roman" w:eastAsia="Times New Roman" w:hAnsi="Times New Roman" w:cs="Times New Roman"/>
          <w:noProof/>
          <w:color w:val="0000FF"/>
          <w:sz w:val="24"/>
          <w:szCs w:val="24"/>
          <w:u w:val="single"/>
        </w:rPr>
        <w:t xml:space="preserve">, </w:t>
      </w:r>
      <w:r>
        <w:rPr>
          <w:rFonts w:ascii="Times New Roman" w:eastAsia="Times New Roman" w:hAnsi="Times New Roman" w:cs="Times New Roman"/>
          <w:noProof/>
          <w:sz w:val="24"/>
          <w:szCs w:val="24"/>
        </w:rPr>
        <w:t>Signals - Towards clean</w:t>
      </w:r>
      <w:r>
        <w:rPr>
          <w:rFonts w:ascii="Times New Roman" w:eastAsia="Times New Roman" w:hAnsi="Times New Roman" w:cs="Times New Roman"/>
          <w:noProof/>
          <w:sz w:val="24"/>
          <w:szCs w:val="24"/>
        </w:rPr>
        <w:t xml:space="preserve"> and smart mobility, Copenhagen.</w:t>
      </w:r>
    </w:p>
    <w:p w:rsidR="00333A1A" w:rsidRDefault="003D29C9">
      <w:pPr>
        <w:tabs>
          <w:tab w:val="left" w:pos="5954"/>
        </w:tabs>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European Environment Agency (2015) </w:t>
      </w:r>
      <w:hyperlink r:id="rId229" w:history="1">
        <w:r>
          <w:rPr>
            <w:rFonts w:ascii="Times New Roman" w:eastAsia="Times New Roman" w:hAnsi="Times New Roman" w:cs="Times New Roman"/>
            <w:noProof/>
            <w:color w:val="0000FF"/>
            <w:sz w:val="24"/>
            <w:szCs w:val="24"/>
            <w:u w:val="single"/>
            <w:lang w:val="en"/>
          </w:rPr>
          <w:t>State of nature in the EU</w:t>
        </w:r>
      </w:hyperlink>
      <w:r>
        <w:rPr>
          <w:rFonts w:ascii="Times New Roman" w:eastAsia="Times New Roman" w:hAnsi="Times New Roman" w:cs="Times New Roman"/>
          <w:noProof/>
          <w:color w:val="0000FF"/>
          <w:sz w:val="24"/>
          <w:szCs w:val="24"/>
          <w:u w:val="single"/>
          <w:lang w:val="en"/>
        </w:rPr>
        <w:t>,</w:t>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Technical report n°2</w:t>
      </w:r>
      <w:r>
        <w:rPr>
          <w:rFonts w:ascii="Times New Roman" w:eastAsia="Times New Roman" w:hAnsi="Times New Roman" w:cs="Times New Roman"/>
          <w:noProof/>
          <w:sz w:val="24"/>
          <w:szCs w:val="24"/>
        </w:rPr>
        <w:t>, Copenhagen.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Environment Agency </w:t>
      </w:r>
      <w:r>
        <w:rPr>
          <w:rFonts w:ascii="Times New Roman" w:eastAsia="Times New Roman" w:hAnsi="Times New Roman" w:cs="Times New Roman"/>
          <w:noProof/>
          <w:color w:val="000000"/>
          <w:sz w:val="24"/>
          <w:szCs w:val="24"/>
        </w:rPr>
        <w:t>(2016)</w:t>
      </w:r>
      <w:r>
        <w:rPr>
          <w:rFonts w:ascii="Times New Roman" w:eastAsia="Times New Roman" w:hAnsi="Times New Roman" w:cs="Times New Roman"/>
          <w:noProof/>
          <w:sz w:val="24"/>
          <w:szCs w:val="24"/>
        </w:rPr>
        <w:t xml:space="preserve"> </w:t>
      </w:r>
      <w:hyperlink r:id="rId230" w:history="1">
        <w:r>
          <w:rPr>
            <w:rFonts w:ascii="Times New Roman" w:eastAsia="Times New Roman" w:hAnsi="Times New Roman" w:cs="Times New Roman"/>
            <w:noProof/>
            <w:color w:val="0000FF" w:themeColor="hyperlink"/>
            <w:sz w:val="24"/>
            <w:szCs w:val="24"/>
            <w:u w:val="single"/>
          </w:rPr>
          <w:t>Annual European Union greenhouse gas inventory 1990–2014 and inventory report 2016,</w:t>
        </w:r>
      </w:hyperlink>
      <w:r>
        <w:rPr>
          <w:rFonts w:ascii="Times New Roman" w:eastAsia="Times New Roman" w:hAnsi="Times New Roman" w:cs="Times New Roman"/>
          <w:noProof/>
          <w:sz w:val="24"/>
          <w:szCs w:val="24"/>
        </w:rPr>
        <w:t xml:space="preserve"> Submission to the UNFCCC Secretariat. Technical report n°15, Copenhagen.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European</w:t>
      </w:r>
      <w:r>
        <w:rPr>
          <w:rFonts w:ascii="Times New Roman" w:eastAsia="Times New Roman" w:hAnsi="Times New Roman" w:cs="Times New Roman"/>
          <w:noProof/>
          <w:sz w:val="24"/>
          <w:szCs w:val="24"/>
        </w:rPr>
        <w:t xml:space="preserve"> Environment Agency (2017) </w:t>
      </w:r>
      <w:hyperlink r:id="rId231" w:history="1">
        <w:r>
          <w:rPr>
            <w:rFonts w:ascii="Times New Roman" w:eastAsia="Times New Roman" w:hAnsi="Times New Roman" w:cs="Times New Roman"/>
            <w:noProof/>
            <w:color w:val="0000FF"/>
            <w:sz w:val="24"/>
            <w:szCs w:val="24"/>
            <w:u w:val="single"/>
          </w:rPr>
          <w:t>Climate change, impacts and vulnerability in Europe 2016</w:t>
        </w:r>
      </w:hyperlink>
      <w:r>
        <w:rPr>
          <w:rFonts w:ascii="Times New Roman" w:eastAsia="PalatinoLinotype-Italic" w:hAnsi="Times New Roman" w:cs="Times New Roman"/>
          <w:iCs/>
          <w:noProof/>
          <w:sz w:val="24"/>
          <w:szCs w:val="24"/>
        </w:rPr>
        <w:t xml:space="preserve">, </w:t>
      </w:r>
      <w:r>
        <w:rPr>
          <w:rFonts w:ascii="Times New Roman" w:eastAsia="Times New Roman" w:hAnsi="Times New Roman" w:cs="Times New Roman"/>
          <w:noProof/>
          <w:sz w:val="24"/>
          <w:szCs w:val="24"/>
        </w:rPr>
        <w:t>Report n°1, Copenhagen.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Environment Agency (2017) </w:t>
      </w:r>
      <w:hyperlink r:id="rId232" w:history="1">
        <w:r>
          <w:rPr>
            <w:rFonts w:ascii="Times New Roman" w:eastAsia="Times New Roman" w:hAnsi="Times New Roman" w:cs="Times New Roman"/>
            <w:noProof/>
            <w:color w:val="0000FF" w:themeColor="hyperlink"/>
            <w:sz w:val="24"/>
            <w:szCs w:val="24"/>
            <w:u w:val="single"/>
          </w:rPr>
          <w:t>Use of freshwater resources</w:t>
        </w:r>
      </w:hyperlink>
      <w:r>
        <w:rPr>
          <w:rFonts w:ascii="Times New Roman" w:eastAsia="Times New Roman" w:hAnsi="Times New Roman" w:cs="Times New Roman"/>
          <w:noProof/>
          <w:sz w:val="24"/>
          <w:szCs w:val="24"/>
        </w:rPr>
        <w:t xml:space="preserve"> Indicator Assessment, Data and maps,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Feed Manufacturers Federation (2016) </w:t>
      </w:r>
      <w:hyperlink r:id="rId233" w:history="1">
        <w:r>
          <w:rPr>
            <w:rFonts w:ascii="Times New Roman" w:eastAsia="Times New Roman" w:hAnsi="Times New Roman" w:cs="Times New Roman"/>
            <w:noProof/>
            <w:color w:val="0000FF" w:themeColor="hyperlink"/>
            <w:sz w:val="24"/>
            <w:szCs w:val="24"/>
            <w:u w:val="single"/>
          </w:rPr>
          <w:t>Feed &amp; Food Statistical Yearbook</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Institute for Gender Equality (EIGE) (2016) </w:t>
      </w:r>
      <w:hyperlink r:id="rId234" w:history="1">
        <w:r>
          <w:rPr>
            <w:rFonts w:ascii="Times New Roman" w:eastAsia="Times New Roman" w:hAnsi="Times New Roman" w:cs="Times New Roman"/>
            <w:bCs/>
            <w:noProof/>
            <w:color w:val="0000FF"/>
            <w:sz w:val="24"/>
            <w:szCs w:val="24"/>
            <w:u w:val="single"/>
          </w:rPr>
          <w:t>Gender in agriculture and rural development</w:t>
        </w:r>
      </w:hyperlink>
      <w:r>
        <w:rPr>
          <w:rFonts w:ascii="Times New Roman" w:eastAsia="Times New Roman" w:hAnsi="Times New Roman" w:cs="Times New Roman"/>
          <w:bCs/>
          <w:noProof/>
          <w:color w:val="0000FF"/>
          <w:sz w:val="24"/>
          <w:szCs w:val="24"/>
          <w:u w:val="single"/>
        </w:rPr>
        <w:t>,</w:t>
      </w:r>
      <w:r>
        <w:rPr>
          <w:rFonts w:ascii="Times New Roman" w:eastAsia="Times New Roman" w:hAnsi="Times New Roman" w:cs="Times New Roman"/>
          <w:bCs/>
          <w:noProof/>
          <w:color w:val="0000FF"/>
          <w:sz w:val="24"/>
          <w:szCs w:val="24"/>
          <w:u w:val="single"/>
        </w:rPr>
        <w:t xml:space="preserve"> </w:t>
      </w:r>
      <w:r>
        <w:rPr>
          <w:rFonts w:ascii="Times New Roman" w:eastAsia="Times New Roman" w:hAnsi="Times New Roman" w:cs="Times New Roman"/>
          <w:noProof/>
          <w:sz w:val="24"/>
          <w:szCs w:val="24"/>
        </w:rPr>
        <w:t>Luxembourg.</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Network for Rural Development (2010) </w:t>
      </w:r>
      <w:hyperlink r:id="rId235" w:history="1">
        <w:r>
          <w:rPr>
            <w:rFonts w:ascii="Times New Roman" w:eastAsia="Times New Roman" w:hAnsi="Times New Roman" w:cs="Times New Roman"/>
            <w:noProof/>
            <w:color w:val="0000FF" w:themeColor="hyperlink"/>
            <w:sz w:val="24"/>
            <w:szCs w:val="24"/>
            <w:u w:val="single"/>
          </w:rPr>
          <w:t>Public goods and public intervention in Agriculture, TWG2: Links between agriculture and the wider rural economy</w:t>
        </w:r>
      </w:hyperlink>
      <w:r>
        <w:rPr>
          <w:rFonts w:ascii="Times New Roman" w:eastAsia="Times New Roman" w:hAnsi="Times New Roman" w:cs="Times New Roman"/>
          <w:noProof/>
          <w:sz w:val="24"/>
          <w:szCs w:val="24"/>
        </w:rPr>
        <w:t>, website.</w:t>
      </w:r>
    </w:p>
    <w:p w:rsidR="00333A1A" w:rsidRDefault="003D29C9">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European Network for Rural Development (ENRD) (2009) </w:t>
      </w:r>
      <w:hyperlink r:id="rId236" w:history="1">
        <w:r>
          <w:rPr>
            <w:rFonts w:ascii="Times New Roman" w:eastAsia="Times New Roman" w:hAnsi="Times New Roman" w:cs="Times New Roman"/>
            <w:noProof/>
            <w:color w:val="0000FF"/>
            <w:sz w:val="24"/>
            <w:szCs w:val="20"/>
            <w:u w:val="single"/>
          </w:rPr>
          <w:t>TWG2 Linkages between agriculture and the wider rural economy</w:t>
        </w:r>
      </w:hyperlink>
      <w:r>
        <w:rPr>
          <w:rFonts w:ascii="Times New Roman" w:eastAsia="Times New Roman" w:hAnsi="Times New Roman" w:cs="Times New Roman"/>
          <w:noProof/>
          <w:color w:val="0000FF"/>
          <w:sz w:val="24"/>
          <w:szCs w:val="20"/>
          <w:u w:val="single"/>
        </w:rPr>
        <w:t>,</w:t>
      </w:r>
      <w:r>
        <w:rPr>
          <w:rFonts w:ascii="Times New Roman" w:eastAsia="Times New Roman" w:hAnsi="Times New Roman" w:cs="Times New Roman"/>
          <w:noProof/>
          <w:sz w:val="24"/>
          <w:szCs w:val="24"/>
        </w:rPr>
        <w:t xml:space="preserve"> website.</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European Network for Rural De</w:t>
      </w:r>
      <w:r>
        <w:rPr>
          <w:rFonts w:ascii="Times New Roman" w:eastAsia="Times New Roman" w:hAnsi="Times New Roman" w:cs="Times New Roman"/>
          <w:noProof/>
          <w:sz w:val="24"/>
          <w:szCs w:val="20"/>
        </w:rPr>
        <w:t>velopment (ENRD)</w:t>
      </w:r>
      <w:r>
        <w:rPr>
          <w:rFonts w:ascii="Times New Roman" w:eastAsia="Times New Roman" w:hAnsi="Times New Roman" w:cs="Times New Roman"/>
          <w:noProof/>
          <w:sz w:val="24"/>
          <w:szCs w:val="24"/>
        </w:rPr>
        <w:t xml:space="preserve"> (2010) </w:t>
      </w:r>
      <w:hyperlink r:id="rId237" w:history="1">
        <w:r>
          <w:rPr>
            <w:rFonts w:ascii="Times New Roman" w:eastAsia="Times New Roman" w:hAnsi="Times New Roman" w:cs="Times New Roman"/>
            <w:noProof/>
            <w:color w:val="0000FF"/>
            <w:sz w:val="24"/>
            <w:szCs w:val="24"/>
            <w:u w:val="single"/>
          </w:rPr>
          <w:t>'Remote Care Services' in the Outermost Regions of Portugal</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RDP Project Database, website.</w:t>
      </w:r>
    </w:p>
    <w:p w:rsidR="00333A1A" w:rsidRDefault="003D29C9">
      <w:pPr>
        <w:autoSpaceDE w:val="0"/>
        <w:autoSpaceDN w:val="0"/>
        <w:adjustRightInd w:val="0"/>
        <w:spacing w:after="120" w:line="240" w:lineRule="auto"/>
        <w:jc w:val="both"/>
        <w:rPr>
          <w:rFonts w:ascii="Times New Roman" w:eastAsia="Calibri" w:hAnsi="Times New Roman" w:cs="Times New Roman"/>
          <w:noProof/>
          <w:color w:val="000000"/>
          <w:sz w:val="24"/>
          <w:szCs w:val="24"/>
        </w:rPr>
      </w:pPr>
      <w:r>
        <w:rPr>
          <w:rFonts w:ascii="Times New Roman" w:eastAsia="Times New Roman" w:hAnsi="Times New Roman" w:cs="Times New Roman"/>
          <w:noProof/>
          <w:sz w:val="24"/>
          <w:szCs w:val="20"/>
        </w:rPr>
        <w:t>European Network for Rural Devel</w:t>
      </w:r>
      <w:r>
        <w:rPr>
          <w:rFonts w:ascii="Times New Roman" w:eastAsia="Times New Roman" w:hAnsi="Times New Roman" w:cs="Times New Roman"/>
          <w:noProof/>
          <w:sz w:val="24"/>
          <w:szCs w:val="20"/>
        </w:rPr>
        <w:t>opment (ENRD)</w:t>
      </w:r>
      <w:r>
        <w:rPr>
          <w:rFonts w:ascii="Times New Roman" w:eastAsia="Times New Roman" w:hAnsi="Times New Roman" w:cs="Times New Roman"/>
          <w:noProof/>
          <w:color w:val="000000"/>
          <w:sz w:val="24"/>
          <w:szCs w:val="24"/>
        </w:rPr>
        <w:t xml:space="preserve"> (2017) </w:t>
      </w:r>
      <w:hyperlink r:id="rId238" w:history="1">
        <w:r>
          <w:rPr>
            <w:rFonts w:ascii="Times New Roman" w:eastAsia="Calibri" w:hAnsi="Times New Roman" w:cs="Times New Roman"/>
            <w:noProof/>
            <w:color w:val="0000FF"/>
            <w:sz w:val="24"/>
            <w:szCs w:val="24"/>
            <w:u w:val="single"/>
          </w:rPr>
          <w:t>Workshop on Social Hubs in Rural Europe</w:t>
        </w:r>
      </w:hyperlink>
      <w:r>
        <w:rPr>
          <w:rFonts w:ascii="Times New Roman" w:eastAsia="Times New Roman" w:hAnsi="Times New Roman" w:cs="Times New Roman"/>
          <w:noProof/>
          <w:sz w:val="24"/>
          <w:szCs w:val="24"/>
        </w:rPr>
        <w:t>, website.</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Parliament and Council Directive 2000/60/EC of 23 October 2000 </w:t>
      </w:r>
      <w:hyperlink r:id="rId239" w:history="1">
        <w:r>
          <w:rPr>
            <w:rFonts w:ascii="Times New Roman" w:eastAsia="Times New Roman" w:hAnsi="Times New Roman" w:cs="Times New Roman"/>
            <w:noProof/>
            <w:color w:val="0000FF"/>
            <w:sz w:val="24"/>
            <w:szCs w:val="24"/>
            <w:u w:val="single"/>
          </w:rPr>
          <w:t>establishing a framework for Community action in the field of water policy</w:t>
        </w:r>
      </w:hyperlink>
      <w:r>
        <w:rPr>
          <w:rFonts w:ascii="Times New Roman" w:eastAsia="Times New Roman" w:hAnsi="Times New Roman" w:cs="Times New Roman"/>
          <w:noProof/>
          <w:sz w:val="24"/>
          <w:szCs w:val="24"/>
        </w:rPr>
        <w:t>.</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European Parliament and Council Directive 2001/42/EC of 27 June 2001</w:t>
      </w:r>
      <w:hyperlink r:id="rId240" w:history="1">
        <w:r>
          <w:rPr>
            <w:rFonts w:ascii="Times New Roman" w:eastAsia="Times New Roman" w:hAnsi="Times New Roman" w:cs="Times New Roman"/>
            <w:noProof/>
            <w:color w:val="0000FF"/>
            <w:sz w:val="24"/>
            <w:szCs w:val="24"/>
            <w:u w:val="single"/>
          </w:rPr>
          <w:t xml:space="preserve"> on the assessment of the effects of certain plans and programmes on the environment</w:t>
        </w:r>
      </w:hyperlink>
      <w:r>
        <w:rPr>
          <w:rFonts w:ascii="Times New Roman" w:eastAsia="Times New Roman" w:hAnsi="Times New Roman" w:cs="Times New Roman"/>
          <w:noProof/>
          <w:color w:val="0000FF"/>
          <w:sz w:val="24"/>
          <w:szCs w:val="24"/>
          <w:u w:val="single"/>
        </w:rPr>
        <w:t>.</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European Parliament and Council Directive 2009/128/EC of 21 October 2009</w:t>
      </w:r>
      <w:hyperlink r:id="rId241" w:history="1">
        <w:r>
          <w:rPr>
            <w:rFonts w:ascii="Times New Roman" w:eastAsia="Times New Roman" w:hAnsi="Times New Roman" w:cs="Times New Roman"/>
            <w:noProof/>
            <w:color w:val="0000FF"/>
            <w:sz w:val="24"/>
            <w:szCs w:val="24"/>
            <w:u w:val="single"/>
          </w:rPr>
          <w:t xml:space="preserve"> establishing a framework for Community action to achieve the sustainable use of pesticides</w:t>
        </w:r>
      </w:hyperlink>
      <w:r>
        <w:rPr>
          <w:rFonts w:ascii="Times New Roman" w:eastAsia="Times New Roman" w:hAnsi="Times New Roman" w:cs="Times New Roman"/>
          <w:noProof/>
          <w:color w:val="0000FF"/>
          <w:sz w:val="24"/>
          <w:szCs w:val="24"/>
          <w:u w:val="single"/>
        </w:rPr>
        <w:t>.</w:t>
      </w:r>
    </w:p>
    <w:p w:rsidR="00333A1A" w:rsidRDefault="003D29C9">
      <w:pPr>
        <w:spacing w:afterLines="60" w:after="144" w:line="240" w:lineRule="auto"/>
        <w:jc w:val="both"/>
        <w:rPr>
          <w:rFonts w:ascii="Times New Roman" w:eastAsia="Times New Roman" w:hAnsi="Times New Roman" w:cs="Times New Roman"/>
          <w:bCs/>
          <w:noProof/>
          <w:color w:val="444444"/>
          <w:sz w:val="24"/>
          <w:szCs w:val="24"/>
          <w:lang w:val="en"/>
        </w:rPr>
      </w:pPr>
      <w:r>
        <w:rPr>
          <w:rFonts w:ascii="Times New Roman" w:eastAsia="Times New Roman" w:hAnsi="Times New Roman" w:cs="Times New Roman"/>
          <w:bCs/>
          <w:noProof/>
          <w:sz w:val="24"/>
          <w:szCs w:val="24"/>
        </w:rPr>
        <w:t>European Parliament and Council Directive 2009/147/EC of 30 November 2009</w:t>
      </w:r>
      <w:r>
        <w:rPr>
          <w:rFonts w:ascii="Times New Roman" w:eastAsia="Times New Roman" w:hAnsi="Times New Roman" w:cs="Times New Roman"/>
          <w:bCs/>
          <w:noProof/>
          <w:color w:val="444444"/>
          <w:sz w:val="24"/>
          <w:szCs w:val="24"/>
          <w:lang w:val="en"/>
        </w:rPr>
        <w:t xml:space="preserve"> </w:t>
      </w:r>
      <w:hyperlink r:id="rId242" w:history="1">
        <w:r>
          <w:rPr>
            <w:rFonts w:ascii="Times New Roman" w:eastAsia="Times New Roman" w:hAnsi="Times New Roman" w:cs="Times New Roman"/>
            <w:noProof/>
            <w:color w:val="0000FF"/>
            <w:sz w:val="24"/>
            <w:szCs w:val="24"/>
            <w:u w:val="single"/>
            <w:lang w:val="en"/>
          </w:rPr>
          <w:t>on the conservation of wild birds</w:t>
        </w:r>
      </w:hyperlink>
      <w:r>
        <w:rPr>
          <w:rFonts w:ascii="Times New Roman" w:eastAsia="Times New Roman" w:hAnsi="Times New Roman" w:cs="Times New Roman"/>
          <w:noProof/>
          <w:color w:val="0000FF"/>
          <w:sz w:val="24"/>
          <w:szCs w:val="24"/>
          <w:u w:val="single"/>
          <w:lang w:val="en"/>
        </w:rPr>
        <w:t>.</w:t>
      </w:r>
    </w:p>
    <w:p w:rsidR="00333A1A" w:rsidRDefault="003D29C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European Parliament and Council Directive 2011/92/EU of 13 December 2011</w:t>
      </w:r>
      <w:hyperlink r:id="rId243" w:history="1">
        <w:r>
          <w:rPr>
            <w:rFonts w:ascii="Times New Roman" w:eastAsia="Times New Roman" w:hAnsi="Times New Roman" w:cs="Times New Roman"/>
            <w:noProof/>
            <w:color w:val="0000FF"/>
            <w:sz w:val="24"/>
            <w:szCs w:val="24"/>
            <w:u w:val="single"/>
          </w:rPr>
          <w:t xml:space="preserve"> on the assessment of the effects of certain public and private projects on the environment</w:t>
        </w:r>
      </w:hyperlink>
      <w:r>
        <w:rPr>
          <w:rFonts w:ascii="Times New Roman" w:eastAsia="Times New Roman" w:hAnsi="Times New Roman" w:cs="Times New Roman"/>
          <w:noProof/>
          <w:color w:val="0000FF"/>
          <w:sz w:val="24"/>
          <w:szCs w:val="24"/>
          <w:u w:val="single"/>
        </w:rPr>
        <w:t>.</w:t>
      </w:r>
    </w:p>
    <w:p w:rsidR="00333A1A" w:rsidRDefault="003D29C9">
      <w:pPr>
        <w:spacing w:afterLines="60" w:after="144" w:line="240" w:lineRule="auto"/>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European Parliament and Council Regulation (EU) No 1305/2013 of 17 D</w:t>
      </w:r>
      <w:r>
        <w:rPr>
          <w:rFonts w:ascii="Times New Roman" w:eastAsia="Times New Roman" w:hAnsi="Times New Roman" w:cs="Times New Roman"/>
          <w:bCs/>
          <w:noProof/>
          <w:sz w:val="24"/>
          <w:szCs w:val="24"/>
        </w:rPr>
        <w:t xml:space="preserve">ecember 2013 on </w:t>
      </w:r>
      <w:hyperlink r:id="rId244" w:history="1">
        <w:r>
          <w:rPr>
            <w:rFonts w:ascii="Times New Roman" w:eastAsia="Times New Roman" w:hAnsi="Times New Roman" w:cs="Times New Roman"/>
            <w:bCs/>
            <w:noProof/>
            <w:color w:val="0000FF"/>
            <w:sz w:val="24"/>
            <w:szCs w:val="24"/>
            <w:u w:val="single"/>
          </w:rPr>
          <w:t>support for rural development by the European Agricultural Fund for Rural Development (EAFRD)</w:t>
        </w:r>
      </w:hyperlink>
      <w:r>
        <w:rPr>
          <w:rFonts w:ascii="Times New Roman" w:eastAsia="Times New Roman" w:hAnsi="Times New Roman" w:cs="Times New Roman"/>
          <w:bCs/>
          <w:noProof/>
          <w:sz w:val="24"/>
          <w:szCs w:val="24"/>
        </w:rPr>
        <w:t xml:space="preserve"> and repealing Council Regulation (EC) No 1698/2005.</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w:t>
      </w:r>
      <w:r>
        <w:rPr>
          <w:rFonts w:ascii="Times New Roman" w:hAnsi="Times New Roman" w:cs="Times New Roman"/>
          <w:noProof/>
          <w:sz w:val="24"/>
          <w:szCs w:val="24"/>
        </w:rPr>
        <w:t xml:space="preserve">Parliament and Council Regulation (EU) No 1306/2013 of 17 December 2013 </w:t>
      </w:r>
      <w:hyperlink r:id="rId245" w:history="1">
        <w:r>
          <w:rPr>
            <w:rFonts w:ascii="Times New Roman" w:hAnsi="Times New Roman" w:cs="Times New Roman"/>
            <w:noProof/>
            <w:color w:val="0000FF"/>
            <w:sz w:val="24"/>
            <w:szCs w:val="24"/>
            <w:u w:val="single"/>
          </w:rPr>
          <w:t>on the financing, management and monitoring of the common agricultural policy</w:t>
        </w:r>
      </w:hyperlink>
      <w:r>
        <w:rPr>
          <w:rFonts w:ascii="Times New Roman" w:hAnsi="Times New Roman" w:cs="Times New Roman"/>
          <w:noProof/>
          <w:sz w:val="24"/>
          <w:szCs w:val="24"/>
        </w:rPr>
        <w:t xml:space="preserve"> and repealing Council </w:t>
      </w:r>
      <w:r>
        <w:rPr>
          <w:rFonts w:ascii="Times New Roman" w:hAnsi="Times New Roman" w:cs="Times New Roman"/>
          <w:noProof/>
          <w:sz w:val="24"/>
          <w:szCs w:val="24"/>
        </w:rPr>
        <w:t>Regulations (EEC) No 352/78, (EC) No 165/94, (EC) No 2799/98, (EC) No 814/2000, (EC) No 1290/2005 and (EC) No 485/2008.</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European Parliament and Council Regulation (EU) No 1307/2013 of the of 17 December 2013 establishing </w:t>
      </w:r>
      <w:hyperlink r:id="rId246" w:history="1">
        <w:r>
          <w:rPr>
            <w:rFonts w:ascii="Times New Roman" w:hAnsi="Times New Roman" w:cs="Times New Roman"/>
            <w:bCs/>
            <w:noProof/>
            <w:color w:val="0000FF"/>
            <w:sz w:val="24"/>
            <w:szCs w:val="24"/>
            <w:u w:val="single"/>
          </w:rPr>
          <w:t>rules for direct payments to farmers under support schemes within the framework of the common agricultural policy</w:t>
        </w:r>
      </w:hyperlink>
      <w:r>
        <w:rPr>
          <w:rFonts w:ascii="Times New Roman" w:hAnsi="Times New Roman" w:cs="Times New Roman"/>
          <w:bCs/>
          <w:noProof/>
          <w:sz w:val="24"/>
          <w:szCs w:val="24"/>
        </w:rPr>
        <w:t xml:space="preserve"> and repealing Council Regulation (EC) No 637/2008 and Counc</w:t>
      </w:r>
      <w:r>
        <w:rPr>
          <w:rFonts w:ascii="Times New Roman" w:hAnsi="Times New Roman" w:cs="Times New Roman"/>
          <w:bCs/>
          <w:noProof/>
          <w:sz w:val="24"/>
          <w:szCs w:val="24"/>
        </w:rPr>
        <w:t>il Regulation (EC) No 73/2009.</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Parliament and Council Regulation (EU) No 1308/2013 of 17 December 2013 establishing </w:t>
      </w:r>
      <w:hyperlink r:id="rId247" w:history="1">
        <w:r>
          <w:rPr>
            <w:rFonts w:ascii="Times New Roman" w:hAnsi="Times New Roman" w:cs="Times New Roman"/>
            <w:noProof/>
            <w:color w:val="0000FF"/>
            <w:sz w:val="24"/>
            <w:szCs w:val="24"/>
            <w:u w:val="single"/>
          </w:rPr>
          <w:t>a common organisation of the markets in agricul</w:t>
        </w:r>
        <w:r>
          <w:rPr>
            <w:rFonts w:ascii="Times New Roman" w:hAnsi="Times New Roman" w:cs="Times New Roman"/>
            <w:noProof/>
            <w:color w:val="0000FF"/>
            <w:sz w:val="24"/>
            <w:szCs w:val="24"/>
            <w:u w:val="single"/>
          </w:rPr>
          <w:t>tural products</w:t>
        </w:r>
      </w:hyperlink>
      <w:r>
        <w:rPr>
          <w:rFonts w:ascii="Times New Roman" w:hAnsi="Times New Roman" w:cs="Times New Roman"/>
          <w:noProof/>
          <w:sz w:val="24"/>
          <w:szCs w:val="24"/>
        </w:rPr>
        <w:t xml:space="preserve"> and repealing Council Regulations (EEC) No 922/72, (EEC) No 234/79, (EC) No 1037/2001 and (EC) No 1234/2007.</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European Parliament, </w:t>
      </w:r>
      <w:hyperlink r:id="rId248" w:history="1">
        <w:r>
          <w:rPr>
            <w:rFonts w:ascii="Times New Roman" w:eastAsia="Times New Roman" w:hAnsi="Times New Roman" w:cs="Times New Roman"/>
            <w:noProof/>
            <w:color w:val="0000FF"/>
            <w:sz w:val="24"/>
            <w:szCs w:val="24"/>
            <w:u w:val="single"/>
          </w:rPr>
          <w:t>A Welcoming Europe?</w:t>
        </w:r>
      </w:hyperlink>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Eurostat (2009) </w:t>
      </w:r>
      <w:hyperlink r:id="rId249" w:history="1">
        <w:r>
          <w:rPr>
            <w:rFonts w:ascii="Times New Roman" w:eastAsia="Times New Roman" w:hAnsi="Times New Roman" w:cs="Times New Roman"/>
            <w:noProof/>
            <w:color w:val="0000FF"/>
            <w:sz w:val="24"/>
            <w:szCs w:val="24"/>
            <w:u w:val="single"/>
          </w:rPr>
          <w:t>Consumers in Europe</w:t>
        </w:r>
      </w:hyperlink>
      <w:r>
        <w:rPr>
          <w:rFonts w:ascii="Times New Roman" w:eastAsia="Times New Roman" w:hAnsi="Times New Roman" w:cs="Times New Roman"/>
          <w:noProof/>
          <w:color w:val="0000FF"/>
          <w:sz w:val="24"/>
          <w:szCs w:val="24"/>
          <w:u w:val="single"/>
        </w:rPr>
        <w:t xml:space="preserve">, </w:t>
      </w:r>
      <w:r>
        <w:rPr>
          <w:rFonts w:ascii="Times New Roman" w:eastAsia="Times New Roman" w:hAnsi="Times New Roman" w:cs="Times New Roman"/>
          <w:noProof/>
          <w:sz w:val="24"/>
          <w:szCs w:val="24"/>
        </w:rPr>
        <w:t>Eurostat, Statistical book, Luxembourg.</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Eurostat (2016) </w:t>
      </w:r>
      <w:hyperlink r:id="rId250" w:history="1">
        <w:r>
          <w:rPr>
            <w:rFonts w:ascii="Times New Roman" w:eastAsia="Times New Roman" w:hAnsi="Times New Roman" w:cs="Times New Roman"/>
            <w:noProof/>
            <w:color w:val="0000FF"/>
            <w:sz w:val="24"/>
            <w:szCs w:val="24"/>
            <w:u w:val="single"/>
          </w:rPr>
          <w:t>Data on digital divide</w:t>
        </w:r>
      </w:hyperlink>
      <w:r>
        <w:rPr>
          <w:rFonts w:ascii="Times New Roman" w:eastAsia="Times New Roman" w:hAnsi="Times New Roman" w:cs="Times New Roman"/>
          <w:noProof/>
          <w:color w:val="0000FF"/>
          <w:sz w:val="24"/>
          <w:szCs w:val="24"/>
          <w:u w:val="single"/>
        </w:rPr>
        <w:t xml:space="preserve">, </w:t>
      </w:r>
      <w:r>
        <w:rPr>
          <w:rFonts w:ascii="Times New Roman" w:eastAsia="Times New Roman" w:hAnsi="Times New Roman" w:cs="Times New Roman"/>
          <w:noProof/>
          <w:sz w:val="24"/>
          <w:szCs w:val="24"/>
        </w:rPr>
        <w:t>Eurostat, Statistics on rural areas in the EU, website.</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Eurostat (2017) </w:t>
      </w:r>
      <w:hyperlink r:id="rId251" w:history="1">
        <w:r>
          <w:rPr>
            <w:rFonts w:ascii="Times New Roman" w:hAnsi="Times New Roman" w:cs="Times New Roman"/>
            <w:noProof/>
            <w:color w:val="0000FF"/>
            <w:sz w:val="24"/>
            <w:szCs w:val="24"/>
            <w:u w:val="single"/>
          </w:rPr>
          <w:t>Sustainable development in the European Union – Monitoring report on progress towards the SDGs in an EU context</w:t>
        </w:r>
      </w:hyperlink>
      <w:r>
        <w:rPr>
          <w:rFonts w:ascii="Times New Roman" w:hAnsi="Times New Roman" w:cs="Times New Roman"/>
          <w:noProof/>
          <w:color w:val="0000FF"/>
          <w:sz w:val="24"/>
          <w:szCs w:val="24"/>
          <w:u w:val="single"/>
        </w:rPr>
        <w:t>,</w:t>
      </w:r>
      <w:r>
        <w:rPr>
          <w:rFonts w:ascii="Times New Roman" w:hAnsi="Times New Roman" w:cs="Times New Roman"/>
          <w:noProof/>
          <w:sz w:val="24"/>
          <w:szCs w:val="24"/>
        </w:rPr>
        <w:t xml:space="preserve"> Publication Office of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Eurosta</w:t>
      </w:r>
      <w:r>
        <w:rPr>
          <w:rFonts w:ascii="Times New Roman" w:eastAsia="Times New Roman" w:hAnsi="Times New Roman" w:cs="Times New Roman"/>
          <w:noProof/>
          <w:sz w:val="24"/>
          <w:szCs w:val="24"/>
        </w:rPr>
        <w:t xml:space="preserve">t </w:t>
      </w:r>
      <w:hyperlink r:id="rId252" w:history="1">
        <w:r>
          <w:rPr>
            <w:rFonts w:ascii="Times New Roman" w:eastAsia="Times New Roman" w:hAnsi="Times New Roman" w:cs="Times New Roman"/>
            <w:noProof/>
            <w:color w:val="0000FF" w:themeColor="hyperlink"/>
            <w:sz w:val="24"/>
            <w:szCs w:val="24"/>
            <w:u w:val="single"/>
          </w:rPr>
          <w:t>Agri-environmental indicators</w:t>
        </w:r>
      </w:hyperlink>
      <w:r>
        <w:rPr>
          <w:rFonts w:ascii="Times New Roman" w:eastAsia="Times New Roman" w:hAnsi="Times New Roman" w:cs="Times New Roman"/>
          <w:noProof/>
          <w:color w:val="0000FF"/>
          <w:sz w:val="24"/>
          <w:szCs w:val="24"/>
          <w:u w:val="single"/>
        </w:rPr>
        <w:t xml:space="preserve">, </w:t>
      </w:r>
      <w:r>
        <w:rPr>
          <w:rFonts w:ascii="Times New Roman" w:eastAsia="Times New Roman" w:hAnsi="Times New Roman" w:cs="Times New Roman"/>
          <w:noProof/>
          <w:sz w:val="24"/>
          <w:szCs w:val="24"/>
        </w:rPr>
        <w:t>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Eurostat </w:t>
      </w:r>
      <w:hyperlink r:id="rId253" w:history="1">
        <w:r>
          <w:rPr>
            <w:rFonts w:ascii="Times New Roman" w:eastAsia="Times New Roman" w:hAnsi="Times New Roman" w:cs="Times New Roman"/>
            <w:noProof/>
            <w:color w:val="0000FF"/>
            <w:sz w:val="24"/>
            <w:szCs w:val="24"/>
            <w:u w:val="single"/>
          </w:rPr>
          <w:t>Food price monitoring tool</w:t>
        </w:r>
      </w:hyperlink>
      <w:r>
        <w:rPr>
          <w:rFonts w:ascii="Times New Roman" w:eastAsia="Times New Roman" w:hAnsi="Times New Roman" w:cs="Times New Roman"/>
          <w:noProof/>
          <w:color w:val="0000FF"/>
          <w:sz w:val="24"/>
          <w:szCs w:val="24"/>
          <w:u w:val="single"/>
        </w:rPr>
        <w:t xml:space="preserve">, </w:t>
      </w:r>
      <w:r>
        <w:rPr>
          <w:rFonts w:ascii="Times New Roman" w:eastAsia="Times New Roman" w:hAnsi="Times New Roman" w:cs="Times New Roman"/>
          <w:noProof/>
          <w:sz w:val="24"/>
          <w:szCs w:val="24"/>
        </w:rPr>
        <w:t>website.</w:t>
      </w:r>
    </w:p>
    <w:p w:rsidR="00333A1A" w:rsidRDefault="003D29C9">
      <w:pPr>
        <w:spacing w:afterLines="60" w:after="144" w:line="240" w:lineRule="auto"/>
        <w:jc w:val="both"/>
        <w:rPr>
          <w:rFonts w:ascii="Times New Roman" w:eastAsia="Times New Roman" w:hAnsi="Times New Roman" w:cs="Times New Roman"/>
          <w:noProof/>
          <w:sz w:val="24"/>
          <w:szCs w:val="24"/>
          <w:lang w:val="hu-HU"/>
        </w:rPr>
      </w:pPr>
      <w:r>
        <w:rPr>
          <w:rFonts w:ascii="Times New Roman" w:eastAsia="Times New Roman" w:hAnsi="Times New Roman" w:cs="Times New Roman"/>
          <w:noProof/>
          <w:sz w:val="24"/>
          <w:szCs w:val="24"/>
        </w:rPr>
        <w:t xml:space="preserve">Eurostat </w:t>
      </w:r>
      <w:hyperlink r:id="rId254" w:history="1">
        <w:r>
          <w:rPr>
            <w:rFonts w:ascii="Times New Roman" w:eastAsia="Times New Roman" w:hAnsi="Times New Roman" w:cs="Times New Roman"/>
            <w:noProof/>
            <w:color w:val="0000FF"/>
            <w:sz w:val="24"/>
            <w:szCs w:val="24"/>
            <w:u w:val="single"/>
          </w:rPr>
          <w:t>Population by educational attainment by degree of urbanisation</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Eurostat series </w:t>
      </w:r>
      <w:hyperlink r:id="rId255" w:history="1">
        <w:r>
          <w:rPr>
            <w:rFonts w:ascii="Times New Roman" w:eastAsia="Times New Roman" w:hAnsi="Times New Roman" w:cs="Times New Roman"/>
            <w:noProof/>
            <w:color w:val="0000FF"/>
            <w:sz w:val="24"/>
            <w:szCs w:val="24"/>
            <w:u w:val="single"/>
          </w:rPr>
          <w:t>Employment by NUTS 3 regions</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Eurostat series </w:t>
      </w:r>
      <w:hyperlink r:id="rId256" w:history="1">
        <w:r>
          <w:rPr>
            <w:rFonts w:ascii="Times New Roman" w:eastAsia="Times New Roman" w:hAnsi="Times New Roman" w:cs="Times New Roman"/>
            <w:noProof/>
            <w:color w:val="0000FF"/>
            <w:sz w:val="24"/>
            <w:szCs w:val="24"/>
            <w:u w:val="single"/>
          </w:rPr>
          <w:t>Gross value added</w:t>
        </w:r>
      </w:hyperlink>
      <w:r>
        <w:rPr>
          <w:rFonts w:ascii="Times New Roman" w:eastAsia="Times New Roman" w:hAnsi="Times New Roman" w:cs="Times New Roman"/>
          <w:noProof/>
          <w:sz w:val="24"/>
          <w:szCs w:val="24"/>
        </w:rPr>
        <w:t>,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Eurostat series </w:t>
      </w:r>
      <w:hyperlink r:id="rId257" w:history="1">
        <w:r>
          <w:rPr>
            <w:rFonts w:ascii="Times New Roman" w:eastAsia="Times New Roman" w:hAnsi="Times New Roman" w:cs="Times New Roman"/>
            <w:noProof/>
            <w:color w:val="0000FF"/>
            <w:sz w:val="24"/>
            <w:szCs w:val="24"/>
            <w:u w:val="single"/>
          </w:rPr>
          <w:t>Population density</w:t>
        </w:r>
      </w:hyperlink>
      <w:r>
        <w:rPr>
          <w:rFonts w:ascii="Times New Roman" w:eastAsia="Times New Roman" w:hAnsi="Times New Roman" w:cs="Times New Roman"/>
          <w:noProof/>
          <w:sz w:val="24"/>
          <w:szCs w:val="24"/>
        </w:rPr>
        <w:t xml:space="preserve"> website.</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EY </w:t>
      </w:r>
      <w:r>
        <w:rPr>
          <w:rFonts w:ascii="Times New Roman" w:eastAsia="Times New Roman" w:hAnsi="Times New Roman" w:cs="Times New Roman"/>
          <w:i/>
          <w:noProof/>
          <w:sz w:val="24"/>
          <w:szCs w:val="24"/>
        </w:rPr>
        <w:t xml:space="preserve">et al </w:t>
      </w:r>
      <w:r>
        <w:rPr>
          <w:rFonts w:ascii="Times New Roman" w:eastAsia="Times New Roman" w:hAnsi="Times New Roman" w:cs="Times New Roman"/>
          <w:noProof/>
          <w:sz w:val="24"/>
          <w:szCs w:val="24"/>
        </w:rPr>
        <w:t xml:space="preserve">(2014) </w:t>
      </w:r>
      <w:hyperlink r:id="rId258" w:history="1">
        <w:r>
          <w:rPr>
            <w:rFonts w:ascii="Times New Roman" w:eastAsia="Times New Roman" w:hAnsi="Times New Roman" w:cs="Times New Roman"/>
            <w:noProof/>
            <w:color w:val="0000FF"/>
            <w:sz w:val="24"/>
            <w:szCs w:val="24"/>
            <w:u w:val="single"/>
          </w:rPr>
          <w:t>The economic impact of modern retail on choice and innov</w:t>
        </w:r>
        <w:r>
          <w:rPr>
            <w:rFonts w:ascii="Times New Roman" w:eastAsia="Times New Roman" w:hAnsi="Times New Roman" w:cs="Times New Roman"/>
            <w:noProof/>
            <w:color w:val="0000FF"/>
            <w:sz w:val="24"/>
            <w:szCs w:val="24"/>
            <w:u w:val="single"/>
          </w:rPr>
          <w:t>ation in the EU food sector</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Study to the European Commission</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lang w:val="fr-BE"/>
        </w:rPr>
      </w:pPr>
      <w:r>
        <w:rPr>
          <w:rFonts w:ascii="Times New Roman" w:eastAsia="Times New Roman" w:hAnsi="Times New Roman" w:cs="Times New Roman"/>
          <w:noProof/>
          <w:sz w:val="24"/>
          <w:szCs w:val="24"/>
          <w:lang w:val="fr-BE"/>
        </w:rPr>
        <w:t xml:space="preserve">Farrell, G, </w:t>
      </w:r>
      <w:r>
        <w:rPr>
          <w:rFonts w:ascii="Times New Roman" w:eastAsia="Times New Roman" w:hAnsi="Times New Roman" w:cs="Times New Roman"/>
          <w:i/>
          <w:noProof/>
          <w:sz w:val="24"/>
          <w:szCs w:val="24"/>
          <w:lang w:val="fr-BE"/>
        </w:rPr>
        <w:t>et al.</w:t>
      </w:r>
      <w:r>
        <w:rPr>
          <w:rFonts w:ascii="Times New Roman" w:eastAsia="Times New Roman" w:hAnsi="Times New Roman" w:cs="Times New Roman"/>
          <w:noProof/>
          <w:sz w:val="24"/>
          <w:szCs w:val="24"/>
          <w:lang w:val="fr-BE"/>
        </w:rPr>
        <w:t xml:space="preserve"> (2000) </w:t>
      </w:r>
      <w:hyperlink r:id="rId259" w:history="1">
        <w:r>
          <w:rPr>
            <w:rFonts w:ascii="Times New Roman" w:eastAsia="Times New Roman" w:hAnsi="Times New Roman" w:cs="Times New Roman"/>
            <w:noProof/>
            <w:color w:val="0000FF"/>
            <w:sz w:val="24"/>
            <w:szCs w:val="24"/>
            <w:u w:val="single"/>
            <w:lang w:val="fr-BE"/>
          </w:rPr>
          <w:t>Lutter contre l'exclusion sociale en milieu rural</w:t>
        </w:r>
      </w:hyperlink>
      <w:r>
        <w:rPr>
          <w:rFonts w:ascii="Times New Roman" w:eastAsia="Times New Roman" w:hAnsi="Times New Roman" w:cs="Times New Roman"/>
          <w:noProof/>
          <w:sz w:val="24"/>
          <w:szCs w:val="24"/>
          <w:lang w:val="fr-BE"/>
        </w:rPr>
        <w:t xml:space="preserve">, Innovation en </w:t>
      </w:r>
      <w:r>
        <w:rPr>
          <w:rFonts w:ascii="Times New Roman" w:eastAsia="Times New Roman" w:hAnsi="Times New Roman" w:cs="Times New Roman"/>
          <w:noProof/>
          <w:sz w:val="24"/>
          <w:szCs w:val="24"/>
          <w:lang w:val="fr-BE"/>
        </w:rPr>
        <w:t>milieu rural, Observatoire européen LEADER, Cahier de l’innovation n°8.</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 xml:space="preserve">Federal Institute for Research on Building, Urban Affairs and Spatial Development (BBSR) </w:t>
      </w:r>
      <w:r>
        <w:rPr>
          <w:rFonts w:ascii="Times New Roman" w:eastAsia="Times New Roman" w:hAnsi="Times New Roman" w:cs="Times New Roman"/>
          <w:i/>
          <w:noProof/>
          <w:sz w:val="24"/>
          <w:szCs w:val="20"/>
        </w:rPr>
        <w:t xml:space="preserve">et al. </w:t>
      </w:r>
      <w:r>
        <w:rPr>
          <w:rFonts w:ascii="Times New Roman" w:eastAsia="Times New Roman" w:hAnsi="Times New Roman" w:cs="Times New Roman"/>
          <w:noProof/>
          <w:sz w:val="24"/>
          <w:szCs w:val="24"/>
        </w:rPr>
        <w:t xml:space="preserve">(2014) </w:t>
      </w:r>
      <w:hyperlink r:id="rId260" w:history="1">
        <w:r>
          <w:rPr>
            <w:rFonts w:ascii="Times New Roman" w:eastAsia="Times New Roman" w:hAnsi="Times New Roman" w:cs="Times New Roman"/>
            <w:noProof/>
            <w:color w:val="0000FF"/>
            <w:sz w:val="24"/>
            <w:szCs w:val="20"/>
            <w:u w:val="single"/>
          </w:rPr>
          <w:t xml:space="preserve">ESPON ATLAS </w:t>
        </w:r>
        <w:r>
          <w:rPr>
            <w:rFonts w:ascii="Times New Roman" w:eastAsia="Times New Roman" w:hAnsi="Times New Roman" w:cs="Times New Roman"/>
            <w:noProof/>
            <w:color w:val="0000FF"/>
            <w:sz w:val="24"/>
            <w:szCs w:val="24"/>
            <w:u w:val="single"/>
          </w:rPr>
          <w:t>Mapping European territorial structures and dynamics</w:t>
        </w:r>
      </w:hyperlink>
      <w:r>
        <w:rPr>
          <w:rFonts w:ascii="Times New Roman" w:eastAsia="Times New Roman" w:hAnsi="Times New Roman" w:cs="Times New Roman"/>
          <w:noProof/>
          <w:sz w:val="24"/>
          <w:szCs w:val="24"/>
        </w:rPr>
        <w:t>, ESPON programme.</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Ferrari E.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(2017) </w:t>
      </w:r>
      <w:hyperlink r:id="rId261" w:history="1">
        <w:r>
          <w:rPr>
            <w:rFonts w:ascii="Times New Roman" w:eastAsia="Calibri" w:hAnsi="Times New Roman" w:cs="Times New Roman"/>
            <w:noProof/>
            <w:color w:val="0000FF"/>
            <w:sz w:val="24"/>
            <w:szCs w:val="24"/>
            <w:u w:val="single"/>
            <w:lang w:val="en"/>
          </w:rPr>
          <w:t>Scene-setter on jobs and growth in EU agri-food sector</w:t>
        </w:r>
      </w:hyperlink>
      <w:r>
        <w:rPr>
          <w:rFonts w:ascii="Times New Roman" w:eastAsia="Times New Roman" w:hAnsi="Times New Roman" w:cs="Times New Roman"/>
          <w:noProof/>
          <w:sz w:val="24"/>
          <w:szCs w:val="24"/>
          <w:lang w:val="en"/>
        </w:rPr>
        <w:t>, W</w:t>
      </w:r>
      <w:r>
        <w:rPr>
          <w:rFonts w:ascii="Times New Roman" w:eastAsia="Times New Roman" w:hAnsi="Times New Roman" w:cs="Times New Roman"/>
          <w:noProof/>
          <w:sz w:val="24"/>
          <w:szCs w:val="24"/>
        </w:rPr>
        <w:t xml:space="preserve">orkshop organised by </w:t>
      </w:r>
      <w:r>
        <w:rPr>
          <w:rFonts w:ascii="Times New Roman" w:eastAsia="Times New Roman" w:hAnsi="Times New Roman" w:cs="Times New Roman"/>
          <w:noProof/>
          <w:sz w:val="24"/>
          <w:szCs w:val="24"/>
        </w:rPr>
        <w:t>Directorate General of Agricultural and Rural Development.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Fertilizers Europe (2015) </w:t>
      </w:r>
      <w:hyperlink r:id="rId262" w:history="1">
        <w:r>
          <w:rPr>
            <w:rFonts w:ascii="Times New Roman" w:eastAsia="Times New Roman" w:hAnsi="Times New Roman" w:cs="Times New Roman"/>
            <w:noProof/>
            <w:color w:val="0000FF"/>
            <w:sz w:val="24"/>
            <w:szCs w:val="24"/>
            <w:u w:val="single"/>
          </w:rPr>
          <w:t>Industry facts and figures</w:t>
        </w:r>
      </w:hyperlink>
      <w:r>
        <w:rPr>
          <w:rFonts w:ascii="Times New Roman" w:eastAsia="Times New Roman" w:hAnsi="Times New Roman" w:cs="Times New Roman"/>
          <w:noProof/>
          <w:sz w:val="24"/>
          <w:szCs w:val="24"/>
        </w:rPr>
        <w:t>,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Food D</w:t>
      </w:r>
      <w:r>
        <w:rPr>
          <w:rFonts w:ascii="Times New Roman" w:eastAsia="Times New Roman" w:hAnsi="Times New Roman" w:cs="Times New Roman"/>
          <w:noProof/>
          <w:sz w:val="24"/>
          <w:szCs w:val="24"/>
        </w:rPr>
        <w:t xml:space="preserve">rink Europe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(2014) </w:t>
      </w:r>
      <w:hyperlink r:id="rId263" w:history="1">
        <w:r>
          <w:rPr>
            <w:rFonts w:ascii="Times New Roman" w:eastAsia="Times New Roman" w:hAnsi="Times New Roman" w:cs="Times New Roman"/>
            <w:noProof/>
            <w:color w:val="0000FF"/>
            <w:sz w:val="24"/>
            <w:szCs w:val="24"/>
            <w:u w:val="single"/>
          </w:rPr>
          <w:t>Joining forces for an EU Industrial Policy for the food and drink sector. A European Social Partnership Initi</w:t>
        </w:r>
        <w:r>
          <w:rPr>
            <w:rFonts w:ascii="Times New Roman" w:eastAsia="Times New Roman" w:hAnsi="Times New Roman" w:cs="Times New Roman"/>
            <w:noProof/>
            <w:color w:val="0000FF"/>
            <w:sz w:val="24"/>
            <w:szCs w:val="24"/>
            <w:u w:val="single"/>
          </w:rPr>
          <w:t>ative</w:t>
        </w:r>
      </w:hyperlink>
      <w:r>
        <w:rPr>
          <w:rFonts w:ascii="Times New Roman" w:eastAsia="Times New Roman" w:hAnsi="Times New Roman" w:cs="Times New Roman"/>
          <w:noProof/>
          <w:sz w:val="24"/>
          <w:szCs w:val="24"/>
        </w:rPr>
        <w:t>.</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Forzieri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264" w:history="1">
        <w:r>
          <w:rPr>
            <w:rFonts w:ascii="Times New Roman" w:eastAsia="Times New Roman" w:hAnsi="Times New Roman" w:cs="Times New Roman"/>
            <w:noProof/>
            <w:color w:val="0000FF" w:themeColor="hyperlink"/>
            <w:sz w:val="24"/>
            <w:szCs w:val="24"/>
            <w:u w:val="single"/>
          </w:rPr>
          <w:t>Multi-hazard assessment in Europe under climate change</w:t>
        </w:r>
      </w:hyperlink>
      <w:r>
        <w:rPr>
          <w:rFonts w:ascii="Times New Roman" w:eastAsia="Times New Roman" w:hAnsi="Times New Roman" w:cs="Times New Roman"/>
          <w:noProof/>
          <w:sz w:val="24"/>
          <w:szCs w:val="24"/>
        </w:rPr>
        <w:t xml:space="preserve">, Climatic Change, Volume 137, </w:t>
      </w:r>
      <w:r>
        <w:rPr>
          <w:rFonts w:ascii="Times New Roman" w:hAnsi="Times New Roman" w:cs="Times New Roman"/>
          <w:noProof/>
          <w:sz w:val="24"/>
          <w:szCs w:val="24"/>
        </w:rPr>
        <w:t>Issue 1–2.</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Gall, R.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(2006) </w:t>
      </w:r>
      <w:hyperlink r:id="rId265" w:history="1">
        <w:r>
          <w:rPr>
            <w:rFonts w:ascii="Times New Roman" w:eastAsia="Times New Roman" w:hAnsi="Times New Roman" w:cs="Times New Roman"/>
            <w:noProof/>
            <w:color w:val="0000FF" w:themeColor="hyperlink"/>
            <w:sz w:val="24"/>
            <w:szCs w:val="24"/>
            <w:u w:val="single"/>
          </w:rPr>
          <w:t>Agricultural producer cooperatives as strategic alliances</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color w:val="0000FF"/>
          <w:sz w:val="24"/>
          <w:szCs w:val="24"/>
          <w:u w:val="single"/>
          <w:lang w:val="en-US"/>
        </w:rPr>
        <w:t xml:space="preserve"> </w:t>
      </w:r>
      <w:r>
        <w:rPr>
          <w:rFonts w:ascii="Times New Roman" w:eastAsia="Times New Roman" w:hAnsi="Times New Roman" w:cs="Times New Roman"/>
          <w:noProof/>
          <w:sz w:val="24"/>
          <w:szCs w:val="24"/>
        </w:rPr>
        <w:t>International Food and Agribusiness Management Review</w:t>
      </w:r>
      <w:r>
        <w:rPr>
          <w:rFonts w:ascii="Times New Roman" w:hAnsi="Times New Roman" w:cs="Times New Roman"/>
          <w:noProof/>
          <w:sz w:val="24"/>
          <w:szCs w:val="24"/>
        </w:rPr>
        <w:t>, Volume 9, Issue 4.</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Gosling &amp; Williams (2010) </w:t>
      </w:r>
      <w:hyperlink r:id="rId266" w:history="1">
        <w:r>
          <w:rPr>
            <w:rFonts w:ascii="Times New Roman" w:eastAsia="Times New Roman" w:hAnsi="Times New Roman" w:cs="Times New Roman"/>
            <w:noProof/>
            <w:color w:val="0000FF"/>
            <w:sz w:val="24"/>
            <w:szCs w:val="24"/>
            <w:u w:val="single"/>
          </w:rPr>
          <w:t>Connectedness to nature, place attachment and conservation behaviour: Testing connectedness theo</w:t>
        </w:r>
        <w:r>
          <w:rPr>
            <w:rFonts w:ascii="Times New Roman" w:eastAsia="Times New Roman" w:hAnsi="Times New Roman" w:cs="Times New Roman"/>
            <w:noProof/>
            <w:color w:val="0000FF"/>
            <w:sz w:val="24"/>
            <w:szCs w:val="24"/>
            <w:u w:val="single"/>
          </w:rPr>
          <w:t>ry among farmers</w:t>
        </w:r>
      </w:hyperlink>
      <w:r>
        <w:rPr>
          <w:rFonts w:ascii="Times New Roman" w:eastAsia="Times New Roman" w:hAnsi="Times New Roman" w:cs="Times New Roman"/>
          <w:noProof/>
          <w:color w:val="0000FF"/>
          <w:sz w:val="24"/>
          <w:szCs w:val="24"/>
          <w:u w:val="single"/>
        </w:rPr>
        <w:t>,</w:t>
      </w:r>
      <w:r>
        <w:rPr>
          <w:rFonts w:ascii="Times New Roman" w:eastAsia="Times New Roman" w:hAnsi="Times New Roman" w:cs="Times New Roman"/>
          <w:noProof/>
          <w:sz w:val="24"/>
          <w:szCs w:val="24"/>
        </w:rPr>
        <w:t xml:space="preserve"> Journal of Environmental Psychology, Volume 30, Issue 3.</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Greenville Jared (2017) </w:t>
      </w:r>
      <w:hyperlink r:id="rId267" w:history="1">
        <w:r>
          <w:rPr>
            <w:rFonts w:ascii="Times New Roman" w:eastAsia="Calibri" w:hAnsi="Times New Roman" w:cs="Times New Roman"/>
            <w:noProof/>
            <w:color w:val="0000FF"/>
            <w:sz w:val="24"/>
            <w:szCs w:val="24"/>
            <w:u w:val="single"/>
          </w:rPr>
          <w:t>Links between global agriculture and food value chains and jobs and growth</w:t>
        </w:r>
      </w:hyperlink>
      <w:r>
        <w:rPr>
          <w:rFonts w:ascii="Times New Roman" w:eastAsia="Times New Roman" w:hAnsi="Times New Roman" w:cs="Times New Roman"/>
          <w:noProof/>
          <w:sz w:val="24"/>
          <w:szCs w:val="24"/>
        </w:rPr>
        <w:t>, Workshop organised by Directorate General of Agricultural and Rural Development.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Hélaine S,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268" w:history="1">
        <w:r>
          <w:rPr>
            <w:rFonts w:ascii="Times New Roman" w:eastAsia="Times New Roman" w:hAnsi="Times New Roman" w:cs="Times New Roman"/>
            <w:noProof/>
            <w:color w:val="0000FF"/>
            <w:sz w:val="24"/>
            <w:szCs w:val="24"/>
            <w:u w:val="single"/>
          </w:rPr>
          <w:t>A stochastic approach of the assessment of EU intervention mechanisms for dairy products</w:t>
        </w:r>
      </w:hyperlink>
      <w:r>
        <w:rPr>
          <w:rFonts w:ascii="Times New Roman" w:eastAsia="Times New Roman" w:hAnsi="Times New Roman" w:cs="Times New Roman"/>
          <w:noProof/>
          <w:sz w:val="24"/>
          <w:szCs w:val="24"/>
        </w:rPr>
        <w:t>, Scientific Congress SFER, VetAgroSup, Clermont, France, 9/10 juin.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Hunt, J. (2014) </w:t>
      </w:r>
      <w:hyperlink r:id="rId269" w:history="1">
        <w:r>
          <w:rPr>
            <w:rFonts w:ascii="Times New Roman" w:eastAsia="Times New Roman" w:hAnsi="Times New Roman" w:cs="Times New Roman"/>
            <w:noProof/>
            <w:color w:val="0000FF"/>
            <w:sz w:val="24"/>
            <w:szCs w:val="24"/>
            <w:u w:val="single"/>
          </w:rPr>
          <w:t>Making the CAP Fit: Responding to the Exploitation of Migrant Agricultural Workers in the EU</w:t>
        </w:r>
      </w:hyperlink>
      <w:r>
        <w:rPr>
          <w:rFonts w:ascii="Times New Roman" w:eastAsia="Times New Roman" w:hAnsi="Times New Roman" w:cs="Times New Roman"/>
          <w:noProof/>
          <w:sz w:val="24"/>
          <w:szCs w:val="24"/>
        </w:rPr>
        <w:t>, The International Journal of Comparative Labour Law and Industrial Relations 30, n° 2</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Institute for Environmental European Policy (</w:t>
      </w:r>
      <w:r>
        <w:rPr>
          <w:rFonts w:ascii="Times New Roman" w:eastAsia="Times New Roman" w:hAnsi="Times New Roman" w:cs="Times New Roman"/>
          <w:noProof/>
          <w:sz w:val="24"/>
          <w:szCs w:val="24"/>
        </w:rPr>
        <w:t xml:space="preserve">IEEP) (2011) </w:t>
      </w:r>
      <w:hyperlink r:id="rId270" w:history="1">
        <w:r>
          <w:rPr>
            <w:rFonts w:ascii="Times New Roman" w:eastAsia="Times New Roman" w:hAnsi="Times New Roman" w:cs="Times New Roman"/>
            <w:bCs/>
            <w:noProof/>
            <w:color w:val="0000FF"/>
            <w:sz w:val="24"/>
            <w:szCs w:val="24"/>
            <w:u w:val="single"/>
          </w:rPr>
          <w:t>Addressing biodiversity and habitat preservation</w:t>
        </w:r>
        <w:r>
          <w:rPr>
            <w:rFonts w:ascii="Times New Roman" w:eastAsia="Times New Roman" w:hAnsi="Times New Roman" w:cs="Times New Roman"/>
            <w:noProof/>
            <w:color w:val="0000FF"/>
            <w:sz w:val="24"/>
            <w:szCs w:val="24"/>
            <w:u w:val="single"/>
          </w:rPr>
          <w:t xml:space="preserve"> through measures applied under the Common Agricultural Policy</w:t>
        </w:r>
      </w:hyperlink>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Study t</w:t>
      </w:r>
      <w:r>
        <w:rPr>
          <w:rFonts w:ascii="Times New Roman" w:hAnsi="Times New Roman" w:cs="Times New Roman"/>
          <w:noProof/>
          <w:sz w:val="24"/>
          <w:szCs w:val="24"/>
        </w:rPr>
        <w:t>o the European Commission.</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Institute for Environmental European Policy (</w:t>
      </w:r>
      <w:r>
        <w:rPr>
          <w:rFonts w:ascii="Times New Roman" w:eastAsia="Times New Roman" w:hAnsi="Times New Roman" w:cs="Times New Roman"/>
          <w:noProof/>
          <w:sz w:val="24"/>
          <w:szCs w:val="24"/>
        </w:rPr>
        <w:t xml:space="preserve">IEEP) </w:t>
      </w:r>
      <w:r>
        <w:rPr>
          <w:rFonts w:ascii="Times New Roman" w:eastAsia="Times New Roman" w:hAnsi="Times New Roman" w:cs="Times New Roman"/>
          <w:i/>
          <w:noProof/>
          <w:color w:val="000000"/>
          <w:sz w:val="24"/>
          <w:szCs w:val="24"/>
          <w:lang w:eastAsia="en-GB"/>
        </w:rPr>
        <w:t>et al.</w:t>
      </w:r>
      <w:r>
        <w:rPr>
          <w:rFonts w:ascii="Times New Roman" w:eastAsia="Times New Roman" w:hAnsi="Times New Roman" w:cs="Times New Roman"/>
          <w:noProof/>
          <w:color w:val="000000"/>
          <w:sz w:val="24"/>
          <w:szCs w:val="24"/>
          <w:lang w:eastAsia="en-GB"/>
        </w:rPr>
        <w:t xml:space="preserve"> (2017) </w:t>
      </w:r>
      <w:hyperlink r:id="rId271" w:history="1">
        <w:r>
          <w:rPr>
            <w:rFonts w:ascii="Times New Roman" w:eastAsia="Times New Roman" w:hAnsi="Times New Roman" w:cs="Times New Roman"/>
            <w:noProof/>
            <w:color w:val="0000FF"/>
            <w:sz w:val="24"/>
            <w:szCs w:val="24"/>
            <w:u w:val="single"/>
            <w:lang w:eastAsia="en-GB"/>
          </w:rPr>
          <w:t>Service contract to support foll</w:t>
        </w:r>
        <w:r>
          <w:rPr>
            <w:rFonts w:ascii="Times New Roman" w:eastAsia="Times New Roman" w:hAnsi="Times New Roman" w:cs="Times New Roman"/>
            <w:noProof/>
            <w:color w:val="0000FF"/>
            <w:sz w:val="24"/>
            <w:szCs w:val="24"/>
            <w:u w:val="single"/>
            <w:lang w:eastAsia="en-GB"/>
          </w:rPr>
          <w:t>ow-up actions to the mid-term review of the EU biodiversity strategy to 2020 in relation to target 3A – Agriculture</w:t>
        </w:r>
      </w:hyperlink>
      <w:r>
        <w:rPr>
          <w:rFonts w:ascii="Times New Roman" w:eastAsia="Times New Roman" w:hAnsi="Times New Roman" w:cs="Times New Roman"/>
          <w:noProof/>
          <w:color w:val="000000"/>
          <w:sz w:val="24"/>
          <w:szCs w:val="24"/>
          <w:lang w:eastAsia="en-GB"/>
        </w:rPr>
        <w:t xml:space="preserve">, </w:t>
      </w:r>
      <w:r>
        <w:rPr>
          <w:rFonts w:ascii="Times New Roman" w:hAnsi="Times New Roman" w:cs="Times New Roman"/>
          <w:noProof/>
          <w:sz w:val="24"/>
          <w:szCs w:val="24"/>
        </w:rPr>
        <w:t>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Intergovernmental Panel on Climate Change (2014) </w:t>
      </w:r>
      <w:hyperlink r:id="rId272" w:history="1">
        <w:r>
          <w:rPr>
            <w:rFonts w:ascii="Times New Roman" w:eastAsia="Times New Roman" w:hAnsi="Times New Roman" w:cs="Times New Roman"/>
            <w:noProof/>
            <w:color w:val="0000FF"/>
            <w:sz w:val="24"/>
            <w:szCs w:val="24"/>
            <w:u w:val="single"/>
          </w:rPr>
          <w:t>Summa</w:t>
        </w:r>
        <w:r>
          <w:rPr>
            <w:rFonts w:ascii="Times New Roman" w:eastAsia="Times New Roman" w:hAnsi="Times New Roman" w:cs="Times New Roman"/>
            <w:noProof/>
            <w:color w:val="0000FF"/>
            <w:sz w:val="24"/>
            <w:szCs w:val="24"/>
            <w:u w:val="single"/>
          </w:rPr>
          <w:t>ry for Policymakers.</w:t>
        </w:r>
      </w:hyperlink>
      <w:r>
        <w:rPr>
          <w:rFonts w:ascii="Times New Roman" w:eastAsia="Times New Roman" w:hAnsi="Times New Roman" w:cs="Times New Roman"/>
          <w:noProof/>
          <w:sz w:val="24"/>
          <w:szCs w:val="24"/>
        </w:rPr>
        <w:t xml:space="preserve"> In: Climate Change 2014: Impacts, Adaptation, and Vulnerability. Part A: Global and Sectoral Aspects. Contribution of Working Group II to the Fifth Assessment Report, Cambridge University Press, Cambridge, UK and New York, USA.</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IRS </w:t>
      </w:r>
      <w:r>
        <w:rPr>
          <w:rFonts w:ascii="Times New Roman" w:eastAsia="Times New Roman" w:hAnsi="Times New Roman" w:cs="Times New Roman"/>
          <w:i/>
          <w:noProof/>
          <w:sz w:val="24"/>
          <w:szCs w:val="24"/>
        </w:rPr>
        <w:t xml:space="preserve">et </w:t>
      </w:r>
      <w:r>
        <w:rPr>
          <w:rFonts w:ascii="Times New Roman" w:eastAsia="Times New Roman" w:hAnsi="Times New Roman" w:cs="Times New Roman"/>
          <w:i/>
          <w:noProof/>
          <w:sz w:val="24"/>
          <w:szCs w:val="24"/>
        </w:rPr>
        <w:t>al.</w:t>
      </w:r>
      <w:r>
        <w:rPr>
          <w:rFonts w:ascii="Times New Roman" w:eastAsia="Times New Roman" w:hAnsi="Times New Roman" w:cs="Times New Roman"/>
          <w:noProof/>
          <w:sz w:val="24"/>
          <w:szCs w:val="24"/>
        </w:rPr>
        <w:t xml:space="preserve"> (2015), "</w:t>
      </w:r>
      <w:hyperlink r:id="rId273" w:history="1">
        <w:r>
          <w:rPr>
            <w:rFonts w:ascii="Times New Roman" w:eastAsia="Times New Roman" w:hAnsi="Times New Roman" w:cs="Times New Roman"/>
            <w:noProof/>
            <w:color w:val="0000FF"/>
            <w:sz w:val="24"/>
            <w:szCs w:val="24"/>
            <w:u w:val="single"/>
          </w:rPr>
          <w:t>Ex post evaluation of 2007-2013, Culture and Tourism Final Report</w:t>
        </w:r>
      </w:hyperlink>
      <w:r>
        <w:rPr>
          <w:rFonts w:ascii="Times New Roman" w:eastAsia="Times New Roman" w:hAnsi="Times New Roman" w:cs="Times New Roman"/>
          <w:noProof/>
          <w:sz w:val="24"/>
          <w:szCs w:val="24"/>
        </w:rPr>
        <w:t xml:space="preserve">", Work Package 9, Final report to Directorate General for </w:t>
      </w:r>
      <w:r>
        <w:rPr>
          <w:rFonts w:ascii="Times New Roman" w:eastAsia="Times New Roman" w:hAnsi="Times New Roman" w:cs="Times New Roman"/>
          <w:noProof/>
          <w:sz w:val="24"/>
          <w:szCs w:val="24"/>
        </w:rPr>
        <w:t>Regional and Urban Policy.</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Kallas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(2010) </w:t>
      </w:r>
      <w:hyperlink r:id="rId274" w:history="1">
        <w:r>
          <w:rPr>
            <w:rFonts w:ascii="Times New Roman" w:eastAsia="Times New Roman" w:hAnsi="Times New Roman" w:cs="Times New Roman"/>
            <w:noProof/>
            <w:color w:val="0000FF"/>
            <w:sz w:val="24"/>
            <w:szCs w:val="24"/>
            <w:u w:val="single"/>
          </w:rPr>
          <w:t>Farmers' objectives as determinants of organic farming adoption: The case of Catalonian vineyard production</w:t>
        </w:r>
      </w:hyperlink>
      <w:r>
        <w:rPr>
          <w:rFonts w:ascii="Times New Roman" w:eastAsia="Times New Roman" w:hAnsi="Times New Roman" w:cs="Times New Roman"/>
          <w:noProof/>
          <w:sz w:val="24"/>
          <w:szCs w:val="24"/>
        </w:rPr>
        <w:t>, Agricultu</w:t>
      </w:r>
      <w:r>
        <w:rPr>
          <w:rFonts w:ascii="Times New Roman" w:eastAsia="Times New Roman" w:hAnsi="Times New Roman" w:cs="Times New Roman"/>
          <w:noProof/>
          <w:sz w:val="24"/>
          <w:szCs w:val="24"/>
        </w:rPr>
        <w:t>ral Economics, Volume 41, Issue 5.</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Kantor (2015) </w:t>
      </w:r>
      <w:hyperlink r:id="rId275" w:history="1">
        <w:r>
          <w:rPr>
            <w:rFonts w:ascii="Times New Roman" w:hAnsi="Times New Roman" w:cs="Times New Roman"/>
            <w:noProof/>
            <w:color w:val="0000FF"/>
            <w:sz w:val="24"/>
            <w:szCs w:val="24"/>
            <w:u w:val="single"/>
          </w:rPr>
          <w:t>Synthesis of ex ante evaluations of rural de</w:t>
        </w:r>
        <w:r>
          <w:rPr>
            <w:rFonts w:ascii="Times New Roman" w:hAnsi="Times New Roman" w:cs="Times New Roman"/>
            <w:noProof/>
            <w:color w:val="0000FF"/>
            <w:sz w:val="24"/>
            <w:szCs w:val="24"/>
            <w:u w:val="single"/>
          </w:rPr>
          <w:t>velopment programmes 2014 - 2020</w:t>
        </w:r>
      </w:hyperlink>
      <w:r>
        <w:rPr>
          <w:rFonts w:ascii="Times New Roman" w:hAnsi="Times New Roman" w:cs="Times New Roman"/>
          <w:noProof/>
          <w:sz w:val="24"/>
          <w:szCs w:val="24"/>
        </w:rPr>
        <w:t>, Study to the European Commission.</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Katsarova, I. (2013) </w:t>
      </w:r>
      <w:hyperlink r:id="rId276" w:history="1">
        <w:r>
          <w:rPr>
            <w:rFonts w:ascii="Times New Roman" w:eastAsia="Times New Roman" w:hAnsi="Times New Roman" w:cs="Times New Roman"/>
            <w:noProof/>
            <w:color w:val="0000FF"/>
            <w:sz w:val="24"/>
            <w:szCs w:val="24"/>
            <w:u w:val="single"/>
          </w:rPr>
          <w:t>The (low) absorption of EU Structural Funds</w:t>
        </w:r>
      </w:hyperlink>
      <w:r>
        <w:rPr>
          <w:rFonts w:ascii="Times New Roman" w:eastAsia="Times New Roman" w:hAnsi="Times New Roman" w:cs="Times New Roman"/>
          <w:noProof/>
          <w:sz w:val="24"/>
          <w:szCs w:val="24"/>
        </w:rPr>
        <w:t xml:space="preserve"> Library of the Europe</w:t>
      </w:r>
      <w:r>
        <w:rPr>
          <w:rFonts w:ascii="Times New Roman" w:eastAsia="Times New Roman" w:hAnsi="Times New Roman" w:cs="Times New Roman"/>
          <w:noProof/>
          <w:sz w:val="24"/>
          <w:szCs w:val="24"/>
        </w:rPr>
        <w:t>an Parliament, Library Briefing.</w:t>
      </w:r>
    </w:p>
    <w:p w:rsidR="00333A1A" w:rsidRDefault="003D29C9">
      <w:pPr>
        <w:autoSpaceDE w:val="0"/>
        <w:autoSpaceDN w:val="0"/>
        <w:adjustRightInd w:val="0"/>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da-DK"/>
        </w:rPr>
        <w:t xml:space="preserve">Kovats, R.S. </w:t>
      </w:r>
      <w:r>
        <w:rPr>
          <w:rFonts w:ascii="Times New Roman" w:eastAsia="Times New Roman" w:hAnsi="Times New Roman" w:cs="Times New Roman"/>
          <w:i/>
          <w:noProof/>
          <w:sz w:val="24"/>
          <w:szCs w:val="24"/>
          <w:lang w:val="da-DK"/>
        </w:rPr>
        <w:t>et al.</w:t>
      </w:r>
      <w:r>
        <w:rPr>
          <w:rFonts w:ascii="Times New Roman" w:eastAsia="Times New Roman" w:hAnsi="Times New Roman" w:cs="Times New Roman"/>
          <w:noProof/>
          <w:sz w:val="24"/>
          <w:szCs w:val="24"/>
          <w:lang w:val="da-DK"/>
        </w:rPr>
        <w:t xml:space="preserve"> </w:t>
      </w:r>
      <w:r>
        <w:rPr>
          <w:rFonts w:ascii="Times New Roman" w:eastAsia="Times New Roman" w:hAnsi="Times New Roman" w:cs="Times New Roman"/>
          <w:noProof/>
          <w:sz w:val="24"/>
          <w:szCs w:val="24"/>
        </w:rPr>
        <w:t xml:space="preserve">(2014) </w:t>
      </w:r>
      <w:hyperlink r:id="rId277" w:history="1">
        <w:r>
          <w:rPr>
            <w:rFonts w:ascii="Times New Roman" w:eastAsia="Times New Roman" w:hAnsi="Times New Roman" w:cs="Times New Roman"/>
            <w:noProof/>
            <w:color w:val="0000FF"/>
            <w:sz w:val="24"/>
            <w:szCs w:val="24"/>
            <w:u w:val="single"/>
          </w:rPr>
          <w:t>Europe</w:t>
        </w:r>
      </w:hyperlink>
      <w:r>
        <w:rPr>
          <w:rFonts w:ascii="Times New Roman" w:eastAsia="Times New Roman" w:hAnsi="Times New Roman" w:cs="Times New Roman"/>
          <w:noProof/>
          <w:sz w:val="24"/>
          <w:szCs w:val="24"/>
        </w:rPr>
        <w:t xml:space="preserve">. In: Climate Change 2014: Impacts, Adaptation, and Vulnerability. Part B: Regional Aspects. </w:t>
      </w:r>
      <w:r>
        <w:rPr>
          <w:rFonts w:ascii="Times New Roman" w:eastAsia="Times New Roman" w:hAnsi="Times New Roman" w:cs="Times New Roman"/>
          <w:noProof/>
          <w:sz w:val="24"/>
          <w:szCs w:val="24"/>
        </w:rPr>
        <w:t>Contribution of Working Group II to the Fifth Assessment Report of the Intergovernmental Panel on Climate Change, Cambridge University Press, Cambridge, UK and NY, USA.</w:t>
      </w:r>
    </w:p>
    <w:p w:rsidR="00333A1A" w:rsidRDefault="003D29C9">
      <w:pPr>
        <w:spacing w:afterLines="60" w:after="144"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Kritikos, M (2017) </w:t>
      </w:r>
      <w:hyperlink r:id="rId278" w:history="1">
        <w:r>
          <w:rPr>
            <w:rFonts w:ascii="Times New Roman" w:hAnsi="Times New Roman" w:cs="Times New Roman"/>
            <w:bCs/>
            <w:noProof/>
            <w:color w:val="0000FF"/>
            <w:sz w:val="24"/>
            <w:szCs w:val="24"/>
            <w:u w:val="single"/>
          </w:rPr>
          <w:t>Precision agriculture in Europe: Legal, social and ethical considerations</w:t>
        </w:r>
      </w:hyperlink>
      <w:r>
        <w:rPr>
          <w:rFonts w:ascii="Times New Roman" w:hAnsi="Times New Roman" w:cs="Times New Roman"/>
          <w:bCs/>
          <w:noProof/>
          <w:sz w:val="24"/>
          <w:szCs w:val="24"/>
        </w:rPr>
        <w:t>, Study to the European Parliament.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LEI (2011) </w:t>
      </w:r>
      <w:hyperlink r:id="rId279" w:history="1">
        <w:r>
          <w:rPr>
            <w:rFonts w:ascii="Times New Roman" w:eastAsia="Times New Roman" w:hAnsi="Times New Roman" w:cs="Times New Roman"/>
            <w:noProof/>
            <w:color w:val="0000FF"/>
            <w:sz w:val="24"/>
            <w:szCs w:val="24"/>
            <w:u w:val="single"/>
          </w:rPr>
          <w:t>Evaluation of CAP measures applied to the dairy sector</w:t>
        </w:r>
      </w:hyperlink>
      <w:r>
        <w:rPr>
          <w:rFonts w:ascii="Times New Roman" w:eastAsia="Times New Roman" w:hAnsi="Times New Roman" w:cs="Times New Roman"/>
          <w:noProof/>
          <w:color w:val="0000FF"/>
          <w:sz w:val="24"/>
          <w:szCs w:val="24"/>
          <w:u w:val="single"/>
        </w:rPr>
        <w:t xml:space="preserve">, </w:t>
      </w:r>
      <w:r>
        <w:rPr>
          <w:rFonts w:ascii="Times New Roman" w:eastAsia="Times New Roman" w:hAnsi="Times New Roman" w:cs="Times New Roman"/>
          <w:noProof/>
          <w:sz w:val="24"/>
          <w:szCs w:val="24"/>
        </w:rPr>
        <w:t>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LEI- WUR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280" w:history="1">
        <w:r>
          <w:rPr>
            <w:rFonts w:ascii="Times New Roman" w:eastAsia="Times New Roman" w:hAnsi="Times New Roman" w:cs="Times New Roman"/>
            <w:noProof/>
            <w:color w:val="0000FF" w:themeColor="hyperlink"/>
            <w:sz w:val="24"/>
            <w:szCs w:val="24"/>
            <w:u w:val="single"/>
          </w:rPr>
          <w:t>Farm Level Indicators for New Topics in policy</w:t>
        </w:r>
        <w:r>
          <w:rPr>
            <w:rFonts w:ascii="Times New Roman" w:eastAsia="Times New Roman" w:hAnsi="Times New Roman" w:cs="Times New Roman"/>
            <w:noProof/>
            <w:color w:val="0000FF" w:themeColor="hyperlink"/>
            <w:sz w:val="24"/>
            <w:szCs w:val="24"/>
            <w:u w:val="single"/>
          </w:rPr>
          <w:t xml:space="preserve"> evaluation project</w:t>
        </w:r>
        <w:r>
          <w:rPr>
            <w:rFonts w:ascii="Arial" w:hAnsi="Arial" w:cs="Arial"/>
            <w:noProof/>
            <w:color w:val="0000FF" w:themeColor="hyperlink"/>
            <w:spacing w:val="-15"/>
            <w:sz w:val="27"/>
            <w:szCs w:val="27"/>
            <w:u w:val="single"/>
          </w:rPr>
          <w:t xml:space="preserve"> </w:t>
        </w:r>
        <w:r>
          <w:rPr>
            <w:rFonts w:ascii="Times New Roman" w:eastAsia="Times New Roman" w:hAnsi="Times New Roman" w:cs="Times New Roman"/>
            <w:noProof/>
            <w:color w:val="0000FF" w:themeColor="hyperlink"/>
            <w:sz w:val="24"/>
            <w:szCs w:val="24"/>
            <w:u w:val="single"/>
          </w:rPr>
          <w:t>(FLINT)</w:t>
        </w:r>
      </w:hyperlink>
      <w:r>
        <w:rPr>
          <w:rFonts w:ascii="Times New Roman" w:eastAsia="Times New Roman" w:hAnsi="Times New Roman" w:cs="Times New Roman"/>
          <w:noProof/>
          <w:sz w:val="24"/>
          <w:szCs w:val="24"/>
        </w:rPr>
        <w:t>, projsct financed under the FP7,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Lewis D.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(2010) </w:t>
      </w:r>
      <w:hyperlink r:id="rId281" w:history="1">
        <w:r>
          <w:rPr>
            <w:rFonts w:ascii="Times New Roman" w:eastAsia="Times New Roman" w:hAnsi="Times New Roman" w:cs="Times New Roman"/>
            <w:noProof/>
            <w:color w:val="0000FF"/>
            <w:sz w:val="24"/>
            <w:szCs w:val="24"/>
            <w:u w:val="single"/>
          </w:rPr>
          <w:t xml:space="preserve">Refinement of the OECD regional typology: Economic Performance of Remote </w:t>
        </w:r>
        <w:r>
          <w:rPr>
            <w:rFonts w:ascii="Times New Roman" w:eastAsia="Times New Roman" w:hAnsi="Times New Roman" w:cs="Times New Roman"/>
            <w:noProof/>
            <w:color w:val="0000FF"/>
            <w:sz w:val="24"/>
            <w:szCs w:val="24"/>
            <w:u w:val="single"/>
          </w:rPr>
          <w:t>Rural Regions</w:t>
        </w:r>
      </w:hyperlink>
      <w:r>
        <w:rPr>
          <w:rFonts w:ascii="Times New Roman" w:eastAsia="Times New Roman" w:hAnsi="Times New Roman" w:cs="Times New Roman"/>
          <w:noProof/>
          <w:sz w:val="24"/>
          <w:szCs w:val="24"/>
        </w:rPr>
        <w:t xml:space="preserve"> </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Linnemann, L. (2016) </w:t>
      </w:r>
      <w:hyperlink r:id="rId282" w:history="1">
        <w:r>
          <w:rPr>
            <w:rFonts w:ascii="Times New Roman" w:hAnsi="Times New Roman" w:cs="Times New Roman"/>
            <w:noProof/>
            <w:color w:val="0000FF"/>
            <w:sz w:val="24"/>
            <w:szCs w:val="24"/>
            <w:u w:val="single"/>
          </w:rPr>
          <w:t>Establishment of a sust</w:t>
        </w:r>
        <w:r>
          <w:rPr>
            <w:rFonts w:ascii="Times New Roman" w:hAnsi="Times New Roman" w:cs="Times New Roman"/>
            <w:noProof/>
            <w:color w:val="0000FF"/>
            <w:sz w:val="24"/>
            <w:szCs w:val="24"/>
            <w:u w:val="single"/>
          </w:rPr>
          <w:t>ainable and environmentally friendly wheat-value chain (OG ENU-Wheat)</w:t>
        </w:r>
      </w:hyperlink>
      <w:r>
        <w:rPr>
          <w:rFonts w:ascii="Times New Roman" w:hAnsi="Times New Roman" w:cs="Times New Roman"/>
          <w:noProof/>
          <w:sz w:val="24"/>
          <w:szCs w:val="24"/>
        </w:rPr>
        <w:t xml:space="preserve">, EIP-AGRI workshop </w:t>
      </w:r>
      <w:r>
        <w:rPr>
          <w:rFonts w:ascii="Times New Roman" w:eastAsia="Times New Roman" w:hAnsi="Times New Roman" w:cs="Times New Roman"/>
          <w:noProof/>
          <w:sz w:val="24"/>
          <w:szCs w:val="20"/>
        </w:rPr>
        <w:t>‘Operational Groups: First experiences'.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LMC (2012) </w:t>
      </w:r>
      <w:hyperlink r:id="rId283" w:history="1">
        <w:r>
          <w:rPr>
            <w:rFonts w:ascii="Times New Roman" w:eastAsia="Times New Roman" w:hAnsi="Times New Roman" w:cs="Times New Roman"/>
            <w:noProof/>
            <w:color w:val="0000FF"/>
            <w:sz w:val="24"/>
            <w:szCs w:val="24"/>
            <w:u w:val="single"/>
          </w:rPr>
          <w:t>Evaluation of measures applied under the CAP to the cereals sector</w:t>
        </w:r>
      </w:hyperlink>
      <w:r>
        <w:rPr>
          <w:rFonts w:ascii="Times New Roman" w:eastAsia="Times New Roman" w:hAnsi="Times New Roman" w:cs="Times New Roman"/>
          <w:noProof/>
          <w:color w:val="0000FF"/>
          <w:sz w:val="24"/>
          <w:szCs w:val="24"/>
          <w:u w:val="single"/>
        </w:rPr>
        <w:t xml:space="preserve">, </w:t>
      </w:r>
      <w:r>
        <w:rPr>
          <w:rFonts w:ascii="Times New Roman" w:eastAsia="Times New Roman" w:hAnsi="Times New Roman" w:cs="Times New Roman"/>
          <w:noProof/>
          <w:sz w:val="24"/>
          <w:szCs w:val="24"/>
        </w:rPr>
        <w:t>Study to the European Commission</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Lugato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(2014, 2016) Model framework architecture, validation and scenario analysis.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Mahé L-P. </w:t>
      </w:r>
      <w:r>
        <w:rPr>
          <w:rFonts w:ascii="Times New Roman" w:eastAsia="Times New Roman" w:hAnsi="Times New Roman" w:cs="Times New Roman"/>
          <w:i/>
          <w:noProof/>
          <w:sz w:val="24"/>
          <w:szCs w:val="24"/>
        </w:rPr>
        <w:t xml:space="preserve">et al. </w:t>
      </w:r>
      <w:r>
        <w:rPr>
          <w:rFonts w:ascii="Times New Roman" w:eastAsia="Times New Roman" w:hAnsi="Times New Roman" w:cs="Times New Roman"/>
          <w:noProof/>
          <w:sz w:val="24"/>
          <w:szCs w:val="24"/>
        </w:rPr>
        <w:t xml:space="preserve">(2016) </w:t>
      </w:r>
      <w:hyperlink r:id="rId284" w:history="1">
        <w:r>
          <w:rPr>
            <w:rFonts w:ascii="Times New Roman" w:eastAsia="Times New Roman" w:hAnsi="Times New Roman" w:cs="Times New Roman"/>
            <w:noProof/>
            <w:color w:val="0000FF"/>
            <w:sz w:val="24"/>
            <w:szCs w:val="24"/>
            <w:u w:val="single"/>
          </w:rPr>
          <w:t>The future of market measures and risk management schemes</w:t>
        </w:r>
      </w:hyperlink>
      <w:r>
        <w:rPr>
          <w:rFonts w:ascii="Times New Roman" w:eastAsia="Times New Roman" w:hAnsi="Times New Roman" w:cs="Times New Roman"/>
          <w:noProof/>
          <w:sz w:val="24"/>
          <w:szCs w:val="24"/>
        </w:rPr>
        <w:t>, Part 2, Study to the European Parliament.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Martinez Juan, A. (2017) </w:t>
      </w:r>
      <w:hyperlink r:id="rId285" w:history="1">
        <w:r>
          <w:rPr>
            <w:rFonts w:ascii="Times New Roman" w:eastAsia="Times New Roman" w:hAnsi="Times New Roman" w:cs="Times New Roman"/>
            <w:noProof/>
            <w:color w:val="0000FF"/>
            <w:sz w:val="24"/>
            <w:szCs w:val="24"/>
            <w:u w:val="single"/>
          </w:rPr>
          <w:t>EU rural development policy and the integration of migrants</w:t>
        </w:r>
      </w:hyperlink>
      <w:r>
        <w:rPr>
          <w:rFonts w:ascii="Times New Roman" w:eastAsia="Times New Roman" w:hAnsi="Times New Roman" w:cs="Times New Roman"/>
          <w:noProof/>
          <w:sz w:val="24"/>
          <w:szCs w:val="24"/>
        </w:rPr>
        <w:t>, briefing (Feb.)</w:t>
      </w:r>
      <w:r>
        <w:rPr>
          <w:rFonts w:ascii="MyriadPro" w:eastAsia="Times New Roman" w:hAnsi="MyriadPro" w:cs="MyriadPro"/>
          <w:noProof/>
          <w:color w:val="01447B"/>
          <w:sz w:val="24"/>
          <w:szCs w:val="24"/>
          <w:lang w:eastAsia="en-GB"/>
        </w:rPr>
        <w:t xml:space="preserve"> </w:t>
      </w:r>
      <w:r>
        <w:rPr>
          <w:rFonts w:ascii="Times New Roman" w:eastAsia="Times New Roman" w:hAnsi="Times New Roman" w:cs="Times New Roman"/>
          <w:noProof/>
          <w:sz w:val="24"/>
          <w:szCs w:val="24"/>
        </w:rPr>
        <w:t>European Parliamentary Research Service.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Matthews A. (2017) </w:t>
      </w:r>
      <w:hyperlink r:id="rId286" w:history="1">
        <w:r>
          <w:rPr>
            <w:rFonts w:ascii="Times New Roman" w:eastAsia="Times New Roman" w:hAnsi="Times New Roman" w:cs="Times New Roman"/>
            <w:noProof/>
            <w:color w:val="0000FF"/>
            <w:sz w:val="24"/>
            <w:szCs w:val="24"/>
            <w:u w:val="single"/>
          </w:rPr>
          <w:t>Why further reform of the CAP is necessary?</w:t>
        </w:r>
      </w:hyperlink>
      <w:r>
        <w:rPr>
          <w:rFonts w:ascii="Times New Roman" w:eastAsia="Times New Roman" w:hAnsi="Times New Roman" w:cs="Times New Roman"/>
          <w:noProof/>
          <w:sz w:val="24"/>
          <w:szCs w:val="24"/>
        </w:rPr>
        <w:t xml:space="preserve"> in CAP: thinking out of the box Further modernisation of the CAP – why, what and how?' RISE Foundation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Matthews, A. (2016</w:t>
      </w:r>
      <w:r>
        <w:rPr>
          <w:rFonts w:ascii="Times New Roman" w:eastAsia="Times New Roman" w:hAnsi="Times New Roman" w:cs="Times New Roman"/>
          <w:noProof/>
          <w:sz w:val="24"/>
          <w:szCs w:val="24"/>
        </w:rPr>
        <w:t xml:space="preserve">) </w:t>
      </w:r>
      <w:hyperlink r:id="rId287" w:history="1">
        <w:r>
          <w:rPr>
            <w:rFonts w:ascii="Times New Roman" w:eastAsia="Times New Roman" w:hAnsi="Times New Roman" w:cs="Times New Roman"/>
            <w:noProof/>
            <w:color w:val="0000FF"/>
            <w:sz w:val="24"/>
            <w:szCs w:val="24"/>
            <w:u w:val="single"/>
          </w:rPr>
          <w:t>The future of direct payments</w:t>
        </w:r>
      </w:hyperlink>
      <w:r>
        <w:rPr>
          <w:rFonts w:ascii="Times New Roman" w:eastAsia="Times New Roman" w:hAnsi="Times New Roman" w:cs="Times New Roman"/>
          <w:noProof/>
          <w:sz w:val="24"/>
          <w:szCs w:val="24"/>
        </w:rPr>
        <w:t>, CAP reform post 2020</w:t>
      </w:r>
      <w:r>
        <w:rPr>
          <w:rFonts w:ascii="Times New Roman" w:eastAsia="Times New Roman" w:hAnsi="Times New Roman" w:cs="Times New Roman"/>
          <w:noProof/>
          <w:sz w:val="24"/>
          <w:szCs w:val="20"/>
        </w:rPr>
        <w:t xml:space="preserve"> - </w:t>
      </w:r>
      <w:r>
        <w:rPr>
          <w:rFonts w:ascii="Times New Roman" w:eastAsia="Times New Roman" w:hAnsi="Times New Roman" w:cs="Times New Roman"/>
          <w:noProof/>
          <w:sz w:val="24"/>
          <w:szCs w:val="24"/>
        </w:rPr>
        <w:t>Challenges in agriculture, Part 1, Study to the European Parliament.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Maybery, D.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(2005)</w:t>
      </w:r>
      <w:r>
        <w:rPr>
          <w:rFonts w:ascii="Times New Roman" w:eastAsia="Times New Roman" w:hAnsi="Times New Roman" w:cs="Times New Roman"/>
          <w:noProof/>
          <w:sz w:val="24"/>
          <w:szCs w:val="24"/>
        </w:rPr>
        <w:t xml:space="preserve"> Categorising farming values as economic, conservation and lifestyle, </w:t>
      </w:r>
      <w:r>
        <w:rPr>
          <w:rFonts w:ascii="Times New Roman" w:eastAsia="Times New Roman" w:hAnsi="Times New Roman" w:cs="Times New Roman"/>
          <w:iCs/>
          <w:noProof/>
          <w:sz w:val="24"/>
          <w:szCs w:val="24"/>
        </w:rPr>
        <w:t>Journal of Economic Psychology</w:t>
      </w:r>
      <w:r>
        <w:rPr>
          <w:rFonts w:ascii="Times New Roman" w:eastAsia="Times New Roman" w:hAnsi="Times New Roman" w:cs="Times New Roman"/>
          <w:noProof/>
          <w:sz w:val="24"/>
          <w:szCs w:val="24"/>
        </w:rPr>
        <w:t xml:space="preserve">, Volume </w:t>
      </w:r>
      <w:r>
        <w:rPr>
          <w:rFonts w:ascii="Times New Roman" w:eastAsia="Times New Roman" w:hAnsi="Times New Roman" w:cs="Times New Roman"/>
          <w:iCs/>
          <w:noProof/>
          <w:sz w:val="24"/>
          <w:szCs w:val="24"/>
        </w:rPr>
        <w:t xml:space="preserve">26, Isssue </w:t>
      </w:r>
      <w:r>
        <w:rPr>
          <w:rFonts w:ascii="Times New Roman" w:eastAsia="Times New Roman" w:hAnsi="Times New Roman" w:cs="Times New Roman"/>
          <w:noProof/>
          <w:sz w:val="24"/>
          <w:szCs w:val="24"/>
        </w:rPr>
        <w:t>1.</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M'barek R.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(2017) </w:t>
      </w:r>
      <w:hyperlink r:id="rId288" w:history="1">
        <w:r>
          <w:rPr>
            <w:rFonts w:ascii="Times New Roman" w:eastAsia="Times New Roman" w:hAnsi="Times New Roman" w:cs="Times New Roman"/>
            <w:noProof/>
            <w:color w:val="0000FF"/>
            <w:sz w:val="24"/>
            <w:szCs w:val="24"/>
            <w:u w:val="single"/>
          </w:rPr>
          <w:t>Scenar 2030 - Pathways for</w:t>
        </w:r>
        <w:r>
          <w:rPr>
            <w:rFonts w:ascii="Times New Roman" w:eastAsia="Times New Roman" w:hAnsi="Times New Roman" w:cs="Times New Roman"/>
            <w:noProof/>
            <w:color w:val="0000FF"/>
            <w:sz w:val="24"/>
            <w:szCs w:val="24"/>
            <w:u w:val="single"/>
          </w:rPr>
          <w:t xml:space="preserve"> the European agriculture and food sector beyond 2020</w:t>
        </w:r>
      </w:hyperlink>
      <w:r>
        <w:rPr>
          <w:rFonts w:ascii="Times New Roman" w:eastAsia="Times New Roman" w:hAnsi="Times New Roman" w:cs="Times New Roman"/>
          <w:noProof/>
          <w:color w:val="0000FF"/>
          <w:sz w:val="24"/>
          <w:szCs w:val="24"/>
          <w:u w:val="single"/>
        </w:rPr>
        <w:t xml:space="preserve">, </w:t>
      </w:r>
      <w:r>
        <w:rPr>
          <w:rFonts w:ascii="Times New Roman" w:hAnsi="Times New Roman" w:cs="Times New Roman"/>
          <w:noProof/>
          <w:sz w:val="24"/>
          <w:szCs w:val="24"/>
        </w:rPr>
        <w:t>European Commission, Joint Research Centre (JRC).</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Metis GmbH </w:t>
      </w:r>
      <w:r>
        <w:rPr>
          <w:rFonts w:ascii="Times New Roman" w:eastAsia="Times New Roman" w:hAnsi="Times New Roman" w:cs="Times New Roman"/>
          <w:i/>
          <w:noProof/>
          <w:sz w:val="24"/>
          <w:szCs w:val="24"/>
        </w:rPr>
        <w:t xml:space="preserve">et al. </w:t>
      </w:r>
      <w:r>
        <w:rPr>
          <w:rFonts w:ascii="Times New Roman" w:eastAsia="Times New Roman" w:hAnsi="Times New Roman" w:cs="Times New Roman"/>
          <w:noProof/>
          <w:sz w:val="24"/>
          <w:szCs w:val="24"/>
        </w:rPr>
        <w:t xml:space="preserve">(2010) </w:t>
      </w:r>
      <w:hyperlink r:id="rId289" w:history="1">
        <w:r>
          <w:rPr>
            <w:rFonts w:ascii="Times New Roman" w:eastAsia="Times New Roman" w:hAnsi="Times New Roman" w:cs="Times New Roman"/>
            <w:noProof/>
            <w:sz w:val="24"/>
            <w:szCs w:val="24"/>
          </w:rPr>
          <w:t>“</w:t>
        </w:r>
        <w:r>
          <w:rPr>
            <w:rFonts w:ascii="Times New Roman" w:eastAsia="Times New Roman" w:hAnsi="Times New Roman" w:cs="Times New Roman"/>
            <w:noProof/>
            <w:color w:val="0000FF"/>
            <w:sz w:val="24"/>
            <w:szCs w:val="24"/>
            <w:u w:val="single"/>
          </w:rPr>
          <w:t>Ex-post evalu</w:t>
        </w:r>
        <w:r>
          <w:rPr>
            <w:rFonts w:ascii="Times New Roman" w:eastAsia="Times New Roman" w:hAnsi="Times New Roman" w:cs="Times New Roman"/>
            <w:noProof/>
            <w:color w:val="0000FF"/>
            <w:sz w:val="24"/>
            <w:szCs w:val="24"/>
            <w:u w:val="single"/>
          </w:rPr>
          <w:t>ation of LEADER +</w:t>
        </w:r>
      </w:hyperlink>
      <w:r>
        <w:rPr>
          <w:rFonts w:ascii="Times New Roman" w:eastAsia="Times New Roman" w:hAnsi="Times New Roman" w:cs="Times New Roman"/>
          <w:noProof/>
          <w:sz w:val="24"/>
          <w:szCs w:val="24"/>
        </w:rPr>
        <w:t>” Study to the European Commission.</w:t>
      </w:r>
    </w:p>
    <w:p w:rsidR="00333A1A" w:rsidRDefault="003D29C9">
      <w:pPr>
        <w:autoSpaceDE w:val="0"/>
        <w:autoSpaceDN w:val="0"/>
        <w:adjustRightInd w:val="0"/>
        <w:spacing w:afterLines="60" w:after="144" w:line="240" w:lineRule="auto"/>
        <w:jc w:val="both"/>
        <w:rPr>
          <w:rFonts w:ascii="Times New Roman" w:eastAsia="Calibri" w:hAnsi="Times New Roman" w:cs="Times New Roman"/>
          <w:noProof/>
          <w:color w:val="000000"/>
          <w:sz w:val="24"/>
          <w:szCs w:val="24"/>
        </w:rPr>
      </w:pPr>
      <w:r>
        <w:rPr>
          <w:rFonts w:ascii="Times New Roman" w:eastAsia="Times New Roman" w:hAnsi="Times New Roman" w:cs="Times New Roman"/>
          <w:noProof/>
          <w:sz w:val="24"/>
          <w:szCs w:val="24"/>
        </w:rPr>
        <w:t xml:space="preserve">Minarelli, F.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(2015) </w:t>
      </w:r>
      <w:hyperlink r:id="rId290" w:history="1">
        <w:r>
          <w:rPr>
            <w:rFonts w:ascii="Times New Roman" w:eastAsia="Calibri" w:hAnsi="Times New Roman" w:cs="Times New Roman"/>
            <w:noProof/>
            <w:color w:val="0000FF"/>
            <w:sz w:val="24"/>
            <w:szCs w:val="24"/>
            <w:u w:val="single"/>
          </w:rPr>
          <w:t>Innovation in European food SMEs: determinants and links between types</w:t>
        </w:r>
      </w:hyperlink>
      <w:r>
        <w:rPr>
          <w:rFonts w:ascii="Times New Roman" w:eastAsia="Calibri" w:hAnsi="Times New Roman" w:cs="Times New Roman"/>
          <w:noProof/>
          <w:color w:val="000000"/>
          <w:sz w:val="24"/>
          <w:szCs w:val="24"/>
        </w:rPr>
        <w:t xml:space="preserve">, </w:t>
      </w:r>
      <w:r>
        <w:rPr>
          <w:rFonts w:ascii="Times New Roman" w:eastAsia="Times New Roman" w:hAnsi="Times New Roman" w:cs="Times New Roman"/>
          <w:noProof/>
          <w:sz w:val="24"/>
          <w:szCs w:val="24"/>
        </w:rPr>
        <w:t xml:space="preserve">Bio-based and </w:t>
      </w:r>
      <w:r>
        <w:rPr>
          <w:rFonts w:ascii="Times New Roman" w:eastAsia="Times New Roman" w:hAnsi="Times New Roman" w:cs="Times New Roman"/>
          <w:noProof/>
          <w:sz w:val="24"/>
          <w:szCs w:val="24"/>
        </w:rPr>
        <w:t>Applied Economics Volume 4, Issue 1.</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Minviel, J.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(2014). Meta-regression analysis of the impact of agricultural subsidies on farm technical efficiency, EAAE 2014 Congress ‘Agri-Food and Rural Innovations for Healthier Societies’, Volume 26.</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Mylona, </w:t>
      </w:r>
      <w:r>
        <w:rPr>
          <w:rFonts w:ascii="Times New Roman" w:hAnsi="Times New Roman" w:cs="Times New Roman"/>
          <w:noProof/>
          <w:sz w:val="24"/>
          <w:szCs w:val="24"/>
        </w:rPr>
        <w:t xml:space="preserve">K. et al (2016) </w:t>
      </w:r>
      <w:hyperlink r:id="rId291" w:history="1">
        <w:r>
          <w:rPr>
            <w:rFonts w:ascii="Times New Roman" w:hAnsi="Times New Roman" w:cs="Times New Roman"/>
            <w:noProof/>
            <w:color w:val="0000FF"/>
            <w:sz w:val="24"/>
            <w:szCs w:val="24"/>
            <w:u w:val="single"/>
          </w:rPr>
          <w:t xml:space="preserve">Delivering on EU food safety and Nutrition in 2050 </w:t>
        </w:r>
        <w:r>
          <w:rPr>
            <w:rFonts w:ascii="Times New Roman" w:hAnsi="Times New Roman" w:cs="Times New Roman"/>
            <w:noProof/>
            <w:color w:val="0000FF"/>
            <w:sz w:val="24"/>
            <w:szCs w:val="24"/>
            <w:u w:val="single"/>
          </w:rPr>
          <w:t>– future challenges and policy preparedness, European Commission</w:t>
        </w:r>
      </w:hyperlink>
      <w:r>
        <w:rPr>
          <w:rFonts w:ascii="Times New Roman" w:hAnsi="Times New Roman" w:cs="Times New Roman"/>
          <w:noProof/>
          <w:sz w:val="24"/>
          <w:szCs w:val="24"/>
        </w:rPr>
        <w:t>, Joint Research Centre (JRC).</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Mzoughi (2011) </w:t>
      </w:r>
      <w:hyperlink r:id="rId292" w:history="1">
        <w:r>
          <w:rPr>
            <w:rFonts w:ascii="Times New Roman" w:eastAsia="Times New Roman" w:hAnsi="Times New Roman" w:cs="Times New Roman"/>
            <w:noProof/>
            <w:color w:val="0000FF"/>
            <w:sz w:val="24"/>
            <w:szCs w:val="24"/>
            <w:u w:val="single"/>
          </w:rPr>
          <w:t>Farmers adoption of integrated crop protection and organic farming: Do moral and social concerns matter?</w:t>
        </w:r>
      </w:hyperlink>
      <w:r>
        <w:rPr>
          <w:rFonts w:ascii="Times New Roman" w:eastAsia="Times New Roman" w:hAnsi="Times New Roman" w:cs="Times New Roman"/>
          <w:noProof/>
          <w:sz w:val="24"/>
          <w:szCs w:val="24"/>
        </w:rPr>
        <w:t>, Ecological Economics, Volume 70, issue 8.</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 xml:space="preserve">Nicholls, R.J </w:t>
      </w:r>
      <w:r>
        <w:rPr>
          <w:rFonts w:ascii="Times New Roman" w:eastAsia="Times New Roman" w:hAnsi="Times New Roman" w:cs="Times New Roman"/>
          <w:i/>
          <w:noProof/>
          <w:sz w:val="24"/>
          <w:szCs w:val="20"/>
        </w:rPr>
        <w:t>et al.</w:t>
      </w:r>
      <w:r>
        <w:rPr>
          <w:rFonts w:ascii="Times New Roman" w:eastAsia="Times New Roman" w:hAnsi="Times New Roman" w:cs="Times New Roman"/>
          <w:noProof/>
          <w:sz w:val="24"/>
          <w:szCs w:val="20"/>
        </w:rPr>
        <w:t xml:space="preserve"> (2007) </w:t>
      </w:r>
      <w:hyperlink r:id="rId293" w:history="1">
        <w:r>
          <w:rPr>
            <w:rFonts w:ascii="Times New Roman" w:eastAsia="Times New Roman" w:hAnsi="Times New Roman" w:cs="Times New Roman"/>
            <w:noProof/>
            <w:color w:val="0000FF"/>
            <w:sz w:val="24"/>
            <w:szCs w:val="20"/>
            <w:u w:val="single"/>
          </w:rPr>
          <w:t>Coastal systems and low-lying areas</w:t>
        </w:r>
      </w:hyperlink>
      <w:r>
        <w:rPr>
          <w:rFonts w:ascii="Times New Roman" w:eastAsia="Times New Roman" w:hAnsi="Times New Roman" w:cs="Times New Roman"/>
          <w:noProof/>
          <w:sz w:val="24"/>
          <w:szCs w:val="20"/>
        </w:rPr>
        <w:t>. Climate Change 2007: Impacts, Adaptation and Vulnerability. Contribution of Working Group II to the Fourth Assessment Report of the Intergovern</w:t>
      </w:r>
      <w:r>
        <w:rPr>
          <w:rFonts w:ascii="Times New Roman" w:eastAsia="Times New Roman" w:hAnsi="Times New Roman" w:cs="Times New Roman"/>
          <w:noProof/>
          <w:sz w:val="24"/>
          <w:szCs w:val="20"/>
        </w:rPr>
        <w:t xml:space="preserve">mental Panel on Climate Change, M.L. Parry </w:t>
      </w:r>
      <w:r>
        <w:rPr>
          <w:rFonts w:ascii="Times New Roman" w:eastAsia="Times New Roman" w:hAnsi="Times New Roman" w:cs="Times New Roman"/>
          <w:i/>
          <w:noProof/>
          <w:sz w:val="24"/>
          <w:szCs w:val="20"/>
        </w:rPr>
        <w:t>et al.</w:t>
      </w:r>
      <w:r>
        <w:rPr>
          <w:rFonts w:ascii="Times New Roman" w:eastAsia="Times New Roman" w:hAnsi="Times New Roman" w:cs="Times New Roman"/>
          <w:noProof/>
          <w:sz w:val="24"/>
          <w:szCs w:val="20"/>
        </w:rPr>
        <w:t xml:space="preserve"> Cambridge University Press, UK.</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Nordregio (2006) </w:t>
      </w:r>
      <w:hyperlink r:id="rId294" w:history="1">
        <w:r>
          <w:rPr>
            <w:rFonts w:ascii="Times New Roman" w:eastAsia="Times New Roman" w:hAnsi="Times New Roman" w:cs="Times New Roman"/>
            <w:noProof/>
            <w:color w:val="0000FF"/>
            <w:sz w:val="24"/>
            <w:szCs w:val="24"/>
            <w:u w:val="single"/>
          </w:rPr>
          <w:t>Study on Employment in rural areas (SERA)</w:t>
        </w:r>
      </w:hyperlink>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en-US"/>
        </w:rPr>
        <w:t xml:space="preserve">Final </w:t>
      </w:r>
      <w:r>
        <w:rPr>
          <w:rFonts w:ascii="Times New Roman" w:eastAsia="Times New Roman" w:hAnsi="Times New Roman" w:cs="Times New Roman"/>
          <w:noProof/>
          <w:sz w:val="24"/>
          <w:szCs w:val="24"/>
        </w:rPr>
        <w:t>Report</w:t>
      </w:r>
      <w:r>
        <w:rPr>
          <w:rFonts w:ascii="Times New Roman" w:eastAsia="Times New Roman" w:hAnsi="Times New Roman" w:cs="Times New Roman"/>
          <w:noProof/>
          <w:sz w:val="24"/>
          <w:szCs w:val="24"/>
          <w:lang w:val="en-US"/>
        </w:rPr>
        <w:t xml:space="preserve"> to the Direction-General for Agri</w:t>
      </w:r>
      <w:r>
        <w:rPr>
          <w:rFonts w:ascii="Times New Roman" w:eastAsia="Times New Roman" w:hAnsi="Times New Roman" w:cs="Times New Roman"/>
          <w:noProof/>
          <w:sz w:val="24"/>
          <w:szCs w:val="24"/>
          <w:lang w:val="en-US"/>
        </w:rPr>
        <w:t>culture and Rural Development, Brussels.</w:t>
      </w:r>
    </w:p>
    <w:p w:rsidR="00333A1A" w:rsidRDefault="003D29C9">
      <w:pPr>
        <w:autoSpaceDE w:val="0"/>
        <w:autoSpaceDN w:val="0"/>
        <w:adjustRightInd w:val="0"/>
        <w:spacing w:afterLines="60" w:after="144"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Nowicki, P. </w:t>
      </w:r>
      <w:r>
        <w:rPr>
          <w:rFonts w:ascii="Times New Roman" w:eastAsia="Calibri" w:hAnsi="Times New Roman" w:cs="Times New Roman"/>
          <w:i/>
          <w:noProof/>
          <w:sz w:val="24"/>
          <w:szCs w:val="24"/>
        </w:rPr>
        <w:t>et al.</w:t>
      </w:r>
      <w:r>
        <w:rPr>
          <w:rFonts w:ascii="Times New Roman" w:eastAsia="Calibri" w:hAnsi="Times New Roman" w:cs="Times New Roman"/>
          <w:noProof/>
          <w:sz w:val="24"/>
          <w:szCs w:val="24"/>
        </w:rPr>
        <w:t xml:space="preserve"> (2006) </w:t>
      </w:r>
      <w:hyperlink r:id="rId295" w:history="1">
        <w:r>
          <w:rPr>
            <w:rFonts w:ascii="Times New Roman" w:eastAsia="Calibri" w:hAnsi="Times New Roman" w:cs="Times New Roman"/>
            <w:noProof/>
            <w:color w:val="0000FF"/>
            <w:sz w:val="24"/>
            <w:szCs w:val="24"/>
            <w:u w:val="single"/>
          </w:rPr>
          <w:t>Scenar 2020. Scenario study on agriculture and the rural world</w:t>
        </w:r>
      </w:hyperlink>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Study to the European Commission</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Nurzyńska, I. (2016)</w:t>
      </w:r>
      <w:r>
        <w:rPr>
          <w:rFonts w:ascii="Times New Roman" w:hAnsi="Times New Roman" w:cs="Times New Roman"/>
          <w:b/>
          <w:bCs/>
          <w:noProof/>
          <w:color w:val="000000"/>
          <w:sz w:val="24"/>
          <w:szCs w:val="24"/>
        </w:rPr>
        <w:t xml:space="preserve"> </w:t>
      </w:r>
      <w:r>
        <w:rPr>
          <w:rFonts w:ascii="Times New Roman" w:hAnsi="Times New Roman" w:cs="Times New Roman"/>
          <w:noProof/>
          <w:color w:val="0000FF"/>
          <w:sz w:val="24"/>
          <w:szCs w:val="24"/>
          <w:u w:val="single"/>
        </w:rPr>
        <w:t>The Role of the Common Agricultural Policy in Stimulating Rural Jobs in Poland</w:t>
      </w:r>
      <w:r>
        <w:rPr>
          <w:rFonts w:ascii="Times New Roman" w:hAnsi="Times New Roman" w:cs="Times New Roman"/>
          <w:noProof/>
          <w:sz w:val="24"/>
          <w:szCs w:val="24"/>
        </w:rPr>
        <w:t>, 160th EAAE Seminar ‘Rural Jobs and the CAP‘, Warsaw, Poland.</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
        </w:rPr>
        <w:t xml:space="preserve">OCDE (2012), </w:t>
      </w:r>
      <w:hyperlink r:id="rId296" w:history="1">
        <w:r>
          <w:rPr>
            <w:rFonts w:ascii="Times New Roman" w:eastAsia="Times New Roman" w:hAnsi="Times New Roman" w:cs="Times New Roman"/>
            <w:noProof/>
            <w:color w:val="0000FF"/>
            <w:sz w:val="24"/>
            <w:szCs w:val="24"/>
            <w:u w:val="single"/>
            <w:lang w:val="en"/>
          </w:rPr>
          <w:t>Linking Renewable Energy to Rural Development</w:t>
        </w:r>
      </w:hyperlink>
      <w:r>
        <w:rPr>
          <w:rFonts w:ascii="Times New Roman" w:eastAsia="Times New Roman" w:hAnsi="Times New Roman" w:cs="Times New Roman"/>
          <w:noProof/>
          <w:sz w:val="24"/>
          <w:szCs w:val="24"/>
          <w:lang w:val="en"/>
        </w:rPr>
        <w:t xml:space="preserve">, </w:t>
      </w:r>
      <w:r>
        <w:rPr>
          <w:rFonts w:ascii="Times New Roman" w:hAnsi="Times New Roman" w:cs="Times New Roman"/>
          <w:noProof/>
          <w:sz w:val="24"/>
          <w:szCs w:val="24"/>
          <w:lang w:val="en"/>
        </w:rPr>
        <w:t>OECD Publishing, Paris.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OECD (2010) </w:t>
      </w:r>
      <w:hyperlink r:id="rId297" w:history="1">
        <w:r>
          <w:rPr>
            <w:rFonts w:ascii="Times New Roman" w:eastAsia="Times New Roman" w:hAnsi="Times New Roman" w:cs="Times New Roman"/>
            <w:noProof/>
            <w:color w:val="0000FF"/>
            <w:sz w:val="24"/>
            <w:szCs w:val="24"/>
            <w:u w:val="single"/>
          </w:rPr>
          <w:t>St</w:t>
        </w:r>
        <w:r>
          <w:rPr>
            <w:rFonts w:ascii="Times New Roman" w:eastAsia="Times New Roman" w:hAnsi="Times New Roman" w:cs="Times New Roman"/>
            <w:noProof/>
            <w:color w:val="0000FF"/>
            <w:sz w:val="24"/>
            <w:szCs w:val="24"/>
            <w:u w:val="single"/>
          </w:rPr>
          <w:t>rategies to Improve Rural Service Delivery</w:t>
        </w:r>
      </w:hyperlink>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lang w:val="en"/>
        </w:rPr>
        <w:t>OECD Publishing, Paris.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OECD (2012) </w:t>
      </w:r>
      <w:hyperlink r:id="rId298" w:history="1">
        <w:r>
          <w:rPr>
            <w:rFonts w:ascii="Times New Roman" w:eastAsia="Times New Roman" w:hAnsi="Times New Roman" w:cs="Times New Roman"/>
            <w:noProof/>
            <w:color w:val="0000FF"/>
            <w:sz w:val="24"/>
            <w:szCs w:val="24"/>
            <w:u w:val="single"/>
          </w:rPr>
          <w:t>Promoting growth in all regions. Lessons from across the OECD</w:t>
        </w:r>
      </w:hyperlink>
      <w:r>
        <w:rPr>
          <w:rFonts w:ascii="Times New Roman" w:eastAsia="Times New Roman" w:hAnsi="Times New Roman" w:cs="Times New Roman"/>
          <w:noProof/>
          <w:color w:val="0000FF"/>
          <w:sz w:val="24"/>
          <w:szCs w:val="24"/>
          <w:u w:val="single"/>
        </w:rPr>
        <w:t xml:space="preserve">, </w:t>
      </w:r>
      <w:r>
        <w:rPr>
          <w:rFonts w:ascii="Times New Roman" w:hAnsi="Times New Roman" w:cs="Times New Roman"/>
          <w:noProof/>
          <w:sz w:val="24"/>
          <w:szCs w:val="24"/>
          <w:lang w:val="en"/>
        </w:rPr>
        <w:t>OECD Publishing, Paris.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OECD (2013) </w:t>
      </w:r>
      <w:hyperlink r:id="rId299" w:history="1">
        <w:r>
          <w:rPr>
            <w:rFonts w:ascii="Times New Roman" w:eastAsia="Times New Roman" w:hAnsi="Times New Roman" w:cs="Times New Roman"/>
            <w:noProof/>
            <w:color w:val="0000FF"/>
            <w:sz w:val="24"/>
            <w:szCs w:val="24"/>
            <w:u w:val="single"/>
          </w:rPr>
          <w:t>Rural-Urban Partnerships: An Integrated Approach to Economic Development</w:t>
        </w:r>
      </w:hyperlink>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lang w:val="en"/>
        </w:rPr>
        <w:t xml:space="preserve"> </w:t>
      </w:r>
      <w:r>
        <w:rPr>
          <w:rFonts w:ascii="Times New Roman" w:hAnsi="Times New Roman" w:cs="Times New Roman"/>
          <w:noProof/>
          <w:sz w:val="24"/>
          <w:szCs w:val="24"/>
          <w:lang w:val="en"/>
        </w:rPr>
        <w:t>OECD Publishing, Paris.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
        </w:rPr>
        <w:t xml:space="preserve">OECD (2017) </w:t>
      </w:r>
      <w:hyperlink r:id="rId300" w:history="1">
        <w:r>
          <w:rPr>
            <w:rFonts w:ascii="Times New Roman" w:eastAsia="Times New Roman" w:hAnsi="Times New Roman" w:cs="Times New Roman"/>
            <w:noProof/>
            <w:color w:val="0000FF"/>
            <w:sz w:val="24"/>
            <w:szCs w:val="24"/>
            <w:u w:val="single"/>
            <w:lang w:val="en"/>
          </w:rPr>
          <w:t>Evaluation of Agricultural Policy Reforms in the European Union: The Common Agricultural Policy 2014-20</w:t>
        </w:r>
      </w:hyperlink>
      <w:r>
        <w:rPr>
          <w:rFonts w:ascii="Times New Roman" w:hAnsi="Times New Roman" w:cs="Times New Roman"/>
          <w:noProof/>
          <w:sz w:val="24"/>
          <w:szCs w:val="24"/>
          <w:lang w:val="en"/>
        </w:rPr>
        <w:t>, OECD Publishing, Paris.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OECD (2017), </w:t>
      </w:r>
      <w:hyperlink r:id="rId301" w:history="1">
        <w:r>
          <w:rPr>
            <w:rFonts w:ascii="Times New Roman" w:eastAsia="Times New Roman" w:hAnsi="Times New Roman" w:cs="Times New Roman"/>
            <w:noProof/>
            <w:color w:val="0000FF"/>
            <w:sz w:val="24"/>
            <w:szCs w:val="24"/>
            <w:u w:val="single"/>
          </w:rPr>
          <w:t>Agricultural Policy Monitoring and Evaluation 2017</w:t>
        </w:r>
      </w:hyperlink>
      <w:r>
        <w:rPr>
          <w:rFonts w:ascii="Times New Roman" w:eastAsia="Times New Roman" w:hAnsi="Times New Roman" w:cs="Times New Roman"/>
          <w:noProof/>
          <w:sz w:val="24"/>
          <w:szCs w:val="24"/>
        </w:rPr>
        <w:t xml:space="preserve">, OECD Publishing, Paris.  </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val="en"/>
        </w:rPr>
        <w:t>Ö</w:t>
      </w:r>
      <w:r>
        <w:rPr>
          <w:rFonts w:ascii="Times New Roman" w:hAnsi="Times New Roman" w:cs="Times New Roman"/>
          <w:noProof/>
          <w:sz w:val="24"/>
          <w:szCs w:val="24"/>
        </w:rPr>
        <w:t>IR</w:t>
      </w:r>
      <w:r>
        <w:rPr>
          <w:rFonts w:ascii="Times New Roman" w:hAnsi="Times New Roman" w:cs="Times New Roman"/>
          <w:i/>
          <w:noProof/>
          <w:sz w:val="24"/>
          <w:szCs w:val="24"/>
        </w:rPr>
        <w:t xml:space="preserve"> et al.</w:t>
      </w:r>
      <w:r>
        <w:rPr>
          <w:rFonts w:ascii="Times New Roman" w:hAnsi="Times New Roman" w:cs="Times New Roman"/>
          <w:noProof/>
          <w:sz w:val="24"/>
          <w:szCs w:val="24"/>
        </w:rPr>
        <w:t xml:space="preserve"> (2012) </w:t>
      </w:r>
      <w:hyperlink r:id="rId302" w:history="1">
        <w:r>
          <w:rPr>
            <w:rFonts w:ascii="Times New Roman" w:hAnsi="Times New Roman" w:cs="Times New Roman"/>
            <w:noProof/>
            <w:color w:val="0000FF"/>
            <w:sz w:val="24"/>
            <w:szCs w:val="24"/>
            <w:u w:val="single"/>
          </w:rPr>
          <w:t>Synthesis of Mid-Term Evaluations of Rural Development Programmes 2007-2013</w:t>
        </w:r>
      </w:hyperlink>
      <w:r>
        <w:rPr>
          <w:rFonts w:ascii="Times New Roman" w:hAnsi="Times New Roman" w:cs="Times New Roman"/>
          <w:noProof/>
          <w:sz w:val="24"/>
          <w:szCs w:val="24"/>
        </w:rPr>
        <w:t>, Final Report for the Europ</w:t>
      </w:r>
      <w:r>
        <w:rPr>
          <w:rFonts w:ascii="Times New Roman" w:hAnsi="Times New Roman" w:cs="Times New Roman"/>
          <w:noProof/>
          <w:sz w:val="24"/>
          <w:szCs w:val="24"/>
        </w:rPr>
        <w:t>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lang w:val="en"/>
        </w:rPr>
        <w:t>Ö</w:t>
      </w:r>
      <w:r>
        <w:rPr>
          <w:rFonts w:ascii="Times New Roman" w:eastAsia="Times New Roman" w:hAnsi="Times New Roman" w:cs="Times New Roman"/>
          <w:noProof/>
          <w:sz w:val="24"/>
          <w:szCs w:val="24"/>
        </w:rPr>
        <w:t xml:space="preserve">IR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303" w:history="1">
        <w:r>
          <w:rPr>
            <w:rFonts w:ascii="Times New Roman" w:eastAsia="Times New Roman" w:hAnsi="Times New Roman" w:cs="Times New Roman"/>
            <w:noProof/>
            <w:color w:val="0000FF"/>
            <w:sz w:val="24"/>
            <w:szCs w:val="24"/>
            <w:u w:val="single"/>
          </w:rPr>
          <w:t>The role of the EU's Common Agricultural Policy in creating rural jobs</w:t>
        </w:r>
      </w:hyperlink>
      <w:r>
        <w:rPr>
          <w:rFonts w:ascii="Times New Roman" w:eastAsia="Times New Roman" w:hAnsi="Times New Roman" w:cs="Times New Roman"/>
          <w:noProof/>
          <w:sz w:val="24"/>
          <w:szCs w:val="24"/>
        </w:rPr>
        <w:t>, Study to the European Parliament.</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Olper, A.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(2012) </w:t>
      </w:r>
      <w:hyperlink r:id="rId304" w:history="1">
        <w:r>
          <w:rPr>
            <w:rFonts w:ascii="Times New Roman" w:hAnsi="Times New Roman" w:cs="Times New Roman"/>
            <w:noProof/>
            <w:color w:val="0000FF"/>
            <w:sz w:val="24"/>
            <w:szCs w:val="24"/>
            <w:u w:val="single"/>
          </w:rPr>
          <w:t>Does the Common Agricultural Policy Reduce Farm Labour Migration? Panel data analysis across EU regions</w:t>
        </w:r>
      </w:hyperlink>
      <w:r>
        <w:rPr>
          <w:rFonts w:ascii="Times New Roman" w:hAnsi="Times New Roman" w:cs="Times New Roman"/>
          <w:noProof/>
          <w:sz w:val="24"/>
          <w:szCs w:val="24"/>
        </w:rPr>
        <w:t>, Comparative Analys</w:t>
      </w:r>
      <w:r>
        <w:rPr>
          <w:rFonts w:ascii="Times New Roman" w:hAnsi="Times New Roman" w:cs="Times New Roman"/>
          <w:noProof/>
          <w:sz w:val="24"/>
          <w:szCs w:val="24"/>
        </w:rPr>
        <w:t>is of Factor Markets for Agriculture across the Member States No. 28.</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Orgiazzi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305" w:history="1">
        <w:r>
          <w:rPr>
            <w:rFonts w:ascii="Times New Roman" w:eastAsia="Times New Roman" w:hAnsi="Times New Roman" w:cs="Times New Roman"/>
            <w:noProof/>
            <w:color w:val="0000FF"/>
            <w:sz w:val="24"/>
            <w:szCs w:val="24"/>
            <w:u w:val="single"/>
          </w:rPr>
          <w:t xml:space="preserve">A knowledge-based approach to estimating the magnitude and spatial patterns of </w:t>
        </w:r>
        <w:r>
          <w:rPr>
            <w:rFonts w:ascii="Times New Roman" w:eastAsia="Times New Roman" w:hAnsi="Times New Roman" w:cs="Times New Roman"/>
            <w:noProof/>
            <w:color w:val="0000FF"/>
            <w:sz w:val="24"/>
            <w:szCs w:val="24"/>
            <w:u w:val="single"/>
          </w:rPr>
          <w:t>potential threats to soil biodiversity</w:t>
        </w:r>
      </w:hyperlink>
      <w:r>
        <w:rPr>
          <w:rFonts w:ascii="Times New Roman" w:eastAsia="Times New Roman" w:hAnsi="Times New Roman" w:cs="Times New Roman"/>
          <w:noProof/>
          <w:sz w:val="24"/>
          <w:szCs w:val="24"/>
        </w:rPr>
        <w:t>, Science of the Total Environment, Volumes 545-546.</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Oullier, O. (2013). Behavioural insights are vital to policy-making, </w:t>
      </w:r>
      <w:r>
        <w:rPr>
          <w:rFonts w:ascii="Times New Roman" w:eastAsia="Times New Roman" w:hAnsi="Times New Roman" w:cs="Times New Roman"/>
          <w:iCs/>
          <w:noProof/>
          <w:sz w:val="24"/>
          <w:szCs w:val="24"/>
        </w:rPr>
        <w:t>Nature</w:t>
      </w:r>
      <w:r>
        <w:rPr>
          <w:rFonts w:ascii="Times New Roman" w:eastAsia="Times New Roman" w:hAnsi="Times New Roman" w:cs="Times New Roman"/>
          <w:noProof/>
          <w:sz w:val="24"/>
          <w:szCs w:val="24"/>
        </w:rPr>
        <w:t xml:space="preserve">, </w:t>
      </w:r>
      <w:r>
        <w:rPr>
          <w:rFonts w:ascii="Times New Roman" w:eastAsia="Times New Roman" w:hAnsi="Times New Roman" w:cs="Times New Roman"/>
          <w:iCs/>
          <w:noProof/>
          <w:sz w:val="24"/>
          <w:szCs w:val="24"/>
        </w:rPr>
        <w:t>501</w:t>
      </w:r>
      <w:r>
        <w:rPr>
          <w:rFonts w:ascii="Times New Roman" w:eastAsia="Times New Roman" w:hAnsi="Times New Roman" w:cs="Times New Roman"/>
          <w:noProof/>
          <w:sz w:val="24"/>
          <w:szCs w:val="24"/>
        </w:rPr>
        <w:t>(7468).</w:t>
      </w:r>
    </w:p>
    <w:p w:rsidR="00333A1A" w:rsidRDefault="003D29C9">
      <w:pPr>
        <w:autoSpaceDE w:val="0"/>
        <w:autoSpaceDN w:val="0"/>
        <w:adjustRightInd w:val="0"/>
        <w:spacing w:afterLines="60" w:after="144"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Paggliaci, F. (2017) </w:t>
      </w:r>
      <w:hyperlink r:id="rId306" w:history="1">
        <w:r>
          <w:rPr>
            <w:rFonts w:ascii="Times New Roman" w:eastAsia="Calibri" w:hAnsi="Times New Roman" w:cs="Times New Roman"/>
            <w:noProof/>
            <w:color w:val="0000FF"/>
            <w:sz w:val="24"/>
            <w:szCs w:val="24"/>
            <w:u w:val="single"/>
            <w:lang w:val="en"/>
          </w:rPr>
          <w:t>Regional paths towards Europe 2020 targets: a spatial approach</w:t>
        </w:r>
      </w:hyperlink>
      <w:r>
        <w:rPr>
          <w:rFonts w:ascii="Times New Roman" w:eastAsia="Calibri" w:hAnsi="Times New Roman" w:cs="Times New Roman"/>
          <w:noProof/>
          <w:color w:val="000000"/>
          <w:sz w:val="24"/>
          <w:szCs w:val="24"/>
          <w:lang w:val="en"/>
        </w:rPr>
        <w:t>, European Planning Studies, Volume 25, Issue 4.</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Panagos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(2015) </w:t>
      </w:r>
      <w:hyperlink r:id="rId307" w:history="1">
        <w:r>
          <w:rPr>
            <w:rFonts w:ascii="Times New Roman" w:eastAsia="Times New Roman" w:hAnsi="Times New Roman" w:cs="Times New Roman"/>
            <w:noProof/>
            <w:color w:val="0000FF"/>
            <w:sz w:val="24"/>
            <w:szCs w:val="24"/>
            <w:u w:val="single"/>
          </w:rPr>
          <w:t>The new assessment of soil loss by water erosion in Europe</w:t>
        </w:r>
      </w:hyperlink>
      <w:r>
        <w:rPr>
          <w:rFonts w:ascii="Times New Roman" w:eastAsia="Times New Roman" w:hAnsi="Times New Roman" w:cs="Times New Roman"/>
          <w:noProof/>
          <w:sz w:val="24"/>
          <w:szCs w:val="24"/>
        </w:rPr>
        <w:t>, Environmental Science &amp; Policy 54, Volume 58.</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Panagos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(2018) </w:t>
      </w:r>
      <w:hyperlink r:id="rId308" w:history="1">
        <w:r>
          <w:rPr>
            <w:rFonts w:ascii="Times New Roman" w:eastAsia="Times New Roman" w:hAnsi="Times New Roman" w:cs="Times New Roman"/>
            <w:noProof/>
            <w:color w:val="0000FF"/>
            <w:sz w:val="24"/>
            <w:szCs w:val="24"/>
            <w:u w:val="single"/>
          </w:rPr>
          <w:t>Cost of agricultural productivity loss due to soil erosion in the</w:t>
        </w:r>
        <w:r>
          <w:rPr>
            <w:rFonts w:ascii="Times New Roman" w:eastAsia="Times New Roman" w:hAnsi="Times New Roman" w:cs="Times New Roman"/>
            <w:noProof/>
            <w:color w:val="0000FF"/>
            <w:sz w:val="20"/>
            <w:szCs w:val="24"/>
            <w:u w:val="single"/>
          </w:rPr>
          <w:t xml:space="preserve"> </w:t>
        </w:r>
        <w:r>
          <w:rPr>
            <w:rFonts w:ascii="Times New Roman" w:eastAsia="Times New Roman" w:hAnsi="Times New Roman" w:cs="Times New Roman"/>
            <w:noProof/>
            <w:color w:val="0000FF"/>
            <w:sz w:val="24"/>
            <w:szCs w:val="24"/>
            <w:u w:val="single"/>
          </w:rPr>
          <w:t>European Union: From direct cost evaluation approaches to the</w:t>
        </w:r>
        <w:r>
          <w:rPr>
            <w:rFonts w:ascii="Times New Roman" w:eastAsia="Times New Roman" w:hAnsi="Times New Roman" w:cs="Times New Roman"/>
            <w:noProof/>
            <w:color w:val="0000FF"/>
            <w:sz w:val="20"/>
            <w:szCs w:val="24"/>
            <w:u w:val="single"/>
          </w:rPr>
          <w:t xml:space="preserve"> </w:t>
        </w:r>
        <w:r>
          <w:rPr>
            <w:rFonts w:ascii="Times New Roman" w:eastAsia="Times New Roman" w:hAnsi="Times New Roman" w:cs="Times New Roman"/>
            <w:noProof/>
            <w:color w:val="0000FF"/>
            <w:sz w:val="24"/>
            <w:szCs w:val="24"/>
            <w:u w:val="single"/>
          </w:rPr>
          <w:t>use of macroeconomic models</w:t>
        </w:r>
      </w:hyperlink>
      <w:r>
        <w:rPr>
          <w:rFonts w:ascii="Times New Roman" w:eastAsia="Times New Roman" w:hAnsi="Times New Roman" w:cs="Times New Roman"/>
          <w:noProof/>
          <w:sz w:val="24"/>
          <w:szCs w:val="24"/>
        </w:rPr>
        <w:t>, Land Degradation and Development., Volume 1, Issue 14.</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Panagos,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(2015) </w:t>
      </w:r>
      <w:hyperlink r:id="rId309" w:history="1">
        <w:r>
          <w:rPr>
            <w:rFonts w:ascii="Times New Roman" w:eastAsia="Times New Roman" w:hAnsi="Times New Roman" w:cs="Times New Roman"/>
            <w:noProof/>
            <w:color w:val="0000FF"/>
            <w:sz w:val="24"/>
            <w:szCs w:val="24"/>
            <w:u w:val="single"/>
          </w:rPr>
          <w:t>Estimating the soil erosion cover-management factor at European scale</w:t>
        </w:r>
      </w:hyperlink>
      <w:r>
        <w:rPr>
          <w:rFonts w:ascii="Times New Roman" w:eastAsia="Times New Roman" w:hAnsi="Times New Roman" w:cs="Times New Roman"/>
          <w:noProof/>
          <w:sz w:val="24"/>
          <w:szCs w:val="24"/>
        </w:rPr>
        <w:t>, Land Use policy Volume 48C.</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Panagos,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310" w:history="1">
        <w:r>
          <w:rPr>
            <w:rFonts w:ascii="Times New Roman" w:eastAsia="Times New Roman" w:hAnsi="Times New Roman" w:cs="Times New Roman"/>
            <w:noProof/>
            <w:color w:val="0000FF"/>
            <w:sz w:val="24"/>
            <w:szCs w:val="24"/>
            <w:u w:val="single"/>
          </w:rPr>
          <w:t>Soil Conservation in Europe: Wish or Reality? </w:t>
        </w:r>
      </w:hyperlink>
      <w:r>
        <w:rPr>
          <w:rFonts w:ascii="Times New Roman" w:eastAsia="Times New Roman" w:hAnsi="Times New Roman" w:cs="Times New Roman"/>
          <w:noProof/>
          <w:sz w:val="24"/>
          <w:szCs w:val="24"/>
        </w:rPr>
        <w:t xml:space="preserve"> Land Degradation and Development, Volume 27, Issue 6.</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Pannell, D.J.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(2006) </w:t>
      </w:r>
      <w:hyperlink r:id="rId311" w:history="1">
        <w:r>
          <w:rPr>
            <w:rFonts w:ascii="Times New Roman" w:eastAsia="Times New Roman" w:hAnsi="Times New Roman" w:cs="Times New Roman"/>
            <w:noProof/>
            <w:color w:val="0000FF"/>
            <w:sz w:val="24"/>
            <w:szCs w:val="24"/>
            <w:u w:val="single"/>
          </w:rPr>
          <w:t xml:space="preserve">Understanding and promoting adoption </w:t>
        </w:r>
        <w:r>
          <w:rPr>
            <w:rFonts w:ascii="Times New Roman" w:eastAsia="Times New Roman" w:hAnsi="Times New Roman" w:cs="Times New Roman"/>
            <w:noProof/>
            <w:color w:val="0000FF"/>
            <w:sz w:val="24"/>
            <w:szCs w:val="24"/>
            <w:u w:val="single"/>
          </w:rPr>
          <w:t>of conservation practices by rural landholders</w:t>
        </w:r>
      </w:hyperlink>
      <w:r>
        <w:rPr>
          <w:rFonts w:ascii="Times New Roman" w:eastAsia="Times New Roman" w:hAnsi="Times New Roman" w:cs="Times New Roman"/>
          <w:noProof/>
          <w:sz w:val="24"/>
          <w:szCs w:val="24"/>
        </w:rPr>
        <w:t>, Australian Journal of Experimental Agriculture, Volume 46, Issue 11</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Pe’er, G.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(2017) </w:t>
      </w:r>
      <w:hyperlink r:id="rId312" w:history="1">
        <w:r>
          <w:rPr>
            <w:rFonts w:ascii="Times New Roman" w:hAnsi="Times New Roman" w:cs="Times New Roman"/>
            <w:noProof/>
            <w:color w:val="0000FF" w:themeColor="hyperlink"/>
            <w:sz w:val="24"/>
            <w:szCs w:val="24"/>
            <w:u w:val="single"/>
          </w:rPr>
          <w:t>Is the CAP fit for pur</w:t>
        </w:r>
        <w:r>
          <w:rPr>
            <w:rFonts w:ascii="Times New Roman" w:hAnsi="Times New Roman" w:cs="Times New Roman"/>
            <w:noProof/>
            <w:color w:val="0000FF" w:themeColor="hyperlink"/>
            <w:sz w:val="24"/>
            <w:szCs w:val="24"/>
            <w:u w:val="single"/>
          </w:rPr>
          <w:t>pose? An evidence-based fitness check assessment</w:t>
        </w:r>
      </w:hyperlink>
      <w:r>
        <w:rPr>
          <w:rFonts w:ascii="Times New Roman" w:hAnsi="Times New Roman" w:cs="Times New Roman"/>
          <w:noProof/>
          <w:sz w:val="24"/>
          <w:szCs w:val="24"/>
        </w:rPr>
        <w:t xml:space="preserve">, Leipzig, German Centre for Integrative Biodiversity Research (iDiv), Halle-Jena-Leipzig. </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lang w:val="fr-BE"/>
        </w:rPr>
        <w:t xml:space="preserve">Pérez Domínguez, I. </w:t>
      </w:r>
      <w:r>
        <w:rPr>
          <w:rFonts w:ascii="Times New Roman" w:hAnsi="Times New Roman" w:cs="Times New Roman"/>
          <w:i/>
          <w:noProof/>
          <w:sz w:val="24"/>
          <w:szCs w:val="24"/>
          <w:lang w:val="fr-BE"/>
        </w:rPr>
        <w:t>et al.</w:t>
      </w:r>
      <w:r>
        <w:rPr>
          <w:rFonts w:ascii="Times New Roman" w:hAnsi="Times New Roman" w:cs="Times New Roman"/>
          <w:noProof/>
          <w:sz w:val="24"/>
          <w:szCs w:val="24"/>
          <w:lang w:val="fr-BE"/>
        </w:rPr>
        <w:t xml:space="preserve"> </w:t>
      </w:r>
      <w:r>
        <w:rPr>
          <w:rFonts w:ascii="Times New Roman" w:hAnsi="Times New Roman" w:cs="Times New Roman"/>
          <w:noProof/>
          <w:sz w:val="24"/>
          <w:szCs w:val="24"/>
        </w:rPr>
        <w:t xml:space="preserve">(2016) </w:t>
      </w:r>
      <w:hyperlink r:id="rId313" w:history="1">
        <w:r>
          <w:rPr>
            <w:rFonts w:ascii="Times New Roman" w:hAnsi="Times New Roman" w:cs="Times New Roman"/>
            <w:noProof/>
            <w:color w:val="0000FF"/>
            <w:sz w:val="24"/>
            <w:szCs w:val="24"/>
            <w:u w:val="single"/>
          </w:rPr>
          <w:t>An economic assessment of GHG mitigation policy options for EU agriculture (EcAMPA 2)</w:t>
        </w:r>
      </w:hyperlink>
      <w:r>
        <w:rPr>
          <w:rFonts w:ascii="Times New Roman" w:hAnsi="Times New Roman" w:cs="Times New Roman"/>
          <w:noProof/>
          <w:sz w:val="24"/>
          <w:szCs w:val="24"/>
        </w:rPr>
        <w:t>, Science for Policy Report, European Commission, Join</w:t>
      </w:r>
      <w:r>
        <w:rPr>
          <w:rFonts w:ascii="Times New Roman" w:hAnsi="Times New Roman" w:cs="Times New Roman"/>
          <w:noProof/>
          <w:sz w:val="24"/>
          <w:szCs w:val="24"/>
        </w:rPr>
        <w:t>t Research Centre (JRC).</w:t>
      </w:r>
    </w:p>
    <w:p w:rsidR="00333A1A" w:rsidRDefault="003D29C9">
      <w:pPr>
        <w:autoSpaceDE w:val="0"/>
        <w:autoSpaceDN w:val="0"/>
        <w:adjustRightInd w:val="0"/>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Petrick, M. and Zier, P. (2011) "</w:t>
      </w:r>
      <w:hyperlink r:id="rId314" w:history="1">
        <w:r>
          <w:rPr>
            <w:rFonts w:ascii="Times New Roman" w:hAnsi="Times New Roman" w:cs="Times New Roman"/>
            <w:noProof/>
            <w:color w:val="0000FF"/>
            <w:sz w:val="24"/>
            <w:szCs w:val="24"/>
            <w:u w:val="single"/>
          </w:rPr>
          <w:t>Regional employment impacts of Common Agricultural Policy measures in Eastern Germany: a difference-in-differences approach</w:t>
        </w:r>
      </w:hyperlink>
      <w:r>
        <w:rPr>
          <w:rFonts w:ascii="Times New Roman" w:hAnsi="Times New Roman" w:cs="Times New Roman"/>
          <w:noProof/>
          <w:sz w:val="24"/>
          <w:szCs w:val="24"/>
        </w:rPr>
        <w:t xml:space="preserve">", </w:t>
      </w:r>
      <w:hyperlink r:id="rId315" w:history="1">
        <w:r>
          <w:rPr>
            <w:rFonts w:ascii="Times New Roman" w:hAnsi="Times New Roman" w:cs="Times New Roman"/>
            <w:noProof/>
            <w:sz w:val="24"/>
            <w:szCs w:val="24"/>
          </w:rPr>
          <w:t>Agricultural Economics</w:t>
        </w:r>
      </w:hyperlink>
      <w:r>
        <w:rPr>
          <w:rFonts w:ascii="Times New Roman" w:hAnsi="Times New Roman" w:cs="Times New Roman"/>
          <w:noProof/>
          <w:sz w:val="24"/>
          <w:szCs w:val="24"/>
        </w:rPr>
        <w:t>, volume 42, issue 2.</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Piorr A.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(2011) </w:t>
      </w:r>
      <w:hyperlink r:id="rId316" w:history="1">
        <w:r>
          <w:rPr>
            <w:rFonts w:ascii="Times New Roman" w:eastAsia="Times New Roman" w:hAnsi="Times New Roman" w:cs="Times New Roman"/>
            <w:noProof/>
            <w:color w:val="0000FF"/>
            <w:sz w:val="24"/>
            <w:szCs w:val="24"/>
            <w:u w:val="single"/>
          </w:rPr>
          <w:t>Peri</w:t>
        </w:r>
        <w:r>
          <w:rPr>
            <w:rFonts w:ascii="Times New Roman" w:eastAsia="Times New Roman" w:hAnsi="Times New Roman" w:cs="Times New Roman"/>
            <w:noProof/>
            <w:color w:val="0000FF"/>
            <w:sz w:val="24"/>
            <w:szCs w:val="24"/>
            <w:u w:val="single"/>
          </w:rPr>
          <w:t>-urbanisation in Europe: Towards a European Policy to sustain Urban-Rural Futures</w:t>
        </w:r>
      </w:hyperlink>
      <w:r>
        <w:rPr>
          <w:rFonts w:ascii="Times New Roman" w:eastAsia="Times New Roman" w:hAnsi="Times New Roman" w:cs="Times New Roman"/>
          <w:noProof/>
          <w:sz w:val="24"/>
          <w:szCs w:val="24"/>
          <w:lang w:val="en-US"/>
        </w:rPr>
        <w:t>, PLUREL,</w:t>
      </w:r>
      <w:r>
        <w:rPr>
          <w:rFonts w:ascii="Times New Roman" w:eastAsia="Times New Roman" w:hAnsi="Times New Roman" w:cs="Times New Roman"/>
          <w:noProof/>
          <w:sz w:val="24"/>
          <w:szCs w:val="24"/>
        </w:rPr>
        <w:t xml:space="preserve"> University of</w:t>
      </w:r>
      <w:r>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rPr>
        <w:t>Copenhagen / Academic Books Life Sciences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Poláková, J.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(2011) </w:t>
      </w:r>
      <w:hyperlink r:id="rId317" w:history="1">
        <w:r>
          <w:rPr>
            <w:rFonts w:ascii="Times New Roman" w:eastAsia="Times New Roman" w:hAnsi="Times New Roman" w:cs="Times New Roman"/>
            <w:noProof/>
            <w:color w:val="0000FF"/>
            <w:sz w:val="24"/>
            <w:szCs w:val="24"/>
            <w:u w:val="single"/>
          </w:rPr>
          <w:t>Addressing biodiversity and habitat preservation through Measures applied under the Common Agricultural Policy</w:t>
        </w:r>
      </w:hyperlink>
      <w:r>
        <w:rPr>
          <w:rFonts w:ascii="Times New Roman" w:eastAsia="Times New Roman" w:hAnsi="Times New Roman" w:cs="Times New Roman"/>
          <w:noProof/>
          <w:sz w:val="24"/>
          <w:szCs w:val="24"/>
        </w:rPr>
        <w:t>, 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lang w:val="it-IT"/>
        </w:rPr>
      </w:pPr>
      <w:r>
        <w:rPr>
          <w:rFonts w:ascii="Times New Roman" w:eastAsia="Times New Roman" w:hAnsi="Times New Roman" w:cs="Times New Roman"/>
          <w:noProof/>
          <w:sz w:val="24"/>
          <w:szCs w:val="24"/>
          <w:lang w:val="it-IT"/>
        </w:rPr>
        <w:t xml:space="preserve">Putnam, </w:t>
      </w:r>
      <w:r>
        <w:rPr>
          <w:rFonts w:ascii="Times New Roman" w:eastAsia="Times New Roman" w:hAnsi="Times New Roman" w:cs="Times New Roman"/>
          <w:noProof/>
          <w:sz w:val="24"/>
          <w:szCs w:val="24"/>
          <w:lang w:val="it-IT"/>
        </w:rPr>
        <w:t xml:space="preserve">R. (1993) La tradizione civica nelle regioni italiane, Milan, Mondadori. </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Ramboll (2006) </w:t>
      </w:r>
      <w:hyperlink r:id="rId318" w:history="1">
        <w:r>
          <w:rPr>
            <w:rFonts w:ascii="Times New Roman" w:hAnsi="Times New Roman" w:cs="Times New Roman"/>
            <w:noProof/>
            <w:color w:val="0000FF"/>
            <w:sz w:val="24"/>
            <w:szCs w:val="24"/>
            <w:u w:val="single"/>
          </w:rPr>
          <w:t>Study to assess the administrative burden on farms a</w:t>
        </w:r>
        <w:r>
          <w:rPr>
            <w:rFonts w:ascii="Times New Roman" w:hAnsi="Times New Roman" w:cs="Times New Roman"/>
            <w:noProof/>
            <w:color w:val="0000FF"/>
            <w:sz w:val="24"/>
            <w:szCs w:val="24"/>
            <w:u w:val="single"/>
          </w:rPr>
          <w:t>rising from the CAP</w:t>
        </w:r>
      </w:hyperlink>
      <w:r>
        <w:rPr>
          <w:rFonts w:ascii="Times New Roman" w:hAnsi="Times New Roman" w:cs="Times New Roman"/>
          <w:noProof/>
          <w:sz w:val="24"/>
          <w:szCs w:val="24"/>
        </w:rPr>
        <w:t xml:space="preserve"> Study to the European Commission.</w:t>
      </w:r>
    </w:p>
    <w:p w:rsidR="00333A1A" w:rsidRDefault="003D29C9">
      <w:pPr>
        <w:spacing w:afterLines="60" w:after="144" w:line="240" w:lineRule="auto"/>
        <w:jc w:val="both"/>
        <w:rPr>
          <w:rFonts w:ascii="Times New Roman" w:eastAsia="Times New Roman" w:hAnsi="Times New Roman" w:cs="Times New Roman"/>
          <w:noProof/>
          <w:color w:val="0000FF"/>
          <w:sz w:val="24"/>
          <w:szCs w:val="24"/>
          <w:u w:val="single"/>
        </w:rPr>
      </w:pPr>
      <w:r>
        <w:rPr>
          <w:rFonts w:ascii="Times New Roman" w:eastAsia="Times New Roman" w:hAnsi="Times New Roman" w:cs="Times New Roman"/>
          <w:noProof/>
          <w:sz w:val="24"/>
          <w:szCs w:val="24"/>
        </w:rPr>
        <w:t xml:space="preserve">Renwick, A.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(2012)</w:t>
      </w:r>
      <w:r>
        <w:rPr>
          <w:rFonts w:ascii="Times New Roman" w:eastAsia="Times New Roman" w:hAnsi="Times New Roman" w:cs="Times New Roman"/>
          <w:noProof/>
          <w:sz w:val="24"/>
          <w:szCs w:val="24"/>
          <w:u w:val="single"/>
        </w:rPr>
        <w:t xml:space="preserve"> </w:t>
      </w:r>
      <w:hyperlink r:id="rId319" w:history="1">
        <w:r>
          <w:rPr>
            <w:rFonts w:ascii="Times New Roman" w:eastAsia="Times New Roman" w:hAnsi="Times New Roman" w:cs="Times New Roman"/>
            <w:noProof/>
            <w:color w:val="0000FF"/>
            <w:sz w:val="24"/>
            <w:szCs w:val="24"/>
            <w:u w:val="single"/>
          </w:rPr>
          <w:t>Policy reform and agricultural land abandonment in the EU</w:t>
        </w:r>
      </w:hyperlink>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hAnsi="Times New Roman" w:cs="Times New Roman"/>
          <w:iCs/>
          <w:noProof/>
          <w:sz w:val="24"/>
          <w:szCs w:val="24"/>
        </w:rPr>
        <w:t xml:space="preserve">Ronzon, T. </w:t>
      </w:r>
      <w:r>
        <w:rPr>
          <w:rFonts w:ascii="Times New Roman" w:hAnsi="Times New Roman" w:cs="Times New Roman"/>
          <w:i/>
          <w:iCs/>
          <w:noProof/>
          <w:sz w:val="24"/>
          <w:szCs w:val="24"/>
        </w:rPr>
        <w:t>et al.</w:t>
      </w:r>
      <w:r>
        <w:rPr>
          <w:rFonts w:ascii="Times New Roman" w:hAnsi="Times New Roman" w:cs="Times New Roman"/>
          <w:iCs/>
          <w:noProof/>
          <w:sz w:val="24"/>
          <w:szCs w:val="24"/>
        </w:rPr>
        <w:t xml:space="preserve"> (2015) </w:t>
      </w:r>
      <w:hyperlink r:id="rId320" w:history="1">
        <w:r>
          <w:rPr>
            <w:rFonts w:ascii="Times New Roman" w:hAnsi="Times New Roman" w:cs="Times New Roman"/>
            <w:iCs/>
            <w:noProof/>
            <w:color w:val="0000FF" w:themeColor="hyperlink"/>
            <w:sz w:val="24"/>
            <w:szCs w:val="24"/>
            <w:u w:val="single"/>
          </w:rPr>
          <w:t>The Bioeconomy in the European Union in numbers. Facts and figures on biomass, turnover and employment</w:t>
        </w:r>
      </w:hyperlink>
      <w:r>
        <w:rPr>
          <w:rFonts w:ascii="Times New Roman" w:hAnsi="Times New Roman" w:cs="Times New Roman"/>
          <w:iCs/>
          <w:noProof/>
          <w:color w:val="0000FF" w:themeColor="hyperlink"/>
          <w:sz w:val="24"/>
          <w:szCs w:val="24"/>
          <w:u w:val="single"/>
        </w:rPr>
        <w:t>.</w:t>
      </w:r>
      <w:r>
        <w:rPr>
          <w:rFonts w:ascii="Times New Roman" w:hAnsi="Times New Roman" w:cs="Times New Roman"/>
          <w:iCs/>
          <w:noProof/>
          <w:sz w:val="24"/>
          <w:szCs w:val="24"/>
        </w:rPr>
        <w:t xml:space="preserve"> European Commission, Joint Research Centre,</w:t>
      </w:r>
      <w:r>
        <w:rPr>
          <w:rFonts w:ascii="Times New Roman" w:hAnsi="Times New Roman" w:cs="Times New Roman"/>
          <w:iCs/>
          <w:noProof/>
          <w:sz w:val="24"/>
          <w:szCs w:val="24"/>
        </w:rPr>
        <w:t xml:space="preserve"> Institute for Prospective Technological Studies, Spain.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 xml:space="preserve">Ronzon, T. </w:t>
      </w:r>
      <w:r>
        <w:rPr>
          <w:rFonts w:ascii="Times New Roman" w:eastAsia="Times New Roman" w:hAnsi="Times New Roman" w:cs="Times New Roman"/>
          <w:i/>
          <w:noProof/>
          <w:sz w:val="24"/>
          <w:szCs w:val="20"/>
        </w:rPr>
        <w:t>et al.</w:t>
      </w:r>
      <w:r>
        <w:rPr>
          <w:rFonts w:ascii="Times New Roman" w:eastAsia="Times New Roman" w:hAnsi="Times New Roman" w:cs="Times New Roman"/>
          <w:noProof/>
          <w:sz w:val="24"/>
          <w:szCs w:val="20"/>
        </w:rPr>
        <w:t xml:space="preserve"> (2017) </w:t>
      </w:r>
      <w:hyperlink r:id="rId321" w:history="1">
        <w:r>
          <w:rPr>
            <w:rFonts w:ascii="Times New Roman" w:eastAsia="Times New Roman" w:hAnsi="Times New Roman" w:cs="Times New Roman"/>
            <w:noProof/>
            <w:color w:val="0000FF"/>
            <w:sz w:val="24"/>
            <w:szCs w:val="20"/>
            <w:u w:val="single"/>
          </w:rPr>
          <w:t xml:space="preserve">A systematic approach to understanding and quantifying the EU’s bioeconomy. Bio-based and Applied </w:t>
        </w:r>
        <w:r>
          <w:rPr>
            <w:rFonts w:ascii="Times New Roman" w:eastAsia="Times New Roman" w:hAnsi="Times New Roman" w:cs="Times New Roman"/>
            <w:noProof/>
            <w:color w:val="0000FF"/>
            <w:sz w:val="24"/>
            <w:szCs w:val="20"/>
            <w:u w:val="single"/>
          </w:rPr>
          <w:t>Economics</w:t>
        </w:r>
      </w:hyperlink>
      <w:r>
        <w:rPr>
          <w:rFonts w:ascii="Times New Roman" w:eastAsia="Times New Roman" w:hAnsi="Times New Roman" w:cs="Times New Roman"/>
          <w:noProof/>
          <w:sz w:val="24"/>
          <w:szCs w:val="20"/>
        </w:rPr>
        <w:t>, volume 6, n°1.</w:t>
      </w:r>
    </w:p>
    <w:p w:rsidR="00333A1A" w:rsidRDefault="003D29C9">
      <w:pPr>
        <w:spacing w:afterLines="60" w:after="144" w:line="240" w:lineRule="auto"/>
        <w:jc w:val="both"/>
        <w:rPr>
          <w:rFonts w:ascii="Times New Roman" w:eastAsia="Times New Roman" w:hAnsi="Times New Roman" w:cs="Times New Roman"/>
          <w:noProof/>
          <w:sz w:val="24"/>
          <w:szCs w:val="24"/>
          <w:lang w:val="hu-HU"/>
        </w:rPr>
      </w:pPr>
      <w:r>
        <w:rPr>
          <w:rFonts w:ascii="Times New Roman" w:eastAsia="Times New Roman" w:hAnsi="Times New Roman" w:cs="Times New Roman"/>
          <w:noProof/>
          <w:sz w:val="24"/>
          <w:szCs w:val="24"/>
        </w:rPr>
        <w:t xml:space="preserve">Rossi R. (2017) </w:t>
      </w:r>
      <w:hyperlink r:id="rId322" w:history="1">
        <w:r>
          <w:rPr>
            <w:rFonts w:ascii="Times New Roman" w:eastAsia="Times New Roman" w:hAnsi="Times New Roman" w:cs="Times New Roman"/>
            <w:noProof/>
            <w:color w:val="0000FF"/>
            <w:sz w:val="24"/>
            <w:szCs w:val="24"/>
            <w:u w:val="single"/>
          </w:rPr>
          <w:t>Women and their roles in rural areas</w:t>
        </w:r>
      </w:hyperlink>
      <w:r>
        <w:rPr>
          <w:rFonts w:ascii="Times New Roman" w:eastAsia="Times New Roman" w:hAnsi="Times New Roman" w:cs="Times New Roman"/>
          <w:noProof/>
          <w:sz w:val="24"/>
          <w:szCs w:val="24"/>
        </w:rPr>
        <w:t>, European Parliamentary Research Service.</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Roza, P.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(2012) </w:t>
      </w:r>
      <w:hyperlink r:id="rId323" w:history="1">
        <w:r>
          <w:rPr>
            <w:rFonts w:ascii="Times New Roman" w:eastAsia="Times New Roman" w:hAnsi="Times New Roman" w:cs="Times New Roman"/>
            <w:noProof/>
            <w:color w:val="0000FF"/>
            <w:sz w:val="24"/>
            <w:szCs w:val="24"/>
            <w:u w:val="single"/>
          </w:rPr>
          <w:t>Simplification of the CAP, Assessment of the European Commission's reform proposals</w:t>
        </w:r>
      </w:hyperlink>
      <w:r>
        <w:rPr>
          <w:rFonts w:ascii="Times New Roman" w:eastAsia="Times New Roman" w:hAnsi="Times New Roman" w:cs="Times New Roman"/>
          <w:noProof/>
          <w:color w:val="333333"/>
          <w:sz w:val="24"/>
          <w:szCs w:val="24"/>
        </w:rPr>
        <w:t>, LEI Wageningen.</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0"/>
        </w:rPr>
        <w:t xml:space="preserve">Sanders, J </w:t>
      </w:r>
      <w:r>
        <w:rPr>
          <w:rFonts w:ascii="Times New Roman" w:eastAsia="Times New Roman" w:hAnsi="Times New Roman" w:cs="Times New Roman"/>
          <w:i/>
          <w:noProof/>
          <w:sz w:val="24"/>
          <w:szCs w:val="20"/>
        </w:rPr>
        <w:t>et al.</w:t>
      </w:r>
      <w:r>
        <w:rPr>
          <w:rFonts w:ascii="Times New Roman" w:eastAsia="Times New Roman" w:hAnsi="Times New Roman" w:cs="Times New Roman"/>
          <w:noProof/>
          <w:sz w:val="24"/>
          <w:szCs w:val="20"/>
        </w:rPr>
        <w:t xml:space="preserve"> (2016) </w:t>
      </w:r>
      <w:hyperlink r:id="rId324" w:history="1">
        <w:r>
          <w:rPr>
            <w:rFonts w:ascii="Times New Roman" w:hAnsi="Times New Roman" w:cs="Times New Roman"/>
            <w:noProof/>
            <w:color w:val="0000FF"/>
            <w:sz w:val="24"/>
            <w:szCs w:val="24"/>
            <w:u w:val="single"/>
          </w:rPr>
          <w:t>Distribution of the added value in the organic food chain</w:t>
        </w:r>
      </w:hyperlink>
      <w:r>
        <w:rPr>
          <w:rFonts w:ascii="Times New Roman" w:hAnsi="Times New Roman" w:cs="Times New Roman"/>
          <w:noProof/>
          <w:sz w:val="24"/>
          <w:szCs w:val="24"/>
        </w:rPr>
        <w:t>, 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Schmitzberger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(2005) </w:t>
      </w:r>
      <w:hyperlink r:id="rId325" w:history="1">
        <w:r>
          <w:rPr>
            <w:rFonts w:ascii="Times New Roman" w:eastAsia="Times New Roman" w:hAnsi="Times New Roman" w:cs="Times New Roman"/>
            <w:noProof/>
            <w:color w:val="0000FF" w:themeColor="hyperlink"/>
            <w:sz w:val="24"/>
            <w:szCs w:val="24"/>
            <w:u w:val="single"/>
          </w:rPr>
          <w:t>How farming styles influence biodiversity maintenance in Austrian agricultural landscapes</w:t>
        </w:r>
      </w:hyperlink>
      <w:r>
        <w:rPr>
          <w:rFonts w:ascii="Times New Roman" w:eastAsia="Times New Roman" w:hAnsi="Times New Roman" w:cs="Times New Roman"/>
          <w:noProof/>
          <w:sz w:val="24"/>
          <w:szCs w:val="24"/>
        </w:rPr>
        <w:t xml:space="preserve"> Agriculture</w:t>
      </w:r>
      <w:r>
        <w:rPr>
          <w:rFonts w:ascii="Times New Roman" w:eastAsia="Times New Roman" w:hAnsi="Times New Roman" w:cs="Times New Roman"/>
          <w:noProof/>
          <w:sz w:val="24"/>
          <w:szCs w:val="24"/>
        </w:rPr>
        <w:t>, Ecosystems &amp; Environment</w:t>
      </w:r>
      <w:r>
        <w:rPr>
          <w:rFonts w:ascii="Times New Roman" w:eastAsia="Times New Roman" w:hAnsi="Times New Roman" w:cs="Times New Roman"/>
          <w:i/>
          <w:noProof/>
          <w:sz w:val="24"/>
          <w:szCs w:val="24"/>
        </w:rPr>
        <w:t>,</w:t>
      </w:r>
      <w:r>
        <w:rPr>
          <w:rFonts w:ascii="Times New Roman" w:eastAsia="Times New Roman" w:hAnsi="Times New Roman" w:cs="Times New Roman"/>
          <w:noProof/>
          <w:sz w:val="24"/>
          <w:szCs w:val="24"/>
        </w:rPr>
        <w:t xml:space="preserve"> Volume 108, Issue 3.</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Schrijver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326" w:history="1">
        <w:r>
          <w:rPr>
            <w:rFonts w:ascii="Times New Roman" w:eastAsia="Times New Roman" w:hAnsi="Times New Roman" w:cs="Times New Roman"/>
            <w:noProof/>
            <w:color w:val="0000FF"/>
            <w:sz w:val="24"/>
            <w:szCs w:val="24"/>
            <w:u w:val="single"/>
          </w:rPr>
          <w:t>Precision agriculture and the future of farming in Europe</w:t>
        </w:r>
      </w:hyperlink>
      <w:r>
        <w:rPr>
          <w:rFonts w:ascii="Times New Roman" w:eastAsia="Times New Roman" w:hAnsi="Times New Roman" w:cs="Times New Roman"/>
          <w:bCs/>
          <w:noProof/>
          <w:sz w:val="24"/>
          <w:szCs w:val="24"/>
        </w:rPr>
        <w:t>, Scientific Foresig</w:t>
      </w:r>
      <w:r>
        <w:rPr>
          <w:rFonts w:ascii="Times New Roman" w:eastAsia="Times New Roman" w:hAnsi="Times New Roman" w:cs="Times New Roman"/>
          <w:bCs/>
          <w:noProof/>
          <w:sz w:val="24"/>
          <w:szCs w:val="24"/>
        </w:rPr>
        <w:t>ht Study, European Parliamentary Research Service.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Schulz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(2013) </w:t>
      </w:r>
      <w:hyperlink r:id="rId327" w:history="1">
        <w:r>
          <w:rPr>
            <w:rFonts w:ascii="Times New Roman" w:eastAsia="Times New Roman" w:hAnsi="Times New Roman" w:cs="Times New Roman"/>
            <w:noProof/>
            <w:color w:val="0000FF"/>
            <w:sz w:val="24"/>
            <w:szCs w:val="24"/>
            <w:u w:val="single"/>
          </w:rPr>
          <w:t>Assessing farmers' willingness to accept "greening" insights from a discrete choice experiment in Germany</w:t>
        </w:r>
      </w:hyperlink>
      <w:r>
        <w:rPr>
          <w:rFonts w:ascii="Times New Roman" w:eastAsia="Times New Roman" w:hAnsi="Times New Roman" w:cs="Times New Roman"/>
          <w:noProof/>
          <w:sz w:val="24"/>
          <w:szCs w:val="24"/>
        </w:rPr>
        <w:t>, A</w:t>
      </w:r>
      <w:r>
        <w:rPr>
          <w:rFonts w:ascii="Times New Roman" w:eastAsia="Times New Roman" w:hAnsi="Times New Roman" w:cs="Times New Roman"/>
          <w:noProof/>
          <w:sz w:val="24"/>
          <w:szCs w:val="24"/>
        </w:rPr>
        <w:t>gricultural Economics, Volume 65, Issue 1.</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lang w:val="da-DK"/>
        </w:rPr>
        <w:t xml:space="preserve">Shucksmith, M. </w:t>
      </w:r>
      <w:r>
        <w:rPr>
          <w:rFonts w:ascii="Times New Roman" w:hAnsi="Times New Roman" w:cs="Times New Roman"/>
          <w:i/>
          <w:noProof/>
          <w:sz w:val="24"/>
          <w:szCs w:val="24"/>
          <w:lang w:val="da-DK"/>
        </w:rPr>
        <w:t>et al.</w:t>
      </w:r>
      <w:r>
        <w:rPr>
          <w:rFonts w:ascii="Times New Roman" w:hAnsi="Times New Roman" w:cs="Times New Roman"/>
          <w:noProof/>
          <w:sz w:val="24"/>
          <w:szCs w:val="24"/>
          <w:lang w:val="da-DK"/>
        </w:rPr>
        <w:t xml:space="preserve"> (2009); Novo-Corti </w:t>
      </w:r>
      <w:r>
        <w:rPr>
          <w:rFonts w:ascii="Times New Roman" w:hAnsi="Times New Roman" w:cs="Times New Roman"/>
          <w:i/>
          <w:noProof/>
          <w:sz w:val="24"/>
          <w:szCs w:val="24"/>
          <w:lang w:val="da-DK"/>
        </w:rPr>
        <w:t>et al.</w:t>
      </w:r>
      <w:r>
        <w:rPr>
          <w:rFonts w:ascii="Times New Roman" w:hAnsi="Times New Roman" w:cs="Times New Roman"/>
          <w:noProof/>
          <w:sz w:val="24"/>
          <w:szCs w:val="24"/>
          <w:lang w:val="da-DK"/>
        </w:rPr>
        <w:t xml:space="preserve">(2014) according to Clifton, J. </w:t>
      </w:r>
      <w:r>
        <w:rPr>
          <w:rFonts w:ascii="Times New Roman" w:hAnsi="Times New Roman" w:cs="Times New Roman"/>
          <w:i/>
          <w:noProof/>
          <w:sz w:val="24"/>
          <w:szCs w:val="24"/>
          <w:lang w:val="da-DK"/>
        </w:rPr>
        <w:t>et al.</w:t>
      </w:r>
      <w:r>
        <w:rPr>
          <w:rFonts w:ascii="Times New Roman" w:hAnsi="Times New Roman" w:cs="Times New Roman"/>
          <w:noProof/>
          <w:sz w:val="24"/>
          <w:szCs w:val="24"/>
          <w:lang w:val="da-DK"/>
        </w:rPr>
        <w:t xml:space="preserve"> </w:t>
      </w:r>
      <w:r>
        <w:rPr>
          <w:rFonts w:ascii="Times New Roman" w:hAnsi="Times New Roman" w:cs="Times New Roman"/>
          <w:noProof/>
          <w:sz w:val="24"/>
          <w:szCs w:val="24"/>
        </w:rPr>
        <w:t xml:space="preserve">(2015) </w:t>
      </w:r>
      <w:hyperlink r:id="rId328" w:history="1">
        <w:r>
          <w:rPr>
            <w:rFonts w:ascii="Times New Roman" w:hAnsi="Times New Roman" w:cs="Times New Roman"/>
            <w:noProof/>
            <w:color w:val="0000FF"/>
            <w:sz w:val="24"/>
            <w:szCs w:val="24"/>
            <w:u w:val="single"/>
          </w:rPr>
          <w:t>Public infra</w:t>
        </w:r>
        <w:r>
          <w:rPr>
            <w:rFonts w:ascii="Times New Roman" w:hAnsi="Times New Roman" w:cs="Times New Roman"/>
            <w:noProof/>
            <w:color w:val="0000FF"/>
            <w:sz w:val="24"/>
            <w:szCs w:val="24"/>
            <w:u w:val="single"/>
          </w:rPr>
          <w:t>structure services in a territorial perspective: Analysis in the EU context</w:t>
        </w:r>
      </w:hyperlink>
      <w:r>
        <w:rPr>
          <w:rFonts w:ascii="Times New Roman" w:hAnsi="Times New Roman" w:cs="Times New Roman"/>
          <w:noProof/>
          <w:color w:val="0000FF"/>
          <w:sz w:val="24"/>
          <w:szCs w:val="24"/>
          <w:u w:val="single"/>
        </w:rPr>
        <w:t>.</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Slavova, D.</w:t>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 xml:space="preserve">(2017) </w:t>
      </w:r>
      <w:hyperlink r:id="rId329" w:history="1">
        <w:r>
          <w:rPr>
            <w:rFonts w:ascii="Times New Roman" w:hAnsi="Times New Roman" w:cs="Times New Roman"/>
            <w:noProof/>
            <w:color w:val="0000FF"/>
            <w:sz w:val="24"/>
            <w:szCs w:val="24"/>
            <w:u w:val="single"/>
          </w:rPr>
          <w:t>Ex-Post evaluations on Rural Development Programmes 2007-2013</w:t>
        </w:r>
      </w:hyperlink>
      <w:r>
        <w:rPr>
          <w:rFonts w:ascii="Times New Roman" w:hAnsi="Times New Roman" w:cs="Times New Roman"/>
          <w:noProof/>
          <w:sz w:val="24"/>
          <w:szCs w:val="24"/>
        </w:rPr>
        <w:t>, Information report for the European Economic and Social Committee.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Söderberg, T. (ed.) (2016), </w:t>
      </w:r>
      <w:hyperlink r:id="rId330" w:history="1">
        <w:r>
          <w:rPr>
            <w:rFonts w:ascii="Times New Roman" w:eastAsia="Times New Roman" w:hAnsi="Times New Roman" w:cs="Times New Roman"/>
            <w:noProof/>
            <w:color w:val="0000FF" w:themeColor="hyperlink"/>
            <w:sz w:val="24"/>
            <w:szCs w:val="24"/>
            <w:u w:val="single"/>
          </w:rPr>
          <w:t>Greening of the CAP in practice – costs versus environmental benefits</w:t>
        </w:r>
      </w:hyperlink>
      <w:r>
        <w:rPr>
          <w:rFonts w:ascii="Times New Roman" w:eastAsia="Times New Roman" w:hAnsi="Times New Roman" w:cs="Times New Roman"/>
          <w:noProof/>
          <w:sz w:val="24"/>
          <w:szCs w:val="24"/>
        </w:rPr>
        <w:t>, Report 2016:18Eng, Jönköping, Swedish Board of Agriculture.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Standing Committee for Agricultural Research (SCAR) (2017) </w:t>
      </w:r>
      <w:hyperlink r:id="rId331" w:history="1">
        <w:r>
          <w:rPr>
            <w:rFonts w:ascii="Times New Roman" w:eastAsia="Times New Roman" w:hAnsi="Times New Roman" w:cs="Times New Roman"/>
            <w:noProof/>
            <w:color w:val="0000FF"/>
            <w:sz w:val="24"/>
            <w:szCs w:val="24"/>
            <w:u w:val="single"/>
          </w:rPr>
          <w:t>Policy brief on the Future of Advisory Services</w:t>
        </w:r>
      </w:hyperlink>
      <w:r>
        <w:rPr>
          <w:rFonts w:ascii="Times New Roman" w:eastAsia="Times New Roman" w:hAnsi="Times New Roman" w:cs="Times New Roman"/>
          <w:noProof/>
          <w:sz w:val="24"/>
          <w:szCs w:val="24"/>
        </w:rPr>
        <w:t>, Strategic Working Group on Agricultural Knowledge and Innovation Systems.</w:t>
      </w:r>
    </w:p>
    <w:p w:rsidR="00333A1A" w:rsidRDefault="003D29C9">
      <w:pPr>
        <w:spacing w:afterLines="60" w:after="144" w:line="240" w:lineRule="auto"/>
        <w:jc w:val="both"/>
        <w:rPr>
          <w:rFonts w:ascii="Times New Roman" w:eastAsia="Calibri" w:hAnsi="Times New Roman" w:cs="Times New Roman"/>
          <w:noProof/>
          <w:color w:val="000000"/>
          <w:sz w:val="24"/>
          <w:szCs w:val="24"/>
        </w:rPr>
      </w:pPr>
      <w:r>
        <w:rPr>
          <w:rFonts w:ascii="Times New Roman" w:eastAsia="Times New Roman" w:hAnsi="Times New Roman" w:cs="Times New Roman"/>
          <w:noProof/>
          <w:sz w:val="24"/>
          <w:szCs w:val="24"/>
        </w:rPr>
        <w:t xml:space="preserve">Standing Committee on Agricultural Research (SCAR) (2016) </w:t>
      </w:r>
      <w:hyperlink r:id="rId332" w:history="1">
        <w:r>
          <w:rPr>
            <w:rFonts w:ascii="Times New Roman" w:eastAsia="Times New Roman" w:hAnsi="Times New Roman" w:cs="Times New Roman"/>
            <w:noProof/>
            <w:color w:val="0000FF"/>
            <w:sz w:val="24"/>
            <w:szCs w:val="24"/>
            <w:u w:val="single"/>
          </w:rPr>
          <w:t>Agricultural knowledge and innovation systems: Towards the future. A foresight paper</w:t>
        </w:r>
      </w:hyperlink>
      <w:r>
        <w:rPr>
          <w:rFonts w:ascii="Times New Roman" w:eastAsia="Times New Roman" w:hAnsi="Times New Roman" w:cs="Times New Roman"/>
          <w:noProof/>
          <w:sz w:val="24"/>
          <w:szCs w:val="24"/>
        </w:rPr>
        <w:t>,</w:t>
      </w:r>
      <w:r>
        <w:rPr>
          <w:rFonts w:ascii="Times New Roman" w:eastAsia="Calibri" w:hAnsi="Times New Roman" w:cs="Times New Roman"/>
          <w:noProof/>
          <w:color w:val="000000"/>
          <w:sz w:val="24"/>
          <w:szCs w:val="24"/>
        </w:rPr>
        <w:t xml:space="preserve"> Strategic Working Group AKIS</w:t>
      </w:r>
      <w:r>
        <w:rPr>
          <w:rFonts w:ascii="Times New Roman" w:eastAsia="Times New Roman" w:hAnsi="Times New Roman" w:cs="Times New Roman"/>
          <w:noProof/>
          <w:sz w:val="24"/>
          <w:szCs w:val="24"/>
        </w:rPr>
        <w:t>, Study</w:t>
      </w:r>
      <w:r>
        <w:rPr>
          <w:rFonts w:ascii="Times New Roman" w:eastAsia="Times New Roman" w:hAnsi="Times New Roman" w:cs="Times New Roman"/>
          <w:noProof/>
          <w:sz w:val="24"/>
          <w:szCs w:val="24"/>
        </w:rPr>
        <w:t xml:space="preserve">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Stewart, D. W.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(2014) </w:t>
      </w:r>
      <w:hyperlink r:id="rId333" w:anchor="v=onepage&amp;q&amp;f=false" w:history="1">
        <w:r>
          <w:rPr>
            <w:rFonts w:ascii="Times New Roman" w:eastAsia="Times New Roman" w:hAnsi="Times New Roman" w:cs="Times New Roman"/>
            <w:noProof/>
            <w:color w:val="0000FF" w:themeColor="hyperlink"/>
            <w:sz w:val="24"/>
            <w:szCs w:val="24"/>
            <w:u w:val="single"/>
          </w:rPr>
          <w:t>Focus groups: Theory and practice</w:t>
        </w:r>
      </w:hyperlink>
      <w:r>
        <w:rPr>
          <w:rFonts w:ascii="Times New Roman" w:eastAsia="Times New Roman" w:hAnsi="Times New Roman" w:cs="Times New Roman"/>
          <w:noProof/>
          <w:color w:val="0000FF" w:themeColor="hyperlink"/>
          <w:sz w:val="24"/>
          <w:szCs w:val="24"/>
          <w:u w:val="single"/>
        </w:rPr>
        <w:t>,</w:t>
      </w:r>
      <w:r>
        <w:rPr>
          <w:rFonts w:ascii="Times New Roman" w:eastAsia="Times New Roman" w:hAnsi="Times New Roman" w:cs="Times New Roman"/>
          <w:noProof/>
          <w:sz w:val="24"/>
          <w:szCs w:val="24"/>
        </w:rPr>
        <w:t xml:space="preserve"> Sage publications.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Stolte, J.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(2016) </w:t>
      </w:r>
      <w:hyperlink r:id="rId334" w:history="1">
        <w:r>
          <w:rPr>
            <w:rFonts w:ascii="Times New Roman" w:eastAsia="Times New Roman" w:hAnsi="Times New Roman" w:cs="Times New Roman"/>
            <w:noProof/>
            <w:color w:val="0000FF" w:themeColor="hyperlink"/>
            <w:sz w:val="24"/>
            <w:szCs w:val="24"/>
            <w:u w:val="single"/>
          </w:rPr>
          <w:t>Soil threats in Europe – Status, methods, drivers and effects on ecosystem services,</w:t>
        </w:r>
      </w:hyperlink>
      <w:r>
        <w:rPr>
          <w:rFonts w:ascii="Times New Roman" w:eastAsia="Times New Roman" w:hAnsi="Times New Roman" w:cs="Times New Roman"/>
          <w:noProof/>
          <w:sz w:val="24"/>
          <w:szCs w:val="24"/>
        </w:rPr>
        <w:t xml:space="preserve"> JRC Technical reports, European Commission, Joint Research Centre (JRC).</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Sucksmith, M. (2010) </w:t>
      </w:r>
      <w:r>
        <w:rPr>
          <w:rFonts w:ascii="Times New Roman" w:eastAsia="Times New Roman" w:hAnsi="Times New Roman" w:cs="Times New Roman"/>
          <w:noProof/>
          <w:color w:val="0000FF"/>
          <w:sz w:val="24"/>
          <w:szCs w:val="24"/>
          <w:u w:val="single"/>
        </w:rPr>
        <w:t>How to promote the role of youth in rural areas of Europe,</w:t>
      </w:r>
      <w:r>
        <w:rPr>
          <w:rFonts w:ascii="Times New Roman" w:eastAsia="Times New Roman" w:hAnsi="Times New Roman" w:cs="Times New Roman"/>
          <w:noProof/>
          <w:sz w:val="24"/>
          <w:szCs w:val="24"/>
        </w:rPr>
        <w:t xml:space="preserve"> Study to the</w:t>
      </w:r>
      <w:r>
        <w:rPr>
          <w:rFonts w:ascii="Times New Roman" w:eastAsia="Times New Roman" w:hAnsi="Times New Roman" w:cs="Times New Roman"/>
          <w:noProof/>
          <w:sz w:val="24"/>
          <w:szCs w:val="24"/>
        </w:rPr>
        <w:t xml:space="preserve"> European Parliament.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Sutton, M.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(2011) </w:t>
      </w:r>
      <w:hyperlink r:id="rId335" w:anchor="v=onepage&amp;q=Sutton%20et%20al.%20(eds.)%20(2011).%20The%20European%20Nitrogen%20Assessment%3A%20Sources%2C%20Effects%20and%20Policy%20Perspectives.%20Cambridge%2C%20Cambridge%20University%20Press&amp;f=false" w:history="1">
        <w:r>
          <w:rPr>
            <w:rFonts w:ascii="Times New Roman" w:eastAsia="Times New Roman" w:hAnsi="Times New Roman" w:cs="Times New Roman"/>
            <w:noProof/>
            <w:color w:val="0000FF" w:themeColor="hyperlink"/>
            <w:sz w:val="24"/>
            <w:szCs w:val="24"/>
            <w:u w:val="single"/>
          </w:rPr>
          <w:t>The European Nitrogen Assessment: Sources, Effects and Policy Perspectives</w:t>
        </w:r>
      </w:hyperlink>
      <w:r>
        <w:rPr>
          <w:rFonts w:ascii="Times New Roman" w:eastAsia="Times New Roman" w:hAnsi="Times New Roman" w:cs="Times New Roman"/>
          <w:noProof/>
          <w:color w:val="333333"/>
          <w:sz w:val="24"/>
          <w:szCs w:val="24"/>
        </w:rPr>
        <w:t>, Cambridge University Press.</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eastAsia="Times New Roman" w:hAnsi="Times New Roman" w:cs="Times New Roman"/>
          <w:iCs/>
          <w:noProof/>
          <w:color w:val="333333"/>
          <w:sz w:val="24"/>
          <w:szCs w:val="24"/>
          <w:lang w:eastAsia="en-GB"/>
        </w:rPr>
        <w:t xml:space="preserve">Sweco, </w:t>
      </w:r>
      <w:r>
        <w:rPr>
          <w:rFonts w:ascii="Times New Roman" w:eastAsia="Times New Roman" w:hAnsi="Times New Roman" w:cs="Times New Roman"/>
          <w:i/>
          <w:iCs/>
          <w:noProof/>
          <w:color w:val="333333"/>
          <w:sz w:val="24"/>
          <w:szCs w:val="24"/>
          <w:lang w:eastAsia="en-GB"/>
        </w:rPr>
        <w:t>et al.</w:t>
      </w:r>
      <w:r>
        <w:rPr>
          <w:rFonts w:ascii="Times New Roman" w:hAnsi="Times New Roman" w:cs="Times New Roman"/>
          <w:noProof/>
          <w:sz w:val="24"/>
          <w:szCs w:val="24"/>
        </w:rPr>
        <w:t xml:space="preserve"> (2017) </w:t>
      </w:r>
      <w:hyperlink r:id="rId336" w:history="1">
        <w:r>
          <w:rPr>
            <w:rFonts w:ascii="Times New Roman" w:hAnsi="Times New Roman" w:cs="Times New Roman"/>
            <w:noProof/>
            <w:color w:val="0000FF"/>
            <w:sz w:val="24"/>
            <w:szCs w:val="24"/>
            <w:u w:val="single"/>
          </w:rPr>
          <w:t>Use of new provisions on simplification during the early implementation phase of ESIF</w:t>
        </w:r>
      </w:hyperlink>
      <w:r>
        <w:rPr>
          <w:rFonts w:ascii="Times New Roman" w:hAnsi="Times New Roman" w:cs="Times New Roman"/>
          <w:noProof/>
          <w:color w:val="0000FF"/>
          <w:sz w:val="24"/>
          <w:szCs w:val="24"/>
          <w:u w:val="single"/>
        </w:rPr>
        <w:t>,</w:t>
      </w:r>
      <w:r>
        <w:rPr>
          <w:rFonts w:ascii="Times New Roman" w:hAnsi="Times New Roman" w:cs="Times New Roman"/>
          <w:noProof/>
          <w:sz w:val="24"/>
          <w:szCs w:val="24"/>
        </w:rPr>
        <w:t xml:space="preserve"> 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Swinnen, J.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2008). </w:t>
      </w:r>
      <w:hyperlink r:id="rId337" w:history="1">
        <w:r>
          <w:rPr>
            <w:rFonts w:ascii="Times New Roman" w:eastAsia="Times New Roman" w:hAnsi="Times New Roman" w:cs="Times New Roman"/>
            <w:noProof/>
            <w:color w:val="0000FF" w:themeColor="hyperlink"/>
            <w:sz w:val="24"/>
            <w:szCs w:val="24"/>
            <w:u w:val="single"/>
          </w:rPr>
          <w:t>Study on the functioning of land markets in the EU Member States under the influence of measures applied under the Common Agricu</w:t>
        </w:r>
        <w:r>
          <w:rPr>
            <w:rFonts w:ascii="Times New Roman" w:eastAsia="Times New Roman" w:hAnsi="Times New Roman" w:cs="Times New Roman"/>
            <w:noProof/>
            <w:color w:val="0000FF" w:themeColor="hyperlink"/>
            <w:sz w:val="24"/>
            <w:szCs w:val="24"/>
            <w:u w:val="single"/>
          </w:rPr>
          <w:t>ltural Policy</w:t>
        </w:r>
      </w:hyperlink>
      <w:r>
        <w:rPr>
          <w:rFonts w:ascii="Times New Roman" w:eastAsia="Times New Roman" w:hAnsi="Times New Roman" w:cs="Times New Roman"/>
          <w:noProof/>
          <w:sz w:val="24"/>
          <w:szCs w:val="24"/>
        </w:rPr>
        <w:t>. Final report. Centre for European Policy Studies (CEPS).</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Swinnen, J.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(2013) </w:t>
      </w:r>
      <w:hyperlink r:id="rId338" w:history="1">
        <w:r>
          <w:rPr>
            <w:rFonts w:ascii="Times New Roman" w:eastAsia="Times New Roman" w:hAnsi="Times New Roman" w:cs="Times New Roman"/>
            <w:noProof/>
            <w:color w:val="0000FF" w:themeColor="hyperlink"/>
            <w:sz w:val="24"/>
            <w:szCs w:val="24"/>
            <w:u w:val="single"/>
          </w:rPr>
          <w:t>Possible effects on EU land markets of new CAP</w:t>
        </w:r>
        <w:r>
          <w:rPr>
            <w:rFonts w:ascii="Times New Roman" w:eastAsia="Times New Roman" w:hAnsi="Times New Roman" w:cs="Times New Roman"/>
            <w:noProof/>
            <w:color w:val="0000FF" w:themeColor="hyperlink"/>
            <w:sz w:val="24"/>
            <w:szCs w:val="24"/>
            <w:u w:val="single"/>
          </w:rPr>
          <w:t xml:space="preserve"> direct payments</w:t>
        </w:r>
      </w:hyperlink>
      <w:r>
        <w:rPr>
          <w:rFonts w:ascii="Times New Roman" w:eastAsia="Times New Roman" w:hAnsi="Times New Roman" w:cs="Times New Roman"/>
          <w:noProof/>
          <w:color w:val="0000FF" w:themeColor="hyperlink"/>
          <w:sz w:val="24"/>
          <w:szCs w:val="24"/>
          <w:u w:val="single"/>
        </w:rPr>
        <w:t>,</w:t>
      </w:r>
      <w:r>
        <w:rPr>
          <w:rFonts w:ascii="Times New Roman" w:eastAsia="Times New Roman" w:hAnsi="Times New Roman" w:cs="Times New Roman"/>
          <w:noProof/>
          <w:sz w:val="24"/>
          <w:szCs w:val="24"/>
        </w:rPr>
        <w:t xml:space="preserve"> Study to the European Parliament. </w:t>
      </w:r>
    </w:p>
    <w:p w:rsidR="00333A1A" w:rsidRDefault="003D29C9">
      <w:pPr>
        <w:spacing w:afterLines="60" w:after="144"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Terluin, I. </w:t>
      </w:r>
      <w:r>
        <w:rPr>
          <w:rFonts w:ascii="Times New Roman" w:hAnsi="Times New Roman" w:cs="Times New Roman"/>
          <w:bCs/>
          <w:i/>
          <w:noProof/>
          <w:sz w:val="24"/>
          <w:szCs w:val="24"/>
        </w:rPr>
        <w:t>et al.</w:t>
      </w:r>
      <w:r>
        <w:rPr>
          <w:rFonts w:ascii="Times New Roman" w:hAnsi="Times New Roman" w:cs="Times New Roman"/>
          <w:bCs/>
          <w:noProof/>
          <w:sz w:val="24"/>
          <w:szCs w:val="24"/>
        </w:rPr>
        <w:t xml:space="preserve"> (2017)</w:t>
      </w:r>
      <w:r>
        <w:rPr>
          <w:rFonts w:ascii="Times New Roman" w:eastAsia="Times New Roman" w:hAnsi="Times New Roman" w:cs="Times New Roman"/>
          <w:noProof/>
          <w:sz w:val="24"/>
          <w:szCs w:val="24"/>
        </w:rPr>
        <w:t xml:space="preserve"> </w:t>
      </w:r>
      <w:hyperlink r:id="rId339" w:history="1">
        <w:r>
          <w:rPr>
            <w:rFonts w:ascii="Times New Roman" w:eastAsia="Times New Roman" w:hAnsi="Times New Roman" w:cs="Times New Roman"/>
            <w:noProof/>
            <w:color w:val="0000FF"/>
            <w:sz w:val="24"/>
            <w:szCs w:val="24"/>
            <w:u w:val="single"/>
          </w:rPr>
          <w:t>Flexibility given to Member States - state of play and perspectives</w:t>
        </w:r>
      </w:hyperlink>
      <w:r>
        <w:rPr>
          <w:rFonts w:ascii="Times New Roman" w:eastAsia="Times New Roman" w:hAnsi="Times New Roman" w:cs="Times New Roman"/>
          <w:noProof/>
          <w:sz w:val="24"/>
          <w:szCs w:val="24"/>
        </w:rPr>
        <w:t>,</w:t>
      </w:r>
      <w:r>
        <w:rPr>
          <w:rFonts w:ascii="Times New Roman" w:hAnsi="Times New Roman" w:cs="Times New Roman"/>
          <w:bCs/>
          <w:noProof/>
          <w:sz w:val="24"/>
          <w:szCs w:val="24"/>
        </w:rPr>
        <w:t xml:space="preserve"> St</w:t>
      </w:r>
      <w:r>
        <w:rPr>
          <w:rFonts w:ascii="Times New Roman" w:hAnsi="Times New Roman" w:cs="Times New Roman"/>
          <w:bCs/>
          <w:noProof/>
          <w:sz w:val="24"/>
          <w:szCs w:val="24"/>
        </w:rPr>
        <w:t>udy to the European Parliament</w:t>
      </w:r>
    </w:p>
    <w:p w:rsidR="00333A1A" w:rsidRDefault="003D29C9">
      <w:pPr>
        <w:spacing w:afterLines="60" w:after="144"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Terres, JM. </w:t>
      </w:r>
      <w:r>
        <w:rPr>
          <w:rFonts w:ascii="Times New Roman" w:eastAsia="Calibri" w:hAnsi="Times New Roman" w:cs="Times New Roman"/>
          <w:i/>
          <w:noProof/>
          <w:sz w:val="24"/>
          <w:szCs w:val="24"/>
        </w:rPr>
        <w:t>et al.</w:t>
      </w:r>
      <w:r>
        <w:rPr>
          <w:rFonts w:ascii="Times New Roman" w:eastAsia="Calibri" w:hAnsi="Times New Roman" w:cs="Times New Roman"/>
          <w:noProof/>
          <w:sz w:val="24"/>
          <w:szCs w:val="24"/>
        </w:rPr>
        <w:t xml:space="preserve"> (2013) </w:t>
      </w:r>
      <w:hyperlink r:id="rId340" w:history="1">
        <w:r>
          <w:rPr>
            <w:rFonts w:ascii="Times New Roman" w:eastAsia="Calibri" w:hAnsi="Times New Roman" w:cs="Times New Roman"/>
            <w:noProof/>
            <w:color w:val="0000FF"/>
            <w:sz w:val="24"/>
            <w:szCs w:val="24"/>
            <w:u w:val="single"/>
          </w:rPr>
          <w:t>Assessing the risk of farmland abandonment in the EU</w:t>
        </w:r>
      </w:hyperlink>
      <w:r>
        <w:rPr>
          <w:rFonts w:ascii="Times New Roman" w:eastAsia="Calibri" w:hAnsi="Times New Roman" w:cs="Times New Roman"/>
          <w:noProof/>
          <w:sz w:val="24"/>
          <w:szCs w:val="24"/>
        </w:rPr>
        <w:t>, Scientific an</w:t>
      </w:r>
      <w:r>
        <w:rPr>
          <w:rFonts w:ascii="Times New Roman" w:eastAsia="Calibri" w:hAnsi="Times New Roman" w:cs="Times New Roman"/>
          <w:noProof/>
          <w:sz w:val="24"/>
          <w:szCs w:val="24"/>
        </w:rPr>
        <w:t xml:space="preserve">d Policy Reports, European Commission, Joint Research Centre (JRC) </w:t>
      </w:r>
    </w:p>
    <w:p w:rsidR="00333A1A" w:rsidRDefault="003D29C9">
      <w:pPr>
        <w:spacing w:afterLines="60" w:after="144" w:line="240" w:lineRule="auto"/>
        <w:jc w:val="both"/>
        <w:rPr>
          <w:rFonts w:ascii="Cambria" w:eastAsia="Times New Roman" w:hAnsi="Cambria" w:cs="Cambria"/>
          <w:noProof/>
          <w:sz w:val="24"/>
          <w:szCs w:val="20"/>
          <w:lang w:eastAsia="en-GB"/>
        </w:rPr>
      </w:pPr>
      <w:r>
        <w:rPr>
          <w:rFonts w:ascii="Times New Roman" w:eastAsia="Times New Roman" w:hAnsi="Times New Roman" w:cs="Times New Roman"/>
          <w:noProof/>
          <w:sz w:val="24"/>
          <w:szCs w:val="20"/>
          <w:lang w:val="fr-BE" w:eastAsia="en-GB"/>
        </w:rPr>
        <w:t xml:space="preserve">The James Hutton Institut </w:t>
      </w:r>
      <w:r>
        <w:rPr>
          <w:rFonts w:ascii="Times New Roman" w:eastAsia="Times New Roman" w:hAnsi="Times New Roman" w:cs="Times New Roman"/>
          <w:i/>
          <w:noProof/>
          <w:sz w:val="24"/>
          <w:szCs w:val="20"/>
          <w:lang w:val="fr-BE" w:eastAsia="en-GB"/>
        </w:rPr>
        <w:t>et al.</w:t>
      </w:r>
      <w:r>
        <w:rPr>
          <w:rFonts w:ascii="Times New Roman" w:eastAsia="Times New Roman" w:hAnsi="Times New Roman" w:cs="Times New Roman"/>
          <w:noProof/>
          <w:sz w:val="24"/>
          <w:szCs w:val="20"/>
          <w:lang w:val="fr-BE" w:eastAsia="en-GB"/>
        </w:rPr>
        <w:t xml:space="preserve"> </w:t>
      </w:r>
      <w:r>
        <w:rPr>
          <w:rFonts w:ascii="Times New Roman" w:eastAsia="Times New Roman" w:hAnsi="Times New Roman" w:cs="Times New Roman"/>
          <w:noProof/>
          <w:sz w:val="24"/>
          <w:szCs w:val="20"/>
          <w:lang w:eastAsia="en-GB"/>
        </w:rPr>
        <w:t xml:space="preserve">(2015) </w:t>
      </w:r>
      <w:hyperlink r:id="rId341" w:history="1">
        <w:r>
          <w:rPr>
            <w:rFonts w:ascii="Times New Roman" w:eastAsia="Times New Roman" w:hAnsi="Times New Roman" w:cs="Times New Roman"/>
            <w:noProof/>
            <w:color w:val="0000FF"/>
            <w:sz w:val="24"/>
            <w:szCs w:val="20"/>
            <w:u w:val="single"/>
            <w:lang w:eastAsia="en-GB"/>
          </w:rPr>
          <w:t>Prospect for farmers' support: Advisory Services (PROAKIS)</w:t>
        </w:r>
      </w:hyperlink>
      <w:r>
        <w:rPr>
          <w:rFonts w:ascii="Times New Roman" w:eastAsia="Times New Roman" w:hAnsi="Times New Roman" w:cs="Times New Roman"/>
          <w:noProof/>
          <w:sz w:val="24"/>
          <w:szCs w:val="20"/>
          <w:lang w:eastAsia="en-GB"/>
        </w:rPr>
        <w:t>,</w:t>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0"/>
          <w:lang w:eastAsia="en-GB"/>
        </w:rPr>
        <w:t>website.</w:t>
      </w:r>
    </w:p>
    <w:p w:rsidR="00333A1A" w:rsidRDefault="003D29C9">
      <w:pPr>
        <w:spacing w:afterLines="60" w:after="144"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The N2K Group (2016) </w:t>
      </w:r>
      <w:hyperlink r:id="rId342" w:history="1">
        <w:r>
          <w:rPr>
            <w:rFonts w:ascii="Times New Roman" w:hAnsi="Times New Roman" w:cs="Times New Roman"/>
            <w:noProof/>
            <w:color w:val="0000FF"/>
            <w:sz w:val="24"/>
            <w:szCs w:val="24"/>
            <w:u w:val="single"/>
          </w:rPr>
          <w:t>Integration of Natura 2000 and biodiversity into EU funding (EAFRD, ERDF, CF, EMFF, ESF). Analysis of a selection of operational progr</w:t>
        </w:r>
        <w:r>
          <w:rPr>
            <w:rFonts w:ascii="Times New Roman" w:hAnsi="Times New Roman" w:cs="Times New Roman"/>
            <w:noProof/>
            <w:color w:val="0000FF"/>
            <w:sz w:val="24"/>
            <w:szCs w:val="24"/>
            <w:u w:val="single"/>
          </w:rPr>
          <w:t>ammes approved for 2014-2020</w:t>
        </w:r>
      </w:hyperlink>
      <w:r>
        <w:rPr>
          <w:rFonts w:ascii="Times New Roman" w:hAnsi="Times New Roman" w:cs="Times New Roman"/>
          <w:noProof/>
          <w:sz w:val="24"/>
          <w:szCs w:val="24"/>
        </w:rPr>
        <w:t>, Study to the European Commission.</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Tomka, B. (2013) A Social History of Twentieth-Century Europe, Routledge, Taylor and Francis Group, London and New York.</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fr-BE"/>
        </w:rPr>
        <w:t xml:space="preserve">Trouvé A. </w:t>
      </w:r>
      <w:r>
        <w:rPr>
          <w:rFonts w:ascii="Times New Roman" w:eastAsia="Times New Roman" w:hAnsi="Times New Roman" w:cs="Times New Roman"/>
          <w:i/>
          <w:noProof/>
          <w:sz w:val="24"/>
          <w:szCs w:val="24"/>
          <w:lang w:val="fr-BE"/>
        </w:rPr>
        <w:t>et al.</w:t>
      </w:r>
      <w:r>
        <w:rPr>
          <w:rFonts w:ascii="Times New Roman" w:eastAsia="Times New Roman" w:hAnsi="Times New Roman" w:cs="Times New Roman"/>
          <w:noProof/>
          <w:sz w:val="24"/>
          <w:szCs w:val="24"/>
          <w:lang w:val="fr-BE"/>
        </w:rPr>
        <w:t xml:space="preserve"> (2016) </w:t>
      </w:r>
      <w:hyperlink r:id="rId343" w:history="1">
        <w:r>
          <w:rPr>
            <w:rFonts w:ascii="Times New Roman" w:eastAsia="Times New Roman" w:hAnsi="Times New Roman" w:cs="Times New Roman"/>
            <w:noProof/>
            <w:color w:val="0000FF" w:themeColor="hyperlink"/>
            <w:sz w:val="24"/>
            <w:szCs w:val="24"/>
            <w:u w:val="single"/>
            <w:lang w:val="fr-BE"/>
          </w:rPr>
          <w:t>Etude sur les mesures contre les déséquilibres de marché : quelles perspectives pour l'après quotas dans le secteur la</w:t>
        </w:r>
        <w:r>
          <w:rPr>
            <w:rFonts w:ascii="Times New Roman" w:eastAsia="Times New Roman" w:hAnsi="Times New Roman" w:cs="Times New Roman"/>
            <w:noProof/>
            <w:color w:val="0000FF" w:themeColor="hyperlink"/>
            <w:sz w:val="24"/>
            <w:szCs w:val="24"/>
            <w:u w:val="single"/>
            <w:lang w:val="fr-BE"/>
          </w:rPr>
          <w:t>itier européen?</w:t>
        </w:r>
      </w:hyperlink>
      <w:r>
        <w:rPr>
          <w:rFonts w:ascii="Times New Roman" w:eastAsia="Times New Roman" w:hAnsi="Times New Roman" w:cs="Times New Roman"/>
          <w:noProof/>
          <w:sz w:val="24"/>
          <w:szCs w:val="24"/>
          <w:lang w:val="fr-BE"/>
        </w:rPr>
        <w:t xml:space="preserve"> </w:t>
      </w:r>
      <w:r>
        <w:rPr>
          <w:rFonts w:ascii="Times New Roman" w:eastAsia="Times New Roman" w:hAnsi="Times New Roman" w:cs="Times New Roman"/>
          <w:noProof/>
          <w:sz w:val="24"/>
          <w:szCs w:val="24"/>
        </w:rPr>
        <w:t>Study to the Ministry of Agriculture and Food.</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United Nations (2016) </w:t>
      </w:r>
      <w:hyperlink r:id="rId344" w:history="1">
        <w:r>
          <w:rPr>
            <w:rFonts w:ascii="Times New Roman" w:hAnsi="Times New Roman" w:cs="Times New Roman"/>
            <w:noProof/>
            <w:color w:val="0000FF"/>
            <w:sz w:val="24"/>
            <w:szCs w:val="24"/>
            <w:u w:val="single"/>
          </w:rPr>
          <w:t>Report of the Inter-Agency and Expert Group on Sustainable Development Go</w:t>
        </w:r>
        <w:r>
          <w:rPr>
            <w:rFonts w:ascii="Times New Roman" w:hAnsi="Times New Roman" w:cs="Times New Roman"/>
            <w:noProof/>
            <w:color w:val="0000FF"/>
            <w:sz w:val="24"/>
            <w:szCs w:val="24"/>
            <w:u w:val="single"/>
          </w:rPr>
          <w:t>al Indicators (E/CN.3/2016/2/Rev.1) Annex IV: Final list of proposed Sustainable Development Goal indicators</w:t>
        </w:r>
      </w:hyperlink>
      <w:r>
        <w:rPr>
          <w:rFonts w:ascii="Times New Roman" w:hAnsi="Times New Roman" w:cs="Times New Roman"/>
          <w:noProof/>
          <w:color w:val="0000FF"/>
          <w:sz w:val="24"/>
          <w:szCs w:val="24"/>
          <w:u w:val="single"/>
        </w:rPr>
        <w:t>,</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University Press, Cambridge, United Kingdom and New York, USA.</w:t>
      </w:r>
    </w:p>
    <w:p w:rsidR="00333A1A" w:rsidRDefault="003D29C9">
      <w:pPr>
        <w:spacing w:afterLines="60" w:after="144"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United States Department of Agriculture (USDA) </w:t>
      </w:r>
      <w:hyperlink r:id="rId345" w:history="1">
        <w:r>
          <w:rPr>
            <w:rFonts w:ascii="Times New Roman" w:hAnsi="Times New Roman" w:cs="Times New Roman"/>
            <w:noProof/>
            <w:color w:val="0000FF"/>
            <w:sz w:val="24"/>
            <w:szCs w:val="24"/>
            <w:u w:val="single"/>
          </w:rPr>
          <w:t>Farm Bill Home</w:t>
        </w:r>
      </w:hyperlink>
      <w:r>
        <w:rPr>
          <w:rFonts w:ascii="Times New Roman" w:hAnsi="Times New Roman" w:cs="Times New Roman"/>
          <w:noProof/>
          <w:sz w:val="24"/>
          <w:szCs w:val="24"/>
        </w:rPr>
        <w:t>, Farm Service Agency, website.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Van Bavel, R.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(2018) </w:t>
      </w:r>
      <w:hyperlink r:id="rId346" w:history="1">
        <w:r>
          <w:rPr>
            <w:rFonts w:ascii="Times New Roman" w:eastAsia="Times New Roman" w:hAnsi="Times New Roman" w:cs="Times New Roman"/>
            <w:noProof/>
            <w:color w:val="0000FF" w:themeColor="hyperlink"/>
            <w:sz w:val="24"/>
            <w:szCs w:val="24"/>
            <w:u w:val="single"/>
          </w:rPr>
          <w:t>Applying</w:t>
        </w:r>
        <w:r>
          <w:rPr>
            <w:rFonts w:ascii="Times New Roman" w:eastAsia="Times New Roman" w:hAnsi="Times New Roman" w:cs="Times New Roman"/>
            <w:noProof/>
            <w:color w:val="0000FF" w:themeColor="hyperlink"/>
            <w:sz w:val="24"/>
            <w:szCs w:val="24"/>
            <w:u w:val="single"/>
          </w:rPr>
          <w:t xml:space="preserve"> behavioural sciences to EU policy-making</w:t>
        </w:r>
      </w:hyperlink>
      <w:r>
        <w:rPr>
          <w:rFonts w:ascii="Times New Roman" w:eastAsia="Times New Roman" w:hAnsi="Times New Roman" w:cs="Times New Roman"/>
          <w:noProof/>
          <w:sz w:val="24"/>
          <w:szCs w:val="24"/>
        </w:rPr>
        <w:t>, JRC Science for Policy.</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Walsh, K.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(2013) </w:t>
      </w:r>
      <w:hyperlink r:id="rId347" w:history="1">
        <w:r>
          <w:rPr>
            <w:rFonts w:ascii="Times New Roman" w:eastAsia="Times New Roman" w:hAnsi="Times New Roman" w:cs="Times New Roman"/>
            <w:noProof/>
            <w:color w:val="0000FF"/>
            <w:sz w:val="24"/>
            <w:szCs w:val="24"/>
            <w:u w:val="single"/>
          </w:rPr>
          <w:t xml:space="preserve">Employment and social inclusion in </w:t>
        </w:r>
        <w:r>
          <w:rPr>
            <w:rFonts w:ascii="Times New Roman" w:eastAsia="Times New Roman" w:hAnsi="Times New Roman" w:cs="Times New Roman"/>
            <w:noProof/>
            <w:color w:val="0000FF"/>
            <w:sz w:val="24"/>
            <w:szCs w:val="24"/>
            <w:u w:val="single"/>
          </w:rPr>
          <w:t>rural areas: a fresh start</w:t>
        </w:r>
      </w:hyperlink>
      <w:r>
        <w:rPr>
          <w:rFonts w:ascii="Times New Roman" w:eastAsia="Times New Roman" w:hAnsi="Times New Roman" w:cs="Times New Roman"/>
          <w:noProof/>
          <w:sz w:val="24"/>
          <w:szCs w:val="24"/>
        </w:rPr>
        <w:t>, POBAL, Government supporting communities.</w:t>
      </w:r>
    </w:p>
    <w:p w:rsidR="00333A1A" w:rsidRDefault="003D29C9">
      <w:pPr>
        <w:spacing w:afterLines="60" w:after="144" w:line="240" w:lineRule="auto"/>
        <w:jc w:val="both"/>
        <w:rPr>
          <w:rFonts w:ascii="Times New Roman" w:eastAsia="Times New Roman" w:hAnsi="Times New Roman" w:cs="Times New Roman"/>
          <w:noProof/>
          <w:sz w:val="24"/>
          <w:szCs w:val="24"/>
          <w:lang w:val="en"/>
        </w:rPr>
      </w:pPr>
      <w:r>
        <w:rPr>
          <w:rFonts w:ascii="Times New Roman" w:eastAsia="Times New Roman" w:hAnsi="Times New Roman" w:cs="Times New Roman"/>
          <w:noProof/>
          <w:sz w:val="24"/>
          <w:szCs w:val="24"/>
        </w:rPr>
        <w:t xml:space="preserve">Wiest, K. (2016) </w:t>
      </w:r>
      <w:hyperlink r:id="rId348" w:history="1">
        <w:r>
          <w:rPr>
            <w:rFonts w:ascii="Times New Roman" w:eastAsia="Times New Roman" w:hAnsi="Times New Roman" w:cs="Times New Roman"/>
            <w:noProof/>
            <w:color w:val="0000FF"/>
            <w:sz w:val="24"/>
            <w:szCs w:val="24"/>
            <w:u w:val="single"/>
          </w:rPr>
          <w:t xml:space="preserve">Women and migration in Rural Europe. </w:t>
        </w:r>
        <w:r>
          <w:rPr>
            <w:rFonts w:ascii="Times New Roman" w:eastAsia="Times New Roman" w:hAnsi="Times New Roman" w:cs="Times New Roman"/>
            <w:noProof/>
            <w:color w:val="0000FF"/>
            <w:sz w:val="24"/>
            <w:szCs w:val="24"/>
            <w:u w:val="single"/>
            <w:lang w:val="en"/>
          </w:rPr>
          <w:t>Labour Markets, Representations and Policies</w:t>
        </w:r>
      </w:hyperlink>
      <w:r>
        <w:rPr>
          <w:rFonts w:ascii="Times New Roman" w:eastAsia="Times New Roman" w:hAnsi="Times New Roman" w:cs="Times New Roman"/>
          <w:noProof/>
          <w:sz w:val="24"/>
          <w:szCs w:val="24"/>
        </w:rPr>
        <w:t>, New Geographies of Euro</w:t>
      </w:r>
      <w:r>
        <w:rPr>
          <w:rFonts w:ascii="Times New Roman" w:eastAsia="Times New Roman" w:hAnsi="Times New Roman" w:cs="Times New Roman"/>
          <w:noProof/>
          <w:sz w:val="24"/>
          <w:szCs w:val="24"/>
        </w:rPr>
        <w:t>pe.</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Wiggering, H.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(2005) </w:t>
      </w:r>
      <w:hyperlink r:id="rId349" w:history="1">
        <w:r>
          <w:rPr>
            <w:rFonts w:ascii="Times New Roman" w:eastAsia="Times New Roman" w:hAnsi="Times New Roman" w:cs="Times New Roman"/>
            <w:noProof/>
            <w:color w:val="0000FF" w:themeColor="hyperlink"/>
            <w:sz w:val="24"/>
            <w:szCs w:val="24"/>
            <w:u w:val="single"/>
          </w:rPr>
          <w:t>Indicators for multifunctional land use - Linking socio-economic requirements with landscape potentials</w:t>
        </w:r>
      </w:hyperlink>
      <w:r>
        <w:rPr>
          <w:rFonts w:ascii="Times New Roman" w:eastAsia="Times New Roman" w:hAnsi="Times New Roman" w:cs="Times New Roman"/>
          <w:noProof/>
          <w:sz w:val="24"/>
          <w:szCs w:val="24"/>
        </w:rPr>
        <w:t>, Ecological Indicators 6.</w:t>
      </w:r>
    </w:p>
    <w:p w:rsidR="00333A1A" w:rsidRDefault="003D29C9">
      <w:pPr>
        <w:spacing w:afterLines="60" w:after="144"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Wijnands, </w:t>
      </w:r>
      <w:r>
        <w:rPr>
          <w:rFonts w:ascii="Times New Roman" w:hAnsi="Times New Roman" w:cs="Times New Roman"/>
          <w:noProof/>
          <w:color w:val="000000"/>
          <w:sz w:val="24"/>
          <w:szCs w:val="24"/>
        </w:rPr>
        <w:t xml:space="preserve">Jo H.M. </w:t>
      </w:r>
      <w:r>
        <w:rPr>
          <w:rFonts w:ascii="Times New Roman" w:eastAsia="Times New Roman" w:hAnsi="Times New Roman" w:cs="Times New Roman"/>
          <w:noProof/>
          <w:color w:val="000000"/>
          <w:sz w:val="24"/>
          <w:szCs w:val="24"/>
        </w:rPr>
        <w:t xml:space="preserve">et al (2017) </w:t>
      </w:r>
      <w:hyperlink r:id="rId350" w:history="1">
        <w:r>
          <w:rPr>
            <w:rFonts w:ascii="Times New Roman" w:eastAsia="Times New Roman" w:hAnsi="Times New Roman" w:cs="Times New Roman"/>
            <w:noProof/>
            <w:color w:val="0000FF" w:themeColor="hyperlink"/>
            <w:sz w:val="24"/>
            <w:szCs w:val="24"/>
            <w:u w:val="single"/>
          </w:rPr>
          <w:t xml:space="preserve">Analyses of the Functioning of Milk Package provisions as regards Producer Organisations and collective </w:t>
        </w:r>
        <w:r>
          <w:rPr>
            <w:rFonts w:ascii="Times New Roman" w:eastAsia="Times New Roman" w:hAnsi="Times New Roman" w:cs="Times New Roman"/>
            <w:noProof/>
            <w:color w:val="0000FF" w:themeColor="hyperlink"/>
            <w:sz w:val="24"/>
            <w:szCs w:val="24"/>
            <w:u w:val="single"/>
          </w:rPr>
          <w:t>negotiations</w:t>
        </w:r>
      </w:hyperlink>
      <w:r>
        <w:rPr>
          <w:rFonts w:ascii="Times New Roman" w:eastAsia="Times New Roman" w:hAnsi="Times New Roman" w:cs="Times New Roman"/>
          <w:noProof/>
          <w:color w:val="000000"/>
          <w:sz w:val="24"/>
          <w:szCs w:val="24"/>
        </w:rPr>
        <w:t>, European Commission, Joint Research Centre (JRC).</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 xml:space="preserve">World Bank on the European Union (2017) </w:t>
      </w:r>
      <w:hyperlink r:id="rId351" w:history="1">
        <w:r>
          <w:rPr>
            <w:rFonts w:ascii="Times New Roman" w:eastAsia="Times New Roman" w:hAnsi="Times New Roman" w:cs="Times New Roman"/>
            <w:noProof/>
            <w:color w:val="0000FF"/>
            <w:sz w:val="24"/>
            <w:szCs w:val="20"/>
            <w:u w:val="single"/>
          </w:rPr>
          <w:t>Thinking CAP Supporting Agricultural Job</w:t>
        </w:r>
        <w:r>
          <w:rPr>
            <w:rFonts w:ascii="Times New Roman" w:eastAsia="Times New Roman" w:hAnsi="Times New Roman" w:cs="Times New Roman"/>
            <w:noProof/>
            <w:color w:val="0000FF"/>
            <w:sz w:val="24"/>
            <w:szCs w:val="20"/>
            <w:u w:val="single"/>
          </w:rPr>
          <w:t>s and Incomes in the EU</w:t>
        </w:r>
      </w:hyperlink>
      <w:r>
        <w:rPr>
          <w:rFonts w:ascii="Times New Roman" w:eastAsia="Times New Roman" w:hAnsi="Times New Roman" w:cs="Times New Roman"/>
          <w:noProof/>
          <w:color w:val="0000FF"/>
          <w:sz w:val="24"/>
          <w:szCs w:val="20"/>
          <w:u w:val="single"/>
        </w:rPr>
        <w:t xml:space="preserve">, </w:t>
      </w:r>
      <w:r>
        <w:rPr>
          <w:rFonts w:ascii="Times New Roman" w:eastAsia="Times New Roman" w:hAnsi="Times New Roman" w:cs="Times New Roman"/>
          <w:noProof/>
          <w:sz w:val="24"/>
          <w:szCs w:val="24"/>
        </w:rPr>
        <w:t>EU Regular Economic Report 4.</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Wreford, A.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(2017) </w:t>
      </w:r>
      <w:hyperlink r:id="rId352" w:history="1">
        <w:r>
          <w:rPr>
            <w:rFonts w:ascii="Times New Roman" w:eastAsia="Times New Roman" w:hAnsi="Times New Roman" w:cs="Times New Roman"/>
            <w:noProof/>
            <w:color w:val="0000FF" w:themeColor="hyperlink"/>
            <w:sz w:val="24"/>
            <w:szCs w:val="24"/>
            <w:u w:val="single"/>
          </w:rPr>
          <w:t>Overcoming ba</w:t>
        </w:r>
        <w:r>
          <w:rPr>
            <w:rFonts w:ascii="Times New Roman" w:eastAsia="Times New Roman" w:hAnsi="Times New Roman" w:cs="Times New Roman"/>
            <w:noProof/>
            <w:color w:val="0000FF" w:themeColor="hyperlink"/>
            <w:sz w:val="24"/>
            <w:szCs w:val="24"/>
            <w:u w:val="single"/>
          </w:rPr>
          <w:t>rriers to the adoption of climate-friendly practices in agriculture</w:t>
        </w:r>
      </w:hyperlink>
      <w:r>
        <w:rPr>
          <w:rFonts w:ascii="Times New Roman" w:eastAsia="Times New Roman" w:hAnsi="Times New Roman" w:cs="Times New Roman"/>
          <w:noProof/>
          <w:sz w:val="24"/>
          <w:szCs w:val="24"/>
        </w:rPr>
        <w:t xml:space="preserve">. </w:t>
      </w:r>
      <w:r>
        <w:rPr>
          <w:rFonts w:ascii="Times New Roman" w:eastAsia="Times New Roman" w:hAnsi="Times New Roman" w:cs="Times New Roman"/>
          <w:iCs/>
          <w:noProof/>
          <w:sz w:val="24"/>
          <w:szCs w:val="24"/>
        </w:rPr>
        <w:t>OECD Food, Agriculture and Fisheries Papers</w:t>
      </w:r>
      <w:r>
        <w:rPr>
          <w:rFonts w:ascii="Times New Roman" w:eastAsia="Times New Roman" w:hAnsi="Times New Roman" w:cs="Times New Roman"/>
          <w:noProof/>
          <w:sz w:val="24"/>
          <w:szCs w:val="24"/>
        </w:rPr>
        <w:t>, n°</w:t>
      </w:r>
      <w:r>
        <w:rPr>
          <w:rFonts w:ascii="Times New Roman" w:eastAsia="Times New Roman" w:hAnsi="Times New Roman" w:cs="Times New Roman"/>
          <w:iCs/>
          <w:noProof/>
          <w:sz w:val="24"/>
          <w:szCs w:val="24"/>
        </w:rPr>
        <w:t>101</w:t>
      </w:r>
      <w:r>
        <w:rPr>
          <w:rFonts w:ascii="Times New Roman" w:eastAsia="Times New Roman" w:hAnsi="Times New Roman" w:cs="Times New Roman"/>
          <w:noProof/>
          <w:sz w:val="24"/>
          <w:szCs w:val="24"/>
        </w:rPr>
        <w:t>.</w:t>
      </w:r>
    </w:p>
    <w:p w:rsidR="00333A1A" w:rsidRDefault="003D29C9">
      <w:pPr>
        <w:spacing w:afterLines="60" w:after="144"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Zawalińska </w:t>
      </w:r>
      <w:r>
        <w:rPr>
          <w:rFonts w:ascii="Times New Roman" w:eastAsia="Times New Roman" w:hAnsi="Times New Roman" w:cs="Times New Roman"/>
          <w:noProof/>
          <w:color w:val="000000"/>
          <w:sz w:val="24"/>
          <w:szCs w:val="24"/>
        </w:rPr>
        <w:t xml:space="preserve">K. </w:t>
      </w:r>
      <w:r>
        <w:rPr>
          <w:rFonts w:ascii="Times New Roman" w:eastAsia="Times New Roman" w:hAnsi="Times New Roman" w:cs="Times New Roman"/>
          <w:noProof/>
          <w:sz w:val="24"/>
          <w:szCs w:val="24"/>
        </w:rPr>
        <w:t xml:space="preserve">(2017) </w:t>
      </w:r>
      <w:hyperlink r:id="rId353" w:history="1">
        <w:r>
          <w:rPr>
            <w:rFonts w:ascii="Times New Roman" w:eastAsia="Times New Roman" w:hAnsi="Times New Roman" w:cs="Times New Roman"/>
            <w:noProof/>
            <w:color w:val="0000FF"/>
            <w:sz w:val="24"/>
            <w:szCs w:val="24"/>
            <w:u w:val="single"/>
          </w:rPr>
          <w:t>Territorial cohesion through lenses of the CAP and rural areas</w:t>
        </w:r>
      </w:hyperlink>
      <w:r>
        <w:rPr>
          <w:rFonts w:ascii="Times New Roman" w:eastAsia="Times New Roman" w:hAnsi="Times New Roman" w:cs="Times New Roman"/>
          <w:noProof/>
          <w:sz w:val="24"/>
          <w:szCs w:val="24"/>
        </w:rPr>
        <w:t>, workshop organised by Directorate General of Agriculture and Rural Development.</w:t>
      </w:r>
    </w:p>
    <w:p w:rsidR="00333A1A" w:rsidRDefault="003D29C9">
      <w:pPr>
        <w:rPr>
          <w:noProof/>
        </w:rPr>
      </w:pPr>
      <w:r>
        <w:rPr>
          <w:noProof/>
        </w:rPr>
        <w:br w:type="page"/>
      </w:r>
    </w:p>
    <w:p w:rsidR="00333A1A" w:rsidRDefault="003D29C9">
      <w:pPr>
        <w:pStyle w:val="AnnexTitle"/>
        <w:rPr>
          <w:noProof/>
          <w:sz w:val="28"/>
          <w:szCs w:val="28"/>
        </w:rPr>
      </w:pPr>
      <w:bookmarkStart w:id="366" w:name="_Toc513053325"/>
      <w:bookmarkStart w:id="367" w:name="_Toc513053541"/>
      <w:bookmarkStart w:id="368" w:name="_Toc514514669"/>
      <w:r>
        <w:rPr>
          <w:noProof/>
        </w:rPr>
        <w:t xml:space="preserve">Annex 10 – </w:t>
      </w:r>
      <w:bookmarkEnd w:id="366"/>
      <w:bookmarkEnd w:id="367"/>
      <w:r>
        <w:rPr>
          <w:noProof/>
          <w:sz w:val="28"/>
          <w:szCs w:val="28"/>
        </w:rPr>
        <w:t>Glossary</w:t>
      </w:r>
      <w:r>
        <w:rPr>
          <w:rStyle w:val="FootnoteReference"/>
          <w:noProof/>
          <w:sz w:val="28"/>
          <w:szCs w:val="28"/>
        </w:rPr>
        <w:footnoteReference w:id="183"/>
      </w:r>
      <w:bookmarkEnd w:id="368"/>
    </w:p>
    <w:tbl>
      <w:tblPr>
        <w:tblW w:w="54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6"/>
        <w:gridCol w:w="6380"/>
      </w:tblGrid>
      <w:tr w:rsidR="00333A1A">
        <w:trPr>
          <w:cantSplit/>
          <w:tblHeader/>
          <w:jc w:val="center"/>
        </w:trPr>
        <w:tc>
          <w:tcPr>
            <w:tcW w:w="167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33A1A" w:rsidRDefault="003D29C9">
            <w:pPr>
              <w:jc w:val="center"/>
              <w:rPr>
                <w:rFonts w:ascii="Times New Roman" w:hAnsi="Times New Roman" w:cs="Times New Roman"/>
                <w:b/>
                <w:i/>
                <w:noProof/>
                <w:sz w:val="24"/>
                <w:szCs w:val="24"/>
                <w:lang w:eastAsia="it-IT"/>
              </w:rPr>
            </w:pPr>
            <w:r>
              <w:rPr>
                <w:rFonts w:ascii="Times New Roman" w:hAnsi="Times New Roman" w:cs="Times New Roman"/>
                <w:b/>
                <w:i/>
                <w:noProof/>
                <w:sz w:val="24"/>
                <w:szCs w:val="24"/>
                <w:lang w:eastAsia="it-IT"/>
              </w:rPr>
              <w:t>Term or acronym</w:t>
            </w:r>
          </w:p>
        </w:tc>
        <w:tc>
          <w:tcPr>
            <w:tcW w:w="33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33A1A" w:rsidRDefault="003D29C9">
            <w:pPr>
              <w:jc w:val="center"/>
              <w:rPr>
                <w:rFonts w:ascii="Times New Roman" w:hAnsi="Times New Roman" w:cs="Times New Roman"/>
                <w:b/>
                <w:i/>
                <w:noProof/>
                <w:sz w:val="24"/>
                <w:szCs w:val="24"/>
                <w:lang w:eastAsia="it-IT"/>
              </w:rPr>
            </w:pPr>
            <w:r>
              <w:rPr>
                <w:rFonts w:ascii="Times New Roman" w:hAnsi="Times New Roman" w:cs="Times New Roman"/>
                <w:b/>
                <w:i/>
                <w:noProof/>
                <w:sz w:val="24"/>
                <w:szCs w:val="24"/>
                <w:lang w:eastAsia="it-IT"/>
              </w:rPr>
              <w:t xml:space="preserve">Meaning </w:t>
            </w:r>
            <w:r>
              <w:rPr>
                <w:rFonts w:ascii="Times New Roman" w:hAnsi="Times New Roman" w:cs="Times New Roman"/>
                <w:b/>
                <w:i/>
                <w:noProof/>
                <w:sz w:val="24"/>
                <w:szCs w:val="24"/>
                <w:lang w:eastAsia="it-IT"/>
              </w:rPr>
              <w:t>or definition</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Administrative burden</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Costs incurred by enterprises, the voluntary sector, public authorities and citizens in meeting legal obligations to provide information on their activities, either to public authorities or to private parties, and resul</w:t>
            </w:r>
            <w:r>
              <w:rPr>
                <w:rFonts w:ascii="Times New Roman" w:hAnsi="Times New Roman" w:cs="Times New Roman"/>
                <w:noProof/>
                <w:sz w:val="24"/>
                <w:szCs w:val="24"/>
                <w:lang w:eastAsia="it-IT"/>
              </w:rPr>
              <w:t>ting from collecting and processing information which would not be done in the absence of a legal obligation.</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Advisory services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These are services intended to assist farmers (as well as forest holders and small and medium enterprises in rural areas) to </w:t>
            </w:r>
            <w:r>
              <w:rPr>
                <w:rFonts w:ascii="Times New Roman" w:hAnsi="Times New Roman" w:cs="Times New Roman"/>
                <w:noProof/>
                <w:sz w:val="24"/>
                <w:szCs w:val="24"/>
                <w:lang w:eastAsia="it-IT"/>
              </w:rPr>
              <w:t>improve the economic and environmental performance of their holdings. These services provide tailor-made advice, taking into consideration the specificities of the farm, to contribute to the sustainability and climate friendliness of the holding. The scope</w:t>
            </w:r>
            <w:r>
              <w:rPr>
                <w:rFonts w:ascii="Times New Roman" w:hAnsi="Times New Roman" w:cs="Times New Roman"/>
                <w:noProof/>
                <w:sz w:val="24"/>
                <w:szCs w:val="24"/>
                <w:lang w:eastAsia="it-IT"/>
              </w:rPr>
              <w:t xml:space="preserve"> of the advice covers any economic, environmental and social aspect that a beneficiary may need to develop his or her activity.</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AECM </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Agri-Environment and Climate Measure:</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These are practices, undertaken voluntarily by farmers, over a set period. Support </w:t>
            </w:r>
            <w:r>
              <w:rPr>
                <w:rFonts w:ascii="Times New Roman" w:hAnsi="Times New Roman" w:cs="Times New Roman"/>
                <w:noProof/>
                <w:sz w:val="24"/>
                <w:szCs w:val="24"/>
                <w:lang w:eastAsia="it-IT"/>
              </w:rPr>
              <w:t xml:space="preserve">may be provided through Rural Development programmes. The practices bring environmental benefits and /or help to mitigate and adapt to climate change. The payments compensate farmers for the extra costs that they incur and the income that they forego when </w:t>
            </w:r>
            <w:r>
              <w:rPr>
                <w:rFonts w:ascii="Times New Roman" w:hAnsi="Times New Roman" w:cs="Times New Roman"/>
                <w:noProof/>
                <w:sz w:val="24"/>
                <w:szCs w:val="24"/>
                <w:lang w:eastAsia="it-IT"/>
              </w:rPr>
              <w:t>they undertake these practices. The practices must go beyond a number of obligations which apply to farmers in any case – including (but not limited to) cross-compliance and relevant national legislation. A given practice which is funded through the greeni</w:t>
            </w:r>
            <w:r>
              <w:rPr>
                <w:rFonts w:ascii="Times New Roman" w:hAnsi="Times New Roman" w:cs="Times New Roman"/>
                <w:noProof/>
                <w:sz w:val="24"/>
                <w:szCs w:val="24"/>
                <w:lang w:eastAsia="it-IT"/>
              </w:rPr>
              <w:t>ng provisions of pillar I may not also be funded through an agri-environment-climate measure.</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val="en" w:eastAsia="it-IT"/>
              </w:rPr>
              <w:t>AKIS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val="en" w:eastAsia="it-IT"/>
              </w:rPr>
            </w:pPr>
            <w:r>
              <w:rPr>
                <w:rFonts w:ascii="Times New Roman" w:hAnsi="Times New Roman" w:cs="Times New Roman"/>
                <w:noProof/>
                <w:sz w:val="24"/>
                <w:szCs w:val="24"/>
                <w:lang w:eastAsia="it-IT"/>
              </w:rPr>
              <w:t>“</w:t>
            </w:r>
            <w:r>
              <w:rPr>
                <w:rFonts w:ascii="Times New Roman" w:hAnsi="Times New Roman" w:cs="Times New Roman"/>
                <w:noProof/>
                <w:sz w:val="24"/>
                <w:szCs w:val="24"/>
                <w:lang w:val="en" w:eastAsia="it-IT"/>
              </w:rPr>
              <w:t xml:space="preserve">Agricultural Knowledge and Innovation System” means the combined organisational context and interaction of stakeholders who use and produce knowledge and </w:t>
            </w:r>
            <w:r>
              <w:rPr>
                <w:rFonts w:ascii="Times New Roman" w:hAnsi="Times New Roman" w:cs="Times New Roman"/>
                <w:noProof/>
                <w:sz w:val="24"/>
                <w:szCs w:val="24"/>
                <w:lang w:val="en" w:eastAsia="it-IT"/>
              </w:rPr>
              <w:t>innovation for agriculture and rural areas, including farmers, advisors, trainers, researchers, and other agricultural experts. The scope of the knowledge exchange and innovation within AKIS reaches out to EU, national, regional, and local levels and cover</w:t>
            </w:r>
            <w:r>
              <w:rPr>
                <w:rFonts w:ascii="Times New Roman" w:hAnsi="Times New Roman" w:cs="Times New Roman"/>
                <w:noProof/>
                <w:sz w:val="24"/>
                <w:szCs w:val="24"/>
                <w:lang w:val="en" w:eastAsia="it-IT"/>
              </w:rPr>
              <w:t>s issues related to agriculture and wider rural concerns, including environment, climate change, energy supply, agri-food or bio-based value chains, and rural businesses opportunities.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ANC</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 xml:space="preserve">Areas with Natural or other Specific Constraints: </w:t>
            </w:r>
          </w:p>
          <w:p w:rsidR="00333A1A" w:rsidRDefault="003D29C9">
            <w:pPr>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These are areas</w:t>
            </w:r>
            <w:r>
              <w:rPr>
                <w:rFonts w:ascii="Times New Roman" w:hAnsi="Times New Roman" w:cs="Times New Roman"/>
                <w:noProof/>
                <w:color w:val="000000"/>
                <w:sz w:val="23"/>
                <w:szCs w:val="23"/>
                <w:lang w:val="en-US"/>
              </w:rPr>
              <w:t xml:space="preserve"> where farming is handicapped by a natural or other specific constraint. The areas have to be delimited by member states on the basis of eight biophysical criteria (e.g. slope), with some flexibility for member states to use other criteria for up to 10% of</w:t>
            </w:r>
            <w:r>
              <w:rPr>
                <w:rFonts w:ascii="Times New Roman" w:hAnsi="Times New Roman" w:cs="Times New Roman"/>
                <w:noProof/>
                <w:color w:val="000000"/>
                <w:sz w:val="23"/>
                <w:szCs w:val="23"/>
                <w:lang w:val="en-US"/>
              </w:rPr>
              <w:t xml:space="preserve"> their agricultural area. Before the 2013 reform of the Common Agricultural Policy, such areas were known as ʽ</w:t>
            </w:r>
            <w:r>
              <w:rPr>
                <w:rFonts w:ascii="Times New Roman" w:hAnsi="Times New Roman" w:cs="Times New Roman"/>
                <w:noProof/>
                <w:color w:val="000000"/>
                <w:sz w:val="23"/>
                <w:szCs w:val="23"/>
                <w:u w:val="single"/>
                <w:lang w:val="en-US"/>
              </w:rPr>
              <w:t>Less Favoured Areas</w:t>
            </w:r>
            <w:r>
              <w:rPr>
                <w:rFonts w:ascii="Times New Roman" w:hAnsi="Times New Roman" w:cs="Times New Roman"/>
                <w:noProof/>
                <w:color w:val="000000"/>
                <w:sz w:val="23"/>
                <w:szCs w:val="23"/>
                <w:lang w:val="en-US"/>
              </w:rPr>
              <w:t>ʼ</w:t>
            </w:r>
            <w:r>
              <w:rPr>
                <w:rFonts w:ascii="Times New Roman" w:hAnsi="Times New Roman" w:cs="Times New Roman"/>
                <w:noProof/>
                <w:color w:val="000000"/>
                <w:sz w:val="23"/>
                <w:szCs w:val="23"/>
                <w:lang w:val="en-US"/>
              </w:rPr>
              <w:t xml:space="preserve"> (LFAs) and were defined under much vaguer criteria – a fact criticised by the European Court of Auditors. </w:t>
            </w:r>
          </w:p>
          <w:p w:rsidR="00333A1A" w:rsidRDefault="003D29C9">
            <w:pPr>
              <w:autoSpaceDE w:val="0"/>
              <w:autoSpaceDN w:val="0"/>
              <w:adjustRightInd w:val="0"/>
              <w:spacing w:after="0" w:line="240" w:lineRule="auto"/>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In these areas, fa</w:t>
            </w:r>
            <w:r>
              <w:rPr>
                <w:rFonts w:ascii="Times New Roman" w:hAnsi="Times New Roman" w:cs="Times New Roman"/>
                <w:noProof/>
                <w:color w:val="000000"/>
                <w:sz w:val="23"/>
                <w:szCs w:val="23"/>
                <w:lang w:val="en-US"/>
              </w:rPr>
              <w:t xml:space="preserve">rmers face higher costs of production and are eligible for compensatory payments calculated on the basis of the additional costs incurred and income foregone. </w:t>
            </w:r>
          </w:p>
          <w:p w:rsidR="00333A1A" w:rsidRDefault="003D29C9">
            <w:pPr>
              <w:autoSpaceDE w:val="0"/>
              <w:autoSpaceDN w:val="0"/>
              <w:adjustRightInd w:val="0"/>
              <w:spacing w:after="0" w:line="240" w:lineRule="auto"/>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 xml:space="preserve">There are three different categories of such area: </w:t>
            </w:r>
          </w:p>
          <w:p w:rsidR="00333A1A" w:rsidRDefault="003D29C9">
            <w:pPr>
              <w:autoSpaceDE w:val="0"/>
              <w:autoSpaceDN w:val="0"/>
              <w:adjustRightInd w:val="0"/>
              <w:spacing w:after="0" w:line="240" w:lineRule="auto"/>
              <w:ind w:left="720"/>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 xml:space="preserve">1. mountain areas, which are handicapped by altitude, difficult climatic conditions and a short growing season; </w:t>
            </w:r>
          </w:p>
          <w:p w:rsidR="00333A1A" w:rsidRDefault="00333A1A">
            <w:pPr>
              <w:autoSpaceDE w:val="0"/>
              <w:autoSpaceDN w:val="0"/>
              <w:adjustRightInd w:val="0"/>
              <w:spacing w:after="0" w:line="240" w:lineRule="auto"/>
              <w:ind w:left="720"/>
              <w:jc w:val="both"/>
              <w:rPr>
                <w:rFonts w:ascii="Times New Roman" w:hAnsi="Times New Roman" w:cs="Times New Roman"/>
                <w:noProof/>
                <w:color w:val="000000"/>
                <w:sz w:val="23"/>
                <w:szCs w:val="23"/>
                <w:lang w:val="en-US"/>
              </w:rPr>
            </w:pPr>
          </w:p>
          <w:p w:rsidR="00333A1A" w:rsidRDefault="003D29C9">
            <w:pPr>
              <w:autoSpaceDE w:val="0"/>
              <w:autoSpaceDN w:val="0"/>
              <w:adjustRightInd w:val="0"/>
              <w:spacing w:after="0" w:line="240" w:lineRule="auto"/>
              <w:ind w:left="720"/>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 xml:space="preserve">2. areas, other than mountain areas, facing significant natural constraints; </w:t>
            </w:r>
          </w:p>
          <w:p w:rsidR="00333A1A" w:rsidRDefault="00333A1A">
            <w:pPr>
              <w:autoSpaceDE w:val="0"/>
              <w:autoSpaceDN w:val="0"/>
              <w:adjustRightInd w:val="0"/>
              <w:spacing w:after="0" w:line="240" w:lineRule="auto"/>
              <w:ind w:left="720"/>
              <w:jc w:val="both"/>
              <w:rPr>
                <w:rFonts w:ascii="Times New Roman" w:hAnsi="Times New Roman" w:cs="Times New Roman"/>
                <w:noProof/>
                <w:color w:val="000000"/>
                <w:sz w:val="23"/>
                <w:szCs w:val="23"/>
                <w:lang w:val="en-US"/>
              </w:rPr>
            </w:pPr>
          </w:p>
          <w:p w:rsidR="00333A1A" w:rsidRDefault="003D29C9">
            <w:pPr>
              <w:autoSpaceDE w:val="0"/>
              <w:autoSpaceDN w:val="0"/>
              <w:adjustRightInd w:val="0"/>
              <w:spacing w:after="0" w:line="240" w:lineRule="auto"/>
              <w:ind w:left="720"/>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3. other areas which face specific constraints and where the la</w:t>
            </w:r>
            <w:r>
              <w:rPr>
                <w:rFonts w:ascii="Times New Roman" w:hAnsi="Times New Roman" w:cs="Times New Roman"/>
                <w:noProof/>
                <w:color w:val="000000"/>
                <w:sz w:val="23"/>
                <w:szCs w:val="23"/>
                <w:lang w:val="en-US"/>
              </w:rPr>
              <w:t xml:space="preserve">nd needs to be managed in order to conserve or improve the environment, to maintain the countryside, to preserve the potential for tourism or to protect the coastline. </w:t>
            </w:r>
          </w:p>
          <w:p w:rsidR="00333A1A" w:rsidRDefault="00333A1A">
            <w:pPr>
              <w:jc w:val="both"/>
              <w:rPr>
                <w:rFonts w:ascii="Times New Roman" w:hAnsi="Times New Roman" w:cs="Times New Roman"/>
                <w:noProof/>
                <w:color w:val="000000"/>
                <w:sz w:val="23"/>
                <w:szCs w:val="23"/>
                <w:lang w:val="en-US"/>
              </w:rPr>
            </w:pP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BPS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Basic Payment Scheme:</w:t>
            </w:r>
          </w:p>
          <w:p w:rsidR="00333A1A" w:rsidRDefault="003D29C9">
            <w:pPr>
              <w:autoSpaceDE w:val="0"/>
              <w:autoSpaceDN w:val="0"/>
              <w:adjustRightInd w:val="0"/>
              <w:spacing w:after="0" w:line="240" w:lineRule="auto"/>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Under the 2007-2013 rules of the Common Agricultural Policy</w:t>
            </w:r>
            <w:r>
              <w:rPr>
                <w:rFonts w:ascii="Times New Roman" w:hAnsi="Times New Roman" w:cs="Times New Roman"/>
                <w:noProof/>
                <w:color w:val="000000"/>
                <w:sz w:val="23"/>
                <w:szCs w:val="23"/>
                <w:lang w:val="en-US"/>
              </w:rPr>
              <w:t xml:space="preserve">, farmers received direct payments under either the </w:t>
            </w:r>
            <w:r>
              <w:rPr>
                <w:rFonts w:ascii="Times New Roman" w:hAnsi="Times New Roman" w:cs="Times New Roman"/>
                <w:noProof/>
                <w:color w:val="000000"/>
                <w:sz w:val="23"/>
                <w:szCs w:val="23"/>
                <w:u w:val="single"/>
                <w:lang w:val="en-US"/>
              </w:rPr>
              <w:t>Single Payment Scheme</w:t>
            </w:r>
            <w:r>
              <w:rPr>
                <w:rFonts w:ascii="Times New Roman" w:hAnsi="Times New Roman" w:cs="Times New Roman"/>
                <w:noProof/>
                <w:color w:val="000000"/>
                <w:sz w:val="23"/>
                <w:szCs w:val="23"/>
                <w:lang w:val="en-US"/>
              </w:rPr>
              <w:t xml:space="preserve"> or the </w:t>
            </w:r>
            <w:r>
              <w:rPr>
                <w:rFonts w:ascii="Times New Roman" w:hAnsi="Times New Roman" w:cs="Times New Roman"/>
                <w:noProof/>
                <w:color w:val="000000"/>
                <w:sz w:val="23"/>
                <w:szCs w:val="23"/>
                <w:u w:val="single"/>
                <w:lang w:val="en-US"/>
              </w:rPr>
              <w:t>Single Area Payment Scheme</w:t>
            </w:r>
            <w:r>
              <w:rPr>
                <w:rFonts w:ascii="Times New Roman" w:hAnsi="Times New Roman" w:cs="Times New Roman"/>
                <w:noProof/>
                <w:color w:val="000000"/>
                <w:sz w:val="23"/>
                <w:szCs w:val="23"/>
                <w:lang w:val="en-US"/>
              </w:rPr>
              <w:t xml:space="preserve">. The 2013 reform of the Common Agricultural Policy replaced the </w:t>
            </w:r>
            <w:r>
              <w:rPr>
                <w:rFonts w:ascii="Times New Roman" w:hAnsi="Times New Roman" w:cs="Times New Roman"/>
                <w:noProof/>
                <w:color w:val="000000"/>
                <w:sz w:val="23"/>
                <w:szCs w:val="23"/>
                <w:u w:val="single"/>
                <w:lang w:val="en-US"/>
              </w:rPr>
              <w:t>Single Payment</w:t>
            </w:r>
            <w:r>
              <w:rPr>
                <w:rFonts w:ascii="Times New Roman" w:hAnsi="Times New Roman" w:cs="Times New Roman"/>
                <w:noProof/>
                <w:color w:val="000000"/>
                <w:sz w:val="23"/>
                <w:szCs w:val="23"/>
                <w:lang w:val="en-US"/>
              </w:rPr>
              <w:t xml:space="preserve"> Scheme with the Basic Payment Scheme which came into effect as from 2</w:t>
            </w:r>
            <w:r>
              <w:rPr>
                <w:rFonts w:ascii="Times New Roman" w:hAnsi="Times New Roman" w:cs="Times New Roman"/>
                <w:noProof/>
                <w:color w:val="000000"/>
                <w:sz w:val="23"/>
                <w:szCs w:val="23"/>
                <w:lang w:val="en-US"/>
              </w:rPr>
              <w:t xml:space="preserve">015. The Basic Payment Scheme is operated on the basis of </w:t>
            </w:r>
            <w:r>
              <w:rPr>
                <w:rFonts w:ascii="Times New Roman" w:hAnsi="Times New Roman" w:cs="Times New Roman"/>
                <w:noProof/>
                <w:color w:val="000000"/>
                <w:sz w:val="23"/>
                <w:szCs w:val="23"/>
                <w:u w:val="single"/>
                <w:lang w:val="en-US"/>
              </w:rPr>
              <w:t>payment entitlements</w:t>
            </w:r>
            <w:r>
              <w:rPr>
                <w:rFonts w:ascii="Times New Roman" w:hAnsi="Times New Roman" w:cs="Times New Roman"/>
                <w:noProof/>
                <w:color w:val="000000"/>
                <w:sz w:val="23"/>
                <w:szCs w:val="23"/>
                <w:lang w:val="en-US"/>
              </w:rPr>
              <w:t xml:space="preserve"> allocated to farmers in the first year of application of the scheme and activated each year by farmers. </w:t>
            </w:r>
          </w:p>
          <w:p w:rsidR="00333A1A" w:rsidRDefault="003D29C9">
            <w:pPr>
              <w:jc w:val="both"/>
              <w:rPr>
                <w:rFonts w:ascii="Times New Roman" w:hAnsi="Times New Roman" w:cs="Times New Roman"/>
                <w:noProof/>
                <w:sz w:val="24"/>
                <w:szCs w:val="24"/>
                <w:lang w:val="en-US" w:eastAsia="it-IT"/>
              </w:rPr>
            </w:pPr>
            <w:r>
              <w:rPr>
                <w:rFonts w:ascii="Times New Roman" w:hAnsi="Times New Roman" w:cs="Times New Roman"/>
                <w:noProof/>
                <w:color w:val="000000"/>
                <w:sz w:val="23"/>
                <w:szCs w:val="23"/>
                <w:lang w:val="en-US"/>
              </w:rPr>
              <w:t xml:space="preserve">Eligibility for the Basic Payment Scheme or, as the case may be, the Single Area Payment Scheme is a precondition for farmers to receive other direct payments such as the </w:t>
            </w:r>
            <w:r>
              <w:rPr>
                <w:rFonts w:ascii="Times New Roman" w:hAnsi="Times New Roman" w:cs="Times New Roman"/>
                <w:noProof/>
                <w:color w:val="000000"/>
                <w:sz w:val="23"/>
                <w:szCs w:val="23"/>
                <w:u w:val="single"/>
                <w:lang w:val="en-US"/>
              </w:rPr>
              <w:t>green direct payment</w:t>
            </w:r>
            <w:r>
              <w:rPr>
                <w:rFonts w:ascii="Times New Roman" w:hAnsi="Times New Roman" w:cs="Times New Roman"/>
                <w:noProof/>
                <w:color w:val="000000"/>
                <w:sz w:val="23"/>
                <w:szCs w:val="23"/>
                <w:lang w:val="en-US"/>
              </w:rPr>
              <w:t xml:space="preserve">, the </w:t>
            </w:r>
            <w:r>
              <w:rPr>
                <w:rFonts w:ascii="Times New Roman" w:hAnsi="Times New Roman" w:cs="Times New Roman"/>
                <w:noProof/>
                <w:color w:val="000000"/>
                <w:sz w:val="23"/>
                <w:szCs w:val="23"/>
                <w:u w:val="single"/>
                <w:lang w:val="en-US"/>
              </w:rPr>
              <w:t>redistributive payment</w:t>
            </w:r>
            <w:r>
              <w:rPr>
                <w:rFonts w:ascii="Times New Roman" w:hAnsi="Times New Roman" w:cs="Times New Roman"/>
                <w:noProof/>
                <w:color w:val="000000"/>
                <w:sz w:val="23"/>
                <w:szCs w:val="23"/>
                <w:lang w:val="en-US"/>
              </w:rPr>
              <w:t xml:space="preserve">, the </w:t>
            </w:r>
            <w:r>
              <w:rPr>
                <w:rFonts w:ascii="Times New Roman" w:hAnsi="Times New Roman" w:cs="Times New Roman"/>
                <w:noProof/>
                <w:color w:val="000000"/>
                <w:sz w:val="23"/>
                <w:szCs w:val="23"/>
                <w:u w:val="single"/>
                <w:lang w:val="en-US"/>
              </w:rPr>
              <w:t xml:space="preserve">payment for areas with natural </w:t>
            </w:r>
            <w:r>
              <w:rPr>
                <w:rFonts w:ascii="Times New Roman" w:hAnsi="Times New Roman" w:cs="Times New Roman"/>
                <w:noProof/>
                <w:color w:val="000000"/>
                <w:sz w:val="23"/>
                <w:szCs w:val="23"/>
                <w:u w:val="single"/>
                <w:lang w:val="en-US"/>
              </w:rPr>
              <w:t>or other specific constraint</w:t>
            </w:r>
            <w:r>
              <w:rPr>
                <w:rFonts w:ascii="Times New Roman" w:hAnsi="Times New Roman" w:cs="Times New Roman"/>
                <w:noProof/>
                <w:color w:val="000000"/>
                <w:sz w:val="23"/>
                <w:szCs w:val="23"/>
                <w:lang w:val="en-US"/>
              </w:rPr>
              <w:t xml:space="preserve"> and </w:t>
            </w:r>
            <w:r>
              <w:rPr>
                <w:rFonts w:ascii="Times New Roman" w:hAnsi="Times New Roman" w:cs="Times New Roman"/>
                <w:noProof/>
                <w:color w:val="000000"/>
                <w:sz w:val="23"/>
                <w:szCs w:val="23"/>
                <w:u w:val="single"/>
                <w:lang w:val="en-US"/>
              </w:rPr>
              <w:t>the payment for young farmers</w:t>
            </w:r>
            <w:r>
              <w:rPr>
                <w:rFonts w:ascii="Times New Roman" w:hAnsi="Times New Roman" w:cs="Times New Roman"/>
                <w:noProof/>
                <w:color w:val="000000"/>
                <w:sz w:val="23"/>
                <w:szCs w:val="23"/>
                <w:lang w:val="en-US"/>
              </w:rPr>
              <w:t>.</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CAP</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jc w:val="both"/>
              <w:rPr>
                <w:rFonts w:ascii="Times New Roman" w:hAnsi="Times New Roman" w:cs="Times New Roman"/>
                <w:b/>
                <w:bCs/>
                <w:noProof/>
                <w:sz w:val="24"/>
                <w:szCs w:val="24"/>
                <w:lang w:eastAsia="it-IT"/>
              </w:rPr>
            </w:pPr>
            <w:r>
              <w:rPr>
                <w:rFonts w:ascii="Times New Roman" w:hAnsi="Times New Roman" w:cs="Times New Roman"/>
                <w:bCs/>
                <w:noProof/>
                <w:sz w:val="24"/>
                <w:szCs w:val="24"/>
                <w:lang w:eastAsia="it-IT"/>
              </w:rPr>
              <w:t>Common Agricultural Policy (CAP):</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This is the set of legislation and practices adopted by the European Union to provide a common, unified policy on agriculture. The initial measures were </w:t>
            </w:r>
            <w:r>
              <w:rPr>
                <w:rFonts w:ascii="Times New Roman" w:hAnsi="Times New Roman" w:cs="Times New Roman"/>
                <w:noProof/>
                <w:sz w:val="24"/>
                <w:szCs w:val="24"/>
                <w:lang w:eastAsia="it-IT"/>
              </w:rPr>
              <w:t xml:space="preserve">introduced in 1962. Since then, the policy has been adapted and developed and has undergone a number of reforms. </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overall objective is to ensure that agriculture can be maintained over the long term at the heart of a living countryside. </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European U</w:t>
            </w:r>
            <w:r>
              <w:rPr>
                <w:rFonts w:ascii="Times New Roman" w:hAnsi="Times New Roman" w:cs="Times New Roman"/>
                <w:noProof/>
                <w:sz w:val="24"/>
                <w:szCs w:val="24"/>
                <w:lang w:eastAsia="it-IT"/>
              </w:rPr>
              <w:t>nion is obliged by law to have an agricultural policy. Article 38 (4) of the Treaty on the Functioning of the European Union states that ʽthe operation and development of the internal market for agricultural products must be accompanied by the establishmen</w:t>
            </w:r>
            <w:r>
              <w:rPr>
                <w:rFonts w:ascii="Times New Roman" w:hAnsi="Times New Roman" w:cs="Times New Roman"/>
                <w:noProof/>
                <w:sz w:val="24"/>
                <w:szCs w:val="24"/>
                <w:lang w:eastAsia="it-IT"/>
              </w:rPr>
              <w:t>t of a Common Agricultural Policy.ʼ</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aims are as follows (article 39): </w:t>
            </w:r>
          </w:p>
          <w:p w:rsidR="00333A1A" w:rsidRDefault="003D29C9">
            <w:pPr>
              <w:ind w:left="720"/>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1. an increase in agricultural productivity by means of technical progress and the rational development of agricultural production, </w:t>
            </w:r>
          </w:p>
          <w:p w:rsidR="00333A1A" w:rsidRDefault="003D29C9">
            <w:pPr>
              <w:ind w:left="720"/>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2. a fair standard of living for the agricultura</w:t>
            </w:r>
            <w:r>
              <w:rPr>
                <w:rFonts w:ascii="Times New Roman" w:hAnsi="Times New Roman" w:cs="Times New Roman"/>
                <w:noProof/>
                <w:sz w:val="24"/>
                <w:szCs w:val="24"/>
                <w:lang w:eastAsia="it-IT"/>
              </w:rPr>
              <w:t xml:space="preserve">l community, </w:t>
            </w:r>
          </w:p>
          <w:p w:rsidR="00333A1A" w:rsidRDefault="003D29C9">
            <w:pPr>
              <w:ind w:left="720"/>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3. the stabilisation of markets for farm products, </w:t>
            </w:r>
          </w:p>
          <w:p w:rsidR="00333A1A" w:rsidRDefault="003D29C9">
            <w:pPr>
              <w:ind w:left="720"/>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4. food security (i.e. ensuring that there is always a supply of food), </w:t>
            </w:r>
          </w:p>
          <w:p w:rsidR="00333A1A" w:rsidRDefault="003D29C9">
            <w:pPr>
              <w:ind w:left="720"/>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5. food affordability (i.e. that the price of food is at a level that people can afford). </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val="en" w:eastAsia="it-IT"/>
              </w:rPr>
              <w:t>CAP Plan</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val="en" w:eastAsia="it-IT"/>
              </w:rPr>
            </w:pPr>
            <w:r>
              <w:rPr>
                <w:rFonts w:ascii="Times New Roman" w:hAnsi="Times New Roman" w:cs="Times New Roman"/>
                <w:noProof/>
                <w:sz w:val="24"/>
                <w:szCs w:val="24"/>
                <w:lang w:val="en" w:eastAsia="it-IT"/>
              </w:rPr>
              <w:t xml:space="preserve">(there is no </w:t>
            </w:r>
            <w:r>
              <w:rPr>
                <w:rFonts w:ascii="Times New Roman" w:hAnsi="Times New Roman" w:cs="Times New Roman"/>
                <w:noProof/>
                <w:sz w:val="24"/>
                <w:szCs w:val="24"/>
                <w:lang w:val="en" w:eastAsia="it-IT"/>
              </w:rPr>
              <w:t>ready made definition)</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Capping</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 xml:space="preserve">The 2013 reform of the Common Agricultural Policy granted member states the option to ʽcap,ʼ i.e. to limit, the amount of the Basic Payment that any farmer receives. The funds ʽsavedʼ under this mechanism stay in the member </w:t>
            </w:r>
            <w:r>
              <w:rPr>
                <w:rFonts w:ascii="Times New Roman" w:hAnsi="Times New Roman" w:cs="Times New Roman"/>
                <w:noProof/>
                <w:color w:val="000000"/>
                <w:sz w:val="23"/>
                <w:szCs w:val="23"/>
                <w:lang w:val="en-US"/>
              </w:rPr>
              <w:t xml:space="preserve">state concerned and are transferred to the Rural Development envelope. Capping is voluntary for member states and is a specific application of </w:t>
            </w:r>
            <w:r>
              <w:rPr>
                <w:rFonts w:ascii="Times New Roman" w:hAnsi="Times New Roman" w:cs="Times New Roman"/>
                <w:noProof/>
                <w:color w:val="000000"/>
                <w:sz w:val="23"/>
                <w:szCs w:val="23"/>
                <w:lang w:val="en-US"/>
              </w:rPr>
              <w:br/>
            </w:r>
            <w:r>
              <w:rPr>
                <w:rFonts w:ascii="Times New Roman" w:hAnsi="Times New Roman" w:cs="Times New Roman"/>
                <w:noProof/>
                <w:color w:val="000000"/>
                <w:sz w:val="23"/>
                <w:szCs w:val="23"/>
                <w:u w:val="single"/>
                <w:lang w:val="en-US"/>
              </w:rPr>
              <w:t>degressivity</w:t>
            </w:r>
            <w:r>
              <w:rPr>
                <w:rFonts w:ascii="Times New Roman" w:hAnsi="Times New Roman" w:cs="Times New Roman"/>
                <w:noProof/>
                <w:color w:val="000000"/>
                <w:sz w:val="23"/>
                <w:szCs w:val="23"/>
                <w:lang w:val="en-US"/>
              </w:rPr>
              <w:t xml:space="preserve"> (see </w:t>
            </w:r>
            <w:r>
              <w:rPr>
                <w:rFonts w:ascii="Times New Roman" w:hAnsi="Times New Roman" w:cs="Times New Roman"/>
                <w:noProof/>
                <w:color w:val="000000"/>
                <w:sz w:val="23"/>
                <w:szCs w:val="23"/>
                <w:u w:val="single"/>
                <w:lang w:val="en-US"/>
              </w:rPr>
              <w:t>modulation</w:t>
            </w:r>
            <w:r>
              <w:rPr>
                <w:rFonts w:ascii="Times New Roman" w:hAnsi="Times New Roman" w:cs="Times New Roman"/>
                <w:noProof/>
                <w:color w:val="000000"/>
                <w:sz w:val="23"/>
                <w:szCs w:val="23"/>
                <w:lang w:val="en-US"/>
              </w:rPr>
              <w:t xml:space="preserve">, </w:t>
            </w:r>
            <w:r>
              <w:rPr>
                <w:rFonts w:ascii="Times New Roman" w:hAnsi="Times New Roman" w:cs="Times New Roman"/>
                <w:noProof/>
                <w:color w:val="000000"/>
                <w:sz w:val="23"/>
                <w:szCs w:val="23"/>
                <w:u w:val="single"/>
                <w:lang w:val="en-US"/>
              </w:rPr>
              <w:t>transfers between pillars</w:t>
            </w:r>
            <w:r>
              <w:rPr>
                <w:rFonts w:ascii="Times New Roman" w:hAnsi="Times New Roman" w:cs="Times New Roman"/>
                <w:noProof/>
                <w:color w:val="000000"/>
                <w:sz w:val="23"/>
                <w:szCs w:val="23"/>
                <w:lang w:val="en-US"/>
              </w:rPr>
              <w:t xml:space="preserve">).     </w:t>
            </w:r>
            <w:r>
              <w:rPr>
                <w:rFonts w:ascii="Times New Roman" w:hAnsi="Times New Roman" w:cs="Times New Roman"/>
                <w:noProof/>
                <w:color w:val="000000"/>
                <w:sz w:val="23"/>
                <w:szCs w:val="23"/>
                <w:lang w:val="en-US"/>
              </w:rPr>
              <w:br/>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color w:val="000000"/>
                <w:sz w:val="23"/>
                <w:szCs w:val="23"/>
              </w:rPr>
              <w:t>Carbon preservation and sequestration</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Process </w:t>
            </w:r>
            <w:r>
              <w:rPr>
                <w:rFonts w:ascii="Times New Roman" w:hAnsi="Times New Roman" w:cs="Times New Roman"/>
                <w:noProof/>
                <w:color w:val="000000"/>
                <w:sz w:val="23"/>
                <w:szCs w:val="23"/>
              </w:rPr>
              <w:t>involved in carbon capture and the long-term storage of atmospheric carbon dioxide or other forms of carbon to mitigate or defer global warming.</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CDG</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Civil Dialogue Groups:</w:t>
            </w:r>
          </w:p>
          <w:p w:rsidR="00333A1A" w:rsidRDefault="003D29C9">
            <w:pPr>
              <w:autoSpaceDE w:val="0"/>
              <w:autoSpaceDN w:val="0"/>
              <w:adjustRightInd w:val="0"/>
              <w:spacing w:after="0" w:line="240" w:lineRule="auto"/>
              <w:jc w:val="both"/>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lang w:val="en-US"/>
              </w:rPr>
              <w:t>These are groups of representatives of organisations at European level from civil s</w:t>
            </w:r>
            <w:r>
              <w:rPr>
                <w:rFonts w:ascii="Times New Roman" w:hAnsi="Times New Roman" w:cs="Times New Roman"/>
                <w:noProof/>
                <w:color w:val="000000"/>
                <w:sz w:val="23"/>
                <w:szCs w:val="23"/>
                <w:lang w:val="en-US"/>
              </w:rPr>
              <w:t>ociety. The organisations include professional associations and other non-governmental organisations which are involved in farming, the rural economy, food production, food processing, agricultural trade, the environment, consumer protection and other rela</w:t>
            </w:r>
            <w:r>
              <w:rPr>
                <w:rFonts w:ascii="Times New Roman" w:hAnsi="Times New Roman" w:cs="Times New Roman"/>
                <w:noProof/>
                <w:color w:val="000000"/>
                <w:sz w:val="23"/>
                <w:szCs w:val="23"/>
                <w:lang w:val="en-US"/>
              </w:rPr>
              <w:t xml:space="preserve">ted matters. They meet with the services of the Commission several times a year. </w:t>
            </w:r>
          </w:p>
          <w:p w:rsidR="00333A1A" w:rsidRDefault="003D29C9">
            <w:pPr>
              <w:jc w:val="both"/>
              <w:rPr>
                <w:rFonts w:ascii="Times New Roman" w:hAnsi="Times New Roman" w:cs="Times New Roman"/>
                <w:noProof/>
                <w:sz w:val="24"/>
                <w:szCs w:val="24"/>
                <w:lang w:val="en-US" w:eastAsia="it-IT"/>
              </w:rPr>
            </w:pPr>
            <w:r>
              <w:rPr>
                <w:rFonts w:ascii="Times New Roman" w:hAnsi="Times New Roman" w:cs="Times New Roman"/>
                <w:noProof/>
                <w:color w:val="000000"/>
                <w:sz w:val="23"/>
                <w:szCs w:val="23"/>
                <w:lang w:val="en-US"/>
              </w:rPr>
              <w:t>There are 13 such groups. They play an advisory and consultative role - they are not involved in the drafting or approval of legislation.</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CLLD</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Community-Led Local </w:t>
            </w:r>
            <w:r>
              <w:rPr>
                <w:rFonts w:ascii="Times New Roman" w:hAnsi="Times New Roman" w:cs="Times New Roman"/>
                <w:noProof/>
                <w:sz w:val="24"/>
                <w:szCs w:val="24"/>
                <w:lang w:eastAsia="it-IT"/>
              </w:rPr>
              <w:t>Development :</w:t>
            </w:r>
          </w:p>
          <w:p w:rsidR="00333A1A" w:rsidRDefault="003D29C9">
            <w:pPr>
              <w:jc w:val="both"/>
              <w:rPr>
                <w:rFonts w:ascii="Times New Roman" w:hAnsi="Times New Roman" w:cs="Times New Roman"/>
                <w:noProof/>
                <w:sz w:val="24"/>
                <w:szCs w:val="24"/>
                <w:lang w:eastAsia="it-IT"/>
              </w:rPr>
            </w:pPr>
            <w:r>
              <w:rPr>
                <w:b/>
                <w:bCs/>
                <w:noProof/>
                <w:sz w:val="23"/>
                <w:szCs w:val="23"/>
              </w:rPr>
              <w:t xml:space="preserve"> </w:t>
            </w:r>
            <w:r>
              <w:rPr>
                <w:rFonts w:ascii="Times New Roman" w:hAnsi="Times New Roman" w:cs="Times New Roman"/>
                <w:noProof/>
                <w:sz w:val="24"/>
                <w:szCs w:val="24"/>
                <w:lang w:eastAsia="it-IT"/>
              </w:rPr>
              <w:t xml:space="preserve">A coherent set of operations to meet local objectives and needs, which contributes to meeting the European Union strategy for smart, sustainable and inclusive growth, and which is designed and implemented by a </w:t>
            </w:r>
            <w:r>
              <w:rPr>
                <w:rFonts w:ascii="Times New Roman" w:hAnsi="Times New Roman" w:cs="Times New Roman"/>
                <w:noProof/>
                <w:sz w:val="24"/>
                <w:szCs w:val="24"/>
                <w:u w:val="single"/>
                <w:lang w:eastAsia="it-IT"/>
              </w:rPr>
              <w:t>local action group (LAG)</w:t>
            </w:r>
            <w:r>
              <w:rPr>
                <w:rFonts w:ascii="Times New Roman" w:hAnsi="Times New Roman" w:cs="Times New Roman"/>
                <w:noProof/>
                <w:sz w:val="24"/>
                <w:szCs w:val="24"/>
                <w:lang w:eastAsia="it-IT"/>
              </w:rPr>
              <w:t>.</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CMEF</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Common Monitoring and Evaluation Framework:</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horizontal regulation (Regulation (EU) No 1306/2013, Article 110) establishes a common monitoring and evaluation framework with a view to measuring the performance of the CAP. It covers all instruments relat</w:t>
            </w:r>
            <w:r>
              <w:rPr>
                <w:rFonts w:ascii="Times New Roman" w:hAnsi="Times New Roman" w:cs="Times New Roman"/>
                <w:noProof/>
                <w:sz w:val="24"/>
                <w:szCs w:val="24"/>
                <w:lang w:eastAsia="it-IT"/>
              </w:rPr>
              <w:t>ed to the monitoring and evaluation of CAP measures and in particular direct payments, market measures and rural development measures.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CMES</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Common Monitoring and Evaluation System:</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For rural development, the monitoring and evaluation system is set out by:</w:t>
            </w:r>
            <w:r>
              <w:rPr>
                <w:rFonts w:ascii="Times New Roman" w:hAnsi="Times New Roman" w:cs="Times New Roman"/>
                <w:noProof/>
                <w:sz w:val="24"/>
                <w:szCs w:val="24"/>
                <w:lang w:eastAsia="it-IT"/>
              </w:rPr>
              <w:t xml:space="preserve"> the common provisions regulation (Regulation (EU) No 1303/2013), which defines the common monitoring and evaluation elements for the European Structural and Investment Funds (ESIF); and the rural development regulation (Regulation (EU) No 1305/2013), whic</w:t>
            </w:r>
            <w:r>
              <w:rPr>
                <w:rFonts w:ascii="Times New Roman" w:hAnsi="Times New Roman" w:cs="Times New Roman"/>
                <w:noProof/>
                <w:sz w:val="24"/>
                <w:szCs w:val="24"/>
                <w:lang w:eastAsia="it-IT"/>
              </w:rPr>
              <w:t>h addresses the specificities for the rural development programmes.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CMO</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Common Market Organisation</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 common market organisation is a set of measures that enables the European Union to monitor and manage, either directly or indirectly (via producer organis</w:t>
            </w:r>
            <w:r>
              <w:rPr>
                <w:rFonts w:ascii="Times New Roman" w:hAnsi="Times New Roman" w:cs="Times New Roman"/>
                <w:noProof/>
                <w:sz w:val="24"/>
                <w:szCs w:val="24"/>
                <w:lang w:eastAsia="it-IT"/>
              </w:rPr>
              <w:t xml:space="preserve">ations supported by operational programmes), the markets of agricultural products. The rules are laid down in the regulation on the single common market organisation. </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purpose of market management is to stabilise markets (in terms of quantity offered a</w:t>
            </w:r>
            <w:r>
              <w:rPr>
                <w:rFonts w:ascii="Times New Roman" w:hAnsi="Times New Roman" w:cs="Times New Roman"/>
                <w:noProof/>
                <w:sz w:val="24"/>
                <w:szCs w:val="24"/>
                <w:lang w:eastAsia="it-IT"/>
              </w:rPr>
              <w:t xml:space="preserve">nd purchased and the price at which transactions take place) and thus to ensure, on the one hand, that farmers do not suffer from excessively low prices and, on the other, that consumers have a secure supply of food at reasonable prices. </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Until 2007, the E</w:t>
            </w:r>
            <w:r>
              <w:rPr>
                <w:rFonts w:ascii="Times New Roman" w:hAnsi="Times New Roman" w:cs="Times New Roman"/>
                <w:noProof/>
                <w:sz w:val="24"/>
                <w:szCs w:val="24"/>
                <w:lang w:eastAsia="it-IT"/>
              </w:rPr>
              <w:t>uropean Union operated 21 common market organisations which together covered around 90% of the output of farms. With a view to make things simpler, the European Union has amalgamated these 21 common market organisations into a single set, known as the sing</w:t>
            </w:r>
            <w:r>
              <w:rPr>
                <w:rFonts w:ascii="Times New Roman" w:hAnsi="Times New Roman" w:cs="Times New Roman"/>
                <w:noProof/>
                <w:sz w:val="24"/>
                <w:szCs w:val="24"/>
                <w:lang w:eastAsia="it-IT"/>
              </w:rPr>
              <w:t>le common market organisation.</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Cover crops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crops planted as an intermediate crop primarily to manage soil erosion, soil quality, water quality, weeds, pests and biodiversity.</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w:t>
            </w:r>
            <w:r>
              <w:rPr>
                <w:rFonts w:ascii="Times New Roman" w:hAnsi="Times New Roman" w:cs="Times New Roman"/>
                <w:noProof/>
                <w:sz w:val="24"/>
                <w:szCs w:val="24"/>
                <w:vertAlign w:val="subscript"/>
                <w:lang w:eastAsia="it-IT"/>
              </w:rPr>
              <w:t>2</w:t>
            </w:r>
            <w:r>
              <w:rPr>
                <w:rFonts w:ascii="Times New Roman" w:hAnsi="Times New Roman" w:cs="Times New Roman"/>
                <w:noProof/>
                <w:sz w:val="24"/>
                <w:szCs w:val="24"/>
                <w:lang w:eastAsia="it-IT"/>
              </w:rPr>
              <w:t xml:space="preserve"> emissions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Carbon dioxide emissions, the most long-lived greenhouse gas in </w:t>
            </w:r>
            <w:r>
              <w:rPr>
                <w:rFonts w:ascii="Times New Roman" w:hAnsi="Times New Roman" w:cs="Times New Roman"/>
                <w:noProof/>
                <w:sz w:val="24"/>
                <w:szCs w:val="24"/>
                <w:lang w:eastAsia="it-IT"/>
              </w:rPr>
              <w:t>the Earth's atmosphere.</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Crop diversification</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Growing a variety of crops on the arable land of a farm in one single season, refers to one of the greening measures in the current CAP.</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Crop rotation</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An agricultural technique in which, season after season, </w:t>
            </w:r>
            <w:r>
              <w:rPr>
                <w:rFonts w:ascii="Times New Roman" w:hAnsi="Times New Roman" w:cs="Times New Roman"/>
                <w:noProof/>
                <w:sz w:val="24"/>
                <w:szCs w:val="24"/>
                <w:lang w:eastAsia="it-IT"/>
              </w:rPr>
              <w:t>each field is sown with successive crops in a regular rotation, each crop being repeated at intervals of several years.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Cross-compliance</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 order to receive direct payments and some other forms of support, farmers are required to respect certain rules. Th</w:t>
            </w:r>
            <w:r>
              <w:rPr>
                <w:rFonts w:ascii="Times New Roman" w:hAnsi="Times New Roman" w:cs="Times New Roman"/>
                <w:noProof/>
                <w:sz w:val="24"/>
                <w:szCs w:val="24"/>
                <w:lang w:eastAsia="it-IT"/>
              </w:rPr>
              <w:t xml:space="preserve">is requirement is known as cross-compliance. These rules concern </w:t>
            </w:r>
            <w:r>
              <w:rPr>
                <w:rFonts w:ascii="Times New Roman" w:hAnsi="Times New Roman" w:cs="Times New Roman"/>
                <w:noProof/>
                <w:sz w:val="24"/>
                <w:szCs w:val="24"/>
                <w:u w:val="single"/>
                <w:lang w:eastAsia="it-IT"/>
              </w:rPr>
              <w:t>food safety</w:t>
            </w:r>
            <w:r>
              <w:rPr>
                <w:rFonts w:ascii="Times New Roman" w:hAnsi="Times New Roman" w:cs="Times New Roman"/>
                <w:noProof/>
                <w:sz w:val="24"/>
                <w:szCs w:val="24"/>
                <w:lang w:eastAsia="it-IT"/>
              </w:rPr>
              <w:t xml:space="preserve">, animal health, plant health, the climate, the environment, the protection of water resources, </w:t>
            </w:r>
            <w:r>
              <w:rPr>
                <w:rFonts w:ascii="Times New Roman" w:hAnsi="Times New Roman" w:cs="Times New Roman"/>
                <w:noProof/>
                <w:sz w:val="24"/>
                <w:szCs w:val="24"/>
                <w:u w:val="single"/>
                <w:lang w:eastAsia="it-IT"/>
              </w:rPr>
              <w:t>animal welfare</w:t>
            </w:r>
            <w:r>
              <w:rPr>
                <w:rFonts w:ascii="Times New Roman" w:hAnsi="Times New Roman" w:cs="Times New Roman"/>
                <w:noProof/>
                <w:sz w:val="24"/>
                <w:szCs w:val="24"/>
                <w:lang w:eastAsia="it-IT"/>
              </w:rPr>
              <w:t xml:space="preserve"> and the condition in which farmland is maintained.</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There are two comp</w:t>
            </w:r>
            <w:r>
              <w:rPr>
                <w:rFonts w:ascii="Times New Roman" w:hAnsi="Times New Roman" w:cs="Times New Roman"/>
                <w:noProof/>
                <w:sz w:val="24"/>
                <w:szCs w:val="24"/>
                <w:lang w:eastAsia="it-IT"/>
              </w:rPr>
              <w:t xml:space="preserve">onents of these rules: </w:t>
            </w:r>
            <w:r>
              <w:rPr>
                <w:rFonts w:ascii="Times New Roman" w:hAnsi="Times New Roman" w:cs="Times New Roman"/>
                <w:noProof/>
                <w:sz w:val="24"/>
                <w:szCs w:val="24"/>
                <w:u w:val="single"/>
                <w:lang w:eastAsia="it-IT"/>
              </w:rPr>
              <w:t>statutory management requirements</w:t>
            </w:r>
            <w:r>
              <w:rPr>
                <w:rFonts w:ascii="Times New Roman" w:hAnsi="Times New Roman" w:cs="Times New Roman"/>
                <w:noProof/>
                <w:sz w:val="24"/>
                <w:szCs w:val="24"/>
                <w:lang w:eastAsia="it-IT"/>
              </w:rPr>
              <w:t xml:space="preserve"> and </w:t>
            </w:r>
            <w:r>
              <w:rPr>
                <w:rFonts w:ascii="Times New Roman" w:hAnsi="Times New Roman" w:cs="Times New Roman"/>
                <w:noProof/>
                <w:sz w:val="24"/>
                <w:szCs w:val="24"/>
                <w:u w:val="single"/>
                <w:lang w:eastAsia="it-IT"/>
              </w:rPr>
              <w:t>good agricultural and environmental condition</w:t>
            </w:r>
            <w:r>
              <w:rPr>
                <w:rFonts w:ascii="Times New Roman" w:hAnsi="Times New Roman" w:cs="Times New Roman"/>
                <w:noProof/>
                <w:sz w:val="24"/>
                <w:szCs w:val="24"/>
                <w:lang w:eastAsia="it-IT"/>
              </w:rPr>
              <w:t xml:space="preserve">s. If a farmer is found not to respect these rules, his or her </w:t>
            </w:r>
            <w:r>
              <w:rPr>
                <w:rFonts w:ascii="Times New Roman" w:hAnsi="Times New Roman" w:cs="Times New Roman"/>
                <w:noProof/>
                <w:sz w:val="24"/>
                <w:szCs w:val="24"/>
                <w:u w:val="single"/>
                <w:lang w:eastAsia="it-IT"/>
              </w:rPr>
              <w:t>direct payments</w:t>
            </w:r>
            <w:r>
              <w:rPr>
                <w:rFonts w:ascii="Times New Roman" w:hAnsi="Times New Roman" w:cs="Times New Roman"/>
                <w:noProof/>
                <w:sz w:val="24"/>
                <w:szCs w:val="24"/>
                <w:lang w:eastAsia="it-IT"/>
              </w:rPr>
              <w:t xml:space="preserve"> may be reduced.</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Decoupling</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Introduced by the 2003 reform of the Common</w:t>
            </w:r>
            <w:r>
              <w:rPr>
                <w:rFonts w:ascii="Times New Roman" w:hAnsi="Times New Roman" w:cs="Times New Roman"/>
                <w:noProof/>
                <w:sz w:val="24"/>
                <w:szCs w:val="24"/>
                <w:lang w:eastAsia="it-IT"/>
              </w:rPr>
              <w:t xml:space="preserve"> Agricultural Policy, decoupling is the removal of the link between the receipt of a direct payment and the production of a specific product. Prior to this reform, farmers received a direct payment only if they produced the specific product to which the di</w:t>
            </w:r>
            <w:r>
              <w:rPr>
                <w:rFonts w:ascii="Times New Roman" w:hAnsi="Times New Roman" w:cs="Times New Roman"/>
                <w:noProof/>
                <w:sz w:val="24"/>
                <w:szCs w:val="24"/>
                <w:lang w:eastAsia="it-IT"/>
              </w:rPr>
              <w:t>rect payment was associated. It meant that the profitability of producing a product (cereals, beefmeat...) did not depend only on the price at which the farmer could sell the product in the market, but also on the amount of the direct payment that was asso</w:t>
            </w:r>
            <w:r>
              <w:rPr>
                <w:rFonts w:ascii="Times New Roman" w:hAnsi="Times New Roman" w:cs="Times New Roman"/>
                <w:noProof/>
                <w:sz w:val="24"/>
                <w:szCs w:val="24"/>
                <w:lang w:eastAsia="it-IT"/>
              </w:rPr>
              <w:t>ciated with that particular product.</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2003 reform decoupled many direct payments from production and this process was continued in the 2009 </w:t>
            </w:r>
            <w:r>
              <w:rPr>
                <w:rFonts w:ascii="Times New Roman" w:hAnsi="Times New Roman" w:cs="Times New Roman"/>
                <w:noProof/>
                <w:sz w:val="24"/>
                <w:szCs w:val="24"/>
                <w:u w:val="single"/>
                <w:lang w:eastAsia="it-IT"/>
              </w:rPr>
              <w:t>health check</w:t>
            </w:r>
            <w:r>
              <w:rPr>
                <w:rFonts w:ascii="Times New Roman" w:hAnsi="Times New Roman" w:cs="Times New Roman"/>
                <w:noProof/>
                <w:sz w:val="24"/>
                <w:szCs w:val="24"/>
                <w:lang w:eastAsia="it-IT"/>
              </w:rPr>
              <w:t>. The overall effect of decoupling has been to move the agricultural sector more towards the free mar</w:t>
            </w:r>
            <w:r>
              <w:rPr>
                <w:rFonts w:ascii="Times New Roman" w:hAnsi="Times New Roman" w:cs="Times New Roman"/>
                <w:noProof/>
                <w:sz w:val="24"/>
                <w:szCs w:val="24"/>
                <w:lang w:eastAsia="it-IT"/>
              </w:rPr>
              <w:t>ket and to give farmers greater freedom to produce according to market demand.</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health check permitted member states to continue to couple a small number of direct payments to production (for instance the suckler cow premium and the sheep and goat premi</w:t>
            </w:r>
            <w:r>
              <w:rPr>
                <w:rFonts w:ascii="Times New Roman" w:hAnsi="Times New Roman" w:cs="Times New Roman"/>
                <w:noProof/>
                <w:sz w:val="24"/>
                <w:szCs w:val="24"/>
                <w:lang w:eastAsia="it-IT"/>
              </w:rPr>
              <w:t>um). The possibility of keeping a link between production and direct payments was maintained in the 2013 reform. The reason is to support the continued production of particular products so as to avoid land falling out of farming in vulnerable regions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Degr</w:t>
            </w:r>
            <w:r>
              <w:rPr>
                <w:rFonts w:ascii="Times New Roman" w:hAnsi="Times New Roman" w:cs="Times New Roman"/>
                <w:noProof/>
                <w:sz w:val="24"/>
                <w:szCs w:val="24"/>
                <w:lang w:eastAsia="it-IT"/>
              </w:rPr>
              <w:t>essivity</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2013 reform of the Common Agricultural Policy stipulated that the direct support (</w:t>
            </w:r>
            <w:r>
              <w:rPr>
                <w:rFonts w:ascii="Times New Roman" w:hAnsi="Times New Roman" w:cs="Times New Roman"/>
                <w:noProof/>
                <w:sz w:val="24"/>
                <w:szCs w:val="24"/>
                <w:u w:val="single"/>
                <w:lang w:eastAsia="it-IT"/>
              </w:rPr>
              <w:t>basic payment scheme</w:t>
            </w:r>
            <w:r>
              <w:rPr>
                <w:rFonts w:ascii="Times New Roman" w:hAnsi="Times New Roman" w:cs="Times New Roman"/>
                <w:noProof/>
                <w:sz w:val="24"/>
                <w:szCs w:val="24"/>
                <w:lang w:eastAsia="it-IT"/>
              </w:rPr>
              <w:t xml:space="preserve"> and s</w:t>
            </w:r>
            <w:r>
              <w:rPr>
                <w:rFonts w:ascii="Times New Roman" w:hAnsi="Times New Roman" w:cs="Times New Roman"/>
                <w:noProof/>
                <w:sz w:val="24"/>
                <w:szCs w:val="24"/>
                <w:u w:val="single"/>
                <w:lang w:eastAsia="it-IT"/>
              </w:rPr>
              <w:t>ingle area payment scheme</w:t>
            </w:r>
            <w:r>
              <w:rPr>
                <w:rFonts w:ascii="Times New Roman" w:hAnsi="Times New Roman" w:cs="Times New Roman"/>
                <w:noProof/>
                <w:sz w:val="24"/>
                <w:szCs w:val="24"/>
                <w:lang w:eastAsia="it-IT"/>
              </w:rPr>
              <w:t>) that any farmer is entitled to receive is to be reduced by at least 5% of the amount of the payment above EU</w:t>
            </w:r>
            <w:r>
              <w:rPr>
                <w:rFonts w:ascii="Times New Roman" w:hAnsi="Times New Roman" w:cs="Times New Roman"/>
                <w:noProof/>
                <w:sz w:val="24"/>
                <w:szCs w:val="24"/>
                <w:lang w:eastAsia="it-IT"/>
              </w:rPr>
              <w:t>R 150 000. In order to take employment into account, the farmer can deduct the costs of salaries in the previous year (including taxes &amp; social security contributions) before this reduction is applied. Member states using more than 5% of their annual natio</w:t>
            </w:r>
            <w:r>
              <w:rPr>
                <w:rFonts w:ascii="Times New Roman" w:hAnsi="Times New Roman" w:cs="Times New Roman"/>
                <w:noProof/>
                <w:sz w:val="24"/>
                <w:szCs w:val="24"/>
                <w:lang w:eastAsia="it-IT"/>
              </w:rPr>
              <w:t xml:space="preserve">nal ceiling to grant a </w:t>
            </w:r>
            <w:r>
              <w:rPr>
                <w:rFonts w:ascii="Times New Roman" w:hAnsi="Times New Roman" w:cs="Times New Roman"/>
                <w:noProof/>
                <w:sz w:val="24"/>
                <w:szCs w:val="24"/>
                <w:u w:val="single"/>
                <w:lang w:eastAsia="it-IT"/>
              </w:rPr>
              <w:t>redistributive</w:t>
            </w:r>
            <w:r>
              <w:rPr>
                <w:rFonts w:ascii="Times New Roman" w:hAnsi="Times New Roman" w:cs="Times New Roman"/>
                <w:noProof/>
                <w:sz w:val="24"/>
                <w:szCs w:val="24"/>
                <w:lang w:eastAsia="it-IT"/>
              </w:rPr>
              <w:t xml:space="preserve"> payment are not required to apply this reduction. The funds thus ʽsavedʼ stay in the member state concerned and are transferred to the Rural Development envelope (see </w:t>
            </w:r>
            <w:r>
              <w:rPr>
                <w:rFonts w:ascii="Times New Roman" w:hAnsi="Times New Roman" w:cs="Times New Roman"/>
                <w:noProof/>
                <w:sz w:val="24"/>
                <w:szCs w:val="24"/>
                <w:u w:val="single"/>
                <w:lang w:eastAsia="it-IT"/>
              </w:rPr>
              <w:t>capping, modulation, transfers between pillars</w:t>
            </w:r>
            <w:r>
              <w:rPr>
                <w:rFonts w:ascii="Times New Roman" w:hAnsi="Times New Roman" w:cs="Times New Roman"/>
                <w:noProof/>
                <w:sz w:val="24"/>
                <w:szCs w:val="24"/>
                <w:lang w:eastAsia="it-IT"/>
              </w:rPr>
              <w:t>).</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w:t>
            </w:r>
            <w:r>
              <w:rPr>
                <w:rFonts w:ascii="Times New Roman" w:hAnsi="Times New Roman" w:cs="Times New Roman"/>
                <w:noProof/>
                <w:sz w:val="24"/>
                <w:szCs w:val="24"/>
                <w:lang w:eastAsia="it-IT"/>
              </w:rPr>
              <w:t>irect payments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Direct payments were established by the 1992 reform of the Common Agricultural Policy. Prior to this reform, the Common Agricultural Policy supported prices: i.e. the prices at which farmers sold their products in the market (such support is</w:t>
            </w:r>
            <w:r>
              <w:rPr>
                <w:rFonts w:ascii="Times New Roman" w:hAnsi="Times New Roman" w:cs="Times New Roman"/>
                <w:noProof/>
                <w:sz w:val="24"/>
                <w:szCs w:val="24"/>
                <w:lang w:eastAsia="it-IT"/>
              </w:rPr>
              <w:t xml:space="preserve"> therefore not paid directly to farmers). The 1992 reform reduced the level of price support. To prevent a corresponding fall in the incomes of farmers, direct payments were introduced.</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Nowadays, direct payments are granted to farmers in order to support t</w:t>
            </w:r>
            <w:r>
              <w:rPr>
                <w:rFonts w:ascii="Times New Roman" w:hAnsi="Times New Roman" w:cs="Times New Roman"/>
                <w:noProof/>
                <w:sz w:val="24"/>
                <w:szCs w:val="24"/>
                <w:lang w:eastAsia="it-IT"/>
              </w:rPr>
              <w:t xml:space="preserve">heir incomes and to remunerate them for their production of </w:t>
            </w:r>
            <w:r>
              <w:rPr>
                <w:rFonts w:ascii="Times New Roman" w:hAnsi="Times New Roman" w:cs="Times New Roman"/>
                <w:noProof/>
                <w:sz w:val="24"/>
                <w:szCs w:val="24"/>
                <w:u w:val="single"/>
                <w:lang w:eastAsia="it-IT"/>
              </w:rPr>
              <w:t>public goods</w:t>
            </w:r>
            <w:r>
              <w:rPr>
                <w:rFonts w:ascii="Times New Roman" w:hAnsi="Times New Roman" w:cs="Times New Roman"/>
                <w:noProof/>
                <w:sz w:val="24"/>
                <w:szCs w:val="24"/>
                <w:lang w:eastAsia="it-IT"/>
              </w:rPr>
              <w:t>.</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EAFRD</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Agricultural Fund for Rural Development:</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This fund was created in September 2005 and came into operation at the beginning of 2007. It replaced the Guidance Section of</w:t>
            </w:r>
            <w:r>
              <w:rPr>
                <w:rFonts w:ascii="Times New Roman" w:hAnsi="Times New Roman" w:cs="Times New Roman"/>
                <w:noProof/>
                <w:sz w:val="24"/>
                <w:szCs w:val="24"/>
                <w:lang w:eastAsia="it-IT"/>
              </w:rPr>
              <w:t xml:space="preserve"> the European Agricultural Guidance and Guarantee Fund and that part of the guarantee section from which some of the Rural Development measures had been funded. It is the single source of funding from the European Union for Rural Development.</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EAGF</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w:t>
            </w:r>
            <w:r>
              <w:rPr>
                <w:rFonts w:ascii="Times New Roman" w:hAnsi="Times New Roman" w:cs="Times New Roman"/>
                <w:noProof/>
                <w:sz w:val="24"/>
                <w:szCs w:val="24"/>
                <w:lang w:eastAsia="it-IT"/>
              </w:rPr>
              <w:t>n Agricultural Guarantee Fund:</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This fund was created in September 2005 and came into operation at the beginning of 2007. It replaced the guarantee section of the European Agricultural Guidance and Guarantee Fund. It provides funding for direct payment to f</w:t>
            </w:r>
            <w:r>
              <w:rPr>
                <w:rFonts w:ascii="Times New Roman" w:hAnsi="Times New Roman" w:cs="Times New Roman"/>
                <w:noProof/>
                <w:sz w:val="24"/>
                <w:szCs w:val="24"/>
                <w:lang w:eastAsia="it-IT"/>
              </w:rPr>
              <w:t>armers, for the management of the agricultural markets and for a number of other purposes such as veterinary and plant health measures, food programmes and information activities.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Ecological focus area</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Since 2015, every farmer in the European Union who </w:t>
            </w:r>
            <w:r>
              <w:rPr>
                <w:rFonts w:ascii="Times New Roman" w:hAnsi="Times New Roman" w:cs="Times New Roman"/>
                <w:noProof/>
                <w:sz w:val="24"/>
                <w:szCs w:val="24"/>
                <w:lang w:eastAsia="it-IT"/>
              </w:rPr>
              <w:t>claims a direct payment and has more than 15 hectares of arable land is obliged to have 5% of his arable land covered by ecological focus areas. These are areas which bring benefits for the environment, improve biodiversity and maintain attractive landscap</w:t>
            </w:r>
            <w:r>
              <w:rPr>
                <w:rFonts w:ascii="Times New Roman" w:hAnsi="Times New Roman" w:cs="Times New Roman"/>
                <w:noProof/>
                <w:sz w:val="24"/>
                <w:szCs w:val="24"/>
                <w:lang w:eastAsia="it-IT"/>
              </w:rPr>
              <w:t>es (such as landscape features, buffer strips, afforested areas, fallow land, areas with nitrogen-fixing crops etc.). Some exceptions to this general rule apply, for example to farmers who have more than 75% of their area under grassland.</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obligation to</w:t>
            </w:r>
            <w:r>
              <w:rPr>
                <w:rFonts w:ascii="Times New Roman" w:hAnsi="Times New Roman" w:cs="Times New Roman"/>
                <w:noProof/>
                <w:sz w:val="24"/>
                <w:szCs w:val="24"/>
                <w:lang w:eastAsia="it-IT"/>
              </w:rPr>
              <w:t xml:space="preserve"> have 5% of land covered by ecological focus areas may be increased to 7 % subject to a European Commission report in 2017 and a legislative proposal from the Commission. This obligation is one of three ʽgreeningʼ measures of the Common Agricultural Policy</w:t>
            </w:r>
            <w:r>
              <w:rPr>
                <w:rFonts w:ascii="Times New Roman" w:hAnsi="Times New Roman" w:cs="Times New Roman"/>
                <w:noProof/>
                <w:sz w:val="24"/>
                <w:szCs w:val="24"/>
                <w:lang w:eastAsia="it-IT"/>
              </w:rPr>
              <w:t xml:space="preserve"> 2014-2020 - the others being the maintenance of permanent grassland and crop diversification.</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EIP-AGRI</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Innovation Partnership for Agricultural Productivity and Sustainability:</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purpose of the European innovation partnership is to promote a) </w:t>
            </w:r>
            <w:r>
              <w:rPr>
                <w:rFonts w:ascii="Times New Roman" w:hAnsi="Times New Roman" w:cs="Times New Roman"/>
                <w:noProof/>
                <w:sz w:val="24"/>
                <w:szCs w:val="24"/>
                <w:lang w:eastAsia="it-IT"/>
              </w:rPr>
              <w:t>the productivity and efficiency of the agricultural sector and b) the sustainability of agriculture (securing soil functionality at a satisfactory level by 2020).</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 order to promote agricultural productivity and sustainability, the European innovation par</w:t>
            </w:r>
            <w:r>
              <w:rPr>
                <w:rFonts w:ascii="Times New Roman" w:hAnsi="Times New Roman" w:cs="Times New Roman"/>
                <w:noProof/>
                <w:sz w:val="24"/>
                <w:szCs w:val="24"/>
                <w:lang w:eastAsia="it-IT"/>
              </w:rPr>
              <w:t>tnership provides a working interface between agriculture, bio-economy and science at regional, national and European Union level. It also serves as a catalyst to enhance the effectiveness of innovation-related actions supported by Rural Development progra</w:t>
            </w:r>
            <w:r>
              <w:rPr>
                <w:rFonts w:ascii="Times New Roman" w:hAnsi="Times New Roman" w:cs="Times New Roman"/>
                <w:noProof/>
                <w:sz w:val="24"/>
                <w:szCs w:val="24"/>
                <w:lang w:eastAsia="it-IT"/>
              </w:rPr>
              <w:t>mmes as well as by research and innovation activities supported by the European Union.</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Implementation is channelled through operational groups as key acting entities, involving actors such as farmers, scientists, advisers, non-governmental organisations an</w:t>
            </w:r>
            <w:r>
              <w:rPr>
                <w:rFonts w:ascii="Times New Roman" w:hAnsi="Times New Roman" w:cs="Times New Roman"/>
                <w:noProof/>
                <w:sz w:val="24"/>
                <w:szCs w:val="24"/>
                <w:lang w:eastAsia="it-IT"/>
              </w:rPr>
              <w:t>d enterprises. The operational groups constitute themselves around topics of interest and carry out projects aimed at testing and applying innovative practices, processes, products, services, and technologies. At cross-border or European Union level, opera</w:t>
            </w:r>
            <w:r>
              <w:rPr>
                <w:rFonts w:ascii="Times New Roman" w:hAnsi="Times New Roman" w:cs="Times New Roman"/>
                <w:noProof/>
                <w:sz w:val="24"/>
                <w:szCs w:val="24"/>
                <w:lang w:eastAsia="it-IT"/>
              </w:rPr>
              <w:t>tional groups act in particular through cluster initiatives and pilot and demonstration projects.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Emission leakage</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Increase of emissions outside the countries taking domestic mitigation or other policy actions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ESIF</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Structural and Investment Fund</w:t>
            </w:r>
            <w:r>
              <w:rPr>
                <w:rFonts w:ascii="Times New Roman" w:hAnsi="Times New Roman" w:cs="Times New Roman"/>
                <w:noProof/>
                <w:sz w:val="24"/>
                <w:szCs w:val="24"/>
                <w:lang w:eastAsia="it-IT"/>
              </w:rPr>
              <w:t>s:</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These include the following funds of the European Union: the European Agricultural Fund for Rural Development, the European Regional Development Fund, the European Social Fund, the Cohesion Fund and the European Maritime and Fisheries Fund.</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Ex-ante </w:t>
            </w:r>
            <w:r>
              <w:rPr>
                <w:rFonts w:ascii="Times New Roman" w:hAnsi="Times New Roman" w:cs="Times New Roman"/>
                <w:noProof/>
                <w:sz w:val="24"/>
                <w:szCs w:val="24"/>
                <w:lang w:eastAsia="it-IT"/>
              </w:rPr>
              <w:t>conditionality</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These are certain prior conditions which should be met in the context of Rural Development programmes. They match essential elements to be in place in order to guarantee the correct implementation of Rural Development programmes and their me</w:t>
            </w:r>
            <w:r>
              <w:rPr>
                <w:rFonts w:ascii="Times New Roman" w:hAnsi="Times New Roman" w:cs="Times New Roman"/>
                <w:noProof/>
                <w:sz w:val="24"/>
                <w:szCs w:val="24"/>
                <w:lang w:eastAsia="it-IT"/>
              </w:rPr>
              <w:t>asures. For example, the definition of baseline conditions for the implementation of agri-environmental-climate measures is an ex-ante conditionality for such a measure.</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External Convergence</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Introduced by the 2013 reform of the Common Agricultural Policy,</w:t>
            </w:r>
            <w:r>
              <w:rPr>
                <w:rFonts w:ascii="Times New Roman" w:hAnsi="Times New Roman" w:cs="Times New Roman"/>
                <w:noProof/>
                <w:sz w:val="24"/>
                <w:szCs w:val="24"/>
                <w:lang w:eastAsia="it-IT"/>
              </w:rPr>
              <w:t xml:space="preserve"> the term external convergence refers to making the policy fairer between member states.</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policy becomes fairer because the national envelopes for direct payments are progressively adjusted either upwards or downwards to bring them close to the average </w:t>
            </w:r>
            <w:r>
              <w:rPr>
                <w:rFonts w:ascii="Times New Roman" w:hAnsi="Times New Roman" w:cs="Times New Roman"/>
                <w:noProof/>
                <w:sz w:val="24"/>
                <w:szCs w:val="24"/>
                <w:lang w:eastAsia="it-IT"/>
              </w:rPr>
              <w:t>level for the European Union. The national envelopes of those member states where the average payment (in EUR per hectare) is below 90% of the average are gradually increased (by one third of the difference between their current rate and 90% of the average</w:t>
            </w:r>
            <w:r>
              <w:rPr>
                <w:rFonts w:ascii="Times New Roman" w:hAnsi="Times New Roman" w:cs="Times New Roman"/>
                <w:noProof/>
                <w:sz w:val="24"/>
                <w:szCs w:val="24"/>
                <w:lang w:eastAsia="it-IT"/>
              </w:rPr>
              <w:t>). The national envelopes for member states receiving above average amounts are correspondingly adjusted downwards. There is a guarantee that every member state reaches a minimum average level of direct payment at national or regional level by 2019.</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FADN</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Farm Accountancy Data Network:</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farm accountancy data network provides data on the financial and economic aspects of various types of farming in the member states of the European Union. Each year a sample of farms is selected which is representative of </w:t>
            </w:r>
            <w:r>
              <w:rPr>
                <w:rFonts w:ascii="Times New Roman" w:hAnsi="Times New Roman" w:cs="Times New Roman"/>
                <w:noProof/>
                <w:sz w:val="24"/>
                <w:szCs w:val="24"/>
                <w:lang w:eastAsia="it-IT"/>
              </w:rPr>
              <w:t>commercial farms. These farms provide data on their costs of production, their revenues from sales and other aspects of their farming operations. The data enable the European Union to monitor the income situation of farmers and to examine the effects of th</w:t>
            </w:r>
            <w:r>
              <w:rPr>
                <w:rFonts w:ascii="Times New Roman" w:hAnsi="Times New Roman" w:cs="Times New Roman"/>
                <w:noProof/>
                <w:sz w:val="24"/>
                <w:szCs w:val="24"/>
                <w:lang w:eastAsia="it-IT"/>
              </w:rPr>
              <w:t>e Common Agricultural Policy.</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Farmer</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In the context of the Common Agricultural Policy, a farmer is an individual (or group of individuals e.g. partnerships, companies, and other legal structures through which a business is conducted) whose holding is </w:t>
            </w:r>
            <w:r>
              <w:rPr>
                <w:rFonts w:ascii="Times New Roman" w:hAnsi="Times New Roman" w:cs="Times New Roman"/>
                <w:noProof/>
                <w:sz w:val="24"/>
                <w:szCs w:val="24"/>
                <w:lang w:eastAsia="it-IT"/>
              </w:rPr>
              <w:t>situated with the territory of the European Union and who exercises an agricultural activity.</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Farm sustainability tool for nutrient management (Nutrient Management Plan)</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Tool at farm level that can be used to increase the efficiency of the use of all nutr</w:t>
            </w:r>
            <w:r>
              <w:rPr>
                <w:rFonts w:ascii="Times New Roman" w:hAnsi="Times New Roman" w:cs="Times New Roman"/>
                <w:noProof/>
                <w:sz w:val="24"/>
                <w:szCs w:val="24"/>
                <w:lang w:eastAsia="it-IT"/>
              </w:rPr>
              <w:t>ient sources a crop uses while at the same time reducing production costs and environmental risk.</w:t>
            </w:r>
          </w:p>
        </w:tc>
      </w:tr>
      <w:tr w:rsidR="00333A1A">
        <w:trPr>
          <w:cantSplit/>
          <w:trHeight w:val="212"/>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FAS</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Farm Advisory System:  system for advising beneficiaries on land management and farm management. That farm advisory system can be operated by designated </w:t>
            </w:r>
            <w:r>
              <w:rPr>
                <w:rFonts w:ascii="Times New Roman" w:hAnsi="Times New Roman" w:cs="Times New Roman"/>
                <w:noProof/>
                <w:sz w:val="24"/>
                <w:szCs w:val="24"/>
                <w:lang w:eastAsia="it-IT"/>
              </w:rPr>
              <w:t>public bodies and/or selected private bodies.</w:t>
            </w:r>
          </w:p>
        </w:tc>
      </w:tr>
      <w:tr w:rsidR="00333A1A">
        <w:trPr>
          <w:cantSplit/>
          <w:trHeight w:val="212"/>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Financial discipline mechanism</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This is a mechanism for ensuring that the expenditure under the provisions of the Common Agricultural Policy does not exceed the limits specified in the European Union budget.</w:t>
            </w:r>
          </w:p>
        </w:tc>
      </w:tr>
      <w:tr w:rsidR="00333A1A">
        <w:trPr>
          <w:cantSplit/>
          <w:trHeight w:val="212"/>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w:t>
            </w:r>
            <w:r>
              <w:rPr>
                <w:rFonts w:ascii="Times New Roman" w:hAnsi="Times New Roman" w:cs="Times New Roman"/>
                <w:noProof/>
                <w:sz w:val="24"/>
                <w:szCs w:val="24"/>
                <w:lang w:eastAsia="it-IT"/>
              </w:rPr>
              <w:t>inancial instruments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Measures of financial support provided on a complementary basis from the budget of the European Union in order to address one or more policy objectives. Such instruments may take the form of loans, guarantees, equity or quasi-equity in</w:t>
            </w:r>
            <w:r>
              <w:rPr>
                <w:rFonts w:ascii="Times New Roman" w:hAnsi="Times New Roman" w:cs="Times New Roman"/>
                <w:noProof/>
                <w:sz w:val="24"/>
                <w:szCs w:val="24"/>
                <w:lang w:eastAsia="it-IT"/>
              </w:rPr>
              <w:t>vestments, or other risk-sharing instruments, and may, where appropriate, be combined with grants.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GAEC</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Good Agricultural and Environmental Condition:</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Farmers are obliged to maintain their land in ʽgood agricultural and environmental condition.ʼ This </w:t>
            </w:r>
            <w:r>
              <w:rPr>
                <w:rFonts w:ascii="Times New Roman" w:hAnsi="Times New Roman" w:cs="Times New Roman"/>
                <w:noProof/>
                <w:sz w:val="24"/>
                <w:szCs w:val="24"/>
                <w:lang w:eastAsia="it-IT"/>
              </w:rPr>
              <w:t>concept includes the following: the protection of soil against erosion, the maintenance of soil organic matter and soil structure, and the safe-guarding of landscape features. It is the member states - not the European Union - which decide the exact specif</w:t>
            </w:r>
            <w:r>
              <w:rPr>
                <w:rFonts w:ascii="Times New Roman" w:hAnsi="Times New Roman" w:cs="Times New Roman"/>
                <w:noProof/>
                <w:sz w:val="24"/>
                <w:szCs w:val="24"/>
                <w:lang w:eastAsia="it-IT"/>
              </w:rPr>
              <w:t>ication of these parameters.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Greening</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2013 reform of the Common Agricultural Policy introduced several instruments to promote environmental sustainability and combat climate change. These instruments comprise a </w:t>
            </w:r>
            <w:r>
              <w:rPr>
                <w:rFonts w:ascii="Times New Roman" w:hAnsi="Times New Roman" w:cs="Times New Roman"/>
                <w:noProof/>
                <w:sz w:val="24"/>
                <w:szCs w:val="24"/>
                <w:u w:val="single"/>
                <w:lang w:eastAsia="it-IT"/>
              </w:rPr>
              <w:t>green direct payment</w:t>
            </w:r>
            <w:r>
              <w:rPr>
                <w:rFonts w:ascii="Times New Roman" w:hAnsi="Times New Roman" w:cs="Times New Roman"/>
                <w:noProof/>
                <w:sz w:val="24"/>
                <w:szCs w:val="24"/>
                <w:lang w:eastAsia="it-IT"/>
              </w:rPr>
              <w:t>, enhanced cross-com</w:t>
            </w:r>
            <w:r>
              <w:rPr>
                <w:rFonts w:ascii="Times New Roman" w:hAnsi="Times New Roman" w:cs="Times New Roman"/>
                <w:noProof/>
                <w:sz w:val="24"/>
                <w:szCs w:val="24"/>
                <w:lang w:eastAsia="it-IT"/>
              </w:rPr>
              <w:t>pliance obligations, an obligation to allocate 30% of the Rural Development budget to projects and measures that are beneficial for the environment and climate change (including voluntary agri-environment-climate measures), training measures and support fr</w:t>
            </w:r>
            <w:r>
              <w:rPr>
                <w:rFonts w:ascii="Times New Roman" w:hAnsi="Times New Roman" w:cs="Times New Roman"/>
                <w:noProof/>
                <w:sz w:val="24"/>
                <w:szCs w:val="24"/>
                <w:lang w:eastAsia="it-IT"/>
              </w:rPr>
              <w:t xml:space="preserve">om the </w:t>
            </w:r>
            <w:r>
              <w:rPr>
                <w:rFonts w:ascii="Times New Roman" w:hAnsi="Times New Roman" w:cs="Times New Roman"/>
                <w:noProof/>
                <w:sz w:val="24"/>
                <w:szCs w:val="24"/>
                <w:u w:val="single"/>
                <w:lang w:eastAsia="it-IT"/>
              </w:rPr>
              <w:t>farm advisory services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Governance bodies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This covers accredited Paying Agencies and where applicable, Coordinating Bodies, Certification Bodies, Competent Authorities.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Horizontal Regulation</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This regulation sets out the general rules on the financial management and budgetary aspects of the two pillars of the Common Agricultural Policy (the European Agricultural Guarantee Fund and the European Agricultural Fund for Rural Development). It concer</w:t>
            </w:r>
            <w:r>
              <w:rPr>
                <w:rFonts w:ascii="Times New Roman" w:hAnsi="Times New Roman" w:cs="Times New Roman"/>
                <w:noProof/>
                <w:sz w:val="24"/>
                <w:szCs w:val="24"/>
                <w:lang w:eastAsia="it-IT"/>
              </w:rPr>
              <w:t xml:space="preserve">ns financial corrections and controls as well as procedures for the prevention, detection and correction of irregularities and the application of penalties. </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regulation provides also for common rules on farm advisory services, cross-compliance and the </w:t>
            </w:r>
            <w:r>
              <w:rPr>
                <w:rFonts w:ascii="Times New Roman" w:hAnsi="Times New Roman" w:cs="Times New Roman"/>
                <w:noProof/>
                <w:sz w:val="24"/>
                <w:szCs w:val="24"/>
                <w:lang w:eastAsia="it-IT"/>
              </w:rPr>
              <w:t xml:space="preserve">integrated administration and control system. It sets the basis for the publication of information of the beneficiaries of the Common Agricultural Policy and establishes a common monitoring and evaluation framework with a view to measuring the performance </w:t>
            </w:r>
            <w:r>
              <w:rPr>
                <w:rFonts w:ascii="Times New Roman" w:hAnsi="Times New Roman" w:cs="Times New Roman"/>
                <w:noProof/>
                <w:sz w:val="24"/>
                <w:szCs w:val="24"/>
                <w:lang w:eastAsia="it-IT"/>
              </w:rPr>
              <w:t>of the policy.</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IACS</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Integrated Administration and Control System:</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This is an obligatory system used by member states for the management and control of payments made to farmers under the Common Agricultural Policy, using advanced techniques to check parcel</w:t>
            </w:r>
            <w:r>
              <w:rPr>
                <w:rFonts w:ascii="Times New Roman" w:hAnsi="Times New Roman" w:cs="Times New Roman"/>
                <w:noProof/>
                <w:sz w:val="24"/>
                <w:szCs w:val="24"/>
                <w:lang w:eastAsia="it-IT"/>
              </w:rPr>
              <w:t>s by aerial or satellite photography, and to cross-check farmersʼ claims with computer databases. Specifically, the integrated administration and control system ensures that payment irregularities are revealed and that queries are followed up. In this way,</w:t>
            </w:r>
            <w:r>
              <w:rPr>
                <w:rFonts w:ascii="Times New Roman" w:hAnsi="Times New Roman" w:cs="Times New Roman"/>
                <w:noProof/>
                <w:sz w:val="24"/>
                <w:szCs w:val="24"/>
                <w:lang w:eastAsia="it-IT"/>
              </w:rPr>
              <w:t xml:space="preserve"> payments to farmers are made correctly and any amounts which have been unduly paid are recovered.</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Internal convergence</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2013 reform of the Common Agricultural Policy introduced the requirement that the value of per hectare payment entitlements for the</w:t>
            </w:r>
            <w:r>
              <w:rPr>
                <w:rFonts w:ascii="Times New Roman" w:hAnsi="Times New Roman" w:cs="Times New Roman"/>
                <w:noProof/>
                <w:sz w:val="24"/>
                <w:szCs w:val="24"/>
                <w:lang w:eastAsia="it-IT"/>
              </w:rPr>
              <w:t xml:space="preserve"> Basic Payment Scheme, within a member state, must move towards a more uniform level. To achieve this, member states could choose from different options: to apply a national or regional flat rate from 2015; to achieve a regional or national flat rate by 20</w:t>
            </w:r>
            <w:r>
              <w:rPr>
                <w:rFonts w:ascii="Times New Roman" w:hAnsi="Times New Roman" w:cs="Times New Roman"/>
                <w:noProof/>
                <w:sz w:val="24"/>
                <w:szCs w:val="24"/>
                <w:lang w:eastAsia="it-IT"/>
              </w:rPr>
              <w:t>19, or to ensure that those farms receiving less than 90% of the regional or national average rate see a gradual increase – with the additional guarantee that normally each payment entitlement reaches a minimum value of 60% of the national or regional aver</w:t>
            </w:r>
            <w:r>
              <w:rPr>
                <w:rFonts w:ascii="Times New Roman" w:hAnsi="Times New Roman" w:cs="Times New Roman"/>
                <w:noProof/>
                <w:sz w:val="24"/>
                <w:szCs w:val="24"/>
                <w:lang w:eastAsia="it-IT"/>
              </w:rPr>
              <w:t>age by 2019. The amounts for farmers above the regional or national average are adjusted, with an option for member states to limit the loss to 30%.</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JRC</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Joint Research Centre (European Commission)</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LEADER</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val="en" w:eastAsia="it-IT"/>
              </w:rPr>
            </w:pPr>
            <w:r>
              <w:rPr>
                <w:rFonts w:ascii="Times New Roman" w:hAnsi="Times New Roman" w:cs="Times New Roman"/>
                <w:noProof/>
                <w:sz w:val="24"/>
                <w:szCs w:val="24"/>
                <w:lang w:val="en" w:eastAsia="it-IT"/>
              </w:rPr>
              <w:t xml:space="preserve">Links between actions for the development of the </w:t>
            </w:r>
            <w:r>
              <w:rPr>
                <w:rFonts w:ascii="Times New Roman" w:hAnsi="Times New Roman" w:cs="Times New Roman"/>
                <w:noProof/>
                <w:sz w:val="24"/>
                <w:szCs w:val="24"/>
                <w:lang w:val="en" w:eastAsia="it-IT"/>
              </w:rPr>
              <w:t>rural economy:</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This term is a French acronym meaning </w:t>
            </w:r>
            <w:r>
              <w:rPr>
                <w:rFonts w:ascii="Times New Roman" w:hAnsi="Times New Roman" w:cs="Times New Roman"/>
                <w:i/>
                <w:noProof/>
                <w:sz w:val="24"/>
                <w:szCs w:val="24"/>
                <w:lang w:eastAsia="it-IT"/>
              </w:rPr>
              <w:t>Liaison Entre Actions de Développement de lʼEconomie Rural</w:t>
            </w:r>
            <w:r>
              <w:rPr>
                <w:rFonts w:ascii="Times New Roman" w:hAnsi="Times New Roman" w:cs="Times New Roman"/>
                <w:noProof/>
                <w:sz w:val="24"/>
                <w:szCs w:val="24"/>
                <w:lang w:eastAsia="it-IT"/>
              </w:rPr>
              <w:t>e (in English: ʽLinks between actions for the development of the rural economyʼ).</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It is a community-led local development method for mobilising a</w:t>
            </w:r>
            <w:r>
              <w:rPr>
                <w:rFonts w:ascii="Times New Roman" w:hAnsi="Times New Roman" w:cs="Times New Roman"/>
                <w:noProof/>
                <w:sz w:val="24"/>
                <w:szCs w:val="24"/>
                <w:lang w:eastAsia="it-IT"/>
              </w:rPr>
              <w:t>nd developing rural communities through local public-private partnerships (</w:t>
            </w:r>
            <w:r>
              <w:rPr>
                <w:rFonts w:ascii="Times New Roman" w:hAnsi="Times New Roman" w:cs="Times New Roman"/>
                <w:noProof/>
                <w:sz w:val="24"/>
                <w:szCs w:val="24"/>
                <w:u w:val="single"/>
                <w:lang w:eastAsia="it-IT"/>
              </w:rPr>
              <w:t>local action groups</w:t>
            </w:r>
            <w:r>
              <w:rPr>
                <w:rFonts w:ascii="Times New Roman" w:hAnsi="Times New Roman" w:cs="Times New Roman"/>
                <w:noProof/>
                <w:sz w:val="24"/>
                <w:szCs w:val="24"/>
                <w:lang w:eastAsia="it-IT"/>
              </w:rPr>
              <w:t>). It helps rural people, groups and enterprises to consider the potential of their area and to encourage the implementation of integrated and innovative local de</w:t>
            </w:r>
            <w:r>
              <w:rPr>
                <w:rFonts w:ascii="Times New Roman" w:hAnsi="Times New Roman" w:cs="Times New Roman"/>
                <w:noProof/>
                <w:sz w:val="24"/>
                <w:szCs w:val="24"/>
                <w:lang w:eastAsia="it-IT"/>
              </w:rPr>
              <w:t>velopment strategies.</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 its first two generations as a Community initiative (Leader I: 1991-93 followed by Leader II: 1994-99) it was focused on disadvantaged rural areas. In 2000-2006 (Leader+), the method was expanded to cover all types of rural area. T</w:t>
            </w:r>
            <w:r>
              <w:rPr>
                <w:rFonts w:ascii="Times New Roman" w:hAnsi="Times New Roman" w:cs="Times New Roman"/>
                <w:noProof/>
                <w:sz w:val="24"/>
                <w:szCs w:val="24"/>
                <w:lang w:eastAsia="it-IT"/>
              </w:rPr>
              <w:t>he approach was then mainstreamed in 2007- 2013, as an integral part of the European Unionʼs Rural Development programmes, covering some 2 200 rural territories across 27 member states. In 2007, Leader was extended to the fisheries sector.</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During the perio</w:t>
            </w:r>
            <w:r>
              <w:rPr>
                <w:rFonts w:ascii="Times New Roman" w:hAnsi="Times New Roman" w:cs="Times New Roman"/>
                <w:noProof/>
                <w:sz w:val="24"/>
                <w:szCs w:val="24"/>
                <w:lang w:eastAsia="it-IT"/>
              </w:rPr>
              <w:t xml:space="preserve">d 2014 - 2020, Leader continues under Rural Development. It is also available under the cohesion policy as a common instrument called </w:t>
            </w:r>
            <w:r>
              <w:rPr>
                <w:rFonts w:ascii="Times New Roman" w:hAnsi="Times New Roman" w:cs="Times New Roman"/>
                <w:noProof/>
                <w:sz w:val="24"/>
                <w:szCs w:val="24"/>
                <w:u w:val="single"/>
                <w:lang w:eastAsia="it-IT"/>
              </w:rPr>
              <w:t>community-led local development</w:t>
            </w:r>
            <w:r>
              <w:rPr>
                <w:rFonts w:ascii="Times New Roman" w:hAnsi="Times New Roman" w:cs="Times New Roman"/>
                <w:noProof/>
                <w:sz w:val="24"/>
                <w:szCs w:val="24"/>
                <w:lang w:eastAsia="it-IT"/>
              </w:rPr>
              <w:t>.</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LPIS</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Land Parcel Information System:</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This computer database contains all agricultural ar</w:t>
            </w:r>
            <w:r>
              <w:rPr>
                <w:rFonts w:ascii="Times New Roman" w:hAnsi="Times New Roman" w:cs="Times New Roman"/>
                <w:noProof/>
                <w:sz w:val="24"/>
                <w:szCs w:val="24"/>
                <w:lang w:eastAsia="it-IT"/>
              </w:rPr>
              <w:t>eas that are eligible for a direct payment under the Common Agricultural Policy. It is used to cross-check the parcels for which payments have been claimed by the farmer. The land parcel identification system ensures that the farmer is paid for the correct</w:t>
            </w:r>
            <w:r>
              <w:rPr>
                <w:rFonts w:ascii="Times New Roman" w:hAnsi="Times New Roman" w:cs="Times New Roman"/>
                <w:noProof/>
                <w:sz w:val="24"/>
                <w:szCs w:val="24"/>
                <w:lang w:eastAsia="it-IT"/>
              </w:rPr>
              <w:t xml:space="preserve"> area and that overpayment is avoided.</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LULUCF</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Land Use, Land Use Change and Forestry:</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term is defined by the United Nations climate change secretariat as ʽa greenhouse gas inventory sector that covers emissions and removals of greenhouse gases </w:t>
            </w:r>
            <w:r>
              <w:rPr>
                <w:rFonts w:ascii="Times New Roman" w:hAnsi="Times New Roman" w:cs="Times New Roman"/>
                <w:noProof/>
                <w:sz w:val="24"/>
                <w:szCs w:val="24"/>
                <w:lang w:eastAsia="it-IT"/>
              </w:rPr>
              <w:t>resulting from direct human-induced land use, land-use change and forestry activitiesʼ.</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Similar to other economic sectors, land use, land use change and forestry has impacts on the global carbon cycle. The activities included in land use, land use change a</w:t>
            </w:r>
            <w:r>
              <w:rPr>
                <w:rFonts w:ascii="Times New Roman" w:hAnsi="Times New Roman" w:cs="Times New Roman"/>
                <w:noProof/>
                <w:sz w:val="24"/>
                <w:szCs w:val="24"/>
                <w:lang w:eastAsia="it-IT"/>
              </w:rPr>
              <w:t>nd forestry can add or remove greenhouse gases from the atmosphere, affecting climate change in either a negative or positive way</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Nitrogen surplus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difference between all nitrogen inputs and outputs on agricultural land</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Operational group</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These are groups of farmers, researchers, advisors and businesses in the agri-food sector. They receive Rural Development funding to run projects within the framework of a </w:t>
            </w:r>
            <w:r>
              <w:rPr>
                <w:rFonts w:ascii="Times New Roman" w:hAnsi="Times New Roman" w:cs="Times New Roman"/>
                <w:noProof/>
                <w:sz w:val="24"/>
                <w:szCs w:val="24"/>
                <w:u w:val="single"/>
                <w:lang w:eastAsia="it-IT"/>
              </w:rPr>
              <w:t>European innovation partnership</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Permanent crops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 the context of the Common Agricu</w:t>
            </w:r>
            <w:r>
              <w:rPr>
                <w:rFonts w:ascii="Times New Roman" w:hAnsi="Times New Roman" w:cs="Times New Roman"/>
                <w:noProof/>
                <w:sz w:val="24"/>
                <w:szCs w:val="24"/>
                <w:lang w:eastAsia="it-IT"/>
              </w:rPr>
              <w:t>ltural Policy, the term permanent crops means non-rotational crops other than permanent grassland and permanent pastures which occupy the land for five years or more and which yield repeated harvests, including nurseries and short rotation coppice.</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val="en" w:eastAsia="it-IT"/>
              </w:rPr>
              <w:t>Perman</w:t>
            </w:r>
            <w:r>
              <w:rPr>
                <w:rFonts w:ascii="Times New Roman" w:hAnsi="Times New Roman" w:cs="Times New Roman"/>
                <w:noProof/>
                <w:sz w:val="24"/>
                <w:szCs w:val="24"/>
                <w:lang w:val="en" w:eastAsia="it-IT"/>
              </w:rPr>
              <w:t>ent grassland</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val="en" w:eastAsia="it-IT"/>
              </w:rPr>
            </w:pPr>
            <w:r>
              <w:rPr>
                <w:rFonts w:ascii="Times New Roman" w:hAnsi="Times New Roman" w:cs="Times New Roman"/>
                <w:noProof/>
                <w:sz w:val="24"/>
                <w:szCs w:val="24"/>
                <w:lang w:val="en" w:eastAsia="it-IT"/>
              </w:rPr>
              <w:t>Permanent grassland can be defined as land not included in the crop rotation of the holding for five years or more, used to grow grasses or other herbaceous forage naturally (self-seeded) or through cultivation (sown). It may include other sp</w:t>
            </w:r>
            <w:r>
              <w:rPr>
                <w:rFonts w:ascii="Times New Roman" w:hAnsi="Times New Roman" w:cs="Times New Roman"/>
                <w:noProof/>
                <w:sz w:val="24"/>
                <w:szCs w:val="24"/>
                <w:lang w:val="en" w:eastAsia="it-IT"/>
              </w:rPr>
              <w:t>ecies such as shrubs and/or trees which can be grazed or produce animal feed.</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Pillars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Pillars (in the context of the Common Agricultural Policy): The Common Agricultural Policy comprises two ʽpillars.ʼ The first pillar is support to farmersʼ incomes. This</w:t>
            </w:r>
            <w:r>
              <w:rPr>
                <w:rFonts w:ascii="Times New Roman" w:hAnsi="Times New Roman" w:cs="Times New Roman"/>
                <w:noProof/>
                <w:sz w:val="24"/>
                <w:szCs w:val="24"/>
                <w:lang w:eastAsia="it-IT"/>
              </w:rPr>
              <w:t xml:space="preserve"> support is provided in the form of direct payments and market measures and is entirely financed from the European </w:t>
            </w:r>
            <w:r>
              <w:rPr>
                <w:rFonts w:ascii="Times New Roman" w:hAnsi="Times New Roman" w:cs="Times New Roman"/>
                <w:noProof/>
                <w:sz w:val="24"/>
                <w:szCs w:val="24"/>
                <w:u w:val="single"/>
                <w:lang w:eastAsia="it-IT"/>
              </w:rPr>
              <w:t>Agricultural Guarantee Fund</w:t>
            </w:r>
            <w:r>
              <w:rPr>
                <w:rFonts w:ascii="Times New Roman" w:hAnsi="Times New Roman" w:cs="Times New Roman"/>
                <w:noProof/>
                <w:sz w:val="24"/>
                <w:szCs w:val="24"/>
                <w:lang w:eastAsia="it-IT"/>
              </w:rPr>
              <w:t>. The second pillar is the support provided for the development of rural areas. This support takes the form of Rur</w:t>
            </w:r>
            <w:r>
              <w:rPr>
                <w:rFonts w:ascii="Times New Roman" w:hAnsi="Times New Roman" w:cs="Times New Roman"/>
                <w:noProof/>
                <w:sz w:val="24"/>
                <w:szCs w:val="24"/>
                <w:lang w:eastAsia="it-IT"/>
              </w:rPr>
              <w:t xml:space="preserve">al Development programmes and is co-financed from the </w:t>
            </w:r>
            <w:r>
              <w:rPr>
                <w:rFonts w:ascii="Times New Roman" w:hAnsi="Times New Roman" w:cs="Times New Roman"/>
                <w:noProof/>
                <w:sz w:val="24"/>
                <w:szCs w:val="24"/>
                <w:u w:val="single"/>
                <w:lang w:eastAsia="it-IT"/>
              </w:rPr>
              <w:t>European Agricultural Fund for Rural</w:t>
            </w:r>
            <w:r>
              <w:rPr>
                <w:rFonts w:ascii="Times New Roman" w:hAnsi="Times New Roman" w:cs="Times New Roman"/>
                <w:noProof/>
                <w:sz w:val="24"/>
                <w:szCs w:val="24"/>
                <w:lang w:eastAsia="it-IT"/>
              </w:rPr>
              <w:t xml:space="preserve"> </w:t>
            </w:r>
            <w:r>
              <w:rPr>
                <w:rFonts w:ascii="Times New Roman" w:hAnsi="Times New Roman" w:cs="Times New Roman"/>
                <w:noProof/>
                <w:sz w:val="24"/>
                <w:szCs w:val="24"/>
                <w:u w:val="single"/>
                <w:lang w:eastAsia="it-IT"/>
              </w:rPr>
              <w:t>Development</w:t>
            </w:r>
            <w:r>
              <w:rPr>
                <w:rFonts w:ascii="Times New Roman" w:hAnsi="Times New Roman" w:cs="Times New Roman"/>
                <w:noProof/>
                <w:sz w:val="24"/>
                <w:szCs w:val="24"/>
                <w:lang w:eastAsia="it-IT"/>
              </w:rPr>
              <w:t>.</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PO</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Producer organisation:</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 legally-constituted group of farmers and growers. Producer organisations assist in the distribution and marketing of produc</w:t>
            </w:r>
            <w:r>
              <w:rPr>
                <w:rFonts w:ascii="Times New Roman" w:hAnsi="Times New Roman" w:cs="Times New Roman"/>
                <w:noProof/>
                <w:sz w:val="24"/>
                <w:szCs w:val="24"/>
                <w:lang w:eastAsia="it-IT"/>
              </w:rPr>
              <w:t>ts. They also promote a higher quality of products and encourage their members to adopt good environmental practices. Producer organisations have been legally encouraged since 2001 in the fruit and vegetable sector, and since 2011 in the milk sector (</w:t>
            </w:r>
            <w:r>
              <w:rPr>
                <w:rFonts w:ascii="Times New Roman" w:hAnsi="Times New Roman" w:cs="Times New Roman"/>
                <w:noProof/>
                <w:sz w:val="24"/>
                <w:szCs w:val="24"/>
                <w:u w:val="single"/>
                <w:lang w:eastAsia="it-IT"/>
              </w:rPr>
              <w:t>see m</w:t>
            </w:r>
            <w:r>
              <w:rPr>
                <w:rFonts w:ascii="Times New Roman" w:hAnsi="Times New Roman" w:cs="Times New Roman"/>
                <w:noProof/>
                <w:sz w:val="24"/>
                <w:szCs w:val="24"/>
                <w:u w:val="single"/>
                <w:lang w:eastAsia="it-IT"/>
              </w:rPr>
              <w:t>ilk package</w:t>
            </w:r>
            <w:r>
              <w:rPr>
                <w:rFonts w:ascii="Times New Roman" w:hAnsi="Times New Roman" w:cs="Times New Roman"/>
                <w:noProof/>
                <w:sz w:val="24"/>
                <w:szCs w:val="24"/>
                <w:lang w:eastAsia="it-IT"/>
              </w:rPr>
              <w:t>).</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Since the 2013 reform of the Common Agricultural Policy, producer organisations are now encouraged in all sectors. Producer organisations can group themselves into associations of producer organisations and into </w:t>
            </w:r>
            <w:r>
              <w:rPr>
                <w:rFonts w:ascii="Times New Roman" w:hAnsi="Times New Roman" w:cs="Times New Roman"/>
                <w:noProof/>
                <w:sz w:val="24"/>
                <w:szCs w:val="24"/>
                <w:u w:val="single"/>
                <w:lang w:eastAsia="it-IT"/>
              </w:rPr>
              <w:t>inter-branch organisations</w:t>
            </w:r>
            <w:r>
              <w:rPr>
                <w:rFonts w:ascii="Times New Roman" w:hAnsi="Times New Roman" w:cs="Times New Roman"/>
                <w:noProof/>
                <w:sz w:val="24"/>
                <w:szCs w:val="24"/>
                <w:lang w:eastAsia="it-IT"/>
              </w:rPr>
              <w:t>.</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POSEI</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val="fr-BE" w:eastAsia="it-IT"/>
              </w:rPr>
            </w:pPr>
            <w:r>
              <w:rPr>
                <w:rFonts w:ascii="Times New Roman" w:hAnsi="Times New Roman" w:cs="Times New Roman"/>
                <w:noProof/>
                <w:sz w:val="24"/>
                <w:szCs w:val="24"/>
                <w:lang w:val="fr-BE" w:eastAsia="it-IT"/>
              </w:rPr>
              <w:t>Programmes d'Options  Spécifiques à l'Eloignement et à l'Insularité (for Outermost Regions) :</w:t>
            </w:r>
          </w:p>
          <w:p w:rsidR="00333A1A" w:rsidRDefault="003D29C9">
            <w:pPr>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This is a scheme that supports the incomes of farmers in the outermost regions of the European Union and the supply of essential products to those regions. </w:t>
            </w:r>
            <w:r>
              <w:rPr>
                <w:rFonts w:ascii="Times New Roman" w:hAnsi="Times New Roman" w:cs="Times New Roman"/>
                <w:noProof/>
                <w:sz w:val="24"/>
                <w:szCs w:val="24"/>
                <w:lang w:val="fr-BE" w:eastAsia="it-IT"/>
              </w:rPr>
              <w:t xml:space="preserve">It is the French acronym for Programmes dʼOptions Spécifiques à lʼEloignement et à lʼInsularité. </w:t>
            </w:r>
            <w:r>
              <w:rPr>
                <w:rFonts w:ascii="Times New Roman" w:hAnsi="Times New Roman" w:cs="Times New Roman"/>
                <w:noProof/>
                <w:sz w:val="24"/>
                <w:szCs w:val="24"/>
                <w:lang w:val="en-US" w:eastAsia="it-IT"/>
              </w:rPr>
              <w:t>The scheme seeks to compensate farmers for their extra costs of production and marketing due to the small size of these territories, their difficult topography</w:t>
            </w:r>
            <w:r>
              <w:rPr>
                <w:rFonts w:ascii="Times New Roman" w:hAnsi="Times New Roman" w:cs="Times New Roman"/>
                <w:noProof/>
                <w:sz w:val="24"/>
                <w:szCs w:val="24"/>
                <w:lang w:val="en-US" w:eastAsia="it-IT"/>
              </w:rPr>
              <w:t xml:space="preserve"> and climate, and the long distance to European markets.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RDP</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Rural Development Programme:</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Rural Development programmes define multi-annual strategies in selected programming areas, based on a thorough analysis of their socio-economic and environmental</w:t>
            </w:r>
            <w:r>
              <w:rPr>
                <w:rFonts w:ascii="Times New Roman" w:hAnsi="Times New Roman" w:cs="Times New Roman"/>
                <w:noProof/>
                <w:sz w:val="24"/>
                <w:szCs w:val="24"/>
                <w:lang w:eastAsia="it-IT"/>
              </w:rPr>
              <w:t xml:space="preserve"> needs. The strategies implemented under each Rural Development programme aim at meeting the European Union priorities for Rural Development through a number of selected measures. The programmes also lay down the conditions that potential beneficiaries hav</w:t>
            </w:r>
            <w:r>
              <w:rPr>
                <w:rFonts w:ascii="Times New Roman" w:hAnsi="Times New Roman" w:cs="Times New Roman"/>
                <w:noProof/>
                <w:sz w:val="24"/>
                <w:szCs w:val="24"/>
                <w:lang w:eastAsia="it-IT"/>
              </w:rPr>
              <w:t>e to meet if they are to benefit from Rural Development funds.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Redistributive payment</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In order to redistribute support to smaller farmers, member states may allocate up to 30% of their national budget to a redistributive payment for the first hectares. </w:t>
            </w:r>
            <w:r>
              <w:rPr>
                <w:rFonts w:ascii="Times New Roman" w:hAnsi="Times New Roman" w:cs="Times New Roman"/>
                <w:noProof/>
                <w:sz w:val="24"/>
                <w:szCs w:val="24"/>
                <w:lang w:eastAsia="it-IT"/>
              </w:rPr>
              <w:t>The number of hectares for which this payment could be allocated will be limited to 30 hectares or the average farm size in member states if the latter is more than 30 hectares. The amount per hectare cannot exceed 65% of the average payment per hectare.</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Risk management toolkit</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toolkit covers:</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1) Financial contributions to premiums for crop, animal and plant insurance against economic losses incurred by farmers and caused by adverse climatic events, animal or plant diseases, pest infestation, or an env</w:t>
            </w:r>
            <w:r>
              <w:rPr>
                <w:rFonts w:ascii="Times New Roman" w:hAnsi="Times New Roman" w:cs="Times New Roman"/>
                <w:noProof/>
                <w:sz w:val="24"/>
                <w:szCs w:val="24"/>
                <w:lang w:eastAsia="it-IT"/>
              </w:rPr>
              <w:t>ironmental incident,</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2) Financial contributions to mutual funds, to compensate farmers for economic losses caused by adverse climatic events, animal or plant diseases, pest infestations or environment incidents,</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3) An income stabilisation tool to compensat</w:t>
            </w:r>
            <w:r>
              <w:rPr>
                <w:rFonts w:ascii="Times New Roman" w:hAnsi="Times New Roman" w:cs="Times New Roman"/>
                <w:noProof/>
                <w:sz w:val="24"/>
                <w:szCs w:val="24"/>
                <w:lang w:eastAsia="it-IT"/>
              </w:rPr>
              <w:t>e farmers for a severe drop in income.</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Rural Development measures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 Rural Development measures are defined in the Rural Development regulation and represent the main instruments to implement the Rural Development programmes. For the programming period 2</w:t>
            </w:r>
            <w:r>
              <w:rPr>
                <w:rFonts w:ascii="Times New Roman" w:hAnsi="Times New Roman" w:cs="Times New Roman"/>
                <w:noProof/>
                <w:sz w:val="24"/>
                <w:szCs w:val="24"/>
                <w:lang w:eastAsia="it-IT"/>
              </w:rPr>
              <w:t>014 – 2020, the number of measures has been reduced compared to the previous programming period. Furthermore, there is now more flexibility in how the measures are used. This increases their effectiveness in meeting specific priorities.</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 range of differen</w:t>
            </w:r>
            <w:r>
              <w:rPr>
                <w:rFonts w:ascii="Times New Roman" w:hAnsi="Times New Roman" w:cs="Times New Roman"/>
                <w:noProof/>
                <w:sz w:val="24"/>
                <w:szCs w:val="24"/>
                <w:lang w:eastAsia="it-IT"/>
              </w:rPr>
              <w:t>t types of support is offered by the menu of Rural Development measures to address the many needs of the rural areas of the European Union. Member states have to programme these measures to ensure that they help to achieve one or more European Union priori</w:t>
            </w:r>
            <w:r>
              <w:rPr>
                <w:rFonts w:ascii="Times New Roman" w:hAnsi="Times New Roman" w:cs="Times New Roman"/>
                <w:noProof/>
                <w:sz w:val="24"/>
                <w:szCs w:val="24"/>
                <w:lang w:eastAsia="it-IT"/>
              </w:rPr>
              <w:t>ties for Rural Development and to meet the needs of rural areas.</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Member states have a certain discretion regarding the final design of these measures. The support granted under each measure is shared between the European Union and the member state concerne</w:t>
            </w:r>
            <w:r>
              <w:rPr>
                <w:rFonts w:ascii="Times New Roman" w:hAnsi="Times New Roman" w:cs="Times New Roman"/>
                <w:noProof/>
                <w:sz w:val="24"/>
                <w:szCs w:val="24"/>
                <w:lang w:eastAsia="it-IT"/>
              </w:rPr>
              <w:t>d. This arrangement is known as co-financing.</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SAPS</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bCs/>
                <w:noProof/>
                <w:sz w:val="24"/>
                <w:szCs w:val="24"/>
                <w:lang w:eastAsia="it-IT"/>
              </w:rPr>
              <w:t>Single area payment scheme (SAPS):</w:t>
            </w:r>
            <w:r>
              <w:rPr>
                <w:rFonts w:ascii="Times New Roman" w:hAnsi="Times New Roman" w:cs="Times New Roman"/>
                <w:b/>
                <w:bCs/>
                <w:noProof/>
                <w:sz w:val="24"/>
                <w:szCs w:val="24"/>
                <w:lang w:eastAsia="it-IT"/>
              </w:rPr>
              <w:t xml:space="preserve"> </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Due to limited administrative capacities and the absence of historical data, new member states (i.e. those that joined the European Union in 2004 and 2007) were granted the possibility of applying the single area payment scheme instead of applying the stan</w:t>
            </w:r>
            <w:r>
              <w:rPr>
                <w:rFonts w:ascii="Times New Roman" w:hAnsi="Times New Roman" w:cs="Times New Roman"/>
                <w:noProof/>
                <w:sz w:val="24"/>
                <w:szCs w:val="24"/>
                <w:lang w:eastAsia="it-IT"/>
              </w:rPr>
              <w:t xml:space="preserve">dard direct payment schemes. The single area payment scheme provides a flat-rate decoupled area payment paid for eligible agricultural land and replaces almost all payments granted in other than new member states. </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Under Regulation (EC) No 73/2009, the sin</w:t>
            </w:r>
            <w:r>
              <w:rPr>
                <w:rFonts w:ascii="Times New Roman" w:hAnsi="Times New Roman" w:cs="Times New Roman"/>
                <w:noProof/>
                <w:sz w:val="24"/>
                <w:szCs w:val="24"/>
                <w:lang w:eastAsia="it-IT"/>
              </w:rPr>
              <w:t>gle area payment scheme was foreseen to expire. However, the 2013 reform of the Common Agricultural Policy permitted member states applying the single area payment scheme in 2014 to apply it until 2020. At present, the single area payment scheme is applied</w:t>
            </w:r>
            <w:r>
              <w:rPr>
                <w:rFonts w:ascii="Times New Roman" w:hAnsi="Times New Roman" w:cs="Times New Roman"/>
                <w:noProof/>
                <w:sz w:val="24"/>
                <w:szCs w:val="24"/>
                <w:lang w:eastAsia="it-IT"/>
              </w:rPr>
              <w:t xml:space="preserve"> by all new member states except Slovenia, Malta and Croatia.</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SMR</w:t>
            </w:r>
          </w:p>
        </w:tc>
        <w:tc>
          <w:tcPr>
            <w:tcW w:w="3321" w:type="pct"/>
            <w:tcBorders>
              <w:top w:val="single" w:sz="4" w:space="0" w:color="000000"/>
              <w:left w:val="single" w:sz="4" w:space="0" w:color="000000"/>
              <w:bottom w:val="single" w:sz="4" w:space="0" w:color="000000"/>
              <w:right w:val="single" w:sz="4" w:space="0" w:color="000000"/>
            </w:tcBorders>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Statutory Management Requirements</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The statutory management requirements form part of cross-compliance and are laid down in a number of European Union directives and regulations. They </w:t>
            </w:r>
            <w:r>
              <w:rPr>
                <w:rFonts w:ascii="Times New Roman" w:hAnsi="Times New Roman" w:cs="Times New Roman"/>
                <w:noProof/>
                <w:sz w:val="24"/>
                <w:szCs w:val="24"/>
                <w:lang w:eastAsia="it-IT"/>
              </w:rPr>
              <w:t>concern public health, animal and plant health, identification and registration of animals, environment and animal welfare. These requirements apply independently of cross compliance (which only establishes the link between the full payment and the respect</w:t>
            </w:r>
            <w:r>
              <w:rPr>
                <w:rFonts w:ascii="Times New Roman" w:hAnsi="Times New Roman" w:cs="Times New Roman"/>
                <w:noProof/>
                <w:sz w:val="24"/>
                <w:szCs w:val="24"/>
                <w:lang w:eastAsia="it-IT"/>
              </w:rPr>
              <w:t xml:space="preserve"> of such requirements).</w:t>
            </w:r>
          </w:p>
        </w:tc>
      </w:tr>
      <w:tr w:rsidR="00333A1A">
        <w:trPr>
          <w:cantSplit/>
          <w:jc w:val="center"/>
        </w:trPr>
        <w:tc>
          <w:tcPr>
            <w:tcW w:w="1679" w:type="pct"/>
            <w:tcBorders>
              <w:top w:val="single" w:sz="4" w:space="0" w:color="000000"/>
              <w:left w:val="single" w:sz="4" w:space="0" w:color="000000"/>
              <w:bottom w:val="single" w:sz="4" w:space="0" w:color="000000"/>
              <w:right w:val="single" w:sz="4" w:space="0" w:color="000000"/>
            </w:tcBorders>
            <w:hideMark/>
          </w:tcPr>
          <w:p w:rsidR="00333A1A" w:rsidRDefault="003D29C9">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VCS</w:t>
            </w:r>
          </w:p>
        </w:tc>
        <w:tc>
          <w:tcPr>
            <w:tcW w:w="3321" w:type="pct"/>
            <w:tcBorders>
              <w:top w:val="single" w:sz="4" w:space="0" w:color="000000"/>
              <w:left w:val="single" w:sz="4" w:space="0" w:color="000000"/>
              <w:bottom w:val="single" w:sz="4" w:space="0" w:color="000000"/>
              <w:right w:val="single" w:sz="4" w:space="0" w:color="000000"/>
            </w:tcBorders>
            <w:hideMark/>
          </w:tcPr>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Voluntary Coupled Support:</w:t>
            </w:r>
          </w:p>
          <w:p w:rsidR="00333A1A" w:rsidRDefault="003D29C9">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Payment to certain hectares of crop or heads of animal according to the rules laid down under Title IV chapter 1 of Regulation EU 1307/2013.</w:t>
            </w:r>
          </w:p>
        </w:tc>
      </w:tr>
    </w:tbl>
    <w:p w:rsidR="00333A1A" w:rsidRDefault="00333A1A">
      <w:pPr>
        <w:rPr>
          <w:noProof/>
        </w:rPr>
      </w:pPr>
      <w:bookmarkStart w:id="369" w:name="_GoBack"/>
      <w:bookmarkEnd w:id="369"/>
    </w:p>
    <w:sectPr w:rsidR="00333A1A">
      <w:headerReference w:type="even" r:id="rId354"/>
      <w:headerReference w:type="default" r:id="rId355"/>
      <w:footerReference w:type="even" r:id="rId356"/>
      <w:footerReference w:type="default" r:id="rId357"/>
      <w:headerReference w:type="first" r:id="rId358"/>
      <w:footerReference w:type="first" r:id="rId359"/>
      <w:pgSz w:w="11906" w:h="16838"/>
      <w:pgMar w:top="1020" w:right="1701" w:bottom="1020" w:left="1587" w:header="601"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A1A" w:rsidRDefault="003D29C9">
      <w:pPr>
        <w:spacing w:after="0" w:line="240" w:lineRule="auto"/>
      </w:pPr>
      <w:r>
        <w:separator/>
      </w:r>
    </w:p>
  </w:endnote>
  <w:endnote w:type="continuationSeparator" w:id="0">
    <w:p w:rsidR="00333A1A" w:rsidRDefault="003D29C9">
      <w:pPr>
        <w:spacing w:after="0" w:line="240" w:lineRule="auto"/>
      </w:pPr>
      <w:r>
        <w:continuationSeparator/>
      </w:r>
    </w:p>
  </w:endnote>
  <w:endnote w:type="continuationNotice" w:id="1">
    <w:p w:rsidR="00333A1A" w:rsidRDefault="00333A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swiss"/>
    <w:notTrueType/>
    <w:pitch w:val="default"/>
    <w:sig w:usb0="00000003" w:usb1="00000000" w:usb2="00000000" w:usb3="00000000" w:csb0="00000001" w:csb1="00000000"/>
  </w:font>
  <w:font w:name="Myriad Pro">
    <w:altName w:val="Segoe UI"/>
    <w:panose1 w:val="020B0503030403020204"/>
    <w:charset w:val="00"/>
    <w:family w:val="swiss"/>
    <w:notTrueType/>
    <w:pitch w:val="default"/>
    <w:sig w:usb0="00000003" w:usb1="00000000" w:usb2="00000000" w:usb3="00000000" w:csb0="00000001"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Linotype-Italic">
    <w:altName w:val="MS Mincho"/>
    <w:panose1 w:val="00000000000000000000"/>
    <w:charset w:val="80"/>
    <w:family w:val="auto"/>
    <w:notTrueType/>
    <w:pitch w:val="default"/>
    <w:sig w:usb0="00000001" w:usb1="08070000" w:usb2="00000010" w:usb3="00000000" w:csb0="00020000" w:csb1="00000000"/>
  </w:font>
  <w:font w:name="MyriadPr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9" w:rsidRPr="003D29C9" w:rsidRDefault="003D29C9" w:rsidP="003D2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9" w:rsidRPr="003D29C9" w:rsidRDefault="003D29C9" w:rsidP="003D29C9">
    <w:pPr>
      <w:pStyle w:val="FooterCoverPage"/>
      <w:rPr>
        <w:rFonts w:ascii="Arial" w:hAnsi="Arial" w:cs="Arial"/>
        <w:b/>
        <w:sz w:val="48"/>
      </w:rPr>
    </w:pPr>
    <w:r w:rsidRPr="003D29C9">
      <w:rPr>
        <w:rFonts w:ascii="Arial" w:hAnsi="Arial" w:cs="Arial"/>
        <w:b/>
        <w:sz w:val="48"/>
      </w:rPr>
      <w:t>EN</w:t>
    </w:r>
    <w:r w:rsidRPr="003D29C9">
      <w:rPr>
        <w:rFonts w:ascii="Arial" w:hAnsi="Arial" w:cs="Arial"/>
        <w:b/>
        <w:sz w:val="48"/>
      </w:rPr>
      <w:tab/>
    </w:r>
    <w:r w:rsidRPr="003D29C9">
      <w:rPr>
        <w:rFonts w:ascii="Arial" w:hAnsi="Arial" w:cs="Arial"/>
        <w:b/>
        <w:sz w:val="48"/>
      </w:rPr>
      <w:tab/>
    </w:r>
    <w:r w:rsidRPr="003D29C9">
      <w:tab/>
    </w:r>
    <w:r w:rsidRPr="003D29C9">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9" w:rsidRPr="003D29C9" w:rsidRDefault="003D29C9" w:rsidP="003D29C9">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1A" w:rsidRDefault="00333A1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1A" w:rsidRDefault="003D29C9">
    <w:pPr>
      <w:pStyle w:val="Footer"/>
      <w:jc w:val="center"/>
    </w:pPr>
    <w:r>
      <w:fldChar w:fldCharType="begin"/>
    </w:r>
    <w:r>
      <w:instrText>PAGE</w:instrText>
    </w:r>
    <w:r>
      <w:fldChar w:fldCharType="separate"/>
    </w:r>
    <w:r>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456005"/>
      <w:docPartObj>
        <w:docPartGallery w:val="Page Numbers (Bottom of Page)"/>
        <w:docPartUnique/>
      </w:docPartObj>
    </w:sdtPr>
    <w:sdtEndPr>
      <w:rPr>
        <w:noProof/>
      </w:rPr>
    </w:sdtEndPr>
    <w:sdtContent>
      <w:p w:rsidR="00333A1A" w:rsidRDefault="003D29C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33A1A" w:rsidRDefault="00333A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1A" w:rsidRDefault="00333A1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485166"/>
      <w:docPartObj>
        <w:docPartGallery w:val="Page Numbers (Bottom of Page)"/>
        <w:docPartUnique/>
      </w:docPartObj>
    </w:sdtPr>
    <w:sdtEndPr>
      <w:rPr>
        <w:noProof/>
      </w:rPr>
    </w:sdtEndPr>
    <w:sdtContent>
      <w:p w:rsidR="00333A1A" w:rsidRDefault="003D29C9">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333A1A" w:rsidRDefault="00333A1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539588"/>
      <w:docPartObj>
        <w:docPartGallery w:val="Page Numbers (Bottom of Page)"/>
        <w:docPartUnique/>
      </w:docPartObj>
    </w:sdtPr>
    <w:sdtEndPr>
      <w:rPr>
        <w:noProof/>
      </w:rPr>
    </w:sdtEndPr>
    <w:sdtContent>
      <w:p w:rsidR="00333A1A" w:rsidRDefault="003D29C9">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333A1A" w:rsidRDefault="00333A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A1A" w:rsidRDefault="003D29C9">
      <w:pPr>
        <w:spacing w:after="0" w:line="240" w:lineRule="auto"/>
      </w:pPr>
      <w:r>
        <w:separator/>
      </w:r>
    </w:p>
  </w:footnote>
  <w:footnote w:type="continuationSeparator" w:id="0">
    <w:p w:rsidR="00333A1A" w:rsidRDefault="003D29C9">
      <w:pPr>
        <w:spacing w:after="0" w:line="240" w:lineRule="auto"/>
      </w:pPr>
      <w:r>
        <w:continuationSeparator/>
      </w:r>
    </w:p>
  </w:footnote>
  <w:footnote w:type="continuationNotice" w:id="1">
    <w:p w:rsidR="00333A1A" w:rsidRDefault="00333A1A">
      <w:pPr>
        <w:spacing w:after="0" w:line="240" w:lineRule="auto"/>
      </w:pPr>
    </w:p>
  </w:footnote>
  <w:footnote w:id="2">
    <w:p w:rsidR="00333A1A" w:rsidRDefault="003D29C9">
      <w:pPr>
        <w:pStyle w:val="FootnoteText"/>
      </w:pPr>
      <w:r>
        <w:rPr>
          <w:rStyle w:val="FootnoteReference"/>
        </w:rPr>
        <w:footnoteRef/>
      </w:r>
      <w:r>
        <w:t xml:space="preserve"> </w:t>
      </w:r>
      <w:r>
        <w:tab/>
      </w:r>
      <w:r>
        <w:rPr>
          <w:rFonts w:cs="Times New Roman"/>
          <w:szCs w:val="18"/>
        </w:rPr>
        <w:t xml:space="preserve">A full-fledged glossary including definitions on the CAP on: European Commission (2015) </w:t>
      </w:r>
      <w:hyperlink r:id="rId1" w:history="1">
        <w:r>
          <w:rPr>
            <w:rFonts w:cs="Times New Roman"/>
            <w:color w:val="0000FF"/>
            <w:szCs w:val="18"/>
            <w:u w:val="single"/>
          </w:rPr>
          <w:t>Glossary of the Common Agricu</w:t>
        </w:r>
        <w:r>
          <w:rPr>
            <w:rFonts w:cs="Times New Roman"/>
            <w:color w:val="0000FF"/>
            <w:szCs w:val="18"/>
            <w:u w:val="single"/>
          </w:rPr>
          <w:t>ltural Policy</w:t>
        </w:r>
      </w:hyperlink>
      <w:r>
        <w:rPr>
          <w:rFonts w:cs="Times New Roman"/>
          <w:szCs w:val="18"/>
        </w:rPr>
        <w:t>, (DG AGRI), website</w:t>
      </w:r>
    </w:p>
    <w:p w:rsidR="00333A1A" w:rsidRDefault="00333A1A">
      <w:pPr>
        <w:pStyle w:val="FootnoteText"/>
      </w:pPr>
    </w:p>
  </w:footnote>
  <w:footnote w:id="3">
    <w:p w:rsidR="00333A1A" w:rsidRDefault="003D29C9">
      <w:pPr>
        <w:pStyle w:val="FootnoteText"/>
        <w:jc w:val="both"/>
      </w:pPr>
      <w:r>
        <w:rPr>
          <w:rStyle w:val="FootnoteReference"/>
        </w:rPr>
        <w:footnoteRef/>
      </w:r>
      <w:r>
        <w:t xml:space="preserve"> </w:t>
      </w:r>
      <w:r>
        <w:tab/>
        <w:t>'normal' in terms of climatic, sanitary and market conditions.</w:t>
      </w:r>
    </w:p>
  </w:footnote>
  <w:footnote w:id="4">
    <w:p w:rsidR="00333A1A" w:rsidRDefault="003D29C9">
      <w:pPr>
        <w:pStyle w:val="FootnoteText"/>
        <w:jc w:val="both"/>
      </w:pPr>
      <w:r>
        <w:rPr>
          <w:rStyle w:val="FootnoteReference"/>
        </w:rPr>
        <w:footnoteRef/>
      </w:r>
      <w:r>
        <w:t xml:space="preserve"> </w:t>
      </w:r>
      <w:r>
        <w:tab/>
        <w:t xml:space="preserve">The risk management tools offered to farmers in options 3 and 4 to hedge yield or price drops and, thus, mitigate negative impacts on income is not </w:t>
      </w:r>
      <w:r>
        <w:t>taken into account in this quantitative analysis.</w:t>
      </w:r>
    </w:p>
  </w:footnote>
  <w:footnote w:id="5">
    <w:p w:rsidR="00333A1A" w:rsidRDefault="003D29C9">
      <w:pPr>
        <w:pStyle w:val="FootnoteText"/>
        <w:jc w:val="both"/>
      </w:pPr>
      <w:r>
        <w:rPr>
          <w:rStyle w:val="FootnoteReference"/>
        </w:rPr>
        <w:footnoteRef/>
      </w:r>
      <w:r>
        <w:t xml:space="preserve"> </w:t>
      </w:r>
      <w:r>
        <w:tab/>
        <w:t>Risk of land abandonment and market effects are assessed with another model (CAPRI), price effects are relatively small in comparison. In addition, IFM-CAP does not fully capture the structural adaptatio</w:t>
      </w:r>
      <w:r>
        <w:t>n which will accompany potential changes in policy (and the reduction in the number of farmers to be expected because of demographic developments). Other caveats are worth mentioning: the extent of landscape elements is not well known and land re-allocatio</w:t>
      </w:r>
      <w:r>
        <w:t>n might be smaller as arable crop farmers might already have field margins or hedges, not all the green requirements could be modelled, some activities in IFM-CAP are aggregated leading to potential overestimation of rotation impacts, costs of certain requ</w:t>
      </w:r>
      <w:r>
        <w:t>irements were assumed at the same level for all farmers (for cover in between trees e.g.), the potential effects of crop rotation on yields are not accounted for. In addition, no change in agri-environment-climate payments were modelled (because of the dif</w:t>
      </w:r>
      <w:r>
        <w:t>ficulty to target the farmers, change the costs and the practise), the old delimitation of less favoured areas was used instead of the new definition of areas with natural constraints.</w:t>
      </w:r>
    </w:p>
  </w:footnote>
  <w:footnote w:id="6">
    <w:p w:rsidR="00333A1A" w:rsidRDefault="003D29C9">
      <w:pPr>
        <w:pStyle w:val="FootnoteText"/>
      </w:pPr>
      <w:r>
        <w:rPr>
          <w:rStyle w:val="FootnoteReference"/>
        </w:rPr>
        <w:footnoteRef/>
      </w:r>
      <w:r>
        <w:t xml:space="preserve"> </w:t>
      </w:r>
      <w:r>
        <w:tab/>
        <w:t>The income indicator used throughout this analysis is the Farm net v</w:t>
      </w:r>
      <w:r>
        <w:t>alue added (FNVA).</w:t>
      </w:r>
    </w:p>
  </w:footnote>
  <w:footnote w:id="7">
    <w:p w:rsidR="00333A1A" w:rsidRDefault="003D29C9">
      <w:pPr>
        <w:pStyle w:val="FootnoteText"/>
      </w:pPr>
      <w:r>
        <w:rPr>
          <w:rStyle w:val="FootnoteReference"/>
        </w:rPr>
        <w:footnoteRef/>
      </w:r>
      <w:r>
        <w:t xml:space="preserve"> </w:t>
      </w:r>
      <w:r>
        <w:tab/>
        <w:t>More than 400 EUR/ha in the baseline, compared to 230 EUR/ha of UAA on EU average</w:t>
      </w:r>
    </w:p>
  </w:footnote>
  <w:footnote w:id="8">
    <w:p w:rsidR="00333A1A" w:rsidRDefault="003D29C9">
      <w:pPr>
        <w:pStyle w:val="FootnoteText"/>
        <w:jc w:val="both"/>
      </w:pPr>
      <w:r>
        <w:rPr>
          <w:rStyle w:val="FootnoteReference"/>
        </w:rPr>
        <w:footnoteRef/>
      </w:r>
      <w:r>
        <w:t xml:space="preserve"> </w:t>
      </w:r>
      <w:r>
        <w:tab/>
        <w:t>If COP farmers would subscribe to risk management tools, ring-fenced in most options, their income could be more stable over time and higher on avera</w:t>
      </w:r>
      <w:r>
        <w:t xml:space="preserve">ge than in this assessment. </w:t>
      </w:r>
    </w:p>
  </w:footnote>
  <w:footnote w:id="9">
    <w:p w:rsidR="00333A1A" w:rsidRDefault="003D29C9">
      <w:pPr>
        <w:pStyle w:val="FootnoteText"/>
      </w:pPr>
      <w:r>
        <w:rPr>
          <w:rStyle w:val="FootnoteReference"/>
        </w:rPr>
        <w:footnoteRef/>
      </w:r>
      <w:r>
        <w:t xml:space="preserve"> </w:t>
      </w:r>
      <w:r>
        <w:tab/>
        <w:t xml:space="preserve">See p.11 </w:t>
      </w:r>
      <w:hyperlink r:id="rId2" w:history="1">
        <w:r>
          <w:rPr>
            <w:rStyle w:val="Hyperlink"/>
          </w:rPr>
          <w:t>Facts and figures on Direct payments</w:t>
        </w:r>
      </w:hyperlink>
    </w:p>
  </w:footnote>
  <w:footnote w:id="10">
    <w:p w:rsidR="00333A1A" w:rsidRDefault="003D29C9">
      <w:pPr>
        <w:pStyle w:val="FootnoteText"/>
      </w:pPr>
      <w:r>
        <w:rPr>
          <w:rStyle w:val="FootnoteReference"/>
        </w:rPr>
        <w:footnoteRef/>
      </w:r>
      <w:r>
        <w:t xml:space="preserve"> </w:t>
      </w:r>
      <w:r>
        <w:tab/>
        <w:t>11 MS and the 2 Belgian regions did not opt for a flat ra</w:t>
      </w:r>
      <w:r>
        <w:t>te and introduced a system of approximation towards a flat rate level.</w:t>
      </w:r>
    </w:p>
  </w:footnote>
  <w:footnote w:id="11">
    <w:p w:rsidR="00333A1A" w:rsidRDefault="003D29C9">
      <w:pPr>
        <w:pStyle w:val="FootnoteText"/>
        <w:jc w:val="both"/>
      </w:pPr>
      <w:r>
        <w:rPr>
          <w:rStyle w:val="FootnoteReference"/>
        </w:rPr>
        <w:footnoteRef/>
      </w:r>
      <w:r>
        <w:t xml:space="preserve"> </w:t>
      </w:r>
      <w:r>
        <w:tab/>
        <w:t>The obligation to have 3% of UAA with non-productive elements (fallow land, afforested area and landscape elements) was modelled as an obligation to keep 3% of arable land and perman</w:t>
      </w:r>
      <w:r>
        <w:t>ent crops with fallow or set aside, assuming that on permanent grassland the obligation was more often fulfilled.</w:t>
      </w:r>
    </w:p>
  </w:footnote>
  <w:footnote w:id="12">
    <w:p w:rsidR="00333A1A" w:rsidRDefault="003D29C9">
      <w:pPr>
        <w:pStyle w:val="FootnoteText"/>
        <w:jc w:val="both"/>
      </w:pPr>
      <w:r>
        <w:rPr>
          <w:rStyle w:val="FootnoteReference"/>
        </w:rPr>
        <w:footnoteRef/>
      </w:r>
      <w:r>
        <w:t xml:space="preserve"> </w:t>
      </w:r>
      <w:r>
        <w:tab/>
        <w:t>Rotation was modelled as the obligation to have 50% maximum of one crop on arable land for the 2-year rotation and 33% for the 3-year rotat</w:t>
      </w:r>
      <w:r>
        <w:t>ion. On a long-term equilibrium this crop diversification mimics the effect of rotation. The selected alternative crop is preferably a crop already produced on the farm, ensuring the material is already available or traditional in the region. In some cases</w:t>
      </w:r>
      <w:r>
        <w:t>, to comply with the rotation requirement a farmer might need additional equipment and know-how.</w:t>
      </w:r>
    </w:p>
  </w:footnote>
  <w:footnote w:id="13">
    <w:p w:rsidR="00333A1A" w:rsidRDefault="003D29C9">
      <w:pPr>
        <w:pStyle w:val="FootnoteText"/>
      </w:pPr>
      <w:r>
        <w:rPr>
          <w:rStyle w:val="FootnoteReference"/>
        </w:rPr>
        <w:footnoteRef/>
      </w:r>
      <w:r>
        <w:t xml:space="preserve"> </w:t>
      </w:r>
      <w:r>
        <w:tab/>
        <w:t>In this model, each region (Nuts2) is considered as one farm, thus the underestimation of constraints applied to farms and the difficulty to grasp redistrib</w:t>
      </w:r>
      <w:r>
        <w:t xml:space="preserve">utive effects between farms. Moreover, CAPRI accounts fully for market effects (and the price increases linked to production drops), which contributes to mitigate effects. </w:t>
      </w:r>
    </w:p>
  </w:footnote>
  <w:footnote w:id="14">
    <w:p w:rsidR="00333A1A" w:rsidRDefault="003D29C9">
      <w:pPr>
        <w:pStyle w:val="FootnoteText"/>
      </w:pPr>
      <w:r>
        <w:rPr>
          <w:rStyle w:val="FootnoteReference"/>
        </w:rPr>
        <w:footnoteRef/>
      </w:r>
      <w:r>
        <w:t xml:space="preserve"> </w:t>
      </w:r>
      <w:r>
        <w:tab/>
        <w:t>In IFM-CAP, this phenomenon is captured partially via an increase of fallow land</w:t>
      </w:r>
      <w:r>
        <w:t>.</w:t>
      </w:r>
    </w:p>
  </w:footnote>
  <w:footnote w:id="15">
    <w:p w:rsidR="00333A1A" w:rsidRDefault="003D29C9">
      <w:pPr>
        <w:pStyle w:val="FootnoteText"/>
      </w:pPr>
      <w:r>
        <w:rPr>
          <w:rStyle w:val="FootnoteReference"/>
        </w:rPr>
        <w:footnoteRef/>
      </w:r>
      <w:r>
        <w:t xml:space="preserve"> </w:t>
      </w:r>
      <w:r>
        <w:tab/>
        <w:t xml:space="preserve">The 10% most intensive farms have an average size of 9 ha relative to 30 ha on average in FADN. </w:t>
      </w:r>
    </w:p>
  </w:footnote>
  <w:footnote w:id="16">
    <w:p w:rsidR="00333A1A" w:rsidRDefault="003D29C9">
      <w:pPr>
        <w:pStyle w:val="FootnoteText"/>
      </w:pPr>
      <w:r>
        <w:rPr>
          <w:rStyle w:val="FootnoteReference"/>
        </w:rPr>
        <w:footnoteRef/>
      </w:r>
      <w:r>
        <w:t xml:space="preserve"> </w:t>
      </w:r>
      <w:r>
        <w:tab/>
        <w:t>The intensification is assessed based on the share of variable costs per hectare.</w:t>
      </w:r>
    </w:p>
  </w:footnote>
  <w:footnote w:id="17">
    <w:p w:rsidR="00333A1A" w:rsidRDefault="003D29C9">
      <w:pPr>
        <w:pStyle w:val="FootnoteText"/>
        <w:jc w:val="both"/>
      </w:pPr>
      <w:r>
        <w:rPr>
          <w:rStyle w:val="FootnoteReference"/>
        </w:rPr>
        <w:footnoteRef/>
      </w:r>
      <w:r>
        <w:t xml:space="preserve"> </w:t>
      </w:r>
      <w:r>
        <w:tab/>
        <w:t>Capping at 150 000 EUR in Flanders, IE, EL, AT, PL; 176 000 EUR in</w:t>
      </w:r>
      <w:r>
        <w:t xml:space="preserve"> HU; 300 000 EUR in BG and 500 000 EUR in IT. CZ, IE, HU, PL and SK do not apply salaries correction.</w:t>
      </w:r>
    </w:p>
  </w:footnote>
  <w:footnote w:id="18">
    <w:p w:rsidR="00333A1A" w:rsidRDefault="003D29C9">
      <w:pPr>
        <w:pStyle w:val="FootnoteText"/>
        <w:jc w:val="both"/>
      </w:pPr>
      <w:r>
        <w:rPr>
          <w:rStyle w:val="FootnoteReference"/>
        </w:rPr>
        <w:footnoteRef/>
      </w:r>
      <w:r>
        <w:t xml:space="preserve"> </w:t>
      </w:r>
      <w:r>
        <w:tab/>
        <w:t>This figure is lower than the well-known 80% because it is calculated on the beneficiaries represented in FADN only.</w:t>
      </w:r>
    </w:p>
  </w:footnote>
  <w:footnote w:id="19">
    <w:p w:rsidR="00333A1A" w:rsidRDefault="003D29C9">
      <w:pPr>
        <w:pStyle w:val="FootnoteText"/>
      </w:pPr>
      <w:r>
        <w:rPr>
          <w:rStyle w:val="FootnoteReference"/>
        </w:rPr>
        <w:footnoteRef/>
      </w:r>
      <w:r>
        <w:t xml:space="preserve"> </w:t>
      </w:r>
      <w:r>
        <w:tab/>
        <w:t>For the results by MS, see Anne</w:t>
      </w:r>
      <w:r>
        <w:t>x 5.6.</w:t>
      </w:r>
    </w:p>
  </w:footnote>
  <w:footnote w:id="20">
    <w:p w:rsidR="00333A1A" w:rsidRDefault="003D29C9">
      <w:pPr>
        <w:pStyle w:val="FootnoteText"/>
        <w:jc w:val="both"/>
      </w:pPr>
      <w:r>
        <w:rPr>
          <w:rStyle w:val="FootnoteReference"/>
        </w:rPr>
        <w:footnoteRef/>
      </w:r>
      <w:r>
        <w:t xml:space="preserve"> </w:t>
      </w:r>
      <w:r>
        <w:tab/>
        <w:t>In this simulation, the less favoured areas (LFA) classification is used and estimated a rather good proxy of the new ANC classification, which is not yet fully known.</w:t>
      </w:r>
    </w:p>
  </w:footnote>
  <w:footnote w:id="21">
    <w:p w:rsidR="00333A1A" w:rsidRDefault="003D29C9">
      <w:pPr>
        <w:pStyle w:val="FootnoteText"/>
      </w:pPr>
      <w:r>
        <w:rPr>
          <w:rStyle w:val="FootnoteReference"/>
        </w:rPr>
        <w:footnoteRef/>
      </w:r>
      <w:r>
        <w:t xml:space="preserve"> </w:t>
      </w:r>
      <w:r>
        <w:tab/>
        <w:t>EC, JRC, Directorate D – Sustainable Resources, Economics of Agriculture Un</w:t>
      </w:r>
      <w:r>
        <w:t>it</w:t>
      </w:r>
    </w:p>
  </w:footnote>
  <w:footnote w:id="22">
    <w:p w:rsidR="00333A1A" w:rsidRDefault="003D29C9">
      <w:pPr>
        <w:pStyle w:val="FootnoteText"/>
      </w:pPr>
      <w:r>
        <w:rPr>
          <w:rStyle w:val="FootnoteReference"/>
        </w:rPr>
        <w:footnoteRef/>
      </w:r>
      <w:r>
        <w:t xml:space="preserve"> </w:t>
      </w:r>
      <w:r>
        <w:tab/>
        <w:t>https://www.fsa.usda.gov/programs-and-services/farm-bill/index</w:t>
      </w:r>
    </w:p>
  </w:footnote>
  <w:footnote w:id="23">
    <w:p w:rsidR="00333A1A" w:rsidRDefault="003D29C9">
      <w:pPr>
        <w:pStyle w:val="FootnoteText"/>
        <w:jc w:val="both"/>
      </w:pPr>
      <w:r>
        <w:rPr>
          <w:rStyle w:val="FootnoteReference"/>
        </w:rPr>
        <w:footnoteRef/>
      </w:r>
      <w:r>
        <w:t xml:space="preserve"> </w:t>
      </w:r>
      <w:r>
        <w:tab/>
        <w:t>It implies a transfer of funds to pillar II, given that needs vary strongly by year a multi-annual management of budget is necessary.</w:t>
      </w:r>
    </w:p>
  </w:footnote>
  <w:footnote w:id="24">
    <w:p w:rsidR="00333A1A" w:rsidRDefault="003D29C9">
      <w:pPr>
        <w:pStyle w:val="FootnoteText"/>
        <w:jc w:val="both"/>
      </w:pPr>
      <w:r>
        <w:rPr>
          <w:rStyle w:val="FootnoteReference"/>
        </w:rPr>
        <w:footnoteRef/>
      </w:r>
      <w:r>
        <w:t xml:space="preserve"> </w:t>
      </w:r>
      <w:r>
        <w:tab/>
        <w:t xml:space="preserve">See </w:t>
      </w:r>
      <w:hyperlink r:id="rId3" w:history="1">
        <w:r>
          <w:rPr>
            <w:rStyle w:val="Hyperlink"/>
          </w:rPr>
          <w:t>Economic challenges facing EU agriculture</w:t>
        </w:r>
      </w:hyperlink>
      <w:r>
        <w:rPr>
          <w:rStyle w:val="Hyperlink"/>
        </w:rPr>
        <w:t xml:space="preserve"> </w:t>
      </w:r>
      <w:r>
        <w:t xml:space="preserve">and Agricultural market brief N°12: </w:t>
      </w:r>
      <w:hyperlink r:id="rId4" w:history="1">
        <w:r>
          <w:rPr>
            <w:rStyle w:val="Hyperlink"/>
          </w:rPr>
          <w:t>Risk management schemes in EU agriculture</w:t>
        </w:r>
      </w:hyperlink>
    </w:p>
  </w:footnote>
  <w:footnote w:id="25">
    <w:p w:rsidR="00333A1A" w:rsidRDefault="003D29C9">
      <w:pPr>
        <w:pStyle w:val="FootnoteText"/>
        <w:jc w:val="both"/>
      </w:pPr>
      <w:r>
        <w:rPr>
          <w:rStyle w:val="FootnoteReference"/>
        </w:rPr>
        <w:footnoteRef/>
      </w:r>
      <w:r>
        <w:t xml:space="preserve"> </w:t>
      </w:r>
      <w:r>
        <w:tab/>
        <w:t xml:space="preserve">See Agricultural market brief N°11: </w:t>
      </w:r>
      <w:hyperlink r:id="rId5" w:history="1">
        <w:r>
          <w:rPr>
            <w:rStyle w:val="Hyperlink"/>
          </w:rPr>
          <w:t>Managing risk in the dairy sector: how futures markets could</w:t>
        </w:r>
        <w:r>
          <w:rPr>
            <w:rStyle w:val="Hyperlink"/>
          </w:rPr>
          <w:t xml:space="preserve"> help</w:t>
        </w:r>
      </w:hyperlink>
    </w:p>
  </w:footnote>
  <w:footnote w:id="26">
    <w:p w:rsidR="00333A1A" w:rsidRDefault="003D29C9">
      <w:pPr>
        <w:pStyle w:val="FootnoteText"/>
        <w:jc w:val="both"/>
      </w:pPr>
      <w:r>
        <w:rPr>
          <w:rStyle w:val="FootnoteReference"/>
        </w:rPr>
        <w:footnoteRef/>
      </w:r>
      <w:r>
        <w:t xml:space="preserve"> </w:t>
      </w:r>
      <w:r>
        <w:tab/>
        <w:t>These incentives were not included explicitly because: first, the modelling framework allowing for such an assessment in combination with the other elements of the CAP simulated here was available only recently; second, it would have required stro</w:t>
      </w:r>
      <w:r>
        <w:t>ng hypotheses on the availability of budget by MS dedicated to these specific technologies and finally the ECAMPA study was already available and could provide the necessary insights for the MCA.</w:t>
      </w:r>
    </w:p>
  </w:footnote>
  <w:footnote w:id="27">
    <w:p w:rsidR="00333A1A" w:rsidRDefault="003D29C9">
      <w:pPr>
        <w:pStyle w:val="FootnoteText"/>
      </w:pPr>
      <w:r>
        <w:rPr>
          <w:rStyle w:val="FootnoteReference"/>
        </w:rPr>
        <w:footnoteRef/>
      </w:r>
      <w:r>
        <w:t xml:space="preserve"> </w:t>
      </w:r>
      <w:r>
        <w:tab/>
      </w:r>
      <w:hyperlink r:id="rId6" w:history="1">
        <w:r>
          <w:rPr>
            <w:rStyle w:val="Hyperlink"/>
          </w:rPr>
          <w:t>Final report ECAMPA2</w:t>
        </w:r>
      </w:hyperlink>
      <w:r>
        <w:t>, 2016</w:t>
      </w:r>
    </w:p>
  </w:footnote>
  <w:footnote w:id="28">
    <w:p w:rsidR="00333A1A" w:rsidRDefault="003D29C9">
      <w:pPr>
        <w:pStyle w:val="FootnoteText"/>
        <w:jc w:val="both"/>
        <w:rPr>
          <w:szCs w:val="18"/>
        </w:rPr>
      </w:pPr>
      <w:r>
        <w:rPr>
          <w:rStyle w:val="FootnoteReference"/>
          <w:szCs w:val="18"/>
        </w:rPr>
        <w:footnoteRef/>
      </w:r>
      <w:r>
        <w:rPr>
          <w:szCs w:val="18"/>
        </w:rPr>
        <w:t xml:space="preserve"> </w:t>
      </w:r>
      <w:r>
        <w:rPr>
          <w:szCs w:val="18"/>
        </w:rPr>
        <w:tab/>
        <w:t xml:space="preserve">The EU agriculture sector is included under the EU Effort Sharing Decision (ESD) and, therefore, should contribute to GHG emission reductions. However, ESD </w:t>
      </w:r>
      <w:r>
        <w:rPr>
          <w:szCs w:val="18"/>
        </w:rPr>
        <w:t>mitigation targets are specific to member states, but not individual sectors, and so far no explicit policy measures have been implemented to oblige GHG emission abatement in the agriculture sector.</w:t>
      </w:r>
    </w:p>
  </w:footnote>
  <w:footnote w:id="29">
    <w:p w:rsidR="00333A1A" w:rsidRDefault="003D29C9">
      <w:pPr>
        <w:pStyle w:val="FootnoteText"/>
        <w:jc w:val="both"/>
      </w:pPr>
      <w:r>
        <w:rPr>
          <w:rStyle w:val="FootnoteReference"/>
          <w:szCs w:val="18"/>
        </w:rPr>
        <w:footnoteRef/>
      </w:r>
      <w:r>
        <w:rPr>
          <w:szCs w:val="18"/>
        </w:rPr>
        <w:t xml:space="preserve"> </w:t>
      </w:r>
      <w:r>
        <w:rPr>
          <w:szCs w:val="18"/>
        </w:rPr>
        <w:tab/>
      </w:r>
      <w:r>
        <w:rPr>
          <w:rFonts w:eastAsia="Calibri"/>
          <w:szCs w:val="18"/>
        </w:rPr>
        <w:t xml:space="preserve">Pérez Domínguez et al. (2016): An economic assessment </w:t>
      </w:r>
      <w:r>
        <w:rPr>
          <w:rFonts w:eastAsia="Calibri"/>
          <w:szCs w:val="18"/>
        </w:rPr>
        <w:t>of GHG mitigation policy options for EU agriculture (EcAMPA 2), JRC Science for Policy Reports, European Commission, Luxembourg: Publications Office of the European Union.</w:t>
      </w:r>
    </w:p>
  </w:footnote>
  <w:footnote w:id="30">
    <w:p w:rsidR="00333A1A" w:rsidRDefault="003D29C9">
      <w:pPr>
        <w:pStyle w:val="FootnoteText"/>
        <w:rPr>
          <w:lang w:val="da-DK"/>
        </w:rPr>
      </w:pPr>
      <w:r>
        <w:rPr>
          <w:rStyle w:val="FootnoteReference"/>
        </w:rPr>
        <w:footnoteRef/>
      </w:r>
      <w:r>
        <w:rPr>
          <w:lang w:val="da-DK"/>
        </w:rPr>
        <w:t xml:space="preserve"> </w:t>
      </w:r>
      <w:r>
        <w:rPr>
          <w:lang w:val="da-DK"/>
        </w:rPr>
        <w:tab/>
      </w:r>
      <w:hyperlink r:id="rId7" w:history="1">
        <w:r>
          <w:rPr>
            <w:rStyle w:val="Hyperlink"/>
            <w:lang w:val="da-DK"/>
          </w:rPr>
          <w:t>GGLES report, 2010</w:t>
        </w:r>
      </w:hyperlink>
    </w:p>
  </w:footnote>
  <w:footnote w:id="31">
    <w:p w:rsidR="00333A1A" w:rsidRDefault="003D29C9">
      <w:pPr>
        <w:pStyle w:val="FootnoteText"/>
        <w:rPr>
          <w:szCs w:val="18"/>
          <w:lang w:val="da-DK"/>
        </w:rPr>
      </w:pPr>
      <w:r>
        <w:rPr>
          <w:rStyle w:val="FootnoteReference"/>
          <w:szCs w:val="18"/>
        </w:rPr>
        <w:footnoteRef/>
      </w:r>
      <w:r>
        <w:rPr>
          <w:szCs w:val="18"/>
          <w:lang w:val="da-DK"/>
        </w:rPr>
        <w:t xml:space="preserve"> </w:t>
      </w:r>
      <w:r>
        <w:rPr>
          <w:szCs w:val="18"/>
          <w:lang w:val="da-DK"/>
        </w:rPr>
        <w:tab/>
      </w:r>
      <w:r>
        <w:rPr>
          <w:rFonts w:cs="Times New Roman"/>
          <w:szCs w:val="18"/>
          <w:lang w:val="da-DK"/>
        </w:rPr>
        <w:t>Smith et al., 1987</w:t>
      </w:r>
    </w:p>
  </w:footnote>
  <w:footnote w:id="32">
    <w:p w:rsidR="00333A1A" w:rsidRDefault="003D29C9">
      <w:pPr>
        <w:pStyle w:val="FootnoteText"/>
      </w:pPr>
      <w:r>
        <w:rPr>
          <w:rStyle w:val="FootnoteReference"/>
        </w:rPr>
        <w:footnoteRef/>
      </w:r>
      <w:r>
        <w:t xml:space="preserve"> </w:t>
      </w:r>
      <w:r>
        <w:tab/>
        <w:t>Farm structure survey 2010</w:t>
      </w:r>
    </w:p>
  </w:footnote>
  <w:footnote w:id="33">
    <w:p w:rsidR="00333A1A" w:rsidRDefault="003D29C9">
      <w:pPr>
        <w:pStyle w:val="FootnoteText"/>
      </w:pPr>
      <w:r>
        <w:rPr>
          <w:rStyle w:val="FootnoteReference"/>
        </w:rPr>
        <w:footnoteRef/>
      </w:r>
      <w:r>
        <w:t xml:space="preserve"> </w:t>
      </w:r>
      <w:r>
        <w:tab/>
        <w:t>See section 2.6 and 2.7 of Annex 5.2 for more information</w:t>
      </w:r>
    </w:p>
  </w:footnote>
  <w:footnote w:id="34">
    <w:p w:rsidR="00333A1A" w:rsidRDefault="003D29C9">
      <w:pPr>
        <w:pStyle w:val="FootnoteText"/>
        <w:jc w:val="both"/>
      </w:pPr>
      <w:r>
        <w:rPr>
          <w:rStyle w:val="FootnoteReference"/>
        </w:rPr>
        <w:footnoteRef/>
      </w:r>
      <w:r>
        <w:t xml:space="preserve"> </w:t>
      </w:r>
      <w:r>
        <w:tab/>
      </w:r>
      <w:r>
        <w:rPr>
          <w:color w:val="000000" w:themeColor="text1"/>
        </w:rPr>
        <w:t xml:space="preserve">For more details on the implementation of the technology options in CAPRI </w:t>
      </w:r>
      <w:r>
        <w:rPr>
          <w:color w:val="000000" w:themeColor="text1"/>
        </w:rPr>
        <w:t>consult Pérez Domínguez, I., T. Fellmann, F. Weiss, P. Witzke, J. Barreiro-Hurle, M. Himics, T. Jansson, G. Salputra, A. Leip (2016): An economic assessment of GHG mitigation policy options for EU agriculture (EcAMPA 2). JRC Science for Policy Report, Euro</w:t>
      </w:r>
      <w:r>
        <w:rPr>
          <w:color w:val="000000" w:themeColor="text1"/>
        </w:rPr>
        <w:t>pean Commission, Luxembourg: Publications Office of the European Union. http://doi.org/10.2791/843461.</w:t>
      </w:r>
    </w:p>
  </w:footnote>
  <w:footnote w:id="35">
    <w:p w:rsidR="00333A1A" w:rsidRDefault="003D29C9">
      <w:pPr>
        <w:pStyle w:val="FootnoteText"/>
      </w:pPr>
      <w:r>
        <w:rPr>
          <w:rStyle w:val="FootnoteReference"/>
        </w:rPr>
        <w:footnoteRef/>
      </w:r>
      <w:r>
        <w:t xml:space="preserve"> </w:t>
      </w:r>
      <w:r>
        <w:tab/>
        <w:t>Average annual erosion rate by water at MS level in the baseline</w:t>
      </w:r>
    </w:p>
  </w:footnote>
  <w:footnote w:id="36">
    <w:p w:rsidR="00333A1A" w:rsidRDefault="003D29C9">
      <w:pPr>
        <w:pStyle w:val="FootnoteText"/>
      </w:pPr>
      <w:r>
        <w:rPr>
          <w:rStyle w:val="FootnoteReference"/>
        </w:rPr>
        <w:footnoteRef/>
      </w:r>
      <w:r>
        <w:t xml:space="preserve"> </w:t>
      </w:r>
      <w:r>
        <w:tab/>
        <w:t>Average annual erosion rate by water at MS level</w:t>
      </w:r>
    </w:p>
  </w:footnote>
  <w:footnote w:id="37">
    <w:p w:rsidR="00333A1A" w:rsidRDefault="003D29C9">
      <w:pPr>
        <w:pStyle w:val="FootnoteText"/>
        <w:jc w:val="both"/>
      </w:pPr>
      <w:r>
        <w:rPr>
          <w:rStyle w:val="FootnoteReference"/>
        </w:rPr>
        <w:footnoteRef/>
      </w:r>
      <w:r>
        <w:t xml:space="preserve"> </w:t>
      </w:r>
      <w:r>
        <w:tab/>
        <w:t>A 10% increase of organic area</w:t>
      </w:r>
      <w:r>
        <w:t xml:space="preserve"> was assumed in the baseline.</w:t>
      </w:r>
    </w:p>
  </w:footnote>
  <w:footnote w:id="38">
    <w:p w:rsidR="00333A1A" w:rsidRDefault="003D29C9">
      <w:pPr>
        <w:pStyle w:val="FootnoteText"/>
        <w:jc w:val="both"/>
      </w:pPr>
      <w:r>
        <w:rPr>
          <w:rStyle w:val="FootnoteReference"/>
        </w:rPr>
        <w:footnoteRef/>
      </w:r>
      <w:r>
        <w:t xml:space="preserve"> </w:t>
      </w:r>
      <w:r>
        <w:tab/>
        <w:t>50 EUR/ha for permanent grassland and 100 EUR/ha additional if the area is organic, 400 EUR/ha for organic permanent crops, 200 EUR/ha for organic arable land, 120 EUR/ha for mountain areas and 50 EUR/ha for ANCs not mounta</w:t>
      </w:r>
      <w:r>
        <w:t>in. An increase of organic area by 10% is assumed. In addition the payment level is modulated by MS according to the current level of pillar I payments per ha of eligible area, to account for the differences in purchasing power parity.</w:t>
      </w:r>
    </w:p>
  </w:footnote>
  <w:footnote w:id="39">
    <w:p w:rsidR="00333A1A" w:rsidRDefault="003D29C9">
      <w:pPr>
        <w:pStyle w:val="FootnoteText"/>
        <w:jc w:val="both"/>
      </w:pPr>
      <w:r>
        <w:rPr>
          <w:rStyle w:val="FootnoteReference"/>
        </w:rPr>
        <w:footnoteRef/>
      </w:r>
      <w:r>
        <w:t xml:space="preserve"> </w:t>
      </w:r>
      <w:r>
        <w:tab/>
        <w:t>Except those with</w:t>
      </w:r>
      <w:r>
        <w:t xml:space="preserve"> 100% of area declared ANC, MT and FI</w:t>
      </w:r>
    </w:p>
  </w:footnote>
  <w:footnote w:id="40">
    <w:p w:rsidR="00333A1A" w:rsidRDefault="003D29C9">
      <w:pPr>
        <w:pStyle w:val="FootnoteText"/>
        <w:jc w:val="both"/>
      </w:pPr>
      <w:r>
        <w:rPr>
          <w:rStyle w:val="FootnoteReference"/>
        </w:rPr>
        <w:footnoteRef/>
      </w:r>
      <w:r>
        <w:t xml:space="preserve"> </w:t>
      </w:r>
      <w:r>
        <w:tab/>
        <w:t xml:space="preserve">Increasing the unitary payment level was tested but not conclusive. </w:t>
      </w:r>
    </w:p>
  </w:footnote>
  <w:footnote w:id="41">
    <w:p w:rsidR="00333A1A" w:rsidRDefault="003D29C9">
      <w:pPr>
        <w:pStyle w:val="FootnoteText"/>
      </w:pPr>
      <w:r>
        <w:rPr>
          <w:rStyle w:val="FootnoteReference"/>
        </w:rPr>
        <w:footnoteRef/>
      </w:r>
      <w:r>
        <w:t xml:space="preserve"> </w:t>
      </w:r>
      <w:r>
        <w:tab/>
        <w:t xml:space="preserve">See </w:t>
      </w:r>
      <w:hyperlink r:id="rId8" w:history="1">
        <w:r>
          <w:rPr>
            <w:rStyle w:val="Hyperlink"/>
          </w:rPr>
          <w:t>An economic assessment of GHG mitigation policy options for EU agriculture (EcAMPA 2)</w:t>
        </w:r>
      </w:hyperlink>
    </w:p>
  </w:footnote>
  <w:footnote w:id="42">
    <w:p w:rsidR="00333A1A" w:rsidRDefault="003D29C9">
      <w:pPr>
        <w:pStyle w:val="FootnoteText"/>
      </w:pPr>
      <w:r>
        <w:rPr>
          <w:rStyle w:val="FootnoteReference"/>
        </w:rPr>
        <w:footnoteRef/>
      </w:r>
      <w:r>
        <w:t xml:space="preserve"> </w:t>
      </w:r>
      <w:r>
        <w:tab/>
        <w:t xml:space="preserve">Adapted from: Tool 42, Better Regulation Toolbox, </w:t>
      </w:r>
      <w:hyperlink r:id="rId9" w:history="1">
        <w:r>
          <w:rPr>
            <w:rStyle w:val="Hyperlink"/>
          </w:rPr>
          <w:t>http://ec.europa.eu/smart-regulation/guidelines/docs/br_toolbox_en.pdf</w:t>
        </w:r>
      </w:hyperlink>
    </w:p>
  </w:footnote>
  <w:footnote w:id="43">
    <w:p w:rsidR="00333A1A" w:rsidRDefault="003D29C9">
      <w:pPr>
        <w:pStyle w:val="FootnoteText"/>
      </w:pPr>
      <w:r>
        <w:rPr>
          <w:rStyle w:val="FootnoteReference"/>
        </w:rPr>
        <w:footnoteRef/>
      </w:r>
      <w:r>
        <w:t xml:space="preserve"> </w:t>
      </w:r>
      <w:r>
        <w:tab/>
        <w:t xml:space="preserve">= group average weights derived from individual experts' weights, see Annex 5.2 on Methods and Tools </w:t>
      </w:r>
    </w:p>
  </w:footnote>
  <w:footnote w:id="44">
    <w:p w:rsidR="00333A1A" w:rsidRDefault="003D29C9">
      <w:pPr>
        <w:pStyle w:val="FootnoteText"/>
      </w:pPr>
      <w:r>
        <w:rPr>
          <w:rStyle w:val="FootnoteReference"/>
        </w:rPr>
        <w:footnoteRef/>
      </w:r>
      <w:r>
        <w:t xml:space="preserve"> </w:t>
      </w:r>
      <w:r>
        <w:tab/>
        <w:t xml:space="preserve">World Bank on the European Union (2017) </w:t>
      </w:r>
      <w:hyperlink r:id="rId10" w:history="1">
        <w:r>
          <w:rPr>
            <w:color w:val="0000FF"/>
            <w:u w:val="single"/>
          </w:rPr>
          <w:t>Thinking CAP Supporting Agricultural Jobs and Incomes in the EU</w:t>
        </w:r>
      </w:hyperlink>
      <w:r>
        <w:rPr>
          <w:color w:val="0000FF"/>
          <w:u w:val="single"/>
        </w:rPr>
        <w:t xml:space="preserve">, </w:t>
      </w:r>
      <w:r>
        <w:rPr>
          <w:noProof/>
          <w:szCs w:val="24"/>
        </w:rPr>
        <w:t>EU Regular Economic Report 4.</w:t>
      </w:r>
    </w:p>
  </w:footnote>
  <w:footnote w:id="45">
    <w:p w:rsidR="00333A1A" w:rsidRDefault="003D29C9">
      <w:pPr>
        <w:pStyle w:val="FootnoteText"/>
        <w:jc w:val="both"/>
      </w:pPr>
      <w:r>
        <w:rPr>
          <w:rStyle w:val="FootnoteReference"/>
        </w:rPr>
        <w:footnoteRef/>
      </w:r>
      <w:r>
        <w:t xml:space="preserve"> </w:t>
      </w:r>
      <w:r>
        <w:tab/>
        <w:t xml:space="preserve">The bioeconomy encompasses the production of renewable biological resources </w:t>
      </w:r>
      <w:r>
        <w:t>and the conversion of these resources and waste streams into value added products. Within the EU-28, this diverse collective of activities employed 8.2% of the labour force and it generated 4.2% of GDP in 2015. Furthermore, primary agriculture, food manufa</w:t>
      </w:r>
      <w:r>
        <w:t>cture, beverages and tobacco constitute three-quarters of bioeconomy employment and two-thirds of bioeconomy value added. In Northern and Western European Member States (MS), bioeconomy employment and value added are more concentrated in bio-based manufact</w:t>
      </w:r>
      <w:r>
        <w:t>uring sectors. On the other hand, in Central and Eastern European Member States, it is more concentrated in the primary agriculture and forestry activities, although the output gap suggests that there is significant potential for further development. Sourc</w:t>
      </w:r>
      <w:r>
        <w:t>e: bioeconomy roadmap; forthcoming Ronzon et al</w:t>
      </w:r>
    </w:p>
  </w:footnote>
  <w:footnote w:id="46">
    <w:p w:rsidR="00333A1A" w:rsidRDefault="003D29C9">
      <w:pPr>
        <w:pStyle w:val="FootnoteText"/>
      </w:pPr>
      <w:r>
        <w:rPr>
          <w:rStyle w:val="FootnoteReference"/>
        </w:rPr>
        <w:footnoteRef/>
      </w:r>
      <w:r>
        <w:t xml:space="preserve"> </w:t>
      </w:r>
      <w:r>
        <w:tab/>
        <w:t>MS notifications in the frame of UNFCCC reporting</w:t>
      </w:r>
    </w:p>
  </w:footnote>
  <w:footnote w:id="47">
    <w:p w:rsidR="00333A1A" w:rsidRDefault="003D29C9">
      <w:pPr>
        <w:pStyle w:val="FootnoteText"/>
        <w:rPr>
          <w:lang w:val="fr-BE"/>
        </w:rPr>
      </w:pPr>
      <w:r>
        <w:rPr>
          <w:rStyle w:val="FootnoteReference"/>
        </w:rPr>
        <w:footnoteRef/>
      </w:r>
      <w:r>
        <w:rPr>
          <w:lang w:val="fr-BE"/>
        </w:rPr>
        <w:t xml:space="preserve"> </w:t>
      </w:r>
      <w:r>
        <w:rPr>
          <w:lang w:val="fr-BE"/>
        </w:rPr>
        <w:tab/>
        <w:t>Bureau (2017) – EU CAP Reform, http.capreform.eu</w:t>
      </w:r>
    </w:p>
  </w:footnote>
  <w:footnote w:id="48">
    <w:p w:rsidR="00333A1A" w:rsidRDefault="003D29C9">
      <w:pPr>
        <w:autoSpaceDE w:val="0"/>
        <w:autoSpaceDN w:val="0"/>
        <w:adjustRightInd w:val="0"/>
        <w:spacing w:after="0" w:line="240" w:lineRule="auto"/>
        <w:ind w:left="720" w:hanging="720"/>
        <w:jc w:val="both"/>
      </w:pPr>
      <w:r>
        <w:rPr>
          <w:rStyle w:val="FootnoteReference"/>
        </w:rPr>
        <w:footnoteRef/>
      </w:r>
      <w:r>
        <w:t xml:space="preserve"> </w:t>
      </w:r>
      <w:r>
        <w:tab/>
      </w:r>
      <w:r>
        <w:rPr>
          <w:rFonts w:ascii="Times New Roman" w:hAnsi="Times New Roman"/>
          <w:sz w:val="18"/>
          <w:szCs w:val="20"/>
        </w:rPr>
        <w:t>United Nations (2016). Report of the Inter-Agency and Expert Group on Sustainable Development Goal I</w:t>
      </w:r>
      <w:r>
        <w:rPr>
          <w:rFonts w:ascii="Times New Roman" w:hAnsi="Times New Roman"/>
          <w:sz w:val="18"/>
          <w:szCs w:val="20"/>
        </w:rPr>
        <w:t>ndicators (E/CN.3/2016/2/Rev.1) Annex IV: Final list of proposed Sustainable Development Goal indicators (</w:t>
      </w:r>
      <w:hyperlink r:id="rId11" w:history="1">
        <w:r>
          <w:rPr>
            <w:rFonts w:ascii="Times New Roman" w:hAnsi="Times New Roman"/>
            <w:sz w:val="18"/>
            <w:szCs w:val="20"/>
          </w:rPr>
          <w:t>https://sustainabledevelopme</w:t>
        </w:r>
        <w:r>
          <w:rPr>
            <w:rFonts w:ascii="Times New Roman" w:hAnsi="Times New Roman"/>
            <w:sz w:val="18"/>
            <w:szCs w:val="20"/>
          </w:rPr>
          <w:t>nt.un.org/content/documents/11803Official-List-of-Proposed-SDG-Indicators.pdf</w:t>
        </w:r>
      </w:hyperlink>
      <w:r>
        <w:rPr>
          <w:rFonts w:ascii="Times New Roman" w:hAnsi="Times New Roman"/>
          <w:sz w:val="18"/>
          <w:szCs w:val="20"/>
        </w:rPr>
        <w:t>).</w:t>
      </w:r>
    </w:p>
  </w:footnote>
  <w:footnote w:id="49">
    <w:p w:rsidR="00333A1A" w:rsidRDefault="003D29C9">
      <w:pPr>
        <w:pStyle w:val="FootnoteText"/>
        <w:jc w:val="both"/>
      </w:pPr>
      <w:r>
        <w:rPr>
          <w:rStyle w:val="FootnoteReference"/>
        </w:rPr>
        <w:footnoteRef/>
      </w:r>
      <w:r>
        <w:t xml:space="preserve"> </w:t>
      </w:r>
      <w:r>
        <w:tab/>
        <w:t>Eurostat (2017). Sustainable development in the European Union – Monitoring report on progress towards the SDGs in an EU context, 2017 edition. Publication Office of the Eur</w:t>
      </w:r>
      <w:r>
        <w:t>opean Commission: Luxemburg.</w:t>
      </w:r>
    </w:p>
  </w:footnote>
  <w:footnote w:id="50">
    <w:p w:rsidR="00333A1A" w:rsidRDefault="003D29C9">
      <w:pPr>
        <w:pStyle w:val="FootnoteText"/>
        <w:jc w:val="both"/>
      </w:pPr>
      <w:r>
        <w:rPr>
          <w:sz w:val="12"/>
          <w:szCs w:val="18"/>
          <w:lang w:val="nl-BE"/>
        </w:rPr>
        <w:footnoteRef/>
      </w:r>
      <w:r>
        <w:rPr>
          <w:sz w:val="12"/>
          <w:szCs w:val="18"/>
        </w:rPr>
        <w:t xml:space="preserve"> </w:t>
      </w:r>
      <w:r>
        <w:rPr>
          <w:sz w:val="16"/>
          <w:szCs w:val="18"/>
        </w:rPr>
        <w:tab/>
      </w:r>
      <w:r>
        <w:rPr>
          <w:szCs w:val="18"/>
        </w:rPr>
        <w:t>Data</w:t>
      </w:r>
      <w:r>
        <w:t xml:space="preserve"> are insufficient for SDGs 6, 13, 14 and 16, although some trends were found for SDGs 6 and 13.</w:t>
      </w:r>
    </w:p>
  </w:footnote>
  <w:footnote w:id="51">
    <w:p w:rsidR="00333A1A" w:rsidRDefault="003D29C9">
      <w:pPr>
        <w:pStyle w:val="FootnoteText"/>
      </w:pPr>
      <w:r>
        <w:rPr>
          <w:rStyle w:val="FootnoteReference"/>
        </w:rPr>
        <w:footnoteRef/>
      </w:r>
      <w:r>
        <w:t xml:space="preserve"> </w:t>
      </w:r>
      <w:r>
        <w:tab/>
        <w:t>European Commission (2016) COM 739 final, November 2016</w:t>
      </w:r>
    </w:p>
  </w:footnote>
  <w:footnote w:id="52">
    <w:p w:rsidR="00333A1A" w:rsidRDefault="003D29C9">
      <w:pPr>
        <w:pStyle w:val="FootnoteText"/>
      </w:pPr>
      <w:r>
        <w:rPr>
          <w:rStyle w:val="FootnoteReference"/>
        </w:rPr>
        <w:footnoteRef/>
      </w:r>
      <w:r>
        <w:t xml:space="preserve"> </w:t>
      </w:r>
      <w:r>
        <w:tab/>
        <w:t>European Commission (2017) COM 713 final, November 2017</w:t>
      </w:r>
    </w:p>
  </w:footnote>
  <w:footnote w:id="53">
    <w:p w:rsidR="00333A1A" w:rsidRDefault="003D29C9">
      <w:pPr>
        <w:pStyle w:val="FootnoteText"/>
        <w:jc w:val="both"/>
      </w:pPr>
      <w:r>
        <w:rPr>
          <w:rStyle w:val="FootnoteReference"/>
        </w:rPr>
        <w:footnoteRef/>
      </w:r>
      <w:r>
        <w:t xml:space="preserve">  </w:t>
      </w:r>
      <w:r>
        <w:tab/>
        <w:t>Eu</w:t>
      </w:r>
      <w:r>
        <w:t xml:space="preserve">ropean Action for Sustainability, SWD(2016) 390 final accompanying </w:t>
      </w:r>
      <w:hyperlink r:id="rId12" w:history="1">
        <w:r>
          <w:rPr>
            <w:rStyle w:val="Hyperlink"/>
          </w:rPr>
          <w:t>COM(2016) 739 Final</w:t>
        </w:r>
      </w:hyperlink>
      <w:r>
        <w:rPr>
          <w:rStyle w:val="Hyperlink"/>
        </w:rPr>
        <w:t>.</w:t>
      </w:r>
    </w:p>
  </w:footnote>
  <w:footnote w:id="54">
    <w:p w:rsidR="00333A1A" w:rsidRDefault="003D29C9">
      <w:pPr>
        <w:pStyle w:val="FootnoteText"/>
      </w:pPr>
      <w:r>
        <w:rPr>
          <w:rStyle w:val="FootnoteReference"/>
        </w:rPr>
        <w:footnoteRef/>
      </w:r>
      <w:r>
        <w:t xml:space="preserve"> </w:t>
      </w:r>
      <w:r>
        <w:tab/>
        <w:t>G. Pe’er, S. Lakner, R. Müller, G. Passo</w:t>
      </w:r>
      <w:r>
        <w:t>ni, V. Bontzorlos, D. Clough, F. Moreira, C. Azam, J. Berger, P. Bezak, A. Bonn, B. Hansjürgens, L. Hartmann, J. Kleemann, A. Lomba, A. Sahrbacher, S. Schindler, C. Schleyer, J. Schmidt, S. Schüler, C. Sirami, M. von Meyer-Höfer, and Y. Zinngrebe (2017). I</w:t>
      </w:r>
      <w:r>
        <w:t>s the CAP fit for purpose? An evidence-based fitness check assessment. Leipzig, German Centre for Integrative Biodiversity Research (iDiv), Halle-Jena-Leipzig.</w:t>
      </w:r>
    </w:p>
  </w:footnote>
  <w:footnote w:id="55">
    <w:p w:rsidR="00333A1A" w:rsidRDefault="003D29C9">
      <w:pPr>
        <w:pStyle w:val="FootnoteText"/>
        <w:jc w:val="both"/>
        <w:rPr>
          <w:sz w:val="22"/>
          <w:lang w:val="en-US"/>
        </w:rPr>
      </w:pPr>
      <w:r>
        <w:rPr>
          <w:lang w:val="nl-BE"/>
        </w:rPr>
        <w:footnoteRef/>
      </w:r>
      <w:r>
        <w:t xml:space="preserve"> </w:t>
      </w:r>
      <w:r>
        <w:tab/>
        <w:t>The interlinkages were examined between SDG targets and either operational objectives or indi</w:t>
      </w:r>
      <w:r>
        <w:t>cators of Multi-Criteria Assessment. SDGs were considered only on the level of targets and not SDG indicators, for two reasons: the UN list of SDG indicators does not necessarily reflect the indicators relevant for the EU or the CAP, and the Eurostat set o</w:t>
      </w:r>
      <w:r>
        <w:t>f indicators is constructed based on the availability and quality of data but does not capture the SDG targets in their entirety. Moreover, both lists are still subject to modifications.</w:t>
      </w:r>
    </w:p>
  </w:footnote>
  <w:footnote w:id="56">
    <w:p w:rsidR="00333A1A" w:rsidRDefault="003D29C9">
      <w:pPr>
        <w:pStyle w:val="FootnoteText"/>
        <w:jc w:val="both"/>
        <w:rPr>
          <w:rStyle w:val="FootnoteReference"/>
          <w:szCs w:val="18"/>
          <w:vertAlign w:val="baseline"/>
        </w:rPr>
      </w:pPr>
      <w:r>
        <w:rPr>
          <w:rStyle w:val="FootnoteReference"/>
          <w:szCs w:val="18"/>
        </w:rPr>
        <w:footnoteRef/>
      </w:r>
      <w:r>
        <w:rPr>
          <w:rStyle w:val="FootnoteReference"/>
          <w:szCs w:val="18"/>
        </w:rPr>
        <w:t xml:space="preserve"> </w:t>
      </w:r>
      <w:r>
        <w:rPr>
          <w:szCs w:val="18"/>
        </w:rPr>
        <w:t xml:space="preserve"> </w:t>
      </w:r>
      <w:r>
        <w:rPr>
          <w:szCs w:val="18"/>
        </w:rPr>
        <w:tab/>
      </w:r>
      <w:r>
        <w:rPr>
          <w:rStyle w:val="FootnoteReference"/>
          <w:szCs w:val="18"/>
          <w:vertAlign w:val="baseline"/>
        </w:rPr>
        <w:t>Agricultural Knowledge and Innovation System</w:t>
      </w:r>
    </w:p>
  </w:footnote>
  <w:footnote w:id="57">
    <w:p w:rsidR="00333A1A" w:rsidRDefault="003D29C9">
      <w:pPr>
        <w:pStyle w:val="FootnoteText"/>
        <w:rPr>
          <w:szCs w:val="18"/>
        </w:rPr>
      </w:pPr>
      <w:r>
        <w:rPr>
          <w:rStyle w:val="FootnoteReference"/>
          <w:szCs w:val="18"/>
        </w:rPr>
        <w:footnoteRef/>
      </w:r>
      <w:r>
        <w:rPr>
          <w:szCs w:val="18"/>
        </w:rPr>
        <w:t xml:space="preserve"> </w:t>
      </w:r>
      <w:r>
        <w:rPr>
          <w:szCs w:val="18"/>
        </w:rPr>
        <w:tab/>
        <w:t xml:space="preserve">Based on Article </w:t>
      </w:r>
      <w:r>
        <w:rPr>
          <w:szCs w:val="18"/>
        </w:rPr>
        <w:t>349 and on Articles 42 and 43 (Common Agricultural Policy)</w:t>
      </w:r>
    </w:p>
  </w:footnote>
  <w:footnote w:id="58">
    <w:p w:rsidR="00333A1A" w:rsidRDefault="003D29C9">
      <w:pPr>
        <w:pStyle w:val="FootnoteText"/>
        <w:rPr>
          <w:szCs w:val="18"/>
        </w:rPr>
      </w:pPr>
      <w:r>
        <w:rPr>
          <w:rStyle w:val="FootnoteReference"/>
          <w:szCs w:val="18"/>
        </w:rPr>
        <w:footnoteRef/>
      </w:r>
      <w:r>
        <w:rPr>
          <w:szCs w:val="18"/>
        </w:rPr>
        <w:t xml:space="preserve"> </w:t>
      </w:r>
      <w:r>
        <w:rPr>
          <w:szCs w:val="18"/>
        </w:rPr>
        <w:tab/>
        <w:t>COM(2016)797 final of 15 October 2016</w:t>
      </w:r>
    </w:p>
  </w:footnote>
  <w:footnote w:id="59">
    <w:p w:rsidR="00333A1A" w:rsidRDefault="003D29C9">
      <w:pPr>
        <w:pStyle w:val="FootnoteText"/>
        <w:rPr>
          <w:szCs w:val="18"/>
        </w:rPr>
      </w:pPr>
      <w:r>
        <w:rPr>
          <w:rStyle w:val="FootnoteReference"/>
          <w:szCs w:val="18"/>
        </w:rPr>
        <w:footnoteRef/>
      </w:r>
      <w:r>
        <w:rPr>
          <w:szCs w:val="18"/>
        </w:rPr>
        <w:t xml:space="preserve"> </w:t>
      </w:r>
      <w:r>
        <w:rPr>
          <w:szCs w:val="18"/>
        </w:rPr>
        <w:tab/>
        <w:t>COM(2017) 623 final "A stronger and renewed strategic partnership with the EU's outermost regions"</w:t>
      </w:r>
    </w:p>
  </w:footnote>
  <w:footnote w:id="60">
    <w:p w:rsidR="00333A1A" w:rsidRDefault="003D29C9">
      <w:pPr>
        <w:pStyle w:val="FootnoteText"/>
      </w:pPr>
      <w:r>
        <w:rPr>
          <w:rStyle w:val="FootnoteReference"/>
        </w:rPr>
        <w:footnoteRef/>
      </w:r>
      <w:r>
        <w:t xml:space="preserve"> </w:t>
      </w:r>
      <w:r>
        <w:tab/>
      </w:r>
      <w:r>
        <w:t xml:space="preserve">The situation will be further assessed based upon the forthcoming Commission report on the implementation status of the Water Framework Directive.  </w:t>
      </w:r>
    </w:p>
  </w:footnote>
  <w:footnote w:id="61">
    <w:p w:rsidR="00333A1A" w:rsidRDefault="003D29C9">
      <w:pPr>
        <w:pStyle w:val="FootnoteText"/>
        <w:jc w:val="both"/>
      </w:pPr>
      <w:r>
        <w:rPr>
          <w:rStyle w:val="FootnoteReference"/>
        </w:rPr>
        <w:footnoteRef/>
      </w:r>
      <w:r>
        <w:t xml:space="preserve"> </w:t>
      </w:r>
      <w:r>
        <w:tab/>
        <w:t>AECH include the agri-environment-climate measures as well as the support to organic, Natura 2000, water</w:t>
      </w:r>
      <w:r>
        <w:t xml:space="preserve"> framework directive payments, animal welfare, forestry and non-productive investments.</w:t>
      </w:r>
    </w:p>
  </w:footnote>
  <w:footnote w:id="62">
    <w:p w:rsidR="00333A1A" w:rsidRDefault="003D29C9">
      <w:pPr>
        <w:pStyle w:val="FootnoteText"/>
        <w:jc w:val="both"/>
        <w:rPr>
          <w:sz w:val="16"/>
        </w:rPr>
      </w:pPr>
      <w:r>
        <w:rPr>
          <w:rStyle w:val="FootnoteReference"/>
        </w:rPr>
        <w:footnoteRef/>
      </w:r>
      <w:r>
        <w:t xml:space="preserve"> </w:t>
      </w:r>
      <w:r>
        <w:tab/>
        <w:t>Requirements can be farm specific with eco-scheme/AECH but for conditionality the requirements need to be applicable by all concerned farmers within a MS/region</w:t>
      </w:r>
      <w:r>
        <w:rPr>
          <w:sz w:val="16"/>
        </w:rPr>
        <w:t>.</w:t>
      </w:r>
    </w:p>
  </w:footnote>
  <w:footnote w:id="63">
    <w:p w:rsidR="00333A1A" w:rsidRDefault="003D29C9">
      <w:pPr>
        <w:pStyle w:val="FootnoteText"/>
        <w:jc w:val="both"/>
        <w:rPr>
          <w:sz w:val="16"/>
        </w:rPr>
      </w:pPr>
      <w:r>
        <w:rPr>
          <w:rStyle w:val="FootnoteReference"/>
          <w:sz w:val="16"/>
        </w:rPr>
        <w:footnoteRef/>
      </w:r>
      <w:r>
        <w:rPr>
          <w:sz w:val="16"/>
        </w:rPr>
        <w:t xml:space="preserve"> </w:t>
      </w:r>
      <w:r>
        <w:rPr>
          <w:sz w:val="16"/>
        </w:rPr>
        <w:tab/>
      </w:r>
      <w:r>
        <w:rPr>
          <w:sz w:val="16"/>
        </w:rPr>
        <w:t>Winter soil cover on 100% of arable land; permanent cover crop between tree rows on 100% of permanent crop area; a 3 year crop rotation; 5% of arable land with fallow land, afforested areas and landscape elements; reduction targets of nutrient surplus; a s</w:t>
      </w:r>
      <w:r>
        <w:rPr>
          <w:sz w:val="16"/>
        </w:rPr>
        <w:t>trong push on the development of Integrated Pest Management; a reduction of antibiotic use; the development of cattle genomics targeting GHG efficiency. This description is illustrative and includes elements that can be modelled (such as winter soil cover)</w:t>
      </w:r>
      <w:r>
        <w:rPr>
          <w:sz w:val="16"/>
        </w:rPr>
        <w:t xml:space="preserve"> and others that can be assessed qualitatively (such as cattle genomics).</w:t>
      </w:r>
    </w:p>
  </w:footnote>
  <w:footnote w:id="64">
    <w:p w:rsidR="00333A1A" w:rsidRDefault="003D29C9">
      <w:pPr>
        <w:pStyle w:val="FootnoteText"/>
        <w:jc w:val="both"/>
      </w:pPr>
      <w:r>
        <w:rPr>
          <w:sz w:val="16"/>
        </w:rPr>
        <w:footnoteRef/>
      </w:r>
      <w:r>
        <w:rPr>
          <w:sz w:val="16"/>
        </w:rPr>
        <w:t xml:space="preserve"> </w:t>
      </w:r>
      <w:r>
        <w:rPr>
          <w:sz w:val="16"/>
        </w:rPr>
        <w:tab/>
        <w:t>Winter soil cover on 50% of arable land and on the top of the 3% of UAA dedicated to non-productive elements, 3% of additional arable land lying fallow or with nitrogen fixing cro</w:t>
      </w:r>
      <w:r>
        <w:rPr>
          <w:sz w:val="16"/>
        </w:rPr>
        <w:t>ps without pesticides.</w:t>
      </w:r>
    </w:p>
  </w:footnote>
  <w:footnote w:id="65">
    <w:p w:rsidR="00333A1A" w:rsidRDefault="003D29C9">
      <w:pPr>
        <w:pStyle w:val="FootnoteText"/>
        <w:jc w:val="both"/>
        <w:rPr>
          <w:sz w:val="16"/>
        </w:rPr>
      </w:pPr>
      <w:r>
        <w:rPr>
          <w:rStyle w:val="FootnoteReference"/>
          <w:sz w:val="16"/>
          <w:szCs w:val="16"/>
        </w:rPr>
        <w:footnoteRef/>
      </w:r>
      <w:r>
        <w:rPr>
          <w:sz w:val="16"/>
          <w:szCs w:val="16"/>
        </w:rPr>
        <w:t xml:space="preserve"> </w:t>
      </w:r>
      <w:r>
        <w:rPr>
          <w:sz w:val="16"/>
          <w:szCs w:val="16"/>
        </w:rPr>
        <w:tab/>
        <w:t>T</w:t>
      </w:r>
      <w:r>
        <w:rPr>
          <w:sz w:val="16"/>
        </w:rPr>
        <w:t>he requirements are similar to those in option 3a, except for IPM practises and changes in cattle genomics more difficult to impose in a conditionality system. However, the provisions of the directive on sustainable use of pestic</w:t>
      </w:r>
      <w:r>
        <w:rPr>
          <w:sz w:val="16"/>
        </w:rPr>
        <w:t>ides in terms of farmers' training, products' storage, sprayers' inspection and the ban on air spreading are enforced via this more ambitious conditionality.</w:t>
      </w:r>
    </w:p>
  </w:footnote>
  <w:footnote w:id="66">
    <w:p w:rsidR="00333A1A" w:rsidRDefault="003D29C9">
      <w:pPr>
        <w:pStyle w:val="FootnoteText"/>
        <w:jc w:val="both"/>
      </w:pPr>
      <w:r>
        <w:rPr>
          <w:rStyle w:val="FootnoteReference"/>
          <w:sz w:val="16"/>
        </w:rPr>
        <w:footnoteRef/>
      </w:r>
      <w:r>
        <w:t xml:space="preserve"> </w:t>
      </w:r>
      <w:r>
        <w:tab/>
      </w:r>
      <w:r>
        <w:rPr>
          <w:sz w:val="16"/>
        </w:rPr>
        <w:t>Starting from the support actually received by farmers when the 2013 reform is fully implemente</w:t>
      </w:r>
      <w:r>
        <w:rPr>
          <w:sz w:val="16"/>
        </w:rPr>
        <w:t>d, direct payments are aggregated by land type at MS level, leading to 3 levels of unitary per ha payments. The payment to permanent grassland is increased by 20% and this increase is financed by cutting on arable land payments.</w:t>
      </w:r>
    </w:p>
  </w:footnote>
  <w:footnote w:id="67">
    <w:p w:rsidR="00333A1A" w:rsidRDefault="003D29C9">
      <w:pPr>
        <w:pStyle w:val="FootnoteText"/>
        <w:rPr>
          <w:sz w:val="16"/>
        </w:rPr>
      </w:pPr>
      <w:r>
        <w:rPr>
          <w:sz w:val="16"/>
          <w:vertAlign w:val="superscript"/>
        </w:rPr>
        <w:footnoteRef/>
      </w:r>
      <w:r>
        <w:rPr>
          <w:sz w:val="16"/>
          <w:vertAlign w:val="superscript"/>
        </w:rPr>
        <w:t xml:space="preserve"> </w:t>
      </w:r>
      <w:r>
        <w:rPr>
          <w:sz w:val="16"/>
          <w:vertAlign w:val="superscript"/>
        </w:rPr>
        <w:tab/>
      </w:r>
      <w:r>
        <w:rPr>
          <w:sz w:val="16"/>
        </w:rPr>
        <w:t>Excluding market measure</w:t>
      </w:r>
      <w:r>
        <w:rPr>
          <w:sz w:val="16"/>
        </w:rPr>
        <w:t>s and POSEI. Currently the 30% minimum spending of RD funds (less than 8% of CAP budget) on environment and climate action includes ANC support. In this table, ANC support does not account for environment and climate performance.</w:t>
      </w:r>
    </w:p>
  </w:footnote>
  <w:footnote w:id="68">
    <w:p w:rsidR="00333A1A" w:rsidRDefault="003D29C9">
      <w:pPr>
        <w:pStyle w:val="ListParagraph"/>
        <w:spacing w:after="0" w:line="240" w:lineRule="auto"/>
        <w:ind w:right="288" w:hanging="720"/>
        <w:jc w:val="both"/>
      </w:pPr>
      <w:r>
        <w:rPr>
          <w:rStyle w:val="FootnoteReference"/>
        </w:rPr>
        <w:footnoteRef/>
      </w:r>
      <w:r>
        <w:t xml:space="preserve"> </w:t>
      </w:r>
      <w:r>
        <w:tab/>
      </w:r>
      <w:r>
        <w:rPr>
          <w:rFonts w:ascii="Times New Roman" w:hAnsi="Times New Roman" w:cs="Times New Roman"/>
          <w:sz w:val="20"/>
          <w:szCs w:val="20"/>
        </w:rPr>
        <w:t xml:space="preserve">Further details on the </w:t>
      </w:r>
      <w:r>
        <w:rPr>
          <w:rFonts w:ascii="Times New Roman" w:hAnsi="Times New Roman" w:cs="Times New Roman"/>
          <w:sz w:val="20"/>
          <w:szCs w:val="20"/>
        </w:rPr>
        <w:t xml:space="preserve">model framework architecture, validation and scenario analysis can be found in Lugato et al. (2014, 2016). </w:t>
      </w:r>
    </w:p>
  </w:footnote>
  <w:footnote w:id="69">
    <w:p w:rsidR="00333A1A" w:rsidRDefault="003D29C9">
      <w:pPr>
        <w:pStyle w:val="FootnoteText"/>
        <w:jc w:val="both"/>
      </w:pPr>
      <w:r>
        <w:rPr>
          <w:rStyle w:val="FootnoteReference"/>
        </w:rPr>
        <w:footnoteRef/>
      </w:r>
      <w:r>
        <w:t xml:space="preserve"> </w:t>
      </w:r>
      <w:r>
        <w:tab/>
      </w:r>
      <w:r>
        <w:rPr>
          <w:sz w:val="20"/>
        </w:rPr>
        <w:t>https://ec.europa.eu/info/sites/info/files/file_import/better-regulation-toolbox-60_en_0.pdf</w:t>
      </w:r>
    </w:p>
  </w:footnote>
  <w:footnote w:id="70">
    <w:p w:rsidR="00333A1A" w:rsidRDefault="003D29C9">
      <w:pPr>
        <w:pStyle w:val="FootnoteText"/>
      </w:pPr>
      <w:r>
        <w:rPr>
          <w:rStyle w:val="FootnoteReference"/>
        </w:rPr>
        <w:footnoteRef/>
      </w:r>
      <w:r>
        <w:t xml:space="preserve"> </w:t>
      </w:r>
      <w:r>
        <w:tab/>
        <w:t>Measuring Attractiveness through a Category Based</w:t>
      </w:r>
      <w:r>
        <w:t xml:space="preserve"> Evaluation Technique</w:t>
      </w:r>
    </w:p>
  </w:footnote>
  <w:footnote w:id="71">
    <w:p w:rsidR="00333A1A" w:rsidRDefault="003D29C9">
      <w:pPr>
        <w:pStyle w:val="FootnoteText"/>
        <w:jc w:val="both"/>
      </w:pPr>
      <w:r>
        <w:rPr>
          <w:rStyle w:val="FootnoteReference"/>
        </w:rPr>
        <w:footnoteRef/>
      </w:r>
      <w:r>
        <w:t xml:space="preserve"> </w:t>
      </w:r>
      <w:r>
        <w:tab/>
        <w:t xml:space="preserve">R. M’barek, J. Barreiro-Hurle, P. Boulanger, A. Caivano, P. Ciaian, H. Dudu, M. Espinosa, T. Fellmann, E. Ferrari, S. Gomez y Paloma, C. Gorrin Gonzalez, M. Himics, K. Louhichi, A. Perni, G. Philippidis, G. Salputra, P. Witzke, G. </w:t>
      </w:r>
      <w:r>
        <w:t>Genovese; Scenar 2030 - Pathways for the European agriculture and food sector beyond 2020, EUR 28797 EN, Publications Office of the European Union, Luxembourg, 2017, ISBN 978-92-79-73859-3, doi:10.2760/887521, JRC108449.</w:t>
      </w:r>
    </w:p>
  </w:footnote>
  <w:footnote w:id="72">
    <w:p w:rsidR="00333A1A" w:rsidRDefault="003D29C9">
      <w:pPr>
        <w:autoSpaceDE w:val="0"/>
        <w:autoSpaceDN w:val="0"/>
        <w:adjustRightInd w:val="0"/>
        <w:spacing w:after="0" w:line="240" w:lineRule="auto"/>
        <w:ind w:left="720" w:hanging="720"/>
        <w:jc w:val="both"/>
        <w:rPr>
          <w:lang w:val="en-US"/>
        </w:rPr>
      </w:pPr>
      <w:r>
        <w:rPr>
          <w:rStyle w:val="FootnoteReference"/>
        </w:rPr>
        <w:footnoteRef/>
      </w:r>
      <w:r>
        <w:t xml:space="preserve"> </w:t>
      </w:r>
      <w:r>
        <w:tab/>
      </w:r>
      <w:r>
        <w:rPr>
          <w:rFonts w:ascii="Times New Roman" w:hAnsi="Times New Roman" w:cs="Times New Roman"/>
          <w:sz w:val="18"/>
          <w:szCs w:val="18"/>
        </w:rPr>
        <w:t xml:space="preserve">Coffey </w:t>
      </w:r>
      <w:r>
        <w:rPr>
          <w:rFonts w:ascii="Times New Roman" w:hAnsi="Times New Roman" w:cs="Times New Roman"/>
          <w:i/>
          <w:sz w:val="18"/>
          <w:szCs w:val="18"/>
        </w:rPr>
        <w:t>et al.</w:t>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(2016) </w:t>
      </w:r>
      <w:hyperlink r:id="rId13" w:history="1">
        <w:r>
          <w:rPr>
            <w:rFonts w:ascii="Times New Roman" w:hAnsi="Times New Roman" w:cs="Times New Roman"/>
            <w:color w:val="0000FF"/>
            <w:sz w:val="18"/>
            <w:szCs w:val="18"/>
            <w:u w:val="single"/>
            <w:lang w:val="en-US"/>
          </w:rPr>
          <w:t>Evaluation study on the implementation of the new European Innovation Partnerships (EIP) for Agricultural Productivity and Sustainability</w:t>
        </w:r>
      </w:hyperlink>
      <w:r>
        <w:rPr>
          <w:rFonts w:ascii="Times New Roman" w:hAnsi="Times New Roman" w:cs="Times New Roman"/>
          <w:sz w:val="18"/>
          <w:szCs w:val="18"/>
          <w:lang w:val="en-US"/>
        </w:rPr>
        <w:t xml:space="preserve">, </w:t>
      </w:r>
      <w:r>
        <w:rPr>
          <w:rFonts w:ascii="Times New Roman" w:hAnsi="Times New Roman" w:cs="Times New Roman"/>
          <w:sz w:val="18"/>
          <w:szCs w:val="18"/>
        </w:rPr>
        <w:t>Study to the European Commission.</w:t>
      </w:r>
    </w:p>
  </w:footnote>
  <w:footnote w:id="73">
    <w:p w:rsidR="00333A1A" w:rsidRDefault="003D29C9">
      <w:pPr>
        <w:pStyle w:val="FootnoteText"/>
        <w:contextualSpacing/>
        <w:jc w:val="both"/>
      </w:pPr>
      <w:r>
        <w:rPr>
          <w:rStyle w:val="FootnoteReference"/>
        </w:rPr>
        <w:footnoteRef/>
      </w:r>
      <w:r>
        <w:t xml:space="preserve"> </w:t>
      </w:r>
      <w:r>
        <w:tab/>
      </w:r>
      <w:r>
        <w:rPr>
          <w:rFonts w:cs="Times New Roman"/>
          <w:szCs w:val="18"/>
        </w:rPr>
        <w:t>Coff</w:t>
      </w:r>
      <w:r>
        <w:rPr>
          <w:rFonts w:cs="Times New Roman"/>
          <w:szCs w:val="18"/>
        </w:rPr>
        <w:t xml:space="preserve">ey </w:t>
      </w:r>
      <w:r>
        <w:rPr>
          <w:rFonts w:cs="Times New Roman"/>
          <w:i/>
          <w:szCs w:val="18"/>
        </w:rPr>
        <w:t>et al.</w:t>
      </w:r>
      <w:r>
        <w:rPr>
          <w:rFonts w:cs="Times New Roman"/>
          <w:szCs w:val="18"/>
        </w:rPr>
        <w:t xml:space="preserve"> </w:t>
      </w:r>
      <w:r>
        <w:rPr>
          <w:rFonts w:cs="Times New Roman"/>
          <w:szCs w:val="18"/>
          <w:lang w:val="en-US"/>
        </w:rPr>
        <w:t xml:space="preserve">(2016) </w:t>
      </w:r>
      <w:hyperlink r:id="rId14" w:history="1">
        <w:r>
          <w:rPr>
            <w:rFonts w:cs="Times New Roman"/>
            <w:color w:val="0000FF"/>
            <w:szCs w:val="18"/>
            <w:u w:val="single"/>
            <w:lang w:val="en-US"/>
          </w:rPr>
          <w:t>Evaluation study on the implementation of the new European Innovation Partnerships (EIP) for Agricultural Productivity and Sustainability</w:t>
        </w:r>
      </w:hyperlink>
      <w:r>
        <w:rPr>
          <w:rFonts w:cs="Times New Roman"/>
          <w:szCs w:val="18"/>
          <w:lang w:val="en-US"/>
        </w:rPr>
        <w:t xml:space="preserve">, </w:t>
      </w:r>
      <w:r>
        <w:rPr>
          <w:rFonts w:cs="Times New Roman"/>
          <w:szCs w:val="18"/>
        </w:rPr>
        <w:t xml:space="preserve">Study to the European </w:t>
      </w:r>
      <w:r>
        <w:rPr>
          <w:rFonts w:cs="Times New Roman"/>
          <w:szCs w:val="18"/>
        </w:rPr>
        <w:t>Commission.</w:t>
      </w:r>
    </w:p>
  </w:footnote>
  <w:footnote w:id="74">
    <w:p w:rsidR="00333A1A" w:rsidRDefault="003D29C9">
      <w:pPr>
        <w:pStyle w:val="FootnoteText"/>
        <w:jc w:val="both"/>
      </w:pPr>
      <w:r>
        <w:rPr>
          <w:rStyle w:val="FootnoteReference"/>
        </w:rPr>
        <w:footnoteRef/>
      </w:r>
      <w:r>
        <w:t xml:space="preserve"> </w:t>
      </w:r>
      <w:r>
        <w:tab/>
      </w:r>
      <w:r>
        <w:rPr>
          <w:szCs w:val="24"/>
        </w:rPr>
        <w:t xml:space="preserve">Standing Committee for Agricultural Research (SCAR) (2017) </w:t>
      </w:r>
      <w:hyperlink r:id="rId15" w:history="1">
        <w:r>
          <w:rPr>
            <w:color w:val="0000FF"/>
            <w:szCs w:val="24"/>
            <w:u w:val="single"/>
          </w:rPr>
          <w:t>Policy brief on the Future of Advisor</w:t>
        </w:r>
        <w:r>
          <w:rPr>
            <w:color w:val="0000FF"/>
            <w:szCs w:val="24"/>
            <w:u w:val="single"/>
          </w:rPr>
          <w:t>y Services</w:t>
        </w:r>
      </w:hyperlink>
      <w:r>
        <w:rPr>
          <w:szCs w:val="24"/>
        </w:rPr>
        <w:t xml:space="preserve">, Strategic Working Group on Agricultural Knowledge and Innovation Systems and </w:t>
      </w:r>
      <w:r>
        <w:rPr>
          <w:rFonts w:eastAsia="Times New Roman" w:cs="Times New Roman"/>
          <w:szCs w:val="18"/>
          <w:lang w:eastAsia="en-GB"/>
        </w:rPr>
        <w:t xml:space="preserve">EIP-AGRI (2017) </w:t>
      </w:r>
      <w:hyperlink r:id="rId16" w:history="1">
        <w:r>
          <w:rPr>
            <w:rFonts w:eastAsia="Times New Roman" w:cs="Times New Roman"/>
            <w:color w:val="0000FF"/>
            <w:szCs w:val="18"/>
            <w:u w:val="single"/>
            <w:lang w:eastAsia="en-GB"/>
          </w:rPr>
          <w:t>Skills development: education &amp; training, advice, peer to peer exchange and networking</w:t>
        </w:r>
      </w:hyperlink>
      <w:r>
        <w:rPr>
          <w:rFonts w:eastAsia="Times New Roman" w:cs="Times New Roman"/>
          <w:szCs w:val="18"/>
        </w:rPr>
        <w:t xml:space="preserve"> </w:t>
      </w:r>
      <w:r>
        <w:rPr>
          <w:rFonts w:eastAsia="Times New Roman" w:cs="Times New Roman"/>
          <w:szCs w:val="18"/>
          <w:lang w:eastAsia="en-GB"/>
        </w:rPr>
        <w:t>Agri Innovation Summit (AIS) "Innovation – shaping the future", 12 October.</w:t>
      </w:r>
    </w:p>
  </w:footnote>
  <w:footnote w:id="75">
    <w:p w:rsidR="00333A1A" w:rsidRDefault="003D29C9">
      <w:pPr>
        <w:pStyle w:val="FootnoteText"/>
        <w:jc w:val="both"/>
      </w:pPr>
      <w:r>
        <w:rPr>
          <w:rStyle w:val="FootnoteReference"/>
        </w:rPr>
        <w:footnoteRef/>
      </w:r>
      <w:r>
        <w:t xml:space="preserve"> </w:t>
      </w:r>
      <w:r>
        <w:tab/>
        <w:t>SCAR: Standing Committee for Agricultural Research, an expert group whe</w:t>
      </w:r>
      <w:r>
        <w:t>re MS coordinate their research and innovation issues</w:t>
      </w:r>
    </w:p>
  </w:footnote>
  <w:footnote w:id="76">
    <w:p w:rsidR="00333A1A" w:rsidRDefault="003D29C9">
      <w:pPr>
        <w:spacing w:after="0" w:line="240" w:lineRule="auto"/>
        <w:ind w:left="720" w:hanging="720"/>
        <w:jc w:val="both"/>
      </w:pPr>
      <w:r>
        <w:rPr>
          <w:rStyle w:val="FootnoteReference"/>
        </w:rPr>
        <w:footnoteRef/>
      </w:r>
      <w:r>
        <w:t xml:space="preserve"> </w:t>
      </w:r>
      <w:r>
        <w:tab/>
      </w:r>
      <w:r>
        <w:rPr>
          <w:rFonts w:ascii="Times New Roman" w:hAnsi="Times New Roman" w:cs="Times New Roman"/>
          <w:sz w:val="18"/>
          <w:szCs w:val="18"/>
        </w:rPr>
        <w:t>See the reports of the SCAR AKIS SWG in their 2</w:t>
      </w:r>
      <w:r>
        <w:rPr>
          <w:rFonts w:ascii="Times New Roman" w:hAnsi="Times New Roman" w:cs="Times New Roman"/>
          <w:sz w:val="18"/>
          <w:szCs w:val="18"/>
          <w:vertAlign w:val="superscript"/>
        </w:rPr>
        <w:t>nd</w:t>
      </w:r>
      <w:r>
        <w:rPr>
          <w:rFonts w:ascii="Times New Roman" w:hAnsi="Times New Roman" w:cs="Times New Roman"/>
          <w:sz w:val="18"/>
          <w:szCs w:val="18"/>
        </w:rPr>
        <w:t xml:space="preserve"> and 3</w:t>
      </w:r>
      <w:r>
        <w:rPr>
          <w:rFonts w:ascii="Times New Roman" w:hAnsi="Times New Roman" w:cs="Times New Roman"/>
          <w:sz w:val="18"/>
          <w:szCs w:val="18"/>
          <w:vertAlign w:val="superscript"/>
        </w:rPr>
        <w:t>rd</w:t>
      </w:r>
      <w:r>
        <w:rPr>
          <w:rFonts w:ascii="Times New Roman" w:hAnsi="Times New Roman" w:cs="Times New Roman"/>
          <w:sz w:val="18"/>
          <w:szCs w:val="18"/>
        </w:rPr>
        <w:t xml:space="preserve"> mandate for the rationale for interactive innovation: </w:t>
      </w:r>
      <w:r>
        <w:rPr>
          <w:rFonts w:ascii="Times New Roman" w:eastAsia="Times New Roman" w:hAnsi="Times New Roman" w:cs="Times New Roman"/>
          <w:sz w:val="18"/>
          <w:szCs w:val="18"/>
        </w:rPr>
        <w:t xml:space="preserve">Standing Committee on Agricultural Research (SCAR) (2016) </w:t>
      </w:r>
      <w:hyperlink r:id="rId17" w:history="1">
        <w:r>
          <w:rPr>
            <w:rFonts w:ascii="Times New Roman" w:eastAsia="Times New Roman" w:hAnsi="Times New Roman" w:cs="Times New Roman"/>
            <w:color w:val="0000FF"/>
            <w:sz w:val="18"/>
            <w:szCs w:val="18"/>
            <w:u w:val="single"/>
          </w:rPr>
          <w:t>Agricultural knowledge and innovation systems: Towards the future. A foresight paper</w:t>
        </w:r>
      </w:hyperlink>
      <w:r>
        <w:rPr>
          <w:rFonts w:ascii="Times New Roman" w:eastAsia="Times New Roman" w:hAnsi="Times New Roman" w:cs="Times New Roman"/>
          <w:sz w:val="18"/>
          <w:szCs w:val="18"/>
        </w:rPr>
        <w:t>,</w:t>
      </w:r>
      <w:r>
        <w:rPr>
          <w:rFonts w:ascii="Times New Roman" w:eastAsia="Calibri" w:hAnsi="Times New Roman" w:cs="Times New Roman"/>
          <w:color w:val="000000"/>
          <w:sz w:val="18"/>
          <w:szCs w:val="18"/>
        </w:rPr>
        <w:t xml:space="preserve"> Strategic Working Group AKIS</w:t>
      </w:r>
      <w:r>
        <w:rPr>
          <w:rFonts w:ascii="Times New Roman" w:eastAsia="Times New Roman" w:hAnsi="Times New Roman" w:cs="Times New Roman"/>
          <w:sz w:val="18"/>
          <w:szCs w:val="18"/>
        </w:rPr>
        <w:t>, Study to the European Commission.</w:t>
      </w:r>
    </w:p>
  </w:footnote>
  <w:footnote w:id="77">
    <w:p w:rsidR="00333A1A" w:rsidRDefault="003D29C9">
      <w:pPr>
        <w:pStyle w:val="FootnoteText"/>
      </w:pPr>
      <w:r>
        <w:rPr>
          <w:rStyle w:val="FootnoteReference"/>
        </w:rPr>
        <w:footnoteRef/>
      </w:r>
      <w:r>
        <w:t xml:space="preserve"> </w:t>
      </w:r>
      <w:r>
        <w:tab/>
        <w:t xml:space="preserve">See </w:t>
      </w:r>
      <w:hyperlink r:id="rId18" w:history="1">
        <w:r>
          <w:rPr>
            <w:rStyle w:val="Hyperlink"/>
          </w:rPr>
          <w:t>www.proakis.eu</w:t>
        </w:r>
      </w:hyperlink>
      <w:r>
        <w:rPr>
          <w:rStyle w:val="Hyperlink"/>
        </w:rPr>
        <w:t xml:space="preserve"> </w:t>
      </w:r>
      <w:r>
        <w:t>and annex 1: overview of MSs’ AKISs</w:t>
      </w:r>
    </w:p>
  </w:footnote>
  <w:footnote w:id="78">
    <w:p w:rsidR="00333A1A" w:rsidRDefault="003D29C9">
      <w:pPr>
        <w:pStyle w:val="FootnoteText"/>
        <w:jc w:val="both"/>
      </w:pPr>
      <w:r>
        <w:rPr>
          <w:rStyle w:val="FootnoteReference"/>
        </w:rPr>
        <w:footnoteRef/>
      </w:r>
      <w:r>
        <w:t xml:space="preserve"> </w:t>
      </w:r>
      <w:r>
        <w:tab/>
      </w:r>
      <w:r>
        <w:rPr>
          <w:rFonts w:cs="Times New Roman"/>
          <w:szCs w:val="18"/>
        </w:rPr>
        <w:t xml:space="preserve">Coffey </w:t>
      </w:r>
      <w:r>
        <w:rPr>
          <w:rFonts w:cs="Times New Roman"/>
          <w:i/>
          <w:szCs w:val="18"/>
        </w:rPr>
        <w:t>et al.</w:t>
      </w:r>
      <w:r>
        <w:rPr>
          <w:rFonts w:cs="Times New Roman"/>
          <w:szCs w:val="18"/>
        </w:rPr>
        <w:t xml:space="preserve"> </w:t>
      </w:r>
      <w:r>
        <w:rPr>
          <w:rFonts w:cs="Times New Roman"/>
          <w:szCs w:val="18"/>
          <w:lang w:val="en-US"/>
        </w:rPr>
        <w:t xml:space="preserve">(2016) </w:t>
      </w:r>
      <w:hyperlink r:id="rId19" w:history="1">
        <w:r>
          <w:rPr>
            <w:rFonts w:cs="Times New Roman"/>
            <w:color w:val="0000FF"/>
            <w:szCs w:val="18"/>
            <w:u w:val="single"/>
            <w:lang w:val="en-US"/>
          </w:rPr>
          <w:t xml:space="preserve">Evaluation study on the implementation of the new European Innovation Partnerships (EIP) </w:t>
        </w:r>
        <w:r>
          <w:rPr>
            <w:rFonts w:cs="Times New Roman"/>
            <w:color w:val="0000FF"/>
            <w:szCs w:val="18"/>
            <w:u w:val="single"/>
            <w:lang w:val="en-US"/>
          </w:rPr>
          <w:t>for Agricultural Productivity and Sustainability</w:t>
        </w:r>
      </w:hyperlink>
      <w:r>
        <w:rPr>
          <w:rFonts w:cs="Times New Roman"/>
          <w:szCs w:val="18"/>
          <w:lang w:val="en-US"/>
        </w:rPr>
        <w:t xml:space="preserve">, </w:t>
      </w:r>
      <w:r>
        <w:rPr>
          <w:rFonts w:cs="Times New Roman"/>
          <w:szCs w:val="18"/>
        </w:rPr>
        <w:t>Study to the European Commission.</w:t>
      </w:r>
    </w:p>
  </w:footnote>
  <w:footnote w:id="79">
    <w:p w:rsidR="00333A1A" w:rsidRDefault="003D29C9">
      <w:pPr>
        <w:pStyle w:val="FootnoteText"/>
        <w:jc w:val="both"/>
      </w:pPr>
      <w:r>
        <w:rPr>
          <w:rStyle w:val="FootnoteReference"/>
        </w:rPr>
        <w:footnoteRef/>
      </w:r>
      <w:r>
        <w:t xml:space="preserve"> </w:t>
      </w:r>
      <w:r>
        <w:tab/>
      </w:r>
      <w:r>
        <w:rPr>
          <w:rFonts w:eastAsia="Times New Roman" w:cs="Times New Roman"/>
          <w:szCs w:val="18"/>
          <w:lang w:eastAsia="en-GB"/>
        </w:rPr>
        <w:t xml:space="preserve">EIP-AGRI (2018) </w:t>
      </w:r>
      <w:hyperlink r:id="rId20" w:history="1">
        <w:r>
          <w:rPr>
            <w:rFonts w:eastAsia="Times New Roman" w:cs="Times New Roman"/>
            <w:color w:val="0000FF"/>
            <w:szCs w:val="18"/>
            <w:u w:val="single"/>
            <w:lang w:val="en"/>
          </w:rPr>
          <w:t xml:space="preserve">Brochure Agricultural Knowledge and </w:t>
        </w:r>
        <w:r>
          <w:rPr>
            <w:rFonts w:eastAsia="Times New Roman" w:cs="Times New Roman"/>
            <w:color w:val="0000FF"/>
            <w:szCs w:val="18"/>
            <w:u w:val="single"/>
            <w:lang w:val="en"/>
          </w:rPr>
          <w:t>Innovation Systems</w:t>
        </w:r>
      </w:hyperlink>
      <w:r>
        <w:rPr>
          <w:rFonts w:eastAsia="Times New Roman" w:cs="Times New Roman"/>
          <w:color w:val="333333"/>
          <w:szCs w:val="18"/>
          <w:lang w:val="en"/>
        </w:rPr>
        <w:t xml:space="preserve">, </w:t>
      </w:r>
      <w:r>
        <w:rPr>
          <w:rFonts w:eastAsia="Times New Roman" w:cs="Times New Roman"/>
          <w:szCs w:val="18"/>
          <w:lang w:eastAsia="en-GB"/>
        </w:rPr>
        <w:t>Study to the European Commission.</w:t>
      </w:r>
    </w:p>
  </w:footnote>
  <w:footnote w:id="80">
    <w:p w:rsidR="00333A1A" w:rsidRDefault="003D29C9">
      <w:pPr>
        <w:pStyle w:val="FootnoteText"/>
        <w:contextualSpacing/>
        <w:jc w:val="both"/>
      </w:pPr>
      <w:r>
        <w:rPr>
          <w:rStyle w:val="FootnoteReference"/>
        </w:rPr>
        <w:footnoteRef/>
      </w:r>
      <w:r>
        <w:t xml:space="preserve"> </w:t>
      </w:r>
      <w:r>
        <w:tab/>
      </w:r>
      <w:r>
        <w:rPr>
          <w:rFonts w:cs="Times New Roman"/>
          <w:iCs/>
          <w:szCs w:val="18"/>
        </w:rPr>
        <w:t xml:space="preserve">European Commission (2016) </w:t>
      </w:r>
      <w:hyperlink r:id="rId21" w:history="1">
        <w:r>
          <w:rPr>
            <w:rFonts w:cs="Times New Roman"/>
            <w:iCs/>
            <w:color w:val="0000FF"/>
            <w:szCs w:val="18"/>
            <w:u w:val="single"/>
          </w:rPr>
          <w:t>Final paper on a strategic approach to EU agricultural research and innovation</w:t>
        </w:r>
      </w:hyperlink>
      <w:r>
        <w:rPr>
          <w:rFonts w:cs="Times New Roman"/>
          <w:iCs/>
          <w:szCs w:val="18"/>
        </w:rPr>
        <w:t xml:space="preserve">, Horizon </w:t>
      </w:r>
      <w:r>
        <w:rPr>
          <w:rFonts w:cs="Times New Roman"/>
          <w:iCs/>
          <w:szCs w:val="18"/>
        </w:rPr>
        <w:t>2020.</w:t>
      </w:r>
      <w:r>
        <w:t xml:space="preserve"> </w:t>
      </w:r>
    </w:p>
  </w:footnote>
  <w:footnote w:id="81">
    <w:p w:rsidR="00333A1A" w:rsidRDefault="003D29C9">
      <w:pPr>
        <w:autoSpaceDE w:val="0"/>
        <w:autoSpaceDN w:val="0"/>
        <w:adjustRightInd w:val="0"/>
        <w:spacing w:after="0" w:line="240" w:lineRule="auto"/>
        <w:ind w:left="720" w:hanging="720"/>
        <w:contextualSpacing/>
        <w:jc w:val="both"/>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 xml:space="preserve">European Commission (2012) </w:t>
      </w:r>
      <w:hyperlink r:id="rId22" w:history="1">
        <w:r>
          <w:rPr>
            <w:rStyle w:val="Hyperlink"/>
            <w:rFonts w:ascii="Times New Roman" w:hAnsi="Times New Roman" w:cs="Times New Roman"/>
            <w:bCs/>
            <w:sz w:val="18"/>
            <w:szCs w:val="18"/>
          </w:rPr>
          <w:t>Innovating for Sustainable Growth: A Bioeconomy for Europe</w:t>
        </w:r>
      </w:hyperlink>
      <w:r>
        <w:rPr>
          <w:rFonts w:ascii="Times New Roman" w:hAnsi="Times New Roman" w:cs="Times New Roman"/>
          <w:bCs/>
          <w:sz w:val="18"/>
          <w:szCs w:val="18"/>
        </w:rPr>
        <w:t xml:space="preserve"> Communication from the Commission to the European Parliament, the Council, </w:t>
      </w:r>
      <w:r>
        <w:rPr>
          <w:rFonts w:ascii="Times New Roman" w:hAnsi="Times New Roman" w:cs="Times New Roman"/>
          <w:bCs/>
          <w:sz w:val="18"/>
          <w:szCs w:val="18"/>
        </w:rPr>
        <w:t>the European Economic and Social Committee and the Committee of the Regions, COM 60 final</w:t>
      </w:r>
    </w:p>
  </w:footnote>
  <w:footnote w:id="82">
    <w:p w:rsidR="00333A1A" w:rsidRDefault="003D29C9">
      <w:pPr>
        <w:pStyle w:val="Default"/>
        <w:ind w:left="720" w:hanging="720"/>
        <w:contextualSpacing/>
        <w:jc w:val="both"/>
        <w:rPr>
          <w:sz w:val="18"/>
          <w:szCs w:val="18"/>
        </w:rPr>
      </w:pPr>
      <w:r>
        <w:rPr>
          <w:rStyle w:val="FootnoteReference"/>
        </w:rPr>
        <w:footnoteRef/>
      </w:r>
      <w:r>
        <w:t xml:space="preserve"> </w:t>
      </w:r>
      <w:r>
        <w:tab/>
      </w:r>
      <w:r>
        <w:rPr>
          <w:sz w:val="18"/>
          <w:szCs w:val="18"/>
        </w:rPr>
        <w:t xml:space="preserve">European Commission (2016) </w:t>
      </w:r>
      <w:hyperlink r:id="rId23" w:history="1">
        <w:r>
          <w:rPr>
            <w:rStyle w:val="Hyperlink"/>
            <w:sz w:val="18"/>
            <w:szCs w:val="18"/>
          </w:rPr>
          <w:t xml:space="preserve">European Research and Innovation </w:t>
        </w:r>
        <w:r>
          <w:rPr>
            <w:rStyle w:val="Hyperlink"/>
            <w:sz w:val="18"/>
            <w:szCs w:val="18"/>
          </w:rPr>
          <w:t>for Food and Nutrition Security</w:t>
        </w:r>
      </w:hyperlink>
      <w:r>
        <w:rPr>
          <w:sz w:val="18"/>
          <w:szCs w:val="18"/>
        </w:rPr>
        <w:t xml:space="preserve"> Staff Working Document 319 final </w:t>
      </w:r>
    </w:p>
  </w:footnote>
  <w:footnote w:id="83">
    <w:p w:rsidR="00333A1A" w:rsidRDefault="003D29C9">
      <w:pPr>
        <w:pStyle w:val="FootnoteText"/>
        <w:contextualSpacing/>
        <w:jc w:val="both"/>
      </w:pPr>
      <w:r>
        <w:rPr>
          <w:rStyle w:val="FootnoteReference"/>
        </w:rPr>
        <w:footnoteRef/>
      </w:r>
      <w:r>
        <w:t xml:space="preserve"> </w:t>
      </w:r>
      <w:r>
        <w:tab/>
        <w:t xml:space="preserve">Evaluation Study of the EIP-AGRI: </w:t>
      </w:r>
      <w:hyperlink r:id="rId24" w:history="1">
        <w:r>
          <w:rPr>
            <w:rStyle w:val="Hyperlink"/>
          </w:rPr>
          <w:t>https://ec.europa.eu/agriculture/site</w:t>
        </w:r>
        <w:r>
          <w:rPr>
            <w:rStyle w:val="Hyperlink"/>
          </w:rPr>
          <w:t>s/agriculture/files/external-studies/2016/eip-2016/eval_en.pdf</w:t>
        </w:r>
      </w:hyperlink>
    </w:p>
    <w:p w:rsidR="00333A1A" w:rsidRDefault="00333A1A">
      <w:pPr>
        <w:pStyle w:val="FootnoteText"/>
        <w:jc w:val="both"/>
      </w:pPr>
    </w:p>
  </w:footnote>
  <w:footnote w:id="84">
    <w:p w:rsidR="00333A1A" w:rsidRDefault="003D29C9">
      <w:pPr>
        <w:spacing w:afterLines="60" w:after="144" w:line="240" w:lineRule="auto"/>
        <w:ind w:left="720" w:hanging="720"/>
        <w:jc w:val="both"/>
      </w:pPr>
      <w:r>
        <w:rPr>
          <w:rStyle w:val="FootnoteReference"/>
        </w:rPr>
        <w:footnoteRef/>
      </w:r>
      <w:r>
        <w:t xml:space="preserve"> </w:t>
      </w:r>
      <w:r>
        <w:tab/>
      </w:r>
      <w:r>
        <w:rPr>
          <w:rFonts w:ascii="Times New Roman" w:eastAsia="Times New Roman" w:hAnsi="Times New Roman" w:cs="Times New Roman"/>
          <w:sz w:val="18"/>
          <w:szCs w:val="18"/>
        </w:rPr>
        <w:t xml:space="preserve">Standing Committee for Agricultural Research (SCAR) (2017) </w:t>
      </w:r>
      <w:hyperlink r:id="rId25" w:history="1">
        <w:r>
          <w:rPr>
            <w:rFonts w:ascii="Times New Roman" w:eastAsia="Times New Roman" w:hAnsi="Times New Roman" w:cs="Times New Roman"/>
            <w:color w:val="0000FF"/>
            <w:sz w:val="18"/>
            <w:szCs w:val="18"/>
            <w:u w:val="single"/>
          </w:rPr>
          <w:t>Policy brief on the Future of Advisory Services</w:t>
        </w:r>
      </w:hyperlink>
      <w:r>
        <w:rPr>
          <w:rFonts w:ascii="Times New Roman" w:eastAsia="Times New Roman" w:hAnsi="Times New Roman" w:cs="Times New Roman"/>
          <w:sz w:val="18"/>
          <w:szCs w:val="18"/>
        </w:rPr>
        <w:t>, Strategic Working Group on Agricultural Knowledge and Innovation Systems.</w:t>
      </w:r>
    </w:p>
  </w:footnote>
  <w:footnote w:id="85">
    <w:p w:rsidR="00333A1A" w:rsidRDefault="003D29C9">
      <w:pPr>
        <w:pStyle w:val="FootnoteText"/>
        <w:jc w:val="both"/>
      </w:pPr>
      <w:r>
        <w:rPr>
          <w:rStyle w:val="FootnoteReference"/>
        </w:rPr>
        <w:footnoteRef/>
      </w:r>
      <w:r>
        <w:t xml:space="preserve"> </w:t>
      </w:r>
      <w:r>
        <w:tab/>
        <w:t>Already 22 H2020 thematic networks are "compiling knowledge ready for practice" (see Annex 4)</w:t>
      </w:r>
    </w:p>
  </w:footnote>
  <w:footnote w:id="86">
    <w:p w:rsidR="00333A1A" w:rsidRDefault="003D29C9">
      <w:pPr>
        <w:pStyle w:val="FootnoteText"/>
        <w:jc w:val="both"/>
      </w:pPr>
      <w:r>
        <w:rPr>
          <w:rStyle w:val="FootnoteReference"/>
        </w:rPr>
        <w:footnoteRef/>
      </w:r>
      <w:r>
        <w:t xml:space="preserve"> </w:t>
      </w:r>
      <w:r>
        <w:tab/>
      </w:r>
      <w:r>
        <w:t>H2020 project RUR-16-2019: "Fuelling the potential of advisors for innovation" will help the transition. E.g. The Chambers of Agriculture in Schleswig-Holstein (DE) are the regional EIP innovation support service and have already successfully brought toget</w:t>
      </w:r>
      <w:r>
        <w:t xml:space="preserve">her actors around a series of EIP OGs. </w:t>
      </w:r>
    </w:p>
  </w:footnote>
  <w:footnote w:id="87">
    <w:p w:rsidR="00333A1A" w:rsidRDefault="003D29C9">
      <w:pPr>
        <w:pStyle w:val="FootnoteText"/>
        <w:jc w:val="both"/>
      </w:pPr>
      <w:r>
        <w:rPr>
          <w:rStyle w:val="FootnoteReference"/>
        </w:rPr>
        <w:footnoteRef/>
      </w:r>
      <w:r>
        <w:t xml:space="preserve"> </w:t>
      </w:r>
      <w:r>
        <w:tab/>
        <w:t>https://ec.europa.eu/digital-single-market/en/news/europes-digital-progress-report-2017</w:t>
      </w:r>
    </w:p>
  </w:footnote>
  <w:footnote w:id="88">
    <w:p w:rsidR="00333A1A" w:rsidRDefault="003D29C9">
      <w:pPr>
        <w:pStyle w:val="FootnoteText"/>
        <w:jc w:val="both"/>
      </w:pPr>
      <w:r>
        <w:rPr>
          <w:rStyle w:val="FootnoteReference"/>
        </w:rPr>
        <w:footnoteRef/>
      </w:r>
      <w:r>
        <w:t xml:space="preserve"> </w:t>
      </w:r>
      <w:r>
        <w:tab/>
        <w:t xml:space="preserve">See the </w:t>
      </w:r>
      <w:r>
        <w:rPr>
          <w:b/>
        </w:rPr>
        <w:t>European Parliament Study on the digital transition</w:t>
      </w:r>
      <w:r>
        <w:t xml:space="preserve"> (Annex 2) </w:t>
      </w:r>
      <w:r>
        <w:rPr>
          <w:b/>
        </w:rPr>
        <w:t xml:space="preserve">"Precision agriculture in Europe: Legal, social and </w:t>
      </w:r>
      <w:r>
        <w:rPr>
          <w:b/>
        </w:rPr>
        <w:t>ethical considerations"</w:t>
      </w:r>
      <w:r>
        <w:t>: "</w:t>
      </w:r>
      <w:r>
        <w:rPr>
          <w:i/>
        </w:rPr>
        <w:t>The roles of the farm advisers supported under Rural Development and the European Innovation Partnership (EIP) on Agricultural Production and Sustainability already established within the CAP could be fostered as these instruments</w:t>
      </w:r>
      <w:r>
        <w:rPr>
          <w:i/>
        </w:rPr>
        <w:t xml:space="preserve"> allow Member States to develop and share appropriate knowledge and expertise…. A </w:t>
      </w:r>
      <w:r>
        <w:rPr>
          <w:b/>
          <w:i/>
        </w:rPr>
        <w:t>new farm information management system</w:t>
      </w:r>
      <w:r>
        <w:rPr>
          <w:i/>
        </w:rPr>
        <w:t xml:space="preserve"> may need to be developed, that could facilitate instructions to operators, the certification of crop production process and cross compl</w:t>
      </w:r>
      <w:r>
        <w:rPr>
          <w:i/>
        </w:rPr>
        <w:t>iance of standards. Farm advisers will be needed to analyse the data of a farm and help farmers, both large and small ones, to know more and understand the added value of managing their data in an effective way (e.g. about the nutrient balance of their soi</w:t>
      </w:r>
      <w:r>
        <w:rPr>
          <w:i/>
        </w:rPr>
        <w:t xml:space="preserve">l). </w:t>
      </w:r>
      <w:r>
        <w:rPr>
          <w:b/>
          <w:i/>
        </w:rPr>
        <w:t>All farmers should benefit from that, not only those that can afford to pay for the services of private advisers</w:t>
      </w:r>
      <w:r>
        <w:rPr>
          <w:i/>
        </w:rPr>
        <w:t xml:space="preserve">. </w:t>
      </w:r>
      <w:hyperlink r:id="rId26" w:history="1">
        <w:r>
          <w:rPr>
            <w:rStyle w:val="Hyperlink"/>
          </w:rPr>
          <w:t>http://www.europarl.europa.eu/Re</w:t>
        </w:r>
        <w:r>
          <w:rPr>
            <w:rStyle w:val="Hyperlink"/>
          </w:rPr>
          <w:t>gData/etudes/STUD/2017/603207/EPRS_STU(2017)603207_EN.pdf</w:t>
        </w:r>
      </w:hyperlink>
    </w:p>
  </w:footnote>
  <w:footnote w:id="89">
    <w:p w:rsidR="00333A1A" w:rsidRDefault="003D29C9">
      <w:pPr>
        <w:pStyle w:val="FootnoteText"/>
        <w:jc w:val="both"/>
        <w:rPr>
          <w:szCs w:val="18"/>
        </w:rPr>
      </w:pPr>
      <w:r>
        <w:rPr>
          <w:rStyle w:val="FootnoteReference"/>
        </w:rPr>
        <w:footnoteRef/>
      </w:r>
      <w:r>
        <w:t xml:space="preserve"> </w:t>
      </w:r>
      <w:r>
        <w:tab/>
      </w:r>
      <w:r>
        <w:rPr>
          <w:szCs w:val="18"/>
        </w:rPr>
        <w:t xml:space="preserve">See </w:t>
      </w:r>
      <w:r>
        <w:rPr>
          <w:rFonts w:eastAsia="Times New Roman" w:cs="Times New Roman"/>
          <w:szCs w:val="18"/>
          <w:lang w:eastAsia="en-GB"/>
        </w:rPr>
        <w:t xml:space="preserve">EIP-AGRI (2017) </w:t>
      </w:r>
      <w:hyperlink r:id="rId27" w:history="1">
        <w:r>
          <w:rPr>
            <w:rFonts w:eastAsia="Times New Roman" w:cs="Times New Roman"/>
            <w:color w:val="0000FF"/>
            <w:szCs w:val="18"/>
            <w:u w:val="single"/>
            <w:lang w:eastAsia="en-GB"/>
          </w:rPr>
          <w:t>Shaping the digital (r)evolution in agriculture</w:t>
        </w:r>
      </w:hyperlink>
      <w:r>
        <w:rPr>
          <w:rFonts w:eastAsia="Times New Roman" w:cs="Times New Roman"/>
          <w:szCs w:val="18"/>
          <w:lang w:eastAsia="en-GB"/>
        </w:rPr>
        <w:t xml:space="preserve"> </w:t>
      </w:r>
      <w:r>
        <w:rPr>
          <w:rFonts w:eastAsia="Times New Roman" w:cs="Times New Roman"/>
          <w:szCs w:val="18"/>
          <w:lang w:eastAsia="en-GB"/>
        </w:rPr>
        <w:t>Study to the European Commission.</w:t>
      </w:r>
    </w:p>
  </w:footnote>
  <w:footnote w:id="90">
    <w:p w:rsidR="00333A1A" w:rsidRDefault="003D29C9">
      <w:pPr>
        <w:spacing w:afterLines="60" w:after="144" w:line="240" w:lineRule="auto"/>
        <w:ind w:left="720" w:hanging="720"/>
        <w:jc w:val="both"/>
        <w:rPr>
          <w:rFonts w:ascii="Times New Roman" w:hAnsi="Times New Roman" w:cs="Times New Roman"/>
          <w:bCs/>
          <w:sz w:val="18"/>
          <w:szCs w:val="18"/>
        </w:rPr>
      </w:pPr>
      <w:r>
        <w:rPr>
          <w:rStyle w:val="FootnoteReference"/>
        </w:rPr>
        <w:footnoteRef/>
      </w:r>
      <w:r>
        <w:t xml:space="preserve"> </w:t>
      </w:r>
      <w:r>
        <w:tab/>
      </w:r>
      <w:r>
        <w:rPr>
          <w:rFonts w:ascii="Times New Roman" w:hAnsi="Times New Roman" w:cs="Times New Roman"/>
          <w:bCs/>
          <w:sz w:val="18"/>
          <w:szCs w:val="18"/>
        </w:rPr>
        <w:t xml:space="preserve">Kritikos, M (2017) </w:t>
      </w:r>
      <w:hyperlink r:id="rId28" w:history="1">
        <w:r>
          <w:rPr>
            <w:rFonts w:ascii="Times New Roman" w:hAnsi="Times New Roman" w:cs="Times New Roman"/>
            <w:bCs/>
            <w:color w:val="0000FF"/>
            <w:sz w:val="18"/>
            <w:szCs w:val="18"/>
            <w:u w:val="single"/>
          </w:rPr>
          <w:t>Precision agriculture in Europe: Legal, social and ethical considerations</w:t>
        </w:r>
      </w:hyperlink>
      <w:r>
        <w:rPr>
          <w:rFonts w:ascii="Times New Roman" w:hAnsi="Times New Roman" w:cs="Times New Roman"/>
          <w:bCs/>
          <w:sz w:val="18"/>
          <w:szCs w:val="18"/>
        </w:rPr>
        <w:t>, Study to the Europe</w:t>
      </w:r>
      <w:r>
        <w:rPr>
          <w:rFonts w:ascii="Times New Roman" w:hAnsi="Times New Roman" w:cs="Times New Roman"/>
          <w:bCs/>
          <w:sz w:val="18"/>
          <w:szCs w:val="18"/>
        </w:rPr>
        <w:t>an Parliament.</w:t>
      </w:r>
    </w:p>
    <w:p w:rsidR="00333A1A" w:rsidRDefault="003D29C9">
      <w:pPr>
        <w:pStyle w:val="FootnoteText"/>
      </w:pPr>
      <w:r>
        <w:t xml:space="preserve"> </w:t>
      </w:r>
    </w:p>
  </w:footnote>
  <w:footnote w:id="91">
    <w:p w:rsidR="00333A1A" w:rsidRDefault="003D29C9">
      <w:pPr>
        <w:pStyle w:val="FootnoteText"/>
      </w:pPr>
      <w:r>
        <w:rPr>
          <w:rStyle w:val="FootnoteReference"/>
        </w:rPr>
        <w:footnoteRef/>
      </w:r>
      <w:r>
        <w:t xml:space="preserve"> </w:t>
      </w:r>
      <w:r>
        <w:tab/>
      </w:r>
      <w:r>
        <w:rPr>
          <w:rFonts w:cs="Times New Roman"/>
          <w:szCs w:val="18"/>
        </w:rPr>
        <w:t xml:space="preserve">A full-fledged glossary including definitions on the CAP on: European Commission (2015) </w:t>
      </w:r>
      <w:hyperlink r:id="rId29" w:history="1">
        <w:r>
          <w:rPr>
            <w:rFonts w:cs="Times New Roman"/>
            <w:color w:val="0000FF"/>
            <w:szCs w:val="18"/>
            <w:u w:val="single"/>
          </w:rPr>
          <w:t>Glossary of the Common Agricultural Policy</w:t>
        </w:r>
      </w:hyperlink>
      <w:r>
        <w:rPr>
          <w:rFonts w:cs="Times New Roman"/>
          <w:szCs w:val="18"/>
        </w:rPr>
        <w:t xml:space="preserve">, (DG </w:t>
      </w:r>
      <w:r>
        <w:rPr>
          <w:rFonts w:cs="Times New Roman"/>
          <w:szCs w:val="18"/>
        </w:rPr>
        <w:t>AGRI), website.</w:t>
      </w:r>
    </w:p>
    <w:p w:rsidR="00333A1A" w:rsidRDefault="00333A1A">
      <w:pPr>
        <w:pStyle w:val="FootnoteText"/>
      </w:pPr>
    </w:p>
  </w:footnote>
  <w:footnote w:id="92">
    <w:p w:rsidR="00333A1A" w:rsidRDefault="003D29C9">
      <w:pPr>
        <w:pStyle w:val="FootnoteText"/>
        <w:ind w:left="709" w:hanging="709"/>
        <w:jc w:val="both"/>
      </w:pPr>
      <w:r>
        <w:rPr>
          <w:rStyle w:val="FootnoteReference"/>
        </w:rPr>
        <w:footnoteRef/>
      </w:r>
      <w:r>
        <w:t xml:space="preserve"> </w:t>
      </w:r>
      <w:r>
        <w:tab/>
      </w:r>
      <w:r>
        <w:rPr>
          <w:i/>
        </w:rPr>
        <w:t>2016 Annual Activity Report</w:t>
      </w:r>
      <w:r>
        <w:t xml:space="preserve">, Directorate General for Agriculture and Rural Development, </w:t>
      </w:r>
      <w:hyperlink r:id="rId30" w:history="1">
        <w:r>
          <w:rPr>
            <w:rStyle w:val="Hyperlink"/>
          </w:rPr>
          <w:t>https://ec.europa.eu/info/sites/info/files/file_import</w:t>
        </w:r>
        <w:r>
          <w:rPr>
            <w:rStyle w:val="Hyperlink"/>
          </w:rPr>
          <w:t>/aar-agri-2016_en_2.pdf</w:t>
        </w:r>
      </w:hyperlink>
      <w:r>
        <w:t xml:space="preserve"> </w:t>
      </w:r>
    </w:p>
  </w:footnote>
  <w:footnote w:id="93">
    <w:p w:rsidR="00333A1A" w:rsidRDefault="003D29C9">
      <w:pPr>
        <w:pStyle w:val="FootnoteText"/>
        <w:ind w:left="709" w:hanging="709"/>
        <w:jc w:val="both"/>
      </w:pPr>
      <w:r>
        <w:rPr>
          <w:rStyle w:val="FootnoteReference"/>
        </w:rPr>
        <w:footnoteRef/>
      </w:r>
      <w:r>
        <w:t xml:space="preserve"> </w:t>
      </w:r>
      <w:r>
        <w:tab/>
      </w:r>
      <w:r>
        <w:rPr>
          <w:i/>
        </w:rPr>
        <w:t>Use of new provisions on simplification during the early implementation phase of ESIF</w:t>
      </w:r>
      <w:r>
        <w:t xml:space="preserve">, 2017, </w:t>
      </w:r>
      <w:hyperlink r:id="rId31" w:history="1">
        <w:r>
          <w:rPr>
            <w:rStyle w:val="Hyperlink"/>
          </w:rPr>
          <w:t>http://ec.europa.e</w:t>
        </w:r>
        <w:r>
          <w:rPr>
            <w:rStyle w:val="Hyperlink"/>
          </w:rPr>
          <w:t>u/regional_policy/sources/docgener/studies/pdf/new_prov_simplification_esif_en.pdf</w:t>
        </w:r>
      </w:hyperlink>
      <w:r>
        <w:t xml:space="preserve"> </w:t>
      </w:r>
    </w:p>
  </w:footnote>
  <w:footnote w:id="94">
    <w:p w:rsidR="00333A1A" w:rsidRDefault="003D29C9">
      <w:pPr>
        <w:pStyle w:val="FootnoteText"/>
        <w:ind w:left="709" w:hanging="709"/>
        <w:jc w:val="both"/>
      </w:pPr>
      <w:r>
        <w:rPr>
          <w:rStyle w:val="FootnoteReference"/>
        </w:rPr>
        <w:footnoteRef/>
      </w:r>
      <w:r>
        <w:t xml:space="preserve"> </w:t>
      </w:r>
      <w:r>
        <w:tab/>
      </w:r>
      <w:r>
        <w:rPr>
          <w:i/>
        </w:rPr>
        <w:t>New assessment of ESIF administrative costs and burden</w:t>
      </w:r>
      <w:r>
        <w:t>, not yet published</w:t>
      </w:r>
    </w:p>
  </w:footnote>
  <w:footnote w:id="95">
    <w:p w:rsidR="00333A1A" w:rsidRDefault="003D29C9">
      <w:pPr>
        <w:pStyle w:val="FootnoteText"/>
        <w:jc w:val="both"/>
      </w:pPr>
      <w:r>
        <w:rPr>
          <w:rStyle w:val="FootnoteReference"/>
        </w:rPr>
        <w:footnoteRef/>
      </w:r>
      <w:r>
        <w:t xml:space="preserve"> </w:t>
      </w:r>
      <w:r>
        <w:tab/>
        <w:t xml:space="preserve">Based on preliminary results from: </w:t>
      </w:r>
      <w:r>
        <w:rPr>
          <w:i/>
        </w:rPr>
        <w:t>New assessment of ESIF administrative costs and burden</w:t>
      </w:r>
      <w:r>
        <w:t xml:space="preserve">, </w:t>
      </w:r>
      <w:r>
        <w:t>not yet published. Programme preparation includes i.a. financial management, programme management, information and communication.</w:t>
      </w:r>
    </w:p>
  </w:footnote>
  <w:footnote w:id="96">
    <w:p w:rsidR="00333A1A" w:rsidRDefault="003D29C9">
      <w:pPr>
        <w:pStyle w:val="FootnoteText"/>
        <w:ind w:left="709" w:hanging="709"/>
        <w:jc w:val="both"/>
      </w:pPr>
      <w:r>
        <w:rPr>
          <w:rStyle w:val="FootnoteReference"/>
        </w:rPr>
        <w:footnoteRef/>
      </w:r>
      <w:r>
        <w:t xml:space="preserve"> </w:t>
      </w:r>
      <w:r>
        <w:tab/>
      </w:r>
      <w:r>
        <w:rPr>
          <w:i/>
        </w:rPr>
        <w:t>Study on administrative burden reduction associated with the implementation of certain Rural Development measures</w:t>
      </w:r>
      <w:r>
        <w:t xml:space="preserve">, 2011, </w:t>
      </w:r>
      <w:hyperlink r:id="rId32" w:history="1">
        <w:r>
          <w:rPr>
            <w:rStyle w:val="Hyperlink"/>
          </w:rPr>
          <w:t>https://ec.europa.eu/agriculture/external-studies/rd-simplification_en</w:t>
        </w:r>
      </w:hyperlink>
      <w:r>
        <w:t xml:space="preserve"> </w:t>
      </w:r>
    </w:p>
  </w:footnote>
  <w:footnote w:id="97">
    <w:p w:rsidR="00333A1A" w:rsidRDefault="003D29C9">
      <w:pPr>
        <w:pStyle w:val="FootnoteText"/>
        <w:ind w:left="709" w:hanging="709"/>
        <w:jc w:val="both"/>
      </w:pPr>
      <w:r>
        <w:rPr>
          <w:rStyle w:val="FootnoteReference"/>
        </w:rPr>
        <w:footnoteRef/>
      </w:r>
      <w:r>
        <w:t xml:space="preserve"> </w:t>
      </w:r>
      <w:r>
        <w:tab/>
      </w:r>
      <w:r>
        <w:rPr>
          <w:i/>
        </w:rPr>
        <w:t>Study to assess the administrative burden on farms arising from the CAP</w:t>
      </w:r>
      <w:r>
        <w:t xml:space="preserve">, 2006, </w:t>
      </w:r>
      <w:hyperlink r:id="rId33" w:history="1">
        <w:r>
          <w:rPr>
            <w:rStyle w:val="Hyperlink"/>
          </w:rPr>
          <w:t>https://ec.europa.eu/agriculture/sites/agriculture/files/external-studies/2007/burden/fulltext.pdf</w:t>
        </w:r>
      </w:hyperlink>
    </w:p>
  </w:footnote>
  <w:footnote w:id="98">
    <w:p w:rsidR="00333A1A" w:rsidRDefault="003D29C9">
      <w:pPr>
        <w:pStyle w:val="FootnoteText"/>
        <w:ind w:left="709" w:hanging="709"/>
        <w:jc w:val="both"/>
      </w:pPr>
      <w:r>
        <w:rPr>
          <w:rStyle w:val="FootnoteReference"/>
        </w:rPr>
        <w:footnoteRef/>
      </w:r>
      <w:r>
        <w:t xml:space="preserve"> </w:t>
      </w:r>
      <w:r>
        <w:tab/>
      </w:r>
      <w:r>
        <w:rPr>
          <w:i/>
        </w:rPr>
        <w:t>Use of new provisions on simplification during the early</w:t>
      </w:r>
      <w:r>
        <w:rPr>
          <w:i/>
        </w:rPr>
        <w:t xml:space="preserve"> implementation phase of ESIF</w:t>
      </w:r>
      <w:r>
        <w:t xml:space="preserve">, 2017, </w:t>
      </w:r>
      <w:hyperlink r:id="rId34" w:history="1">
        <w:r>
          <w:rPr>
            <w:rStyle w:val="Hyperlink"/>
          </w:rPr>
          <w:t>http://ec.europa.eu/regional_policy/sources/docgener/studies/pdf/new_prov_simplification_esif_en.pdf</w:t>
        </w:r>
      </w:hyperlink>
      <w:r>
        <w:t xml:space="preserve"> </w:t>
      </w:r>
    </w:p>
  </w:footnote>
  <w:footnote w:id="99">
    <w:p w:rsidR="00333A1A" w:rsidRDefault="003D29C9">
      <w:pPr>
        <w:pStyle w:val="FootnoteText"/>
        <w:ind w:left="709" w:hanging="709"/>
        <w:jc w:val="both"/>
      </w:pPr>
      <w:r>
        <w:rPr>
          <w:rStyle w:val="FootnoteReference"/>
        </w:rPr>
        <w:footnoteRef/>
      </w:r>
      <w:r>
        <w:t xml:space="preserve"> </w:t>
      </w:r>
      <w:r>
        <w:tab/>
      </w:r>
      <w:r>
        <w:rPr>
          <w:i/>
        </w:rPr>
        <w:t>Mapping and analysis of the implementation of the CAP</w:t>
      </w:r>
      <w:r>
        <w:t xml:space="preserve">, 2016, </w:t>
      </w:r>
      <w:hyperlink r:id="rId35" w:history="1">
        <w:r>
          <w:rPr>
            <w:rStyle w:val="Hyperlink"/>
          </w:rPr>
          <w:t>https://ec.europa.eu/agriculture/external-studies/mapping-analysis-implementation-cap_e</w:t>
        </w:r>
        <w:r>
          <w:rPr>
            <w:rStyle w:val="Hyperlink"/>
          </w:rPr>
          <w:t>n</w:t>
        </w:r>
      </w:hyperlink>
    </w:p>
  </w:footnote>
  <w:footnote w:id="100">
    <w:p w:rsidR="00333A1A" w:rsidRDefault="003D29C9">
      <w:pPr>
        <w:pStyle w:val="FootnoteText"/>
        <w:jc w:val="both"/>
      </w:pPr>
      <w:r>
        <w:rPr>
          <w:rStyle w:val="FootnoteReference"/>
        </w:rPr>
        <w:footnoteRef/>
      </w:r>
      <w:r>
        <w:t xml:space="preserve"> </w:t>
      </w:r>
      <w:r>
        <w:tab/>
      </w:r>
      <w:r>
        <w:rPr>
          <w:i/>
        </w:rPr>
        <w:t>Evaluation study of the impact of the CAP measures towards the general objective "viable food production"</w:t>
      </w:r>
      <w:r>
        <w:t>, 2017, ongoing</w:t>
      </w:r>
    </w:p>
  </w:footnote>
  <w:footnote w:id="101">
    <w:p w:rsidR="00333A1A" w:rsidRDefault="003D29C9">
      <w:pPr>
        <w:pStyle w:val="FootnoteText"/>
        <w:jc w:val="both"/>
      </w:pPr>
      <w:r>
        <w:rPr>
          <w:rStyle w:val="FootnoteReference"/>
        </w:rPr>
        <w:footnoteRef/>
      </w:r>
      <w:r>
        <w:t xml:space="preserve"> </w:t>
      </w:r>
      <w:r>
        <w:tab/>
        <w:t xml:space="preserve">See also: </w:t>
      </w:r>
      <w:r>
        <w:rPr>
          <w:i/>
        </w:rPr>
        <w:t>Evaluation study of the payment for agricultural practices beneficial for the climate and environment</w:t>
      </w:r>
      <w:r>
        <w:t xml:space="preserve">, 2017, </w:t>
      </w:r>
      <w:hyperlink r:id="rId36" w:history="1">
        <w:r>
          <w:rPr>
            <w:rStyle w:val="Hyperlink"/>
          </w:rPr>
          <w:t>https://ec.europa.eu/agriculture/evaluation/market-and-income-reports/greening-of-direct-payments_en</w:t>
        </w:r>
      </w:hyperlink>
      <w:r>
        <w:t xml:space="preserve"> </w:t>
      </w:r>
    </w:p>
  </w:footnote>
  <w:footnote w:id="102">
    <w:p w:rsidR="00333A1A" w:rsidRDefault="003D29C9">
      <w:pPr>
        <w:pStyle w:val="FootnoteText"/>
        <w:jc w:val="both"/>
      </w:pPr>
      <w:r>
        <w:rPr>
          <w:rStyle w:val="FootnoteReference"/>
        </w:rPr>
        <w:footnoteRef/>
      </w:r>
      <w:r>
        <w:t xml:space="preserve"> </w:t>
      </w:r>
      <w:r>
        <w:tab/>
      </w:r>
      <w:r>
        <w:rPr>
          <w:i/>
        </w:rPr>
        <w:t xml:space="preserve">Synthesis of ex ante evaluations of rural </w:t>
      </w:r>
      <w:r>
        <w:rPr>
          <w:i/>
        </w:rPr>
        <w:t>development programmes 2014-2020</w:t>
      </w:r>
      <w:r>
        <w:t xml:space="preserve">, 2015, </w:t>
      </w:r>
      <w:hyperlink r:id="rId37" w:history="1">
        <w:r>
          <w:rPr>
            <w:rStyle w:val="Hyperlink"/>
          </w:rPr>
          <w:t>https://ec.europa.eu/agriculture/evaluation/rural-development-reports/ex-ante-rdp-synthesis-201</w:t>
        </w:r>
        <w:r>
          <w:rPr>
            <w:rStyle w:val="Hyperlink"/>
          </w:rPr>
          <w:t>4-2020_en</w:t>
        </w:r>
      </w:hyperlink>
      <w:r>
        <w:t xml:space="preserve"> </w:t>
      </w:r>
    </w:p>
  </w:footnote>
  <w:footnote w:id="103">
    <w:p w:rsidR="00333A1A" w:rsidRDefault="003D29C9">
      <w:pPr>
        <w:pStyle w:val="FootnoteText"/>
        <w:ind w:left="709" w:hanging="709"/>
        <w:jc w:val="both"/>
      </w:pPr>
      <w:r>
        <w:rPr>
          <w:rStyle w:val="FootnoteReference"/>
        </w:rPr>
        <w:footnoteRef/>
      </w:r>
      <w:r>
        <w:t xml:space="preserve"> </w:t>
      </w:r>
      <w:r>
        <w:tab/>
      </w:r>
      <w:r>
        <w:rPr>
          <w:i/>
        </w:rPr>
        <w:t>Study to assess the administrative burden on farms arising from the CAP</w:t>
      </w:r>
      <w:r>
        <w:t xml:space="preserve">, 2006, </w:t>
      </w:r>
      <w:hyperlink r:id="rId38" w:history="1">
        <w:r>
          <w:rPr>
            <w:rStyle w:val="Hyperlink"/>
          </w:rPr>
          <w:t>https://ec.europa.eu/agriculture/sites/agricultu</w:t>
        </w:r>
        <w:r>
          <w:rPr>
            <w:rStyle w:val="Hyperlink"/>
          </w:rPr>
          <w:t>re/files/external-studies/2007/burden/fulltext.pdf</w:t>
        </w:r>
      </w:hyperlink>
      <w:r>
        <w:t xml:space="preserve"> </w:t>
      </w:r>
    </w:p>
  </w:footnote>
  <w:footnote w:id="104">
    <w:p w:rsidR="00333A1A" w:rsidRDefault="003D29C9">
      <w:pPr>
        <w:pStyle w:val="FootnoteText"/>
        <w:jc w:val="both"/>
      </w:pPr>
      <w:r>
        <w:rPr>
          <w:rStyle w:val="FootnoteReference"/>
        </w:rPr>
        <w:footnoteRef/>
      </w:r>
      <w:r>
        <w:t xml:space="preserve"> </w:t>
      </w:r>
      <w:r>
        <w:tab/>
      </w:r>
      <w:r>
        <w:rPr>
          <w:i/>
        </w:rPr>
        <w:t>Simplification of the CAP, Assessment of the European Commission's reform proposals</w:t>
      </w:r>
      <w:r>
        <w:t xml:space="preserve">, 2012, </w:t>
      </w:r>
      <w:hyperlink r:id="rId39" w:history="1">
        <w:r>
          <w:rPr>
            <w:rStyle w:val="Hyperlink"/>
          </w:rPr>
          <w:t>https</w:t>
        </w:r>
        <w:r>
          <w:rPr>
            <w:rStyle w:val="Hyperlink"/>
          </w:rPr>
          <w:t>://www.wur.nl/en/Publication-details.htm?publicationId=publication-way-343232373932</w:t>
        </w:r>
      </w:hyperlink>
      <w:r>
        <w:t xml:space="preserve"> </w:t>
      </w:r>
    </w:p>
  </w:footnote>
  <w:footnote w:id="105">
    <w:p w:rsidR="00333A1A" w:rsidRDefault="003D29C9">
      <w:pPr>
        <w:pStyle w:val="FootnoteText"/>
        <w:ind w:left="709" w:hanging="709"/>
        <w:jc w:val="both"/>
      </w:pPr>
      <w:r>
        <w:rPr>
          <w:rStyle w:val="FootnoteReference"/>
        </w:rPr>
        <w:footnoteRef/>
      </w:r>
      <w:r>
        <w:t xml:space="preserve"> </w:t>
      </w:r>
      <w:r>
        <w:tab/>
        <w:t xml:space="preserve">Based on preliminary results: </w:t>
      </w:r>
      <w:r>
        <w:rPr>
          <w:i/>
        </w:rPr>
        <w:t>New assessment of ESIF administrative costs and burden</w:t>
      </w:r>
      <w:r>
        <w:t>, not yet published</w:t>
      </w:r>
    </w:p>
  </w:footnote>
  <w:footnote w:id="106">
    <w:p w:rsidR="00333A1A" w:rsidRDefault="003D29C9">
      <w:pPr>
        <w:pStyle w:val="FootnoteText"/>
        <w:ind w:left="709" w:hanging="709"/>
        <w:jc w:val="both"/>
      </w:pPr>
      <w:r>
        <w:rPr>
          <w:rStyle w:val="FootnoteReference"/>
        </w:rPr>
        <w:footnoteRef/>
      </w:r>
      <w:r>
        <w:t xml:space="preserve"> </w:t>
      </w:r>
      <w:r>
        <w:tab/>
      </w:r>
      <w:r>
        <w:rPr>
          <w:i/>
        </w:rPr>
        <w:t>Mapping and analysis of the implementation of the CAP</w:t>
      </w:r>
      <w:r>
        <w:t xml:space="preserve">, 2016, </w:t>
      </w:r>
      <w:hyperlink r:id="rId40" w:history="1">
        <w:r>
          <w:rPr>
            <w:rStyle w:val="Hyperlink"/>
          </w:rPr>
          <w:t>https://ec.europa.eu/agriculture/external-studies/mapping-analysis-implementation-cap_en</w:t>
        </w:r>
      </w:hyperlink>
      <w:r>
        <w:t xml:space="preserve"> </w:t>
      </w:r>
    </w:p>
  </w:footnote>
  <w:footnote w:id="107">
    <w:p w:rsidR="00333A1A" w:rsidRDefault="003D29C9">
      <w:pPr>
        <w:pStyle w:val="FootnoteText"/>
        <w:ind w:left="709" w:hanging="709"/>
        <w:jc w:val="both"/>
      </w:pPr>
      <w:r>
        <w:rPr>
          <w:rStyle w:val="FootnoteReference"/>
        </w:rPr>
        <w:footnoteRef/>
      </w:r>
      <w:r>
        <w:t xml:space="preserve"> </w:t>
      </w:r>
      <w:r>
        <w:tab/>
      </w:r>
      <w:r>
        <w:rPr>
          <w:i/>
        </w:rPr>
        <w:t xml:space="preserve">"Gold-plating" in EAFRD, To what extent do national rules </w:t>
      </w:r>
      <w:r>
        <w:rPr>
          <w:i/>
        </w:rPr>
        <w:t>unnecessarily add to complexity and, as a result, increase the risk of errors</w:t>
      </w:r>
      <w:r>
        <w:t xml:space="preserve">, 2014 , </w:t>
      </w:r>
      <w:hyperlink r:id="rId41" w:history="1">
        <w:r>
          <w:rPr>
            <w:rStyle w:val="Hyperlink"/>
          </w:rPr>
          <w:t>http://www.europarl.europa.eu/RegData/etudes/etudes/j</w:t>
        </w:r>
        <w:r>
          <w:rPr>
            <w:rStyle w:val="Hyperlink"/>
          </w:rPr>
          <w:t>oin/2014/490684/IPOL-JOIN_ET(2014)490684_EN.pdf</w:t>
        </w:r>
      </w:hyperlink>
      <w:r>
        <w:t xml:space="preserve"> </w:t>
      </w:r>
    </w:p>
  </w:footnote>
  <w:footnote w:id="108">
    <w:p w:rsidR="00333A1A" w:rsidRDefault="003D29C9">
      <w:pPr>
        <w:pStyle w:val="FootnoteText"/>
        <w:ind w:left="709" w:hanging="709"/>
        <w:jc w:val="both"/>
      </w:pPr>
      <w:r>
        <w:rPr>
          <w:rStyle w:val="FootnoteReference"/>
        </w:rPr>
        <w:footnoteRef/>
      </w:r>
      <w:r>
        <w:t xml:space="preserve"> </w:t>
      </w:r>
      <w:r>
        <w:tab/>
      </w:r>
      <w:r>
        <w:rPr>
          <w:i/>
        </w:rPr>
        <w:t>Use of new provisions on simplification during the early implementation phase of ESIF</w:t>
      </w:r>
      <w:r>
        <w:t xml:space="preserve">, 2017, </w:t>
      </w:r>
      <w:hyperlink r:id="rId42" w:history="1">
        <w:r>
          <w:rPr>
            <w:rStyle w:val="Hyperlink"/>
          </w:rPr>
          <w:t>http://ec.europa.eu/regional_policy/sources/docgener/studies/pdf/new_prov_simplification_esif_en.pdf</w:t>
        </w:r>
      </w:hyperlink>
      <w:r>
        <w:t xml:space="preserve"> </w:t>
      </w:r>
    </w:p>
  </w:footnote>
  <w:footnote w:id="109">
    <w:p w:rsidR="00333A1A" w:rsidRDefault="003D29C9">
      <w:pPr>
        <w:pStyle w:val="FootnoteText"/>
        <w:jc w:val="both"/>
      </w:pPr>
      <w:r>
        <w:rPr>
          <w:rStyle w:val="FootnoteReference"/>
        </w:rPr>
        <w:footnoteRef/>
      </w:r>
      <w:r>
        <w:t xml:space="preserve"> </w:t>
      </w:r>
      <w:r>
        <w:tab/>
      </w:r>
      <w:r>
        <w:rPr>
          <w:i/>
        </w:rPr>
        <w:t>Final conclusions and recommendations of the High Level Expert Group monitoring simplification for beneficiaries of ESI Funds</w:t>
      </w:r>
      <w:r>
        <w:t xml:space="preserve">, 2017, </w:t>
      </w:r>
      <w:hyperlink r:id="rId43" w:history="1">
        <w:r>
          <w:rPr>
            <w:rStyle w:val="Hyperlink"/>
          </w:rPr>
          <w:t>http://ec.europa.eu/regional_policy/sources/newsroom/pdf/simplification_proposals.pdf</w:t>
        </w:r>
      </w:hyperlink>
      <w:r>
        <w:t xml:space="preserve"> </w:t>
      </w:r>
    </w:p>
  </w:footnote>
  <w:footnote w:id="110">
    <w:p w:rsidR="00333A1A" w:rsidRDefault="003D29C9">
      <w:pPr>
        <w:pStyle w:val="FootnoteText"/>
        <w:jc w:val="both"/>
      </w:pPr>
      <w:r>
        <w:rPr>
          <w:rStyle w:val="FootnoteReference"/>
        </w:rPr>
        <w:footnoteRef/>
      </w:r>
      <w:r>
        <w:t xml:space="preserve"> </w:t>
      </w:r>
      <w:r>
        <w:tab/>
      </w:r>
      <w:r>
        <w:rPr>
          <w:i/>
        </w:rPr>
        <w:t>Synthesis of Mid-Term Evaluations of Rural Development Programmes 2007-2013</w:t>
      </w:r>
      <w:r>
        <w:t>,</w:t>
      </w:r>
      <w:r>
        <w:t xml:space="preserve"> 2012, </w:t>
      </w:r>
      <w:hyperlink r:id="rId44" w:history="1">
        <w:r>
          <w:rPr>
            <w:rStyle w:val="Hyperlink"/>
          </w:rPr>
          <w:t>https://ec.europa.eu/agriculture/evaluation/rural-development-reports/synthesis-mte-2007-2013_en</w:t>
        </w:r>
      </w:hyperlink>
      <w:r>
        <w:t xml:space="preserve"> </w:t>
      </w:r>
    </w:p>
  </w:footnote>
  <w:footnote w:id="111">
    <w:p w:rsidR="00333A1A" w:rsidRDefault="003D29C9">
      <w:pPr>
        <w:pStyle w:val="FootnoteText"/>
        <w:jc w:val="both"/>
      </w:pPr>
      <w:r>
        <w:rPr>
          <w:rStyle w:val="FootnoteReference"/>
        </w:rPr>
        <w:footnoteRef/>
      </w:r>
      <w:r>
        <w:t xml:space="preserve"> </w:t>
      </w:r>
      <w:r>
        <w:tab/>
      </w:r>
      <w:r>
        <w:rPr>
          <w:i/>
        </w:rPr>
        <w:t>Rural Development Programming: less</w:t>
      </w:r>
      <w:r>
        <w:rPr>
          <w:i/>
        </w:rPr>
        <w:t xml:space="preserve"> complexity and more focus on results needed </w:t>
      </w:r>
      <w:r>
        <w:t xml:space="preserve">(Special report N° 16, 2017), </w:t>
      </w:r>
      <w:hyperlink r:id="rId45" w:history="1">
        <w:r>
          <w:rPr>
            <w:rStyle w:val="Hyperlink"/>
          </w:rPr>
          <w:t>https://www.eca.europa.eu/en/Pages/DocItem.aspx?did=43179</w:t>
        </w:r>
      </w:hyperlink>
      <w:r>
        <w:t xml:space="preserve"> </w:t>
      </w:r>
    </w:p>
  </w:footnote>
  <w:footnote w:id="112">
    <w:p w:rsidR="00333A1A" w:rsidRDefault="003D29C9">
      <w:pPr>
        <w:pStyle w:val="FootnoteText"/>
        <w:jc w:val="both"/>
      </w:pPr>
      <w:r>
        <w:rPr>
          <w:rStyle w:val="FootnoteReference"/>
        </w:rPr>
        <w:footnoteRef/>
      </w:r>
      <w:r>
        <w:t xml:space="preserve"> </w:t>
      </w:r>
      <w:r>
        <w:tab/>
      </w:r>
      <w:r>
        <w:rPr>
          <w:i/>
        </w:rPr>
        <w:t xml:space="preserve">The EU priority of promoting knowledge-based </w:t>
      </w:r>
      <w:r>
        <w:rPr>
          <w:i/>
        </w:rPr>
        <w:t>rural economy has been affected by poor management of knowledge</w:t>
      </w:r>
      <w:r>
        <w:t xml:space="preserve"> (Special report n°12, 2015), </w:t>
      </w:r>
      <w:r>
        <w:rPr>
          <w:i/>
        </w:rPr>
        <w:t>The cost-effectiveness of EU Rural Development support for non-productive investments in Agriculture</w:t>
      </w:r>
      <w:r>
        <w:t xml:space="preserve"> (Special report n°20, 2015), </w:t>
      </w:r>
      <w:r>
        <w:rPr>
          <w:i/>
        </w:rPr>
        <w:t>EU support for rural infrastructu</w:t>
      </w:r>
      <w:r>
        <w:rPr>
          <w:i/>
        </w:rPr>
        <w:t>re: potential to achieve significantly greater value for money</w:t>
      </w:r>
      <w:r>
        <w:t xml:space="preserve"> (Special report N° 25, 2015),</w:t>
      </w:r>
      <w:r>
        <w:rPr>
          <w:i/>
        </w:rPr>
        <w:t xml:space="preserve"> Is the Commission’s system for performance measurement in relation to farmers’ incomes well designed and based on sound data?</w:t>
      </w:r>
      <w:r>
        <w:t xml:space="preserve"> (Special report N°1, 2016), </w:t>
      </w:r>
      <w:r>
        <w:rPr>
          <w:i/>
        </w:rPr>
        <w:t>Making cr</w:t>
      </w:r>
      <w:r>
        <w:rPr>
          <w:i/>
        </w:rPr>
        <w:t>oss</w:t>
      </w:r>
      <w:r>
        <w:rPr>
          <w:rFonts w:ascii="MS Mincho" w:eastAsia="MS Mincho" w:hAnsi="MS Mincho" w:cs="MS Mincho" w:hint="eastAsia"/>
          <w:i/>
        </w:rPr>
        <w:t>‑</w:t>
      </w:r>
      <w:r>
        <w:rPr>
          <w:i/>
        </w:rPr>
        <w:t>compliance more effective and achieving simplification remains challenging</w:t>
      </w:r>
      <w:r>
        <w:t>, (Special report N° 26, 2016),</w:t>
      </w:r>
      <w:r>
        <w:rPr>
          <w:i/>
        </w:rPr>
        <w:t xml:space="preserve"> The certification bodies’ new role on CAP expenditure: a positive step towards a single audit model but with significant weaknesses to be addresse</w:t>
      </w:r>
      <w:r>
        <w:rPr>
          <w:i/>
        </w:rPr>
        <w:t>d</w:t>
      </w:r>
      <w:r>
        <w:t xml:space="preserve"> (Special report N°7, 2017),</w:t>
      </w:r>
      <w:r>
        <w:rPr>
          <w:i/>
        </w:rPr>
        <w:t xml:space="preserve"> EU support to young farmers should be better targeted to foster effective generational renewal</w:t>
      </w:r>
      <w:r>
        <w:t xml:space="preserve"> (Special report N° 10, 2017),</w:t>
      </w:r>
      <w:r>
        <w:rPr>
          <w:i/>
        </w:rPr>
        <w:t xml:space="preserve"> Greening: a more complex income support scheme, not yet environmentally effective</w:t>
      </w:r>
      <w:r>
        <w:t xml:space="preserve"> (Special report n°2</w:t>
      </w:r>
      <w:r>
        <w:t>1, 2017).</w:t>
      </w:r>
    </w:p>
  </w:footnote>
  <w:footnote w:id="113">
    <w:p w:rsidR="00333A1A" w:rsidRDefault="003D29C9">
      <w:pPr>
        <w:pStyle w:val="FootnoteText"/>
        <w:ind w:left="709" w:hanging="709"/>
        <w:jc w:val="both"/>
      </w:pPr>
      <w:r>
        <w:rPr>
          <w:rStyle w:val="FootnoteReference"/>
        </w:rPr>
        <w:footnoteRef/>
      </w:r>
      <w:r>
        <w:t xml:space="preserve"> </w:t>
      </w:r>
      <w:r>
        <w:tab/>
      </w:r>
      <w:r>
        <w:rPr>
          <w:i/>
        </w:rPr>
        <w:t>Mapping and analysis of the implementation of the CAP</w:t>
      </w:r>
      <w:r>
        <w:t xml:space="preserve">, 2016, </w:t>
      </w:r>
      <w:hyperlink r:id="rId46" w:history="1">
        <w:r>
          <w:rPr>
            <w:rStyle w:val="Hyperlink"/>
          </w:rPr>
          <w:t>https://ec.europa.eu/agriculture/external-studies/mapping-analysis-implementa</w:t>
        </w:r>
        <w:r>
          <w:rPr>
            <w:rStyle w:val="Hyperlink"/>
          </w:rPr>
          <w:t>tion-cap_en</w:t>
        </w:r>
      </w:hyperlink>
      <w:r>
        <w:t xml:space="preserve"> </w:t>
      </w:r>
    </w:p>
  </w:footnote>
  <w:footnote w:id="114">
    <w:p w:rsidR="00333A1A" w:rsidRDefault="003D29C9">
      <w:pPr>
        <w:pStyle w:val="FootnoteText"/>
        <w:jc w:val="both"/>
      </w:pPr>
      <w:r>
        <w:rPr>
          <w:rStyle w:val="FootnoteReference"/>
        </w:rPr>
        <w:footnoteRef/>
      </w:r>
      <w:r>
        <w:t xml:space="preserve"> </w:t>
      </w:r>
      <w:r>
        <w:tab/>
      </w:r>
      <w:r>
        <w:rPr>
          <w:i/>
        </w:rPr>
        <w:t xml:space="preserve">Rural Development Programming: less complexity and more focus on results needed </w:t>
      </w:r>
      <w:r>
        <w:t xml:space="preserve">(Special report N° 16, 2017), </w:t>
      </w:r>
      <w:hyperlink r:id="rId47" w:history="1">
        <w:r>
          <w:rPr>
            <w:rStyle w:val="Hyperlink"/>
          </w:rPr>
          <w:t>https://www.eca.europa.eu/en/Pages/DocItem.aspx?did=4317</w:t>
        </w:r>
        <w:r>
          <w:rPr>
            <w:rStyle w:val="Hyperlink"/>
          </w:rPr>
          <w:t>9</w:t>
        </w:r>
      </w:hyperlink>
      <w:r>
        <w:t xml:space="preserve"> </w:t>
      </w:r>
    </w:p>
  </w:footnote>
  <w:footnote w:id="115">
    <w:p w:rsidR="00333A1A" w:rsidRDefault="003D29C9">
      <w:pPr>
        <w:pStyle w:val="FootnoteText"/>
        <w:ind w:left="709" w:hanging="709"/>
        <w:jc w:val="both"/>
      </w:pPr>
      <w:r>
        <w:rPr>
          <w:rStyle w:val="FootnoteReference"/>
        </w:rPr>
        <w:footnoteRef/>
      </w:r>
      <w:r>
        <w:t xml:space="preserve"> </w:t>
      </w:r>
      <w:r>
        <w:tab/>
        <w:t>See Annex 2 on Stakeholder consultation.</w:t>
      </w:r>
    </w:p>
  </w:footnote>
  <w:footnote w:id="116">
    <w:p w:rsidR="00333A1A" w:rsidRDefault="003D29C9">
      <w:pPr>
        <w:pStyle w:val="FootnoteText"/>
        <w:ind w:left="709" w:hanging="709"/>
        <w:jc w:val="both"/>
      </w:pPr>
      <w:r>
        <w:rPr>
          <w:rStyle w:val="FootnoteReference"/>
        </w:rPr>
        <w:footnoteRef/>
      </w:r>
      <w:r>
        <w:t xml:space="preserve"> </w:t>
      </w:r>
      <w:r>
        <w:tab/>
        <w:t>See Annex 2 on Stakeholder consultation.</w:t>
      </w:r>
    </w:p>
  </w:footnote>
  <w:footnote w:id="117">
    <w:p w:rsidR="00333A1A" w:rsidRDefault="003D29C9">
      <w:pPr>
        <w:pStyle w:val="FootnoteText"/>
        <w:jc w:val="both"/>
        <w:rPr>
          <w:rStyle w:val="FootnoteReference"/>
          <w:sz w:val="22"/>
          <w:szCs w:val="22"/>
        </w:rPr>
      </w:pPr>
      <w:r>
        <w:rPr>
          <w:rStyle w:val="FootnoteReference"/>
          <w:sz w:val="22"/>
          <w:szCs w:val="22"/>
        </w:rPr>
        <w:footnoteRef/>
      </w:r>
      <w:r>
        <w:rPr>
          <w:rStyle w:val="FootnoteReference"/>
          <w:sz w:val="22"/>
          <w:szCs w:val="22"/>
        </w:rPr>
        <w:t xml:space="preserve"> </w:t>
      </w:r>
      <w:r>
        <w:rPr>
          <w:rStyle w:val="FootnoteReference"/>
          <w:sz w:val="22"/>
          <w:szCs w:val="22"/>
        </w:rPr>
        <w:tab/>
      </w:r>
      <w:r>
        <w:rPr>
          <w:color w:val="000000"/>
          <w:sz w:val="20"/>
        </w:rPr>
        <w:t>The average time spent from the submission of the application to the Commission until the registration of a geographical indication has been 24-36 months for a wi</w:t>
      </w:r>
      <w:r>
        <w:rPr>
          <w:color w:val="000000"/>
          <w:sz w:val="20"/>
        </w:rPr>
        <w:t xml:space="preserve">ne, and 12-24 months for an agricultural product and foodstuff.  </w:t>
      </w:r>
    </w:p>
  </w:footnote>
  <w:footnote w:id="118">
    <w:p w:rsidR="00333A1A" w:rsidRDefault="003D29C9">
      <w:pPr>
        <w:pStyle w:val="FootnoteText"/>
        <w:rPr>
          <w:rFonts w:cs="Times New Roman"/>
          <w:szCs w:val="18"/>
        </w:rPr>
      </w:pPr>
      <w:r>
        <w:rPr>
          <w:rStyle w:val="FootnoteReference"/>
          <w:rFonts w:cs="Times New Roman"/>
          <w:szCs w:val="18"/>
        </w:rPr>
        <w:footnoteRef/>
      </w:r>
      <w:r>
        <w:rPr>
          <w:rFonts w:cs="Times New Roman"/>
          <w:szCs w:val="18"/>
        </w:rPr>
        <w:t xml:space="preserve"> </w:t>
      </w:r>
      <w:r>
        <w:rPr>
          <w:rFonts w:cs="Times New Roman"/>
          <w:szCs w:val="18"/>
        </w:rPr>
        <w:tab/>
        <w:t>COM(2017) 713 final, 29.11.2017.</w:t>
      </w:r>
    </w:p>
  </w:footnote>
  <w:footnote w:id="119">
    <w:p w:rsidR="00333A1A" w:rsidRDefault="003D29C9">
      <w:pPr>
        <w:pStyle w:val="CM4"/>
        <w:spacing w:before="60" w:after="60"/>
        <w:ind w:left="709" w:hanging="709"/>
        <w:jc w:val="both"/>
        <w:rPr>
          <w:rFonts w:ascii="Times New Roman" w:hAnsi="Times New Roman"/>
          <w:color w:val="000000"/>
          <w:sz w:val="18"/>
          <w:szCs w:val="18"/>
        </w:rPr>
      </w:pPr>
      <w:r>
        <w:rPr>
          <w:rStyle w:val="FootnoteReference"/>
          <w:rFonts w:ascii="Times New Roman" w:eastAsiaTheme="minorHAnsi" w:hAnsi="Times New Roman"/>
          <w:sz w:val="18"/>
          <w:szCs w:val="18"/>
          <w:lang w:eastAsia="en-US"/>
        </w:rPr>
        <w:footnoteRef/>
      </w:r>
      <w:r>
        <w:rPr>
          <w:rStyle w:val="FootnoteReference"/>
          <w:rFonts w:ascii="Times New Roman" w:eastAsiaTheme="minorHAnsi" w:hAnsi="Times New Roman"/>
          <w:sz w:val="18"/>
          <w:szCs w:val="18"/>
          <w:lang w:eastAsia="en-US"/>
        </w:rPr>
        <w:t xml:space="preserve"> </w:t>
      </w:r>
      <w:r>
        <w:rPr>
          <w:rFonts w:ascii="Times New Roman" w:hAnsi="Times New Roman"/>
          <w:sz w:val="18"/>
          <w:szCs w:val="18"/>
        </w:rPr>
        <w:tab/>
      </w:r>
      <w:r>
        <w:rPr>
          <w:rFonts w:ascii="Times New Roman" w:hAnsi="Times New Roman"/>
          <w:color w:val="000000"/>
          <w:sz w:val="18"/>
          <w:szCs w:val="18"/>
        </w:rPr>
        <w:t xml:space="preserve">(1) Regulation (EU) 1151/2012 of the European Parliament and of the Council of 21 November 2012 on quality schemes for agricultural products and foodstuffs (OJ L 343, 14.12.2012, p. 1). </w:t>
      </w:r>
    </w:p>
    <w:p w:rsidR="00333A1A" w:rsidRDefault="003D29C9">
      <w:pPr>
        <w:pStyle w:val="CM4"/>
        <w:spacing w:before="60" w:after="60"/>
        <w:ind w:left="709"/>
        <w:jc w:val="both"/>
        <w:rPr>
          <w:rFonts w:ascii="Times New Roman" w:hAnsi="Times New Roman"/>
          <w:color w:val="000000"/>
          <w:sz w:val="18"/>
          <w:szCs w:val="18"/>
        </w:rPr>
      </w:pPr>
      <w:r>
        <w:rPr>
          <w:rFonts w:ascii="Times New Roman" w:hAnsi="Times New Roman"/>
          <w:color w:val="000000"/>
          <w:sz w:val="18"/>
          <w:szCs w:val="18"/>
        </w:rPr>
        <w:t xml:space="preserve">(2) Regulation (EU) No 1308/2013 of the European Parliament and of </w:t>
      </w:r>
      <w:r>
        <w:rPr>
          <w:rFonts w:ascii="Times New Roman" w:hAnsi="Times New Roman"/>
          <w:color w:val="000000"/>
          <w:sz w:val="18"/>
          <w:szCs w:val="18"/>
        </w:rPr>
        <w:t>the Council of 17 December 2013 establishing a common organisation of the markets in agricultural products and repealing Council Regulations (EEC) No 922/72, (EEC) No 234/79, (EC) No 1037/2001 and (EC) No 1234/2007 (OJ L 347, 20.12.2013, p. 671).</w:t>
      </w:r>
    </w:p>
    <w:p w:rsidR="00333A1A" w:rsidRDefault="003D29C9">
      <w:pPr>
        <w:pStyle w:val="CM4"/>
        <w:spacing w:before="60" w:after="60"/>
        <w:ind w:left="709"/>
        <w:jc w:val="both"/>
        <w:rPr>
          <w:rFonts w:ascii="Times New Roman" w:hAnsi="Times New Roman"/>
          <w:color w:val="000000"/>
          <w:sz w:val="18"/>
          <w:szCs w:val="18"/>
        </w:rPr>
      </w:pPr>
      <w:r>
        <w:rPr>
          <w:rFonts w:ascii="Times New Roman" w:hAnsi="Times New Roman"/>
          <w:color w:val="000000"/>
          <w:sz w:val="18"/>
          <w:szCs w:val="18"/>
        </w:rPr>
        <w:t>(3) Regul</w:t>
      </w:r>
      <w:r>
        <w:rPr>
          <w:rFonts w:ascii="Times New Roman" w:hAnsi="Times New Roman"/>
          <w:color w:val="000000"/>
          <w:sz w:val="18"/>
          <w:szCs w:val="18"/>
        </w:rPr>
        <w:t>ation (EC) No 110/2008 of the European Parliament and of the Council of 15 January 2008 on the definition, description, presentation, labelling and the protection of geographical indications of spirit drinks and repealing Council Regulation (EEC) No 1576/8</w:t>
      </w:r>
      <w:r>
        <w:rPr>
          <w:rFonts w:ascii="Times New Roman" w:hAnsi="Times New Roman"/>
          <w:color w:val="000000"/>
          <w:sz w:val="18"/>
          <w:szCs w:val="18"/>
        </w:rPr>
        <w:t xml:space="preserve">9 (OJ L 39, 13.2.2008, p. 16). </w:t>
      </w:r>
    </w:p>
    <w:p w:rsidR="00333A1A" w:rsidRDefault="003D29C9">
      <w:pPr>
        <w:pStyle w:val="CM4"/>
        <w:spacing w:before="60" w:after="60"/>
        <w:ind w:left="709"/>
        <w:jc w:val="both"/>
        <w:rPr>
          <w:rFonts w:ascii="Times New Roman" w:hAnsi="Times New Roman"/>
          <w:color w:val="000000"/>
          <w:sz w:val="18"/>
          <w:szCs w:val="18"/>
        </w:rPr>
      </w:pPr>
      <w:r>
        <w:rPr>
          <w:rFonts w:ascii="Times New Roman" w:hAnsi="Times New Roman"/>
          <w:color w:val="000000"/>
          <w:sz w:val="18"/>
          <w:szCs w:val="18"/>
        </w:rPr>
        <w:t>(4) Regulation (EU) No 251/2014 of the European Parliament and of the Council of 20.3.2014 on the definition, description, presentation, labelling and the protection of geographical indications of aromatized wine products, a</w:t>
      </w:r>
      <w:r>
        <w:rPr>
          <w:rFonts w:ascii="Times New Roman" w:hAnsi="Times New Roman"/>
          <w:color w:val="000000"/>
          <w:sz w:val="18"/>
          <w:szCs w:val="18"/>
        </w:rPr>
        <w:t>nd repealing Council Regulation (EEC) No 1601/91. (OJ L 84, 20.3.2014, p. 14).</w:t>
      </w:r>
    </w:p>
  </w:footnote>
  <w:footnote w:id="120">
    <w:p w:rsidR="00333A1A" w:rsidRDefault="003D29C9">
      <w:pPr>
        <w:pStyle w:val="FootnoteText"/>
        <w:jc w:val="both"/>
        <w:rPr>
          <w:szCs w:val="18"/>
        </w:rPr>
      </w:pPr>
      <w:r>
        <w:rPr>
          <w:rStyle w:val="FootnoteReference"/>
          <w:szCs w:val="18"/>
        </w:rPr>
        <w:footnoteRef/>
      </w:r>
      <w:r>
        <w:rPr>
          <w:szCs w:val="18"/>
        </w:rPr>
        <w:t xml:space="preserve"> </w:t>
      </w:r>
      <w:r>
        <w:rPr>
          <w:szCs w:val="18"/>
        </w:rPr>
        <w:tab/>
        <w:t>Regulation (EU) 1151/2012: These rules already are already applicable to some alcoholic drinks like cider and beer, and the grapevine product of vinegar. Integration with Win</w:t>
      </w:r>
      <w:r>
        <w:rPr>
          <w:szCs w:val="18"/>
        </w:rPr>
        <w:t>e GIs was also considered but excluded as Aromatised Wines are not covered by the CMO and the wine GI definitions and criteria are significantly divergent from that for Aromatised Wines while there is already full alignment of definitions with the Agricult</w:t>
      </w:r>
      <w:r>
        <w:rPr>
          <w:szCs w:val="18"/>
        </w:rPr>
        <w:t xml:space="preserve">ural Product and Foodstuff Regulation. </w:t>
      </w:r>
    </w:p>
  </w:footnote>
  <w:footnote w:id="121">
    <w:p w:rsidR="00333A1A" w:rsidRDefault="003D29C9">
      <w:pPr>
        <w:pStyle w:val="FootnoteText"/>
        <w:jc w:val="both"/>
        <w:rPr>
          <w:szCs w:val="18"/>
        </w:rPr>
      </w:pPr>
      <w:r>
        <w:rPr>
          <w:rStyle w:val="FootnoteReference"/>
          <w:szCs w:val="18"/>
        </w:rPr>
        <w:footnoteRef/>
      </w:r>
      <w:r>
        <w:rPr>
          <w:szCs w:val="18"/>
        </w:rPr>
        <w:t xml:space="preserve"> </w:t>
      </w:r>
      <w:r>
        <w:rPr>
          <w:szCs w:val="18"/>
        </w:rPr>
        <w:tab/>
        <w:t>COM(2016) 750 final, 1.12.2016.</w:t>
      </w:r>
    </w:p>
  </w:footnote>
  <w:footnote w:id="122">
    <w:p w:rsidR="00333A1A" w:rsidRDefault="003D29C9">
      <w:pPr>
        <w:pStyle w:val="FootnoteText"/>
      </w:pPr>
      <w:r>
        <w:rPr>
          <w:rStyle w:val="FootnoteReference"/>
        </w:rPr>
        <w:footnoteRef/>
      </w:r>
      <w:r>
        <w:t xml:space="preserve"> </w:t>
      </w:r>
      <w:r>
        <w:tab/>
        <w:t>The UK also manages RD programmes at regional level, but is excluded from the assessment.</w:t>
      </w:r>
    </w:p>
  </w:footnote>
  <w:footnote w:id="123">
    <w:p w:rsidR="00333A1A" w:rsidRDefault="003D29C9">
      <w:pPr>
        <w:pStyle w:val="FootnoteText"/>
      </w:pPr>
      <w:r>
        <w:rPr>
          <w:rStyle w:val="FootnoteReference"/>
        </w:rPr>
        <w:footnoteRef/>
      </w:r>
      <w:r>
        <w:t xml:space="preserve"> </w:t>
      </w:r>
      <w:r>
        <w:tab/>
        <w:t>Up to 4% if including some related one-off general management tasks.</w:t>
      </w:r>
    </w:p>
  </w:footnote>
  <w:footnote w:id="124">
    <w:p w:rsidR="00333A1A" w:rsidRDefault="003D29C9">
      <w:pPr>
        <w:pStyle w:val="FootnoteText"/>
        <w:ind w:left="709" w:hanging="709"/>
        <w:jc w:val="both"/>
      </w:pPr>
      <w:r>
        <w:rPr>
          <w:rStyle w:val="FootnoteReference"/>
        </w:rPr>
        <w:footnoteRef/>
      </w:r>
      <w:r>
        <w:t xml:space="preserve"> </w:t>
      </w:r>
      <w:r>
        <w:tab/>
      </w:r>
      <w:r>
        <w:rPr>
          <w:i/>
        </w:rPr>
        <w:t>Use of new pr</w:t>
      </w:r>
      <w:r>
        <w:rPr>
          <w:i/>
        </w:rPr>
        <w:t>ovisions on simplification during the early implementation phase of ESIF</w:t>
      </w:r>
      <w:r>
        <w:t xml:space="preserve">, 2017, </w:t>
      </w:r>
      <w:hyperlink r:id="rId48" w:history="1">
        <w:r>
          <w:rPr>
            <w:rStyle w:val="Hyperlink"/>
          </w:rPr>
          <w:t>http://ec.europa.eu/regional_policy/sources/docgener/studie</w:t>
        </w:r>
        <w:r>
          <w:rPr>
            <w:rStyle w:val="Hyperlink"/>
          </w:rPr>
          <w:t>s/pdf/new_prov_simplification_esif_en.pdf</w:t>
        </w:r>
      </w:hyperlink>
      <w:r>
        <w:t xml:space="preserve"> </w:t>
      </w:r>
    </w:p>
  </w:footnote>
  <w:footnote w:id="125">
    <w:p w:rsidR="00333A1A" w:rsidRDefault="003D29C9">
      <w:pPr>
        <w:pStyle w:val="FootnoteText"/>
        <w:jc w:val="both"/>
      </w:pPr>
      <w:r>
        <w:rPr>
          <w:rStyle w:val="FootnoteReference"/>
        </w:rPr>
        <w:footnoteRef/>
      </w:r>
      <w:r>
        <w:t xml:space="preserve"> </w:t>
      </w:r>
      <w:r>
        <w:tab/>
      </w:r>
      <w:r>
        <w:rPr>
          <w:i/>
        </w:rPr>
        <w:t>eGovernance study at EU / Member State level</w:t>
      </w:r>
      <w:r>
        <w:t xml:space="preserve">, 2012, </w:t>
      </w:r>
      <w:hyperlink r:id="rId49" w:history="1">
        <w:r>
          <w:rPr>
            <w:rStyle w:val="Hyperlink"/>
          </w:rPr>
          <w:t>https://ec.europa.eu/agriculture/external-studies/e-governance_nl</w:t>
        </w:r>
      </w:hyperlink>
      <w:r>
        <w:t xml:space="preserve"> </w:t>
      </w:r>
    </w:p>
  </w:footnote>
  <w:footnote w:id="126">
    <w:p w:rsidR="00333A1A" w:rsidRDefault="003D29C9">
      <w:pPr>
        <w:pStyle w:val="FootnoteText"/>
        <w:ind w:left="709" w:hanging="709"/>
        <w:jc w:val="both"/>
      </w:pPr>
      <w:r>
        <w:rPr>
          <w:rStyle w:val="FootnoteReference"/>
        </w:rPr>
        <w:footnoteRef/>
      </w:r>
      <w:r>
        <w:t xml:space="preserve"> </w:t>
      </w:r>
      <w:r>
        <w:tab/>
      </w:r>
      <w:r>
        <w:rPr>
          <w:i/>
        </w:rPr>
        <w:t>New as</w:t>
      </w:r>
      <w:r>
        <w:rPr>
          <w:i/>
        </w:rPr>
        <w:t>sessment of ESIF administrative costs and burden</w:t>
      </w:r>
      <w:r>
        <w:t>, not yet published</w:t>
      </w:r>
    </w:p>
  </w:footnote>
  <w:footnote w:id="127">
    <w:p w:rsidR="00333A1A" w:rsidRDefault="003D29C9">
      <w:pPr>
        <w:pStyle w:val="FootnoteText"/>
        <w:ind w:left="709" w:hanging="709"/>
        <w:jc w:val="both"/>
      </w:pPr>
      <w:r>
        <w:rPr>
          <w:rStyle w:val="FootnoteReference"/>
        </w:rPr>
        <w:footnoteRef/>
      </w:r>
      <w:r>
        <w:t xml:space="preserve"> </w:t>
      </w:r>
      <w:r>
        <w:tab/>
      </w:r>
      <w:r>
        <w:rPr>
          <w:i/>
        </w:rPr>
        <w:t>Mapping and analysis of the implementation of the CAP</w:t>
      </w:r>
      <w:r>
        <w:t xml:space="preserve">, 2016, </w:t>
      </w:r>
      <w:hyperlink r:id="rId50" w:history="1">
        <w:r>
          <w:rPr>
            <w:rStyle w:val="Hyperlink"/>
          </w:rPr>
          <w:t>https://ec.europa.e</w:t>
        </w:r>
        <w:r>
          <w:rPr>
            <w:rStyle w:val="Hyperlink"/>
          </w:rPr>
          <w:t>u/agriculture/external-studies/mapping-analysis-implementation-cap_en</w:t>
        </w:r>
      </w:hyperlink>
    </w:p>
  </w:footnote>
  <w:footnote w:id="128">
    <w:p w:rsidR="00333A1A" w:rsidRDefault="003D29C9">
      <w:pPr>
        <w:pStyle w:val="FootnoteText"/>
        <w:ind w:left="709" w:hanging="709"/>
        <w:jc w:val="both"/>
      </w:pPr>
      <w:r>
        <w:rPr>
          <w:rStyle w:val="FootnoteReference"/>
        </w:rPr>
        <w:footnoteRef/>
      </w:r>
      <w:r>
        <w:t xml:space="preserve"> </w:t>
      </w:r>
      <w:r>
        <w:tab/>
      </w:r>
      <w:r>
        <w:rPr>
          <w:i/>
        </w:rPr>
        <w:t>Mapping and analysis of the implementation of the CAP</w:t>
      </w:r>
      <w:r>
        <w:t xml:space="preserve">, 2016, </w:t>
      </w:r>
      <w:hyperlink r:id="rId51" w:history="1">
        <w:r>
          <w:rPr>
            <w:rStyle w:val="Hyperlink"/>
          </w:rPr>
          <w:t>https://ec.europa.eu/agriculture/external-studies/mapping-analysis-implementation-cap_en</w:t>
        </w:r>
      </w:hyperlink>
    </w:p>
  </w:footnote>
  <w:footnote w:id="129">
    <w:p w:rsidR="00333A1A" w:rsidRDefault="003D29C9">
      <w:pPr>
        <w:pStyle w:val="FootnoteText"/>
        <w:ind w:left="709" w:hanging="709"/>
        <w:jc w:val="both"/>
      </w:pPr>
      <w:r>
        <w:rPr>
          <w:rStyle w:val="FootnoteReference"/>
        </w:rPr>
        <w:footnoteRef/>
      </w:r>
      <w:r>
        <w:t xml:space="preserve"> </w:t>
      </w:r>
      <w:r>
        <w:tab/>
      </w:r>
      <w:r>
        <w:rPr>
          <w:i/>
        </w:rPr>
        <w:t>Better Regulation toolbox</w:t>
      </w:r>
      <w:r>
        <w:t xml:space="preserve">, tool 60, </w:t>
      </w:r>
      <w:hyperlink r:id="rId52" w:history="1">
        <w:r>
          <w:rPr>
            <w:rStyle w:val="Hyperlink"/>
          </w:rPr>
          <w:t>https://ec.europa.e</w:t>
        </w:r>
        <w:r>
          <w:rPr>
            <w:rStyle w:val="Hyperlink"/>
          </w:rPr>
          <w:t>u/info/sites/info/files/file_import/better-regulation-toolbox-60_en_0.pdf</w:t>
        </w:r>
      </w:hyperlink>
      <w:r>
        <w:t xml:space="preserve">  </w:t>
      </w:r>
    </w:p>
  </w:footnote>
  <w:footnote w:id="130">
    <w:p w:rsidR="00333A1A" w:rsidRDefault="003D29C9">
      <w:pPr>
        <w:pStyle w:val="FootnoteText"/>
        <w:jc w:val="both"/>
      </w:pPr>
      <w:r>
        <w:rPr>
          <w:rStyle w:val="FootnoteReference"/>
        </w:rPr>
        <w:footnoteRef/>
      </w:r>
      <w:r>
        <w:t xml:space="preserve"> </w:t>
      </w:r>
      <w:r>
        <w:tab/>
      </w:r>
      <w:r>
        <w:rPr>
          <w:i/>
        </w:rPr>
        <w:t>EU Project on Baseline Measurement and Reduction of Administrative Costs</w:t>
      </w:r>
      <w:r>
        <w:t xml:space="preserve">, 2010, </w:t>
      </w:r>
      <w:hyperlink r:id="rId53" w:history="1">
        <w:r>
          <w:rPr>
            <w:rStyle w:val="Hyperlink"/>
          </w:rPr>
          <w:t>http://ec.europa.eu/smart-regulation/refit/admin_burden/docs/enterprise/documents/files/abs_development_reduction_recommendations_en.pdf</w:t>
        </w:r>
      </w:hyperlink>
      <w:r>
        <w:t xml:space="preserve"> </w:t>
      </w:r>
    </w:p>
  </w:footnote>
  <w:footnote w:id="131">
    <w:p w:rsidR="00333A1A" w:rsidRDefault="003D29C9">
      <w:pPr>
        <w:pStyle w:val="FootnoteText"/>
      </w:pPr>
      <w:r>
        <w:rPr>
          <w:rStyle w:val="FootnoteReference"/>
        </w:rPr>
        <w:footnoteRef/>
      </w:r>
      <w:r>
        <w:t xml:space="preserve"> </w:t>
      </w:r>
      <w:r>
        <w:tab/>
        <w:t>Average wages include the 2014 mean hourly earnings by main</w:t>
      </w:r>
      <w:r>
        <w:t xml:space="preserve"> economic activity and occupation (according to the International Standard Classification of Occupations (ISCO)) + adjustment to 2014 Prices + Non wage Labour Costs + 25% Overhead. The EU average factors in the relative number of hours worked in each MS. </w:t>
      </w:r>
    </w:p>
  </w:footnote>
  <w:footnote w:id="132">
    <w:p w:rsidR="00333A1A" w:rsidRDefault="003D29C9">
      <w:pPr>
        <w:pStyle w:val="FootnoteText"/>
      </w:pPr>
      <w:r>
        <w:rPr>
          <w:rStyle w:val="FootnoteReference"/>
        </w:rPr>
        <w:footnoteRef/>
      </w:r>
      <w:r>
        <w:t xml:space="preserve"> </w:t>
      </w:r>
      <w:r>
        <w:tab/>
        <w:t>This includes one-off and recurring costs.</w:t>
      </w:r>
    </w:p>
  </w:footnote>
  <w:footnote w:id="133">
    <w:p w:rsidR="00333A1A" w:rsidRDefault="003D29C9">
      <w:pPr>
        <w:pStyle w:val="FootnoteText"/>
        <w:jc w:val="both"/>
      </w:pPr>
      <w:r>
        <w:rPr>
          <w:rStyle w:val="FootnoteReference"/>
        </w:rPr>
        <w:footnoteRef/>
      </w:r>
      <w:r>
        <w:t xml:space="preserve"> </w:t>
      </w:r>
      <w:r>
        <w:tab/>
      </w:r>
      <w:r>
        <w:rPr>
          <w:noProof/>
          <w:szCs w:val="24"/>
        </w:rPr>
        <w:t xml:space="preserve">Oullier, O. (2013). Behavioural insights are vital to policy-making. </w:t>
      </w:r>
      <w:r>
        <w:rPr>
          <w:i/>
          <w:iCs/>
          <w:noProof/>
          <w:szCs w:val="24"/>
        </w:rPr>
        <w:t>Nature</w:t>
      </w:r>
      <w:r>
        <w:rPr>
          <w:noProof/>
          <w:szCs w:val="24"/>
        </w:rPr>
        <w:t xml:space="preserve">, </w:t>
      </w:r>
      <w:r>
        <w:rPr>
          <w:i/>
          <w:iCs/>
          <w:noProof/>
          <w:szCs w:val="24"/>
        </w:rPr>
        <w:t>501</w:t>
      </w:r>
      <w:r>
        <w:rPr>
          <w:noProof/>
          <w:szCs w:val="24"/>
        </w:rPr>
        <w:t>(7468), 463–463.</w:t>
      </w:r>
    </w:p>
  </w:footnote>
  <w:footnote w:id="134">
    <w:p w:rsidR="00333A1A" w:rsidRDefault="003D29C9">
      <w:pPr>
        <w:pStyle w:val="FootnoteText"/>
        <w:jc w:val="both"/>
      </w:pPr>
      <w:r>
        <w:rPr>
          <w:rStyle w:val="FootnoteReference"/>
        </w:rPr>
        <w:footnoteRef/>
      </w:r>
      <w:r>
        <w:t xml:space="preserve"> </w:t>
      </w:r>
      <w:r>
        <w:tab/>
      </w:r>
      <w:r>
        <w:rPr>
          <w:noProof/>
          <w:szCs w:val="24"/>
        </w:rPr>
        <w:t>Wreford, A., Ignaciuk, A., &amp; Gruère, G. (2017). Overcoming barriers to the adoption of climate-friendly pra</w:t>
      </w:r>
      <w:r>
        <w:rPr>
          <w:noProof/>
          <w:szCs w:val="24"/>
        </w:rPr>
        <w:t xml:space="preserve">ctices in agriculture. </w:t>
      </w:r>
      <w:r>
        <w:rPr>
          <w:i/>
          <w:iCs/>
          <w:noProof/>
          <w:szCs w:val="24"/>
        </w:rPr>
        <w:t>OECD Food, Agriculture and Fisheries Papers</w:t>
      </w:r>
      <w:r>
        <w:rPr>
          <w:noProof/>
          <w:szCs w:val="24"/>
        </w:rPr>
        <w:t xml:space="preserve">, </w:t>
      </w:r>
      <w:r>
        <w:rPr>
          <w:i/>
          <w:iCs/>
          <w:noProof/>
          <w:szCs w:val="24"/>
        </w:rPr>
        <w:t>101</w:t>
      </w:r>
      <w:r>
        <w:rPr>
          <w:noProof/>
          <w:szCs w:val="24"/>
        </w:rPr>
        <w:t>.</w:t>
      </w:r>
    </w:p>
  </w:footnote>
  <w:footnote w:id="135">
    <w:p w:rsidR="00333A1A" w:rsidRDefault="003D29C9">
      <w:pPr>
        <w:pStyle w:val="FootnoteText"/>
        <w:jc w:val="both"/>
      </w:pPr>
      <w:r>
        <w:rPr>
          <w:rStyle w:val="FootnoteReference"/>
        </w:rPr>
        <w:footnoteRef/>
      </w:r>
      <w:r>
        <w:t xml:space="preserve"> </w:t>
      </w:r>
      <w:r>
        <w:tab/>
      </w:r>
      <w:r>
        <w:rPr>
          <w:noProof/>
          <w:szCs w:val="24"/>
        </w:rPr>
        <w:t xml:space="preserve">Maybery, D., Crase, L., &amp; Gullifer, C. (2005). Categorising farming values as economic, conservation and lifestyle. </w:t>
      </w:r>
      <w:r>
        <w:rPr>
          <w:i/>
          <w:iCs/>
          <w:noProof/>
          <w:szCs w:val="24"/>
        </w:rPr>
        <w:t>Journal of Economic Psychology</w:t>
      </w:r>
      <w:r>
        <w:rPr>
          <w:noProof/>
          <w:szCs w:val="24"/>
        </w:rPr>
        <w:t xml:space="preserve">, </w:t>
      </w:r>
      <w:r>
        <w:rPr>
          <w:i/>
          <w:iCs/>
          <w:noProof/>
          <w:szCs w:val="24"/>
        </w:rPr>
        <w:t>26</w:t>
      </w:r>
      <w:r>
        <w:rPr>
          <w:noProof/>
          <w:szCs w:val="24"/>
        </w:rPr>
        <w:t>(1), 59–72.</w:t>
      </w:r>
    </w:p>
  </w:footnote>
  <w:footnote w:id="136">
    <w:p w:rsidR="00333A1A" w:rsidRDefault="003D29C9">
      <w:pPr>
        <w:pStyle w:val="FootnoteText"/>
        <w:jc w:val="both"/>
      </w:pPr>
      <w:r>
        <w:rPr>
          <w:rStyle w:val="FootnoteReference"/>
        </w:rPr>
        <w:footnoteRef/>
      </w:r>
      <w:r>
        <w:t xml:space="preserve"> </w:t>
      </w:r>
      <w:r>
        <w:tab/>
      </w:r>
      <w:hyperlink r:id="rId54" w:history="1">
        <w:r>
          <w:rPr>
            <w:rStyle w:val="Hyperlink"/>
          </w:rPr>
          <w:t>https://ec.europa.eu/agriculture/sites/agriculture/files/consultations/cap-modernising/eco_background_final_en.pdf</w:t>
        </w:r>
      </w:hyperlink>
      <w:r>
        <w:t xml:space="preserve"> </w:t>
      </w:r>
    </w:p>
  </w:footnote>
  <w:footnote w:id="137">
    <w:p w:rsidR="00333A1A" w:rsidRDefault="003D29C9">
      <w:pPr>
        <w:pStyle w:val="FootnoteText"/>
        <w:jc w:val="both"/>
      </w:pPr>
      <w:r>
        <w:rPr>
          <w:rStyle w:val="FootnoteReference"/>
        </w:rPr>
        <w:footnoteRef/>
      </w:r>
      <w:r>
        <w:t xml:space="preserve"> </w:t>
      </w:r>
      <w:r>
        <w:tab/>
      </w:r>
      <w:hyperlink r:id="rId55" w:history="1">
        <w:r>
          <w:rPr>
            <w:rStyle w:val="Hyperlink"/>
          </w:rPr>
          <w:t>https://ec.europa.eu/agriculture/sites/agriculture/files/consultations/cap-modernising/env_background_final_en.pdf</w:t>
        </w:r>
      </w:hyperlink>
      <w:r>
        <w:t xml:space="preserve"> </w:t>
      </w:r>
    </w:p>
  </w:footnote>
  <w:footnote w:id="138">
    <w:p w:rsidR="00333A1A" w:rsidRDefault="003D29C9">
      <w:pPr>
        <w:pStyle w:val="FootnoteText"/>
        <w:jc w:val="both"/>
      </w:pPr>
      <w:r>
        <w:rPr>
          <w:rStyle w:val="FootnoteReference"/>
        </w:rPr>
        <w:footnoteRef/>
      </w:r>
      <w:r>
        <w:t xml:space="preserve"> </w:t>
      </w:r>
      <w:r>
        <w:tab/>
        <w:t>van Bavel, R., &amp; Dessart, F</w:t>
      </w:r>
      <w:r>
        <w:t xml:space="preserve">. J. (2018). The case for qualitative research in behavioural studies for EU policy-making. </w:t>
      </w:r>
      <w:r>
        <w:rPr>
          <w:i/>
        </w:rPr>
        <w:t>JRC Science for Policy</w:t>
      </w:r>
      <w:r>
        <w:t>. Brussels</w:t>
      </w:r>
    </w:p>
  </w:footnote>
  <w:footnote w:id="139">
    <w:p w:rsidR="00333A1A" w:rsidRDefault="003D29C9">
      <w:pPr>
        <w:pStyle w:val="FootnoteText"/>
        <w:jc w:val="both"/>
      </w:pPr>
      <w:r>
        <w:rPr>
          <w:rStyle w:val="FootnoteReference"/>
        </w:rPr>
        <w:footnoteRef/>
      </w:r>
      <w:r>
        <w:t xml:space="preserve"> </w:t>
      </w:r>
      <w:r>
        <w:tab/>
        <w:t xml:space="preserve">Stewart, D. W., &amp; Shamdasani, P. N. (2014). </w:t>
      </w:r>
      <w:r>
        <w:rPr>
          <w:i/>
        </w:rPr>
        <w:t>Focus groups: Theory and practice</w:t>
      </w:r>
      <w:r>
        <w:t xml:space="preserve"> (Vol. 20). Sage publications.</w:t>
      </w:r>
    </w:p>
  </w:footnote>
  <w:footnote w:id="140">
    <w:p w:rsidR="00333A1A" w:rsidRDefault="003D29C9">
      <w:pPr>
        <w:pStyle w:val="FootnoteText"/>
        <w:jc w:val="both"/>
      </w:pPr>
      <w:r>
        <w:rPr>
          <w:rStyle w:val="FootnoteReference"/>
        </w:rPr>
        <w:footnoteRef/>
      </w:r>
      <w:r>
        <w:t xml:space="preserve"> </w:t>
      </w:r>
      <w:r>
        <w:tab/>
        <w:t>Environmental com</w:t>
      </w:r>
      <w:r>
        <w:t xml:space="preserve">mitment was assessed combining the objective adoption of certain practices (i.e. organic farming, adoption of voluntary agri-environmental and climate measures) and subjective positioning (i.e. degree of environmental commitment compared to fellow farmers </w:t>
      </w:r>
      <w:r>
        <w:t>and future intentions).</w:t>
      </w:r>
    </w:p>
  </w:footnote>
  <w:footnote w:id="141">
    <w:p w:rsidR="00333A1A" w:rsidRDefault="003D29C9">
      <w:pPr>
        <w:pStyle w:val="FootnoteText"/>
        <w:tabs>
          <w:tab w:val="left" w:pos="142"/>
        </w:tabs>
        <w:jc w:val="both"/>
      </w:pPr>
      <w:r>
        <w:rPr>
          <w:rStyle w:val="FootnoteReference"/>
        </w:rPr>
        <w:footnoteRef/>
      </w:r>
      <w:r>
        <w:t xml:space="preserve"> </w:t>
      </w:r>
      <w:r>
        <w:tab/>
        <w:t>-"</w:t>
      </w:r>
      <w:r>
        <w:rPr>
          <w:i/>
        </w:rPr>
        <w:t xml:space="preserve">Our wallet… Sanctions…  If you don' to comply with the requirements, you don't get the money" </w:t>
      </w:r>
      <w:r>
        <w:t>(ES-conventional)</w:t>
      </w:r>
    </w:p>
    <w:p w:rsidR="00333A1A" w:rsidRDefault="003D29C9">
      <w:pPr>
        <w:pStyle w:val="FootnoteText"/>
        <w:tabs>
          <w:tab w:val="left" w:pos="142"/>
        </w:tabs>
        <w:ind w:left="142" w:hanging="142"/>
        <w:jc w:val="both"/>
      </w:pPr>
      <w:r>
        <w:tab/>
      </w:r>
      <w:r>
        <w:tab/>
        <w:t>-</w:t>
      </w:r>
      <w:r>
        <w:rPr>
          <w:i/>
        </w:rPr>
        <w:t xml:space="preserve"> "If we don’t do something on time, there are consequences. There’s a deadline and for every day of delay </w:t>
      </w:r>
      <w:r>
        <w:rPr>
          <w:i/>
        </w:rPr>
        <w:tab/>
        <w:t xml:space="preserve">they </w:t>
      </w:r>
      <w:r>
        <w:rPr>
          <w:i/>
        </w:rPr>
        <w:t>pay you less. This is a punishment. If you exceed the deadline, you bear the consequences</w:t>
      </w:r>
      <w:r>
        <w:t>" (PL-</w:t>
      </w:r>
      <w:r>
        <w:tab/>
        <w:t>conventional)</w:t>
      </w:r>
    </w:p>
    <w:p w:rsidR="00333A1A" w:rsidRDefault="003D29C9">
      <w:pPr>
        <w:pStyle w:val="FootnoteText"/>
        <w:tabs>
          <w:tab w:val="left" w:pos="142"/>
        </w:tabs>
        <w:ind w:left="142" w:hanging="142"/>
        <w:jc w:val="both"/>
      </w:pPr>
      <w:r>
        <w:tab/>
      </w:r>
      <w:r>
        <w:tab/>
        <w:t>- "</w:t>
      </w:r>
      <w:r>
        <w:rPr>
          <w:i/>
        </w:rPr>
        <w:t xml:space="preserve">We don't have the choice with all these laws coming out all the time. We are urged by force </w:t>
      </w:r>
      <w:r>
        <w:t>(FR-</w:t>
      </w:r>
      <w:r>
        <w:tab/>
        <w:t>conventional)</w:t>
      </w:r>
    </w:p>
  </w:footnote>
  <w:footnote w:id="142">
    <w:p w:rsidR="00333A1A" w:rsidRDefault="003D29C9">
      <w:pPr>
        <w:pStyle w:val="FootnoteText"/>
        <w:tabs>
          <w:tab w:val="left" w:pos="142"/>
        </w:tabs>
        <w:ind w:left="142" w:hanging="142"/>
        <w:jc w:val="both"/>
      </w:pPr>
      <w:r>
        <w:rPr>
          <w:rStyle w:val="FootnoteReference"/>
        </w:rPr>
        <w:footnoteRef/>
      </w:r>
      <w:r>
        <w:tab/>
        <w:t>-"</w:t>
      </w:r>
      <w:r>
        <w:rPr>
          <w:i/>
        </w:rPr>
        <w:t>At the level of the CAP, I</w:t>
      </w:r>
      <w:r>
        <w:rPr>
          <w:i/>
        </w:rPr>
        <w:t xml:space="preserve"> took part in a voluntary measure for reducing inputs</w:t>
      </w:r>
      <w:r>
        <w:t>" (FR-green)</w:t>
      </w:r>
    </w:p>
    <w:p w:rsidR="00333A1A" w:rsidRDefault="003D29C9">
      <w:pPr>
        <w:pStyle w:val="FootnoteText"/>
        <w:tabs>
          <w:tab w:val="left" w:pos="142"/>
        </w:tabs>
        <w:ind w:left="142" w:hanging="142"/>
        <w:jc w:val="both"/>
        <w:rPr>
          <w:i/>
        </w:rPr>
      </w:pPr>
      <w:r>
        <w:tab/>
      </w:r>
      <w:r>
        <w:tab/>
        <w:t>- "</w:t>
      </w:r>
      <w:r>
        <w:rPr>
          <w:i/>
        </w:rPr>
        <w:t xml:space="preserve">The subventions for modernising machinery… A machine that spouts… that's not the same as a new one. </w:t>
      </w:r>
      <w:r>
        <w:rPr>
          <w:i/>
        </w:rPr>
        <w:tab/>
      </w:r>
      <w:r>
        <w:t>(ES-green)</w:t>
      </w:r>
    </w:p>
    <w:p w:rsidR="00333A1A" w:rsidRDefault="003D29C9">
      <w:pPr>
        <w:pStyle w:val="FootnoteText"/>
        <w:tabs>
          <w:tab w:val="left" w:pos="142"/>
        </w:tabs>
        <w:ind w:left="142" w:hanging="142"/>
        <w:jc w:val="both"/>
      </w:pPr>
      <w:r>
        <w:rPr>
          <w:i/>
        </w:rPr>
        <w:tab/>
      </w:r>
      <w:r>
        <w:rPr>
          <w:i/>
        </w:rPr>
        <w:tab/>
        <w:t xml:space="preserve">- </w:t>
      </w:r>
      <w:r>
        <w:t>"</w:t>
      </w:r>
      <w:r>
        <w:rPr>
          <w:i/>
        </w:rPr>
        <w:t>I think they also gave some subsidies for investing in machinery, li</w:t>
      </w:r>
      <w:r>
        <w:rPr>
          <w:i/>
        </w:rPr>
        <w:t>ke anti-drifting ducts, things like that"</w:t>
      </w:r>
      <w:r>
        <w:t xml:space="preserve">. </w:t>
      </w:r>
      <w:r>
        <w:tab/>
        <w:t>(FR-green)</w:t>
      </w:r>
    </w:p>
  </w:footnote>
  <w:footnote w:id="143">
    <w:p w:rsidR="00333A1A" w:rsidRDefault="003D29C9">
      <w:pPr>
        <w:pStyle w:val="FootnoteText"/>
        <w:tabs>
          <w:tab w:val="left" w:pos="142"/>
        </w:tabs>
        <w:jc w:val="both"/>
      </w:pPr>
      <w:r>
        <w:rPr>
          <w:rStyle w:val="FootnoteReference"/>
        </w:rPr>
        <w:footnoteRef/>
      </w:r>
      <w:r>
        <w:tab/>
        <w:t>- "</w:t>
      </w:r>
      <w:r>
        <w:rPr>
          <w:i/>
        </w:rPr>
        <w:t>Our cooperative has a woman responsible for certification, who brings us rigorous instruction guides so that we get more money for these products that we sell with that certification. It incentivi</w:t>
      </w:r>
      <w:r>
        <w:rPr>
          <w:i/>
        </w:rPr>
        <w:t>ses us to keep producing in the field.</w:t>
      </w:r>
      <w:r>
        <w:t>" (ES-green)</w:t>
      </w:r>
    </w:p>
  </w:footnote>
  <w:footnote w:id="144">
    <w:p w:rsidR="00333A1A" w:rsidRDefault="003D29C9">
      <w:pPr>
        <w:pStyle w:val="FootnoteText"/>
        <w:tabs>
          <w:tab w:val="left" w:pos="142"/>
        </w:tabs>
        <w:jc w:val="both"/>
      </w:pPr>
      <w:r>
        <w:rPr>
          <w:rStyle w:val="FootnoteReference"/>
        </w:rPr>
        <w:footnoteRef/>
      </w:r>
      <w:r>
        <w:tab/>
        <w:t xml:space="preserve">- </w:t>
      </w:r>
      <w:r>
        <w:rPr>
          <w:i/>
        </w:rPr>
        <w:t>"Imagine this – in the store, the consumer can choose between a fat, juicy, non-organic turkey, or a smaller, skinnier and more expensive organic one... Obviously we’ll all buy the fat and good-looking</w:t>
      </w:r>
      <w:r>
        <w:rPr>
          <w:i/>
        </w:rPr>
        <w:t xml:space="preserve"> one."</w:t>
      </w:r>
      <w:r>
        <w:t xml:space="preserve"> (PL-conventional)</w:t>
      </w:r>
    </w:p>
  </w:footnote>
  <w:footnote w:id="145">
    <w:p w:rsidR="00333A1A" w:rsidRDefault="003D29C9">
      <w:pPr>
        <w:pStyle w:val="FootnoteText"/>
        <w:tabs>
          <w:tab w:val="left" w:pos="142"/>
        </w:tabs>
        <w:jc w:val="both"/>
      </w:pPr>
      <w:r>
        <w:rPr>
          <w:rStyle w:val="FootnoteReference"/>
        </w:rPr>
        <w:footnoteRef/>
      </w:r>
      <w:r>
        <w:tab/>
        <w:t>- "</w:t>
      </w:r>
      <w:r>
        <w:rPr>
          <w:i/>
        </w:rPr>
        <w:t xml:space="preserve">They should organize training events or meetings in the villages. But I’d like more training seminars." </w:t>
      </w:r>
      <w:r>
        <w:t>(PL-green)</w:t>
      </w:r>
    </w:p>
    <w:p w:rsidR="00333A1A" w:rsidRDefault="003D29C9">
      <w:pPr>
        <w:pStyle w:val="FootnoteText"/>
        <w:tabs>
          <w:tab w:val="left" w:pos="142"/>
        </w:tabs>
        <w:jc w:val="both"/>
      </w:pPr>
      <w:r>
        <w:tab/>
      </w:r>
      <w:r>
        <w:tab/>
      </w:r>
      <w:r>
        <w:rPr>
          <w:i/>
        </w:rPr>
        <w:t xml:space="preserve">- </w:t>
      </w:r>
      <w:r>
        <w:t>"</w:t>
      </w:r>
      <w:r>
        <w:rPr>
          <w:i/>
        </w:rPr>
        <w:t>Making you more conscious through trainings… To sensitize you. You think you're doing something good but y</w:t>
      </w:r>
      <w:r>
        <w:rPr>
          <w:i/>
        </w:rPr>
        <w:t>ou're doing it wrong. We don't hold the ultimate truth...</w:t>
      </w:r>
      <w:r>
        <w:t>"</w:t>
      </w:r>
      <w:r>
        <w:rPr>
          <w:i/>
        </w:rPr>
        <w:t xml:space="preserve"> </w:t>
      </w:r>
      <w:r>
        <w:t>(ES-conventional)</w:t>
      </w:r>
    </w:p>
  </w:footnote>
  <w:footnote w:id="146">
    <w:p w:rsidR="00333A1A" w:rsidRDefault="003D29C9">
      <w:pPr>
        <w:pStyle w:val="FootnoteText"/>
        <w:tabs>
          <w:tab w:val="left" w:pos="142"/>
        </w:tabs>
        <w:jc w:val="both"/>
      </w:pPr>
      <w:r>
        <w:rPr>
          <w:rStyle w:val="FootnoteReference"/>
        </w:rPr>
        <w:footnoteRef/>
      </w:r>
      <w:r>
        <w:tab/>
        <w:t xml:space="preserve">- </w:t>
      </w:r>
      <w:r>
        <w:rPr>
          <w:i/>
        </w:rPr>
        <w:t xml:space="preserve">It’s normal that violating the law leads to fines." </w:t>
      </w:r>
      <w:r>
        <w:t>(PL-green)</w:t>
      </w:r>
    </w:p>
    <w:p w:rsidR="00333A1A" w:rsidRDefault="003D29C9">
      <w:pPr>
        <w:pStyle w:val="FootnoteText"/>
        <w:tabs>
          <w:tab w:val="left" w:pos="142"/>
        </w:tabs>
        <w:jc w:val="both"/>
      </w:pPr>
      <w:r>
        <w:tab/>
      </w:r>
      <w:r>
        <w:tab/>
        <w:t xml:space="preserve">- </w:t>
      </w:r>
      <w:r>
        <w:rPr>
          <w:i/>
        </w:rPr>
        <w:t xml:space="preserve">"It's not the same to make a light mistake toward the environment, which isn't very serious… What's serious </w:t>
      </w:r>
      <w:r>
        <w:rPr>
          <w:i/>
        </w:rPr>
        <w:t>needs to be punished. What's light can't be punished… You can just end up not receiving a subsidy</w:t>
      </w:r>
      <w:r>
        <w:t>" (ES-green)</w:t>
      </w:r>
    </w:p>
    <w:p w:rsidR="00333A1A" w:rsidRDefault="003D29C9">
      <w:pPr>
        <w:pStyle w:val="FootnoteText"/>
        <w:tabs>
          <w:tab w:val="left" w:pos="142"/>
        </w:tabs>
        <w:jc w:val="both"/>
      </w:pPr>
      <w:r>
        <w:tab/>
      </w:r>
      <w:r>
        <w:tab/>
        <w:t>-</w:t>
      </w:r>
      <w:r>
        <w:rPr>
          <w:i/>
        </w:rPr>
        <w:t xml:space="preserve"> </w:t>
      </w:r>
      <w:r>
        <w:t>"</w:t>
      </w:r>
      <w:r>
        <w:rPr>
          <w:i/>
          <w:szCs w:val="24"/>
          <w:lang w:val="en-US"/>
        </w:rPr>
        <w:t>Because some farmers say “No, because no!”. Some will never change their minds and you need to fine them</w:t>
      </w:r>
      <w:r>
        <w:rPr>
          <w:szCs w:val="24"/>
          <w:lang w:val="en-US"/>
        </w:rPr>
        <w:t>" (PL-green)</w:t>
      </w:r>
    </w:p>
  </w:footnote>
  <w:footnote w:id="147">
    <w:p w:rsidR="00333A1A" w:rsidRDefault="003D29C9">
      <w:pPr>
        <w:pStyle w:val="FootnoteText"/>
        <w:tabs>
          <w:tab w:val="left" w:pos="142"/>
        </w:tabs>
        <w:jc w:val="both"/>
      </w:pPr>
      <w:r>
        <w:rPr>
          <w:rStyle w:val="FootnoteReference"/>
        </w:rPr>
        <w:footnoteRef/>
      </w:r>
      <w:r>
        <w:tab/>
        <w:t>- "</w:t>
      </w:r>
      <w:r>
        <w:rPr>
          <w:i/>
        </w:rPr>
        <w:t>Yes, it’s the stick</w:t>
      </w:r>
      <w:r>
        <w:rPr>
          <w:i/>
        </w:rPr>
        <w:t xml:space="preserve"> and carrot method. But the stick shouldn’t be too big</w:t>
      </w:r>
      <w:r>
        <w:t>." (PL-green)</w:t>
      </w:r>
    </w:p>
    <w:p w:rsidR="00333A1A" w:rsidRDefault="003D29C9">
      <w:pPr>
        <w:pStyle w:val="FootnoteText"/>
        <w:tabs>
          <w:tab w:val="left" w:pos="142"/>
        </w:tabs>
        <w:jc w:val="both"/>
      </w:pPr>
      <w:r>
        <w:tab/>
      </w:r>
      <w:r>
        <w:tab/>
        <w:t>- "</w:t>
      </w:r>
      <w:r>
        <w:rPr>
          <w:i/>
        </w:rPr>
        <w:t>Rewards are better, they're more encouraging</w:t>
      </w:r>
      <w:r>
        <w:t xml:space="preserve">" </w:t>
      </w:r>
      <w:r>
        <w:rPr>
          <w:i/>
        </w:rPr>
        <w:t>"We need something more constructive where we evolve, we need to move forward"</w:t>
      </w:r>
      <w:r>
        <w:t xml:space="preserve"> (FR-conventional)</w:t>
      </w:r>
    </w:p>
    <w:p w:rsidR="00333A1A" w:rsidRDefault="003D29C9">
      <w:pPr>
        <w:pStyle w:val="FootnoteText"/>
        <w:tabs>
          <w:tab w:val="left" w:pos="142"/>
        </w:tabs>
        <w:jc w:val="both"/>
        <w:rPr>
          <w:i/>
        </w:rPr>
      </w:pPr>
      <w:r>
        <w:tab/>
      </w:r>
      <w:r>
        <w:tab/>
        <w:t>- "</w:t>
      </w:r>
      <w:r>
        <w:rPr>
          <w:i/>
        </w:rPr>
        <w:t>Nobody likes to be imposed things o</w:t>
      </w:r>
      <w:r>
        <w:rPr>
          <w:i/>
        </w:rPr>
        <w:t>n them and penalized."</w:t>
      </w:r>
      <w:r>
        <w:t xml:space="preserve"> (PL-green)</w:t>
      </w:r>
    </w:p>
  </w:footnote>
  <w:footnote w:id="148">
    <w:p w:rsidR="00333A1A" w:rsidRDefault="003D29C9">
      <w:pPr>
        <w:pStyle w:val="FootnoteText"/>
        <w:tabs>
          <w:tab w:val="left" w:pos="142"/>
        </w:tabs>
        <w:jc w:val="both"/>
      </w:pPr>
      <w:r>
        <w:rPr>
          <w:rStyle w:val="FootnoteReference"/>
        </w:rPr>
        <w:footnoteRef/>
      </w:r>
      <w:r>
        <w:tab/>
        <w:t>- "</w:t>
      </w:r>
      <w:r>
        <w:rPr>
          <w:i/>
        </w:rPr>
        <w:t>It's a fine, just like for any person that gets controlled driving too fast"</w:t>
      </w:r>
      <w:r>
        <w:t xml:space="preserve"> (ES-conventional)</w:t>
      </w:r>
    </w:p>
  </w:footnote>
  <w:footnote w:id="149">
    <w:p w:rsidR="00333A1A" w:rsidRDefault="003D29C9">
      <w:pPr>
        <w:pStyle w:val="FootnoteText"/>
        <w:tabs>
          <w:tab w:val="left" w:pos="142"/>
        </w:tabs>
        <w:jc w:val="both"/>
      </w:pPr>
      <w:r>
        <w:rPr>
          <w:rStyle w:val="FootnoteReference"/>
        </w:rPr>
        <w:footnoteRef/>
      </w:r>
      <w:r>
        <w:tab/>
        <w:t>- "</w:t>
      </w:r>
      <w:r>
        <w:rPr>
          <w:i/>
        </w:rPr>
        <w:t>You don't get a bonus because you drive at 90 km/h all year long</w:t>
      </w:r>
      <w:r>
        <w:t>" (FR-green)</w:t>
      </w:r>
    </w:p>
  </w:footnote>
  <w:footnote w:id="150">
    <w:p w:rsidR="00333A1A" w:rsidRDefault="003D29C9">
      <w:pPr>
        <w:pStyle w:val="FootnoteText"/>
        <w:tabs>
          <w:tab w:val="left" w:pos="142"/>
        </w:tabs>
        <w:jc w:val="both"/>
      </w:pPr>
      <w:r>
        <w:rPr>
          <w:rStyle w:val="FootnoteReference"/>
        </w:rPr>
        <w:footnoteRef/>
      </w:r>
      <w:r>
        <w:tab/>
        <w:t>- "</w:t>
      </w:r>
      <w:r>
        <w:rPr>
          <w:i/>
        </w:rPr>
        <w:t>It's a way to make sure that people</w:t>
      </w:r>
      <w:r>
        <w:rPr>
          <w:i/>
        </w:rPr>
        <w:t xml:space="preserve"> just don't do want they fancy" </w:t>
      </w:r>
      <w:r>
        <w:t>(ES-green)</w:t>
      </w:r>
    </w:p>
    <w:p w:rsidR="00333A1A" w:rsidRDefault="003D29C9">
      <w:pPr>
        <w:pStyle w:val="FootnoteText"/>
        <w:tabs>
          <w:tab w:val="left" w:pos="142"/>
        </w:tabs>
        <w:jc w:val="both"/>
      </w:pPr>
      <w:r>
        <w:tab/>
      </w:r>
      <w:r>
        <w:tab/>
        <w:t xml:space="preserve">- </w:t>
      </w:r>
      <w:r>
        <w:rPr>
          <w:i/>
        </w:rPr>
        <w:t>"It's a good thing... If everyone did whatever they liked, if there were no rules, … things wouldn't work"</w:t>
      </w:r>
      <w:r>
        <w:t xml:space="preserve"> (FR-conventional)</w:t>
      </w:r>
    </w:p>
  </w:footnote>
  <w:footnote w:id="151">
    <w:p w:rsidR="00333A1A" w:rsidRDefault="003D29C9">
      <w:pPr>
        <w:pStyle w:val="FootnoteText"/>
        <w:tabs>
          <w:tab w:val="left" w:pos="142"/>
        </w:tabs>
        <w:jc w:val="both"/>
      </w:pPr>
      <w:r>
        <w:rPr>
          <w:rStyle w:val="FootnoteReference"/>
        </w:rPr>
        <w:footnoteRef/>
      </w:r>
      <w:r>
        <w:tab/>
        <w:t>- "</w:t>
      </w:r>
      <w:r>
        <w:rPr>
          <w:i/>
        </w:rPr>
        <w:t xml:space="preserve">For instance, the one that makes some really foolish things, like 'I spray, I don't care about the river nearby'. OK, that's directly harming, he needs to be directly punished" </w:t>
      </w:r>
      <w:r>
        <w:t>(FR-green)</w:t>
      </w:r>
    </w:p>
  </w:footnote>
  <w:footnote w:id="152">
    <w:p w:rsidR="00333A1A" w:rsidRDefault="003D29C9">
      <w:pPr>
        <w:pStyle w:val="FootnoteText"/>
        <w:tabs>
          <w:tab w:val="left" w:pos="142"/>
        </w:tabs>
        <w:jc w:val="both"/>
      </w:pPr>
      <w:r>
        <w:rPr>
          <w:rStyle w:val="FootnoteReference"/>
        </w:rPr>
        <w:footnoteRef/>
      </w:r>
      <w:r>
        <w:tab/>
        <w:t>- "</w:t>
      </w:r>
      <w:r>
        <w:rPr>
          <w:i/>
        </w:rPr>
        <w:t>It's still a 'common' agricultural policy so, it's quite funny.</w:t>
      </w:r>
      <w:r>
        <w:rPr>
          <w:i/>
        </w:rPr>
        <w:t xml:space="preserve">.. Either we close borders […] or we put the same rule for everyone" </w:t>
      </w:r>
      <w:r>
        <w:t>(FR-green)</w:t>
      </w:r>
    </w:p>
    <w:p w:rsidR="00333A1A" w:rsidRDefault="003D29C9">
      <w:pPr>
        <w:pStyle w:val="FootnoteText"/>
        <w:tabs>
          <w:tab w:val="left" w:pos="142"/>
        </w:tabs>
        <w:jc w:val="both"/>
      </w:pPr>
      <w:r>
        <w:tab/>
      </w:r>
      <w:r>
        <w:tab/>
        <w:t>- "</w:t>
      </w:r>
      <w:r>
        <w:rPr>
          <w:i/>
        </w:rPr>
        <w:t xml:space="preserve">People accept eating sprayed Spanish products… </w:t>
      </w:r>
      <w:r>
        <w:t>[…]</w:t>
      </w:r>
      <w:r>
        <w:rPr>
          <w:i/>
        </w:rPr>
        <w:t xml:space="preserve"> But at the same time they keep controlling us</w:t>
      </w:r>
      <w:r>
        <w:t>"</w:t>
      </w:r>
      <w:r>
        <w:rPr>
          <w:i/>
        </w:rPr>
        <w:t xml:space="preserve"> </w:t>
      </w:r>
      <w:r>
        <w:t>(FR-green)</w:t>
      </w:r>
    </w:p>
    <w:p w:rsidR="00333A1A" w:rsidRDefault="003D29C9">
      <w:pPr>
        <w:pStyle w:val="FootnoteText"/>
        <w:tabs>
          <w:tab w:val="left" w:pos="142"/>
        </w:tabs>
        <w:jc w:val="both"/>
      </w:pPr>
      <w:r>
        <w:tab/>
      </w:r>
      <w:r>
        <w:tab/>
        <w:t>- "</w:t>
      </w:r>
      <w:r>
        <w:rPr>
          <w:i/>
        </w:rPr>
        <w:t>Each country tries to protect its farmers as much as poss</w:t>
      </w:r>
      <w:r>
        <w:rPr>
          <w:i/>
        </w:rPr>
        <w:t>ible… Not ours…</w:t>
      </w:r>
      <w:r>
        <w:t>" (FR-conventional)</w:t>
      </w:r>
    </w:p>
  </w:footnote>
  <w:footnote w:id="153">
    <w:p w:rsidR="00333A1A" w:rsidRDefault="003D29C9">
      <w:pPr>
        <w:pStyle w:val="FootnoteText"/>
        <w:tabs>
          <w:tab w:val="left" w:pos="142"/>
        </w:tabs>
        <w:jc w:val="both"/>
      </w:pPr>
      <w:r>
        <w:rPr>
          <w:rStyle w:val="FootnoteReference"/>
        </w:rPr>
        <w:footnoteRef/>
      </w:r>
      <w:r>
        <w:tab/>
        <w:t>- "</w:t>
      </w:r>
      <w:r>
        <w:rPr>
          <w:i/>
        </w:rPr>
        <w:t>I think these regulations do work. For example, I’m not going to be burning out my fallows anymore. That’s because I’m afraid the neighbour will report me. Then I will lose my direct payments.</w:t>
      </w:r>
      <w:r>
        <w:t>" (PL-green)</w:t>
      </w:r>
    </w:p>
  </w:footnote>
  <w:footnote w:id="154">
    <w:p w:rsidR="00333A1A" w:rsidRDefault="003D29C9">
      <w:pPr>
        <w:pStyle w:val="FootnoteText"/>
        <w:tabs>
          <w:tab w:val="left" w:pos="142"/>
        </w:tabs>
        <w:jc w:val="both"/>
      </w:pPr>
      <w:r>
        <w:rPr>
          <w:rStyle w:val="FootnoteReference"/>
        </w:rPr>
        <w:footnoteRef/>
      </w:r>
      <w:r>
        <w:tab/>
        <w:t>-"</w:t>
      </w:r>
      <w:r>
        <w:rPr>
          <w:i/>
        </w:rPr>
        <w:t>You can</w:t>
      </w:r>
      <w:r>
        <w:rPr>
          <w:i/>
        </w:rPr>
        <w:t xml:space="preserve"> choose to do it or not</w:t>
      </w:r>
      <w:r>
        <w:t xml:space="preserve">" - </w:t>
      </w:r>
      <w:r>
        <w:rPr>
          <w:szCs w:val="24"/>
        </w:rPr>
        <w:t>"</w:t>
      </w:r>
      <w:r>
        <w:rPr>
          <w:i/>
          <w:szCs w:val="24"/>
        </w:rPr>
        <w:t>They make it sound like it's voluntary, but they oblige you, in a way</w:t>
      </w:r>
      <w:r>
        <w:rPr>
          <w:szCs w:val="24"/>
        </w:rPr>
        <w:t>"</w:t>
      </w:r>
      <w:r>
        <w:t xml:space="preserve"> (ES-conventional)</w:t>
      </w:r>
    </w:p>
    <w:p w:rsidR="00333A1A" w:rsidRDefault="003D29C9">
      <w:pPr>
        <w:pStyle w:val="FootnoteText"/>
        <w:tabs>
          <w:tab w:val="left" w:pos="142"/>
        </w:tabs>
        <w:jc w:val="both"/>
        <w:rPr>
          <w:b/>
        </w:rPr>
      </w:pPr>
      <w:r>
        <w:tab/>
      </w:r>
      <w:r>
        <w:tab/>
        <w:t>-"</w:t>
      </w:r>
      <w:r>
        <w:rPr>
          <w:i/>
          <w:szCs w:val="24"/>
        </w:rPr>
        <w:t>Greening is for all farmers who comply with the requirements… These requirements… they're voluntary"</w:t>
      </w:r>
      <w:r>
        <w:rPr>
          <w:szCs w:val="24"/>
        </w:rPr>
        <w:t xml:space="preserve"> (ES-green)</w:t>
      </w:r>
    </w:p>
    <w:p w:rsidR="00333A1A" w:rsidRDefault="003D29C9">
      <w:pPr>
        <w:pStyle w:val="FootnoteText"/>
        <w:tabs>
          <w:tab w:val="left" w:pos="142"/>
        </w:tabs>
        <w:jc w:val="both"/>
      </w:pPr>
      <w:r>
        <w:tab/>
      </w:r>
      <w:r>
        <w:tab/>
        <w:t>-"</w:t>
      </w:r>
      <w:r>
        <w:rPr>
          <w:i/>
        </w:rPr>
        <w:t xml:space="preserve">No, greening isn't voluntary. Within your CAP payments, you're obliged to have a certain surface" </w:t>
      </w:r>
      <w:r>
        <w:t>(FR-green)</w:t>
      </w:r>
    </w:p>
    <w:p w:rsidR="00333A1A" w:rsidRDefault="003D29C9">
      <w:pPr>
        <w:pStyle w:val="FootnoteText"/>
        <w:tabs>
          <w:tab w:val="left" w:pos="142"/>
        </w:tabs>
        <w:jc w:val="both"/>
        <w:rPr>
          <w:szCs w:val="24"/>
        </w:rPr>
      </w:pPr>
      <w:r>
        <w:tab/>
      </w:r>
      <w:r>
        <w:tab/>
        <w:t>- "</w:t>
      </w:r>
      <w:r>
        <w:rPr>
          <w:i/>
          <w:szCs w:val="24"/>
          <w:lang w:val="en-US"/>
        </w:rPr>
        <w:t xml:space="preserve">If I do not satisfy the greening criterion, they pay me less… I don’t want to, but I have to. </w:t>
      </w:r>
      <w:r>
        <w:rPr>
          <w:i/>
          <w:szCs w:val="24"/>
        </w:rPr>
        <w:t>So I am forced anyway</w:t>
      </w:r>
      <w:r>
        <w:rPr>
          <w:szCs w:val="24"/>
        </w:rPr>
        <w:t>" (PL-green)</w:t>
      </w:r>
    </w:p>
  </w:footnote>
  <w:footnote w:id="155">
    <w:p w:rsidR="00333A1A" w:rsidRDefault="003D29C9">
      <w:pPr>
        <w:pStyle w:val="FootnoteText"/>
        <w:tabs>
          <w:tab w:val="left" w:pos="142"/>
        </w:tabs>
        <w:jc w:val="both"/>
      </w:pPr>
      <w:r>
        <w:rPr>
          <w:rStyle w:val="FootnoteReference"/>
        </w:rPr>
        <w:footnoteRef/>
      </w:r>
      <w:r>
        <w:tab/>
        <w:t>- "</w:t>
      </w:r>
      <w:r>
        <w:rPr>
          <w:i/>
        </w:rPr>
        <w:t>In both c</w:t>
      </w:r>
      <w:r>
        <w:rPr>
          <w:i/>
        </w:rPr>
        <w:t>ases, it's a sword of Damocles"</w:t>
      </w:r>
      <w:r>
        <w:t xml:space="preserve"> (FR-green)</w:t>
      </w:r>
    </w:p>
    <w:p w:rsidR="00333A1A" w:rsidRDefault="003D29C9">
      <w:pPr>
        <w:pStyle w:val="FootnoteText"/>
        <w:tabs>
          <w:tab w:val="left" w:pos="142"/>
        </w:tabs>
        <w:jc w:val="both"/>
      </w:pPr>
      <w:r>
        <w:tab/>
      </w:r>
      <w:r>
        <w:tab/>
        <w:t xml:space="preserve">- </w:t>
      </w:r>
      <w:r>
        <w:rPr>
          <w:i/>
        </w:rPr>
        <w:t xml:space="preserve">"The lightest sanction is death penalty" </w:t>
      </w:r>
      <w:r>
        <w:t>(ES-conventional)</w:t>
      </w:r>
    </w:p>
    <w:p w:rsidR="00333A1A" w:rsidRDefault="003D29C9">
      <w:pPr>
        <w:pStyle w:val="FootnoteText"/>
        <w:tabs>
          <w:tab w:val="left" w:pos="142"/>
        </w:tabs>
        <w:jc w:val="both"/>
      </w:pPr>
      <w:r>
        <w:tab/>
      </w:r>
      <w:r>
        <w:tab/>
        <w:t xml:space="preserve">- </w:t>
      </w:r>
      <w:r>
        <w:rPr>
          <w:i/>
        </w:rPr>
        <w:t>"Also, there is this whip over me – if I don’t do these things, I’ll get less money"</w:t>
      </w:r>
      <w:r>
        <w:t xml:space="preserve"> (PL-green)</w:t>
      </w:r>
    </w:p>
  </w:footnote>
  <w:footnote w:id="156">
    <w:p w:rsidR="00333A1A" w:rsidRDefault="003D29C9">
      <w:pPr>
        <w:pStyle w:val="FootnoteText"/>
        <w:tabs>
          <w:tab w:val="left" w:pos="142"/>
        </w:tabs>
        <w:jc w:val="both"/>
      </w:pPr>
      <w:r>
        <w:rPr>
          <w:rStyle w:val="FootnoteReference"/>
        </w:rPr>
        <w:footnoteRef/>
      </w:r>
      <w:r>
        <w:tab/>
        <w:t>- "</w:t>
      </w:r>
      <w:r>
        <w:rPr>
          <w:i/>
        </w:rPr>
        <w:t>It's the carrot"</w:t>
      </w:r>
      <w:r>
        <w:t xml:space="preserve"> - "</w:t>
      </w:r>
      <w:r>
        <w:rPr>
          <w:i/>
        </w:rPr>
        <w:t>It's a due</w:t>
      </w:r>
      <w:r>
        <w:t xml:space="preserve">" </w:t>
      </w:r>
      <w:r>
        <w:rPr>
          <w:i/>
        </w:rPr>
        <w:t xml:space="preserve"> </w:t>
      </w:r>
      <w:r>
        <w:t>(FR-conventi</w:t>
      </w:r>
      <w:r>
        <w:t>onal)</w:t>
      </w:r>
    </w:p>
    <w:p w:rsidR="00333A1A" w:rsidRDefault="003D29C9">
      <w:pPr>
        <w:pStyle w:val="FootnoteText"/>
        <w:tabs>
          <w:tab w:val="left" w:pos="142"/>
        </w:tabs>
        <w:jc w:val="both"/>
      </w:pPr>
      <w:r>
        <w:tab/>
      </w:r>
      <w:r>
        <w:tab/>
        <w:t>- "</w:t>
      </w:r>
      <w:r>
        <w:rPr>
          <w:i/>
        </w:rPr>
        <w:t>Greening is complementing that basic payment</w:t>
      </w:r>
      <w:r>
        <w:t>" "</w:t>
      </w:r>
      <w:r>
        <w:rPr>
          <w:i/>
        </w:rPr>
        <w:t>If you comply with that thing which is more ecological, then we'll reward you… Politically, that's how it's conceived.</w:t>
      </w:r>
      <w:r>
        <w:t>" (ES-green)</w:t>
      </w:r>
    </w:p>
    <w:p w:rsidR="00333A1A" w:rsidRDefault="003D29C9">
      <w:pPr>
        <w:pStyle w:val="FootnoteText"/>
        <w:tabs>
          <w:tab w:val="left" w:pos="142"/>
        </w:tabs>
        <w:jc w:val="both"/>
      </w:pPr>
      <w:r>
        <w:tab/>
      </w:r>
      <w:r>
        <w:tab/>
        <w:t>- "</w:t>
      </w:r>
      <w:r>
        <w:rPr>
          <w:i/>
        </w:rPr>
        <w:t xml:space="preserve">Greening, that's a premium" </w:t>
      </w:r>
      <w:r>
        <w:t>(FR-green)</w:t>
      </w:r>
    </w:p>
    <w:p w:rsidR="00333A1A" w:rsidRDefault="003D29C9">
      <w:pPr>
        <w:pStyle w:val="FootnoteText"/>
        <w:tabs>
          <w:tab w:val="left" w:pos="142"/>
        </w:tabs>
        <w:jc w:val="both"/>
      </w:pPr>
      <w:r>
        <w:tab/>
      </w:r>
      <w:r>
        <w:tab/>
        <w:t>- "</w:t>
      </w:r>
      <w:r>
        <w:rPr>
          <w:i/>
        </w:rPr>
        <w:t>In order to receiv</w:t>
      </w:r>
      <w:r>
        <w:rPr>
          <w:i/>
        </w:rPr>
        <w:t>e compensation… I mean this payment is no payment, it’s actually a compensation</w:t>
      </w:r>
      <w:r>
        <w:t>"</w:t>
      </w:r>
      <w:r>
        <w:rPr>
          <w:i/>
        </w:rPr>
        <w:t xml:space="preserve"> </w:t>
      </w:r>
      <w:r>
        <w:t>(PL-green)</w:t>
      </w:r>
      <w:r>
        <w:rPr>
          <w:i/>
        </w:rPr>
        <w:t xml:space="preserve"> </w:t>
      </w:r>
    </w:p>
  </w:footnote>
  <w:footnote w:id="157">
    <w:p w:rsidR="00333A1A" w:rsidRDefault="003D29C9">
      <w:pPr>
        <w:pStyle w:val="FootnoteText"/>
        <w:tabs>
          <w:tab w:val="left" w:pos="142"/>
        </w:tabs>
        <w:jc w:val="both"/>
      </w:pPr>
      <w:r>
        <w:rPr>
          <w:rStyle w:val="FootnoteReference"/>
        </w:rPr>
        <w:footnoteRef/>
      </w:r>
      <w:r>
        <w:tab/>
        <w:t xml:space="preserve">- </w:t>
      </w:r>
      <w:r>
        <w:rPr>
          <w:i/>
        </w:rPr>
        <w:t xml:space="preserve">"I like to keep this oasis, with woodpeckers, squirrels, weasels, foxes… if you keep a piece of land not farmed you see all these animals. Hedgehogs! It’s </w:t>
      </w:r>
      <w:r>
        <w:rPr>
          <w:i/>
        </w:rPr>
        <w:t>incredible to see a hedgehog in a natural habitat.</w:t>
      </w:r>
      <w:r>
        <w:t>"</w:t>
      </w:r>
      <w:r>
        <w:rPr>
          <w:i/>
        </w:rPr>
        <w:t xml:space="preserve"> </w:t>
      </w:r>
      <w:r>
        <w:t>(PL-green)</w:t>
      </w:r>
    </w:p>
    <w:p w:rsidR="00333A1A" w:rsidRDefault="003D29C9">
      <w:pPr>
        <w:pStyle w:val="FootnoteText"/>
        <w:tabs>
          <w:tab w:val="left" w:pos="142"/>
        </w:tabs>
        <w:jc w:val="both"/>
      </w:pPr>
      <w:r>
        <w:tab/>
      </w:r>
      <w:r>
        <w:tab/>
        <w:t xml:space="preserve">- </w:t>
      </w:r>
      <w:r>
        <w:rPr>
          <w:i/>
        </w:rPr>
        <w:t xml:space="preserve">"When you keep these grasslands, there are birds' nests there, in places they enjoy. Like lapwings" </w:t>
      </w:r>
      <w:r>
        <w:t>(PL-conventional)</w:t>
      </w:r>
    </w:p>
  </w:footnote>
  <w:footnote w:id="158">
    <w:p w:rsidR="00333A1A" w:rsidRDefault="003D29C9">
      <w:pPr>
        <w:pStyle w:val="FootnoteText"/>
        <w:tabs>
          <w:tab w:val="left" w:pos="142"/>
        </w:tabs>
        <w:jc w:val="both"/>
      </w:pPr>
      <w:r>
        <w:rPr>
          <w:rStyle w:val="FootnoteReference"/>
        </w:rPr>
        <w:footnoteRef/>
      </w:r>
      <w:r>
        <w:tab/>
        <w:t xml:space="preserve">- </w:t>
      </w:r>
      <w:r>
        <w:rPr>
          <w:i/>
        </w:rPr>
        <w:t>"The catch crops just improve the soil. It’s done for crop rotation</w:t>
      </w:r>
      <w:r>
        <w:rPr>
          <w:i/>
        </w:rPr>
        <w:t>, to avoid just growing one cereal in a place"</w:t>
      </w:r>
      <w:r>
        <w:t xml:space="preserve"> - </w:t>
      </w:r>
      <w:r>
        <w:rPr>
          <w:i/>
        </w:rPr>
        <w:t>"</w:t>
      </w:r>
      <w:r>
        <w:rPr>
          <w:i/>
          <w:szCs w:val="24"/>
          <w:lang w:val="en-US"/>
        </w:rPr>
        <w:t xml:space="preserve">If you have mustard or some legumes growing once in a while, the fungus doesn’t develop that quickly." </w:t>
      </w:r>
      <w:r>
        <w:t>(PL-conventional)</w:t>
      </w:r>
    </w:p>
    <w:p w:rsidR="00333A1A" w:rsidRDefault="003D29C9">
      <w:pPr>
        <w:pStyle w:val="FootnoteText"/>
        <w:tabs>
          <w:tab w:val="left" w:pos="142"/>
        </w:tabs>
        <w:jc w:val="both"/>
      </w:pPr>
      <w:r>
        <w:tab/>
      </w:r>
      <w:r>
        <w:tab/>
        <w:t>- "</w:t>
      </w:r>
      <w:r>
        <w:rPr>
          <w:i/>
        </w:rPr>
        <w:t>Greening is beneficial for everyone… For the soils, for us, for France's health"</w:t>
      </w:r>
      <w:r>
        <w:rPr>
          <w:i/>
        </w:rPr>
        <w:t xml:space="preserve"> </w:t>
      </w:r>
      <w:r>
        <w:t>(FR-green)</w:t>
      </w:r>
    </w:p>
  </w:footnote>
  <w:footnote w:id="159">
    <w:p w:rsidR="00333A1A" w:rsidRDefault="003D29C9">
      <w:pPr>
        <w:pStyle w:val="FootnoteText"/>
        <w:tabs>
          <w:tab w:val="left" w:pos="142"/>
        </w:tabs>
        <w:ind w:left="357" w:hanging="357"/>
        <w:jc w:val="both"/>
      </w:pPr>
      <w:r>
        <w:rPr>
          <w:rStyle w:val="FootnoteReference"/>
        </w:rPr>
        <w:footnoteRef/>
      </w:r>
      <w:r>
        <w:tab/>
      </w:r>
      <w:r>
        <w:tab/>
        <w:t>- "</w:t>
      </w:r>
      <w:r>
        <w:rPr>
          <w:i/>
        </w:rPr>
        <w:t xml:space="preserve">Eventually, we did see that greening was beneficial. So any entrepreneur, if it's beneficial for his business, </w:t>
      </w:r>
      <w:r>
        <w:rPr>
          <w:i/>
        </w:rPr>
        <w:tab/>
        <w:t>he does it"</w:t>
      </w:r>
      <w:r>
        <w:t xml:space="preserve"> (FR-green)</w:t>
      </w:r>
    </w:p>
  </w:footnote>
  <w:footnote w:id="160">
    <w:p w:rsidR="00333A1A" w:rsidRDefault="003D29C9">
      <w:pPr>
        <w:pStyle w:val="FootnoteText"/>
        <w:tabs>
          <w:tab w:val="left" w:pos="142"/>
        </w:tabs>
        <w:jc w:val="both"/>
      </w:pPr>
      <w:r>
        <w:rPr>
          <w:rStyle w:val="FootnoteReference"/>
        </w:rPr>
        <w:footnoteRef/>
      </w:r>
      <w:r>
        <w:tab/>
        <w:t>- "</w:t>
      </w:r>
      <w:r>
        <w:rPr>
          <w:i/>
        </w:rPr>
        <w:t>Greening doesn't require a big effort. It's an intellectual constraint"</w:t>
      </w:r>
      <w:r>
        <w:t xml:space="preserve"> (FR-conventional)</w:t>
      </w:r>
    </w:p>
  </w:footnote>
  <w:footnote w:id="161">
    <w:p w:rsidR="00333A1A" w:rsidRDefault="003D29C9">
      <w:pPr>
        <w:pStyle w:val="FootnoteText"/>
        <w:tabs>
          <w:tab w:val="left" w:pos="142"/>
        </w:tabs>
        <w:jc w:val="both"/>
      </w:pPr>
      <w:r>
        <w:rPr>
          <w:rStyle w:val="FootnoteReference"/>
        </w:rPr>
        <w:footnoteRef/>
      </w:r>
      <w:r>
        <w:tab/>
        <w:t xml:space="preserve">- </w:t>
      </w:r>
      <w:r>
        <w:rPr>
          <w:i/>
        </w:rPr>
        <w:t>"Now</w:t>
      </w:r>
      <w:r>
        <w:rPr>
          <w:i/>
        </w:rPr>
        <w:t xml:space="preserve"> you can't spray anything on those protected areas. But if you're going to sow broad beans to harvest it later, without phytosanitary products, that's unfeasible… You don't grow it. What do I do?" </w:t>
      </w:r>
      <w:r>
        <w:t>(ES-green)</w:t>
      </w:r>
    </w:p>
    <w:p w:rsidR="00333A1A" w:rsidRDefault="003D29C9">
      <w:pPr>
        <w:pStyle w:val="FootnoteText"/>
        <w:tabs>
          <w:tab w:val="left" w:pos="142"/>
        </w:tabs>
        <w:jc w:val="both"/>
      </w:pPr>
      <w:r>
        <w:tab/>
      </w:r>
      <w:r>
        <w:tab/>
        <w:t xml:space="preserve">- </w:t>
      </w:r>
      <w:r>
        <w:rPr>
          <w:i/>
        </w:rPr>
        <w:t>"They consider empty sowing as another crop,</w:t>
      </w:r>
      <w:r>
        <w:rPr>
          <w:i/>
        </w:rPr>
        <w:t xml:space="preserve"> that's an absurd thing… That's […] the contradictions that we see" </w:t>
      </w:r>
      <w:r>
        <w:t>(ES-convent.)</w:t>
      </w:r>
    </w:p>
  </w:footnote>
  <w:footnote w:id="162">
    <w:p w:rsidR="00333A1A" w:rsidRDefault="003D29C9">
      <w:pPr>
        <w:pStyle w:val="FootnoteText"/>
        <w:tabs>
          <w:tab w:val="left" w:pos="142"/>
        </w:tabs>
        <w:jc w:val="both"/>
      </w:pPr>
      <w:r>
        <w:rPr>
          <w:rStyle w:val="FootnoteReference"/>
        </w:rPr>
        <w:footnoteRef/>
      </w:r>
      <w:r>
        <w:tab/>
        <w:t>- "</w:t>
      </w:r>
      <w:r>
        <w:rPr>
          <w:i/>
        </w:rPr>
        <w:t xml:space="preserve">I think they did it in order to sell the idea, it sounds better to say 'green payment, we're changing agriculture, focusing it in such a way that we're more ecological. </w:t>
      </w:r>
      <w:r>
        <w:rPr>
          <w:i/>
        </w:rPr>
        <w:t>[…] The only thing they changed is the name"</w:t>
      </w:r>
      <w:r>
        <w:t xml:space="preserve"> (ES-conventional)</w:t>
      </w:r>
    </w:p>
    <w:p w:rsidR="00333A1A" w:rsidRDefault="003D29C9">
      <w:pPr>
        <w:pStyle w:val="FootnoteText"/>
        <w:tabs>
          <w:tab w:val="left" w:pos="142"/>
        </w:tabs>
        <w:jc w:val="both"/>
      </w:pPr>
      <w:r>
        <w:tab/>
      </w:r>
      <w:r>
        <w:tab/>
        <w:t xml:space="preserve"> </w:t>
      </w:r>
      <w:r>
        <w:rPr>
          <w:i/>
        </w:rPr>
        <w:t>"Now the CAP payments are diluted with everything, with the environment, in fact with everything. Everything is decreased and they use it to say 'well there, there's a part that used for the</w:t>
      </w:r>
      <w:r>
        <w:rPr>
          <w:i/>
        </w:rPr>
        <w:t xml:space="preserve"> environment" </w:t>
      </w:r>
      <w:r>
        <w:t>(FR-conventional)</w:t>
      </w:r>
    </w:p>
  </w:footnote>
  <w:footnote w:id="163">
    <w:p w:rsidR="00333A1A" w:rsidRDefault="003D29C9">
      <w:pPr>
        <w:pStyle w:val="FootnoteText"/>
        <w:tabs>
          <w:tab w:val="left" w:pos="142"/>
        </w:tabs>
        <w:jc w:val="both"/>
      </w:pPr>
      <w:r>
        <w:rPr>
          <w:rStyle w:val="FootnoteReference"/>
        </w:rPr>
        <w:footnoteRef/>
      </w:r>
      <w:r>
        <w:tab/>
        <w:t>- "</w:t>
      </w:r>
      <w:r>
        <w:rPr>
          <w:i/>
        </w:rPr>
        <w:t xml:space="preserve">Myself, if tomorrow there's no more payment, I keep on doing it" </w:t>
      </w:r>
      <w:r>
        <w:t>(FR-green)</w:t>
      </w:r>
    </w:p>
    <w:p w:rsidR="00333A1A" w:rsidRDefault="003D29C9">
      <w:pPr>
        <w:pStyle w:val="FootnoteText"/>
        <w:tabs>
          <w:tab w:val="left" w:pos="142"/>
        </w:tabs>
        <w:jc w:val="both"/>
      </w:pPr>
      <w:r>
        <w:tab/>
      </w:r>
      <w:r>
        <w:tab/>
        <w:t xml:space="preserve">- </w:t>
      </w:r>
      <w:r>
        <w:rPr>
          <w:i/>
        </w:rPr>
        <w:t xml:space="preserve">"We do that normally… even if you have 15 Ha arable land, then you don’t just keep wheat, but also other cereals" </w:t>
      </w:r>
      <w:r>
        <w:t>(PL-convent.)</w:t>
      </w:r>
    </w:p>
  </w:footnote>
  <w:footnote w:id="164">
    <w:p w:rsidR="00333A1A" w:rsidRDefault="003D29C9">
      <w:pPr>
        <w:pStyle w:val="FootnoteText"/>
        <w:tabs>
          <w:tab w:val="left" w:pos="142"/>
        </w:tabs>
        <w:jc w:val="both"/>
      </w:pPr>
      <w:r>
        <w:rPr>
          <w:rStyle w:val="FootnoteReference"/>
        </w:rPr>
        <w:footnoteRef/>
      </w:r>
      <w:r>
        <w:tab/>
        <w:t xml:space="preserve">- </w:t>
      </w:r>
      <w:r>
        <w:rPr>
          <w:i/>
        </w:rPr>
        <w:t>"The ba</w:t>
      </w:r>
      <w:r>
        <w:rPr>
          <w:i/>
        </w:rPr>
        <w:t xml:space="preserve">sic payment, they're going to decrease it little by little, and the green payment they'll raise it for good farming practices." </w:t>
      </w:r>
      <w:r>
        <w:t>(ES-green)</w:t>
      </w:r>
    </w:p>
    <w:p w:rsidR="00333A1A" w:rsidRDefault="003D29C9">
      <w:pPr>
        <w:pStyle w:val="FootnoteText"/>
        <w:tabs>
          <w:tab w:val="left" w:pos="142"/>
        </w:tabs>
        <w:jc w:val="both"/>
      </w:pPr>
      <w:r>
        <w:rPr>
          <w:i/>
        </w:rPr>
        <w:tab/>
      </w:r>
      <w:r>
        <w:rPr>
          <w:i/>
        </w:rPr>
        <w:tab/>
        <w:t>- "Every year, they add a layer. For the ecological focus area, before we could put some alfalfa but now we can't a</w:t>
      </w:r>
      <w:r>
        <w:rPr>
          <w:i/>
        </w:rPr>
        <w:t>nymore" "I think we'll have to do more fallows to get into the rails of greening"</w:t>
      </w:r>
      <w:r>
        <w:t xml:space="preserve"> (FR-conventional)</w:t>
      </w:r>
    </w:p>
  </w:footnote>
  <w:footnote w:id="165">
    <w:p w:rsidR="00333A1A" w:rsidRDefault="003D29C9">
      <w:pPr>
        <w:pStyle w:val="FootnoteText"/>
        <w:tabs>
          <w:tab w:val="left" w:pos="142"/>
        </w:tabs>
        <w:jc w:val="both"/>
        <w:rPr>
          <w:i/>
        </w:rPr>
      </w:pPr>
      <w:r>
        <w:rPr>
          <w:rStyle w:val="FootnoteReference"/>
        </w:rPr>
        <w:footnoteRef/>
      </w:r>
      <w:r>
        <w:tab/>
        <w:t>- "</w:t>
      </w:r>
      <w:r>
        <w:rPr>
          <w:i/>
        </w:rPr>
        <w:t xml:space="preserve">It's a personal choice" </w:t>
      </w:r>
      <w:r>
        <w:t xml:space="preserve">(FR, convent.) - </w:t>
      </w:r>
      <w:r>
        <w:rPr>
          <w:i/>
        </w:rPr>
        <w:t xml:space="preserve">"There's a carrot at the end" </w:t>
      </w:r>
      <w:r>
        <w:t>(FR-green) – "</w:t>
      </w:r>
      <w:r>
        <w:rPr>
          <w:i/>
        </w:rPr>
        <w:t>That one is optional</w:t>
      </w:r>
      <w:r>
        <w:t>" (ES-convent.)</w:t>
      </w:r>
    </w:p>
  </w:footnote>
  <w:footnote w:id="166">
    <w:p w:rsidR="00333A1A" w:rsidRDefault="003D29C9">
      <w:pPr>
        <w:pStyle w:val="FootnoteText"/>
        <w:tabs>
          <w:tab w:val="left" w:pos="142"/>
        </w:tabs>
        <w:jc w:val="both"/>
        <w:rPr>
          <w:rStyle w:val="FootnoteReference"/>
        </w:rPr>
      </w:pPr>
      <w:r>
        <w:rPr>
          <w:rStyle w:val="FootnoteReference"/>
        </w:rPr>
        <w:footnoteRef/>
      </w:r>
      <w:r>
        <w:tab/>
      </w:r>
      <w:r>
        <w:rPr>
          <w:szCs w:val="18"/>
        </w:rPr>
        <w:t xml:space="preserve">- </w:t>
      </w:r>
      <w:r>
        <w:rPr>
          <w:rStyle w:val="FootnoteReference"/>
          <w:i/>
          <w:szCs w:val="18"/>
          <w:vertAlign w:val="baseline"/>
        </w:rPr>
        <w:t xml:space="preserve">"I never heard of many of </w:t>
      </w:r>
      <w:r>
        <w:rPr>
          <w:rStyle w:val="FootnoteReference"/>
          <w:i/>
          <w:szCs w:val="18"/>
          <w:vertAlign w:val="baseline"/>
        </w:rPr>
        <w:t>these." "Neither have I." "These are not that commonplace" ."I never really got into that… but I read there are going to be new modernization programs soon, from the Agency, for organic farms. I never heard of that before, I don’t think they had such suppo</w:t>
      </w:r>
      <w:r>
        <w:rPr>
          <w:rStyle w:val="FootnoteReference"/>
          <w:i/>
          <w:szCs w:val="18"/>
          <w:vertAlign w:val="baseline"/>
        </w:rPr>
        <w:t>rt mechanisms"</w:t>
      </w:r>
      <w:r>
        <w:rPr>
          <w:i/>
          <w:szCs w:val="18"/>
        </w:rPr>
        <w:t xml:space="preserve"> "</w:t>
      </w:r>
      <w:r>
        <w:rPr>
          <w:i/>
        </w:rPr>
        <w:t xml:space="preserve">Farmers don’t know enough about pro-environment programs? I know from my own example and when I talk to farmers, they don’t talk about it." </w:t>
      </w:r>
      <w:r>
        <w:t>(PL-conventional)</w:t>
      </w:r>
    </w:p>
  </w:footnote>
  <w:footnote w:id="167">
    <w:p w:rsidR="00333A1A" w:rsidRDefault="003D29C9">
      <w:pPr>
        <w:pStyle w:val="FootnoteText"/>
        <w:tabs>
          <w:tab w:val="left" w:pos="142"/>
        </w:tabs>
        <w:jc w:val="both"/>
      </w:pPr>
      <w:r>
        <w:rPr>
          <w:rStyle w:val="FootnoteReference"/>
        </w:rPr>
        <w:footnoteRef/>
      </w:r>
      <w:r>
        <w:tab/>
        <w:t>- "</w:t>
      </w:r>
      <w:r>
        <w:rPr>
          <w:i/>
        </w:rPr>
        <w:t>The agro-environmental measures… it's like with the solar panels... It's first and foremost more for money than for the environment. It's more about profit than about the environment" "You need to judge the pros and the cons… see what it can return economi</w:t>
      </w:r>
      <w:r>
        <w:rPr>
          <w:i/>
        </w:rPr>
        <w:t xml:space="preserve">cally" </w:t>
      </w:r>
      <w:r>
        <w:t>(FR-conventional)</w:t>
      </w:r>
    </w:p>
    <w:p w:rsidR="00333A1A" w:rsidRDefault="003D29C9">
      <w:pPr>
        <w:pStyle w:val="FootnoteText"/>
        <w:tabs>
          <w:tab w:val="left" w:pos="142"/>
        </w:tabs>
        <w:jc w:val="both"/>
      </w:pPr>
      <w:r>
        <w:rPr>
          <w:i/>
        </w:rPr>
        <w:tab/>
      </w:r>
      <w:r>
        <w:rPr>
          <w:i/>
        </w:rPr>
        <w:tab/>
        <w:t>- "What we're doing is basically, we're begging"</w:t>
      </w:r>
      <w:r>
        <w:t>(ES-conventional)</w:t>
      </w:r>
    </w:p>
  </w:footnote>
  <w:footnote w:id="168">
    <w:p w:rsidR="00333A1A" w:rsidRDefault="003D29C9">
      <w:pPr>
        <w:pStyle w:val="FootnoteText"/>
        <w:tabs>
          <w:tab w:val="left" w:pos="142"/>
        </w:tabs>
        <w:jc w:val="both"/>
      </w:pPr>
      <w:r>
        <w:rPr>
          <w:rStyle w:val="FootnoteReference"/>
        </w:rPr>
        <w:footnoteRef/>
      </w:r>
      <w:r>
        <w:tab/>
        <w:t>- "</w:t>
      </w:r>
      <w:r>
        <w:rPr>
          <w:i/>
        </w:rPr>
        <w:t xml:space="preserve">It's not like a car where we choose the options… It's not the case. The contract, it's as it is. You take it, you don't take it, that's it" </w:t>
      </w:r>
      <w:r>
        <w:t>(FR-conventional)</w:t>
      </w:r>
    </w:p>
    <w:p w:rsidR="00333A1A" w:rsidRDefault="003D29C9">
      <w:pPr>
        <w:pStyle w:val="FootnoteText"/>
        <w:tabs>
          <w:tab w:val="left" w:pos="142"/>
        </w:tabs>
        <w:jc w:val="both"/>
      </w:pPr>
      <w:r>
        <w:rPr>
          <w:i/>
        </w:rPr>
        <w:tab/>
      </w:r>
      <w:r>
        <w:rPr>
          <w:i/>
        </w:rPr>
        <w:tab/>
        <w:t xml:space="preserve">- </w:t>
      </w:r>
      <w:r>
        <w:t>"</w:t>
      </w:r>
      <w:r>
        <w:rPr>
          <w:i/>
        </w:rPr>
        <w:t>They give you from one hand, and you get so many constraints that they take it back from the other hand</w:t>
      </w:r>
      <w:r>
        <w:t>" (FR-green)</w:t>
      </w:r>
    </w:p>
  </w:footnote>
  <w:footnote w:id="169">
    <w:p w:rsidR="00333A1A" w:rsidRDefault="003D29C9">
      <w:pPr>
        <w:pStyle w:val="FootnoteText"/>
        <w:tabs>
          <w:tab w:val="left" w:pos="142"/>
        </w:tabs>
        <w:jc w:val="both"/>
      </w:pPr>
      <w:r>
        <w:rPr>
          <w:rStyle w:val="FootnoteReference"/>
        </w:rPr>
        <w:footnoteRef/>
      </w:r>
      <w:r>
        <w:tab/>
        <w:t>-"</w:t>
      </w:r>
      <w:r>
        <w:rPr>
          <w:i/>
        </w:rPr>
        <w:t xml:space="preserve">As far as I'm concerned, there are certain subsidies that I don't apply to because I'd rather not have them. It becomes a personal </w:t>
      </w:r>
      <w:r>
        <w:rPr>
          <w:i/>
        </w:rPr>
        <w:t xml:space="preserve">approach to do these things. But eventually you find yourself shivering on your chair, thinking to yourself "oh my God, she [the controller] is putting so much things in red everyone. You're two days long close to a heart attack" </w:t>
      </w:r>
      <w:r>
        <w:t>(FR-green)</w:t>
      </w:r>
    </w:p>
  </w:footnote>
  <w:footnote w:id="170">
    <w:p w:rsidR="00333A1A" w:rsidRDefault="003D29C9">
      <w:pPr>
        <w:pStyle w:val="FootnoteText"/>
        <w:tabs>
          <w:tab w:val="left" w:pos="142"/>
        </w:tabs>
        <w:jc w:val="both"/>
      </w:pPr>
      <w:r>
        <w:rPr>
          <w:rStyle w:val="FootnoteReference"/>
        </w:rPr>
        <w:footnoteRef/>
      </w:r>
      <w:r>
        <w:tab/>
        <w:t>- "</w:t>
      </w:r>
      <w:r>
        <w:rPr>
          <w:i/>
        </w:rPr>
        <w:t xml:space="preserve">When they </w:t>
      </w:r>
      <w:r>
        <w:rPr>
          <w:i/>
        </w:rPr>
        <w:t xml:space="preserve">put the AES in place, it was a huge thing, and at the end, nothing. I remember that in training we were 70 farmers [who were interested] and eventually we were just 10 to do it." </w:t>
      </w:r>
      <w:r>
        <w:t>(FR-conventional)</w:t>
      </w:r>
    </w:p>
    <w:p w:rsidR="00333A1A" w:rsidRDefault="003D29C9">
      <w:pPr>
        <w:pStyle w:val="FootnoteText"/>
        <w:ind w:firstLine="0"/>
        <w:jc w:val="both"/>
      </w:pPr>
      <w:r>
        <w:t xml:space="preserve">- </w:t>
      </w:r>
      <w:r>
        <w:rPr>
          <w:i/>
        </w:rPr>
        <w:t>"They [the local administration] took a lot of people but</w:t>
      </w:r>
      <w:r>
        <w:rPr>
          <w:i/>
        </w:rPr>
        <w:t xml:space="preserve"> they realised that it didn't make up a lot for each farm, so they put more criteria, once, twice, three times to make sure that just a small proportion of people could get it" </w:t>
      </w:r>
      <w:r>
        <w:t>(FR-green)</w:t>
      </w:r>
    </w:p>
  </w:footnote>
  <w:footnote w:id="171">
    <w:p w:rsidR="00333A1A" w:rsidRDefault="003D29C9">
      <w:pPr>
        <w:pStyle w:val="FootnoteText"/>
        <w:tabs>
          <w:tab w:val="left" w:pos="142"/>
        </w:tabs>
        <w:jc w:val="both"/>
      </w:pPr>
      <w:r>
        <w:rPr>
          <w:rStyle w:val="FootnoteReference"/>
        </w:rPr>
        <w:footnoteRef/>
      </w:r>
      <w:r>
        <w:tab/>
        <w:t xml:space="preserve">- </w:t>
      </w:r>
      <w:r>
        <w:rPr>
          <w:i/>
        </w:rPr>
        <w:t>" Those who participate in AES are those who can do it without b</w:t>
      </w:r>
      <w:r>
        <w:rPr>
          <w:i/>
        </w:rPr>
        <w:t>othering too much"</w:t>
      </w:r>
      <w:r>
        <w:t xml:space="preserve"> (FR-conventional)</w:t>
      </w:r>
    </w:p>
  </w:footnote>
  <w:footnote w:id="172">
    <w:p w:rsidR="00333A1A" w:rsidRDefault="003D29C9">
      <w:pPr>
        <w:pStyle w:val="FootnoteText"/>
        <w:tabs>
          <w:tab w:val="left" w:pos="142"/>
        </w:tabs>
        <w:jc w:val="both"/>
      </w:pPr>
      <w:r>
        <w:rPr>
          <w:rStyle w:val="FootnoteReference"/>
        </w:rPr>
        <w:footnoteRef/>
      </w:r>
      <w:r>
        <w:tab/>
        <w:t xml:space="preserve">- </w:t>
      </w:r>
      <w:r>
        <w:rPr>
          <w:i/>
        </w:rPr>
        <w:t>"The one that has 1 000 hectares, why would he bother doing these things when he is has enough to live with?"</w:t>
      </w:r>
      <w:r>
        <w:t xml:space="preserve"> (FR-green)</w:t>
      </w:r>
    </w:p>
  </w:footnote>
  <w:footnote w:id="173">
    <w:p w:rsidR="00333A1A" w:rsidRDefault="003D29C9">
      <w:pPr>
        <w:pStyle w:val="FootnoteText"/>
        <w:tabs>
          <w:tab w:val="left" w:pos="142"/>
        </w:tabs>
        <w:jc w:val="both"/>
      </w:pPr>
      <w:r>
        <w:rPr>
          <w:rStyle w:val="FootnoteReference"/>
        </w:rPr>
        <w:footnoteRef/>
      </w:r>
      <w:r>
        <w:tab/>
        <w:t xml:space="preserve">- </w:t>
      </w:r>
      <w:r>
        <w:rPr>
          <w:i/>
        </w:rPr>
        <w:t>"What about the tomato plantations from last year? This was a certain program about growin</w:t>
      </w:r>
      <w:r>
        <w:rPr>
          <w:i/>
        </w:rPr>
        <w:t xml:space="preserve">g organic tomatoes, it was a fact known only to the “Marszalkowska farmers”. The deadline for submitting applications to that program was June the 15th. And the media informed about it on June 14th! It was information that was not circulated right." - "If </w:t>
      </w:r>
      <w:r>
        <w:rPr>
          <w:i/>
        </w:rPr>
        <w:t xml:space="preserve">you go to the website of the Ministry or the Restructuration Agency, before you find the right appendix, you could be looking for hours for it. Or weeks!" </w:t>
      </w:r>
      <w:r>
        <w:t>(PL-green)</w:t>
      </w:r>
    </w:p>
    <w:p w:rsidR="00333A1A" w:rsidRDefault="003D29C9">
      <w:pPr>
        <w:pStyle w:val="FootnoteText"/>
        <w:tabs>
          <w:tab w:val="left" w:pos="142"/>
        </w:tabs>
        <w:jc w:val="both"/>
      </w:pPr>
      <w:r>
        <w:tab/>
      </w:r>
      <w:r>
        <w:tab/>
        <w:t xml:space="preserve">- </w:t>
      </w:r>
      <w:r>
        <w:rPr>
          <w:i/>
        </w:rPr>
        <w:t>"I remember these subsidies for forestry – it was a direct payment for walnut trees. I</w:t>
      </w:r>
      <w:r>
        <w:rPr>
          <w:i/>
        </w:rPr>
        <w:t xml:space="preserve"> remember that all the unused lands were suddenly turned into walnut plantations. Who owned them? Some […] political party. They knew in advance. They were buying that land 2 years or 3 years in advance or they were leasing it from the state."</w:t>
      </w:r>
      <w:r>
        <w:t xml:space="preserve"> (PL-green)</w:t>
      </w:r>
    </w:p>
  </w:footnote>
  <w:footnote w:id="174">
    <w:p w:rsidR="00333A1A" w:rsidRDefault="003D29C9">
      <w:pPr>
        <w:pStyle w:val="FootnoteText"/>
        <w:tabs>
          <w:tab w:val="left" w:pos="142"/>
        </w:tabs>
        <w:jc w:val="both"/>
      </w:pPr>
      <w:r>
        <w:rPr>
          <w:rStyle w:val="FootnoteReference"/>
        </w:rPr>
        <w:footnoteRef/>
      </w:r>
      <w:r>
        <w:tab/>
        <w:t>-</w:t>
      </w:r>
      <w:r>
        <w:rPr>
          <w:i/>
        </w:rPr>
        <w:t>"Nobody submits these applications on their own. It’s too much paperwork"</w:t>
      </w:r>
      <w:r>
        <w:t xml:space="preserve"> (PL-conventional)</w:t>
      </w:r>
    </w:p>
  </w:footnote>
  <w:footnote w:id="175">
    <w:p w:rsidR="00333A1A" w:rsidRDefault="003D29C9">
      <w:pPr>
        <w:pStyle w:val="FootnoteText"/>
        <w:tabs>
          <w:tab w:val="left" w:pos="142"/>
        </w:tabs>
        <w:jc w:val="both"/>
      </w:pPr>
      <w:r>
        <w:rPr>
          <w:rStyle w:val="FootnoteReference"/>
        </w:rPr>
        <w:footnoteRef/>
      </w:r>
      <w:r>
        <w:tab/>
        <w:t xml:space="preserve">- </w:t>
      </w:r>
      <w:r>
        <w:rPr>
          <w:i/>
        </w:rPr>
        <w:t>"The application… Also it won’t go through. It definitely will not go through." "Yes and also, there are phone calls, it’s all about connections…" "Yes, I kno</w:t>
      </w:r>
      <w:r>
        <w:rPr>
          <w:i/>
        </w:rPr>
        <w:t>w these people who got into a project, took out loans, but then a committee appeared and told them that they can’t be enrolled in the program because there is some criterion they did not meet.</w:t>
      </w:r>
      <w:r>
        <w:t>" (PL-conventional)</w:t>
      </w:r>
    </w:p>
  </w:footnote>
  <w:footnote w:id="176">
    <w:p w:rsidR="00333A1A" w:rsidRDefault="003D29C9">
      <w:pPr>
        <w:pStyle w:val="FootnoteText"/>
        <w:tabs>
          <w:tab w:val="left" w:pos="142"/>
        </w:tabs>
        <w:jc w:val="both"/>
      </w:pPr>
      <w:r>
        <w:rPr>
          <w:rStyle w:val="FootnoteReference"/>
        </w:rPr>
        <w:footnoteRef/>
      </w:r>
      <w:r>
        <w:tab/>
        <w:t xml:space="preserve">- </w:t>
      </w:r>
      <w:r>
        <w:rPr>
          <w:i/>
        </w:rPr>
        <w:t>"I get into a 5-year commitment, but nob</w:t>
      </w:r>
      <w:r>
        <w:rPr>
          <w:i/>
        </w:rPr>
        <w:t>ody promises that the rules of the game won’t change. The rules of the game impose many requirements on me, but if I think of my rights – this year I get less. I can’t plan my production right. I can’t say that next year, or for the 5 years I’ll get the sa</w:t>
      </w:r>
      <w:r>
        <w:rPr>
          <w:i/>
        </w:rPr>
        <w:t>me payment."  "Yes, the changes of these rules, or the vagueness of these rules, it pushes people away from being more pro-environment.</w:t>
      </w:r>
      <w:r>
        <w:t>"</w:t>
      </w:r>
      <w:r>
        <w:rPr>
          <w:i/>
        </w:rPr>
        <w:t xml:space="preserve"> </w:t>
      </w:r>
      <w:r>
        <w:t>(PL-green)</w:t>
      </w:r>
    </w:p>
    <w:p w:rsidR="00333A1A" w:rsidRDefault="003D29C9">
      <w:pPr>
        <w:pStyle w:val="FootnoteText"/>
        <w:tabs>
          <w:tab w:val="left" w:pos="142"/>
        </w:tabs>
        <w:jc w:val="both"/>
      </w:pPr>
      <w:r>
        <w:rPr>
          <w:i/>
        </w:rPr>
        <w:tab/>
      </w:r>
      <w:r>
        <w:rPr>
          <w:i/>
        </w:rPr>
        <w:tab/>
        <w:t>- "It's 5 years, you don't have the right to change, to move away. If they change, they warn you telling y</w:t>
      </w:r>
      <w:r>
        <w:rPr>
          <w:i/>
        </w:rPr>
        <w:t>ou 'you can go on following the new rules, or you can stop the contract, but as far as we're concerned, we can't do it the other way around".</w:t>
      </w:r>
      <w:r>
        <w:t xml:space="preserve"> (FR-conventional)</w:t>
      </w:r>
    </w:p>
  </w:footnote>
  <w:footnote w:id="177">
    <w:p w:rsidR="00333A1A" w:rsidRDefault="003D29C9">
      <w:pPr>
        <w:pStyle w:val="FootnoteText"/>
        <w:tabs>
          <w:tab w:val="left" w:pos="142"/>
        </w:tabs>
        <w:jc w:val="both"/>
      </w:pPr>
      <w:r>
        <w:rPr>
          <w:rStyle w:val="FootnoteReference"/>
        </w:rPr>
        <w:footnoteRef/>
      </w:r>
      <w:r>
        <w:tab/>
        <w:t>- "</w:t>
      </w:r>
      <w:r>
        <w:rPr>
          <w:i/>
        </w:rPr>
        <w:t>National? No, it should come from Europe!"</w:t>
      </w:r>
      <w:r>
        <w:t xml:space="preserve"> (ES-green)</w:t>
      </w:r>
    </w:p>
    <w:p w:rsidR="00333A1A" w:rsidRDefault="003D29C9">
      <w:pPr>
        <w:pStyle w:val="FootnoteText"/>
        <w:tabs>
          <w:tab w:val="left" w:pos="142"/>
        </w:tabs>
        <w:jc w:val="both"/>
      </w:pPr>
      <w:r>
        <w:tab/>
      </w:r>
      <w:r>
        <w:tab/>
        <w:t xml:space="preserve">- </w:t>
      </w:r>
      <w:r>
        <w:rPr>
          <w:i/>
        </w:rPr>
        <w:t>"In the EU! Everything is simpler</w:t>
      </w:r>
      <w:r>
        <w:rPr>
          <w:i/>
        </w:rPr>
        <w:t xml:space="preserve"> in the EU. Maybe, but it’s all made much more complicated in Poland.  It’s all due to our Polish bureaucracy. From what I hear, it’s easier in the West. They encourage people to use programs, whereas in Poland, all these rules try to stop you. If you miss</w:t>
      </w:r>
      <w:r>
        <w:rPr>
          <w:i/>
        </w:rPr>
        <w:t>tep, you get a fine</w:t>
      </w:r>
      <w:r>
        <w:t>" (PL-conventional)</w:t>
      </w:r>
    </w:p>
  </w:footnote>
  <w:footnote w:id="178">
    <w:p w:rsidR="00333A1A" w:rsidRDefault="003D29C9">
      <w:pPr>
        <w:pStyle w:val="FootnoteText"/>
        <w:tabs>
          <w:tab w:val="left" w:pos="142"/>
        </w:tabs>
        <w:jc w:val="both"/>
      </w:pPr>
      <w:r>
        <w:rPr>
          <w:rStyle w:val="FootnoteReference"/>
        </w:rPr>
        <w:footnoteRef/>
      </w:r>
      <w:r>
        <w:tab/>
        <w:t xml:space="preserve">- </w:t>
      </w:r>
      <w:r>
        <w:rPr>
          <w:i/>
        </w:rPr>
        <w:t>"Those who create that, they should be more down-to-earth, on the ground"</w:t>
      </w:r>
      <w:r>
        <w:t xml:space="preserve"> (FR-conventional)</w:t>
      </w:r>
    </w:p>
    <w:p w:rsidR="00333A1A" w:rsidRDefault="003D29C9">
      <w:pPr>
        <w:pStyle w:val="FootnoteText"/>
        <w:tabs>
          <w:tab w:val="left" w:pos="142"/>
        </w:tabs>
        <w:jc w:val="both"/>
      </w:pPr>
      <w:r>
        <w:tab/>
      </w:r>
      <w:r>
        <w:tab/>
        <w:t xml:space="preserve">- </w:t>
      </w:r>
      <w:r>
        <w:rPr>
          <w:i/>
        </w:rPr>
        <w:t>"I hate it when on one day, some decision-maker chooses that a given substance cannot be used anymore and they give y</w:t>
      </w:r>
      <w:r>
        <w:rPr>
          <w:i/>
        </w:rPr>
        <w:t>ou no replacement. That is over the top."</w:t>
      </w:r>
      <w:r>
        <w:t xml:space="preserve"> (PL-green)</w:t>
      </w:r>
    </w:p>
    <w:p w:rsidR="00333A1A" w:rsidRDefault="003D29C9">
      <w:pPr>
        <w:pStyle w:val="FootnoteText"/>
        <w:tabs>
          <w:tab w:val="left" w:pos="142"/>
        </w:tabs>
        <w:jc w:val="both"/>
      </w:pPr>
      <w:r>
        <w:tab/>
      </w:r>
      <w:r>
        <w:tab/>
        <w:t>- "</w:t>
      </w:r>
      <w:r>
        <w:rPr>
          <w:i/>
        </w:rPr>
        <w:t>Those who decide these measures, they don't know the environment, they don't know the countryside</w:t>
      </w:r>
      <w:r>
        <w:t>" (ES-convent.)</w:t>
      </w:r>
    </w:p>
  </w:footnote>
  <w:footnote w:id="179">
    <w:p w:rsidR="00333A1A" w:rsidRDefault="003D29C9">
      <w:pPr>
        <w:pStyle w:val="FootnoteText"/>
        <w:tabs>
          <w:tab w:val="left" w:pos="142"/>
        </w:tabs>
        <w:jc w:val="both"/>
      </w:pPr>
      <w:r>
        <w:rPr>
          <w:rStyle w:val="FootnoteReference"/>
        </w:rPr>
        <w:footnoteRef/>
      </w:r>
      <w:r>
        <w:tab/>
        <w:t xml:space="preserve">- </w:t>
      </w:r>
      <w:r>
        <w:rPr>
          <w:i/>
        </w:rPr>
        <w:t xml:space="preserve">"They should instead educate people in schools. If we educate everybody, then, </w:t>
      </w:r>
      <w:r>
        <w:rPr>
          <w:i/>
        </w:rPr>
        <w:t>perhaps, I could say that the whole environment we’re talking about will learn more about how we can protect it."</w:t>
      </w:r>
      <w:r>
        <w:t xml:space="preserve"> (PL-green)</w:t>
      </w:r>
    </w:p>
    <w:p w:rsidR="00333A1A" w:rsidRDefault="003D29C9">
      <w:pPr>
        <w:pStyle w:val="FootnoteText"/>
        <w:tabs>
          <w:tab w:val="left" w:pos="142"/>
        </w:tabs>
        <w:jc w:val="both"/>
      </w:pPr>
      <w:r>
        <w:tab/>
      </w:r>
      <w:r>
        <w:tab/>
        <w:t xml:space="preserve">- </w:t>
      </w:r>
      <w:r>
        <w:rPr>
          <w:i/>
        </w:rPr>
        <w:t xml:space="preserve">"That the fruit of our labours bring something in… then if our products are better valued, that means we work our soil better, </w:t>
      </w:r>
      <w:r>
        <w:rPr>
          <w:i/>
        </w:rPr>
        <w:t xml:space="preserve">so we can work even better, that's the whole correlation." </w:t>
      </w:r>
      <w:r>
        <w:t>(FR-conventional)</w:t>
      </w:r>
    </w:p>
    <w:p w:rsidR="00333A1A" w:rsidRDefault="003D29C9">
      <w:pPr>
        <w:pStyle w:val="FootnoteText"/>
        <w:tabs>
          <w:tab w:val="left" w:pos="142"/>
        </w:tabs>
        <w:jc w:val="both"/>
      </w:pPr>
      <w:r>
        <w:tab/>
      </w:r>
      <w:r>
        <w:tab/>
        <w:t xml:space="preserve">- </w:t>
      </w:r>
      <w:r>
        <w:rPr>
          <w:i/>
        </w:rPr>
        <w:t xml:space="preserve">"The majority of farmers, we would prefer not to receive any single euro of subsidies, if the product was valued for what it's worth" </w:t>
      </w:r>
      <w:r>
        <w:t>(ES-green)</w:t>
      </w:r>
    </w:p>
  </w:footnote>
  <w:footnote w:id="180">
    <w:p w:rsidR="00333A1A" w:rsidRDefault="003D29C9">
      <w:pPr>
        <w:pStyle w:val="FootnoteText"/>
        <w:tabs>
          <w:tab w:val="left" w:pos="142"/>
        </w:tabs>
        <w:jc w:val="both"/>
      </w:pPr>
      <w:r>
        <w:rPr>
          <w:rStyle w:val="FootnoteReference"/>
        </w:rPr>
        <w:footnoteRef/>
      </w:r>
      <w:r>
        <w:tab/>
        <w:t>- "</w:t>
      </w:r>
      <w:r>
        <w:rPr>
          <w:i/>
        </w:rPr>
        <w:t>Some landowners, some doc</w:t>
      </w:r>
      <w:r>
        <w:rPr>
          <w:i/>
        </w:rPr>
        <w:t xml:space="preserve">tors, some chemist… they bought farms to be able to hunt, to have some grassland, fallows… And they get the CAP payments, that should have never been the case" </w:t>
      </w:r>
      <w:r>
        <w:t>(FR-green)</w:t>
      </w:r>
    </w:p>
    <w:p w:rsidR="00333A1A" w:rsidRDefault="003D29C9">
      <w:pPr>
        <w:pStyle w:val="FootnoteText"/>
        <w:tabs>
          <w:tab w:val="left" w:pos="142"/>
        </w:tabs>
        <w:jc w:val="both"/>
        <w:rPr>
          <w:i/>
        </w:rPr>
      </w:pPr>
      <w:r>
        <w:tab/>
      </w:r>
      <w:r>
        <w:tab/>
        <w:t xml:space="preserve">- </w:t>
      </w:r>
      <w:r>
        <w:rPr>
          <w:i/>
        </w:rPr>
        <w:t>"Payments should be given to people who really is and lives from the countryside,</w:t>
      </w:r>
      <w:r>
        <w:rPr>
          <w:i/>
        </w:rPr>
        <w:t xml:space="preserve"> and not now as it's done… The 3 million euros for the Duchess of Alba or the power producers who have some fields and don't produce anything</w:t>
      </w:r>
      <w:r>
        <w:t>" (ES-green)</w:t>
      </w:r>
    </w:p>
  </w:footnote>
  <w:footnote w:id="181">
    <w:p w:rsidR="00333A1A" w:rsidRDefault="003D29C9">
      <w:pPr>
        <w:pStyle w:val="FootnoteText"/>
        <w:tabs>
          <w:tab w:val="left" w:pos="142"/>
        </w:tabs>
        <w:jc w:val="both"/>
      </w:pPr>
      <w:r>
        <w:rPr>
          <w:rStyle w:val="FootnoteReference"/>
        </w:rPr>
        <w:footnoteRef/>
      </w:r>
      <w:r>
        <w:tab/>
        <w:t xml:space="preserve">- </w:t>
      </w:r>
      <w:r>
        <w:rPr>
          <w:i/>
        </w:rPr>
        <w:t>"A farmer that uses sprays at the wrong time and he earns 1 000 PLN per Hectare, That fine can kil</w:t>
      </w:r>
      <w:r>
        <w:rPr>
          <w:i/>
        </w:rPr>
        <w:t xml:space="preserve">l a medium farmer and won’t hurt a big one. </w:t>
      </w:r>
      <w:r>
        <w:t>[…]</w:t>
      </w:r>
      <w:r>
        <w:rPr>
          <w:i/>
        </w:rPr>
        <w:t xml:space="preserve"> The big farmer pollutes thousands of Hectares anyway!"</w:t>
      </w:r>
      <w:r>
        <w:t xml:space="preserve"> (PL-green)</w:t>
      </w:r>
    </w:p>
    <w:p w:rsidR="00333A1A" w:rsidRDefault="003D29C9">
      <w:pPr>
        <w:pStyle w:val="FootnoteText"/>
        <w:tabs>
          <w:tab w:val="left" w:pos="142"/>
        </w:tabs>
        <w:jc w:val="both"/>
      </w:pPr>
      <w:r>
        <w:rPr>
          <w:i/>
        </w:rPr>
        <w:tab/>
      </w:r>
      <w:r>
        <w:rPr>
          <w:i/>
        </w:rPr>
        <w:tab/>
        <w:t xml:space="preserve">- </w:t>
      </w:r>
      <w:r>
        <w:t>"</w:t>
      </w:r>
      <w:r>
        <w:rPr>
          <w:i/>
        </w:rPr>
        <w:t>That farmers that has 100 hectares, please don't tell me he does it correctly!"</w:t>
      </w:r>
      <w:r>
        <w:t>(FR-green)</w:t>
      </w:r>
    </w:p>
    <w:p w:rsidR="00333A1A" w:rsidRDefault="003D29C9">
      <w:pPr>
        <w:pStyle w:val="FootnoteText"/>
        <w:tabs>
          <w:tab w:val="left" w:pos="142"/>
        </w:tabs>
        <w:jc w:val="both"/>
      </w:pPr>
      <w:r>
        <w:rPr>
          <w:i/>
        </w:rPr>
        <w:tab/>
      </w:r>
      <w:r>
        <w:rPr>
          <w:i/>
        </w:rPr>
        <w:tab/>
      </w:r>
      <w:r>
        <w:t>- "</w:t>
      </w:r>
      <w:r>
        <w:rPr>
          <w:i/>
        </w:rPr>
        <w:t xml:space="preserve">Most of the time, small human scale farms are family farms, so there is transmission" </w:t>
      </w:r>
      <w:r>
        <w:t>(FR-conventional)</w:t>
      </w:r>
    </w:p>
    <w:p w:rsidR="00333A1A" w:rsidRDefault="003D29C9">
      <w:pPr>
        <w:pStyle w:val="FootnoteText"/>
        <w:tabs>
          <w:tab w:val="left" w:pos="142"/>
        </w:tabs>
        <w:jc w:val="both"/>
      </w:pPr>
      <w:r>
        <w:tab/>
      </w:r>
      <w:r>
        <w:tab/>
        <w:t xml:space="preserve">- </w:t>
      </w:r>
      <w:r>
        <w:rPr>
          <w:i/>
        </w:rPr>
        <w:t>"Right now a small farmer can’t keep livestock. In the past, they kept them in small quantities. If you have more livestock, there’s more manure and</w:t>
      </w:r>
      <w:r>
        <w:rPr>
          <w:i/>
        </w:rPr>
        <w:t xml:space="preserve"> less artificial fertilizers." </w:t>
      </w:r>
      <w:r>
        <w:t>(PL-conventional)</w:t>
      </w:r>
    </w:p>
  </w:footnote>
  <w:footnote w:id="182">
    <w:p w:rsidR="00333A1A" w:rsidRDefault="003D29C9">
      <w:pPr>
        <w:pStyle w:val="FootnoteText"/>
        <w:tabs>
          <w:tab w:val="left" w:pos="142"/>
        </w:tabs>
        <w:jc w:val="both"/>
      </w:pPr>
      <w:r>
        <w:rPr>
          <w:rStyle w:val="FootnoteReference"/>
        </w:rPr>
        <w:footnoteRef/>
      </w:r>
      <w:r>
        <w:tab/>
        <w:t xml:space="preserve">- </w:t>
      </w:r>
      <w:r>
        <w:rPr>
          <w:i/>
        </w:rPr>
        <w:t>"Imports on foreign products should be controlled just as ours</w:t>
      </w:r>
      <w:r>
        <w:t>"</w:t>
      </w:r>
      <w:r>
        <w:rPr>
          <w:i/>
        </w:rPr>
        <w:t xml:space="preserve"> </w:t>
      </w:r>
      <w:r>
        <w:t>(FR-conventional)</w:t>
      </w:r>
    </w:p>
    <w:p w:rsidR="00333A1A" w:rsidRDefault="003D29C9">
      <w:pPr>
        <w:pStyle w:val="FootnoteText"/>
        <w:tabs>
          <w:tab w:val="left" w:pos="142"/>
        </w:tabs>
        <w:jc w:val="both"/>
      </w:pPr>
      <w:r>
        <w:rPr>
          <w:i/>
        </w:rPr>
        <w:tab/>
      </w:r>
      <w:r>
        <w:rPr>
          <w:i/>
        </w:rPr>
        <w:tab/>
        <w:t xml:space="preserve">- "If we import hormones-fed meat, then… well French people also feed them with hormones" </w:t>
      </w:r>
      <w:r>
        <w:t xml:space="preserve">- </w:t>
      </w:r>
      <w:r>
        <w:rPr>
          <w:i/>
        </w:rPr>
        <w:t>"Without closing borders… I</w:t>
      </w:r>
      <w:r>
        <w:rPr>
          <w:i/>
        </w:rPr>
        <w:t xml:space="preserve">f we want to forbid glyphosate in France, if you want to be logical then we forbid foreign products that used it" </w:t>
      </w:r>
      <w:r>
        <w:t>(FR-green)</w:t>
      </w:r>
    </w:p>
  </w:footnote>
  <w:footnote w:id="183">
    <w:p w:rsidR="00333A1A" w:rsidRDefault="003D29C9">
      <w:pPr>
        <w:pStyle w:val="FootnoteText"/>
        <w:jc w:val="both"/>
        <w:rPr>
          <w:rFonts w:cs="Times New Roman"/>
          <w:szCs w:val="18"/>
        </w:rPr>
      </w:pPr>
      <w:r>
        <w:rPr>
          <w:rStyle w:val="FootnoteReference"/>
          <w:rFonts w:cs="Times New Roman"/>
          <w:szCs w:val="18"/>
        </w:rPr>
        <w:footnoteRef/>
      </w:r>
      <w:r>
        <w:rPr>
          <w:rFonts w:cs="Times New Roman"/>
          <w:szCs w:val="18"/>
        </w:rPr>
        <w:t xml:space="preserve"> </w:t>
      </w:r>
      <w:r>
        <w:rPr>
          <w:rFonts w:cs="Times New Roman"/>
          <w:szCs w:val="18"/>
        </w:rPr>
        <w:tab/>
        <w:t xml:space="preserve">A full-fledged glossary including definitions on the CAP on: European Commission (2015) </w:t>
      </w:r>
      <w:hyperlink r:id="rId56" w:history="1">
        <w:r>
          <w:rPr>
            <w:rFonts w:cs="Times New Roman"/>
            <w:color w:val="0000FF"/>
            <w:szCs w:val="18"/>
            <w:u w:val="single"/>
          </w:rPr>
          <w:t>Glossary of the Common Agricultural Policy</w:t>
        </w:r>
      </w:hyperlink>
      <w:r>
        <w:rPr>
          <w:rFonts w:cs="Times New Roman"/>
          <w:szCs w:val="18"/>
        </w:rPr>
        <w:t>, (DG AGRI),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9" w:rsidRPr="003D29C9" w:rsidRDefault="003D29C9" w:rsidP="003D29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9" w:rsidRPr="003D29C9" w:rsidRDefault="003D29C9" w:rsidP="003D29C9">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9" w:rsidRPr="003D29C9" w:rsidRDefault="003D29C9" w:rsidP="003D29C9">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1A" w:rsidRDefault="00333A1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1A" w:rsidRDefault="00333A1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1A" w:rsidRDefault="00333A1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1A" w:rsidRDefault="00333A1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1A" w:rsidRDefault="00333A1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A1A" w:rsidRDefault="00333A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3"/>
    <w:multiLevelType w:val="singleLevel"/>
    <w:tmpl w:val="7354002E"/>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06D00AE8"/>
    <w:multiLevelType w:val="hybridMultilevel"/>
    <w:tmpl w:val="1298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FB5E9D"/>
    <w:multiLevelType w:val="hybridMultilevel"/>
    <w:tmpl w:val="F5D8F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0E7C3C"/>
    <w:multiLevelType w:val="hybridMultilevel"/>
    <w:tmpl w:val="A48AC3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10525275"/>
    <w:multiLevelType w:val="hybridMultilevel"/>
    <w:tmpl w:val="8780A8FC"/>
    <w:lvl w:ilvl="0" w:tplc="D6680EF4">
      <w:start w:val="3"/>
      <w:numFmt w:val="bullet"/>
      <w:lvlText w:val="•"/>
      <w:lvlJc w:val="left"/>
      <w:pPr>
        <w:ind w:left="720" w:hanging="360"/>
      </w:pPr>
      <w:rPr>
        <w:rFonts w:ascii="Calibri" w:eastAsiaTheme="minorHAnsi" w:hAnsi="Calibri" w:cstheme="minorBidi" w:hint="default"/>
      </w:rPr>
    </w:lvl>
    <w:lvl w:ilvl="1" w:tplc="3B1C2E50">
      <w:start w:val="2"/>
      <w:numFmt w:val="bullet"/>
      <w:lvlText w:val=""/>
      <w:lvlJc w:val="left"/>
      <w:pPr>
        <w:ind w:left="1800" w:hanging="72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5C0080"/>
    <w:multiLevelType w:val="hybridMultilevel"/>
    <w:tmpl w:val="1C5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F734306"/>
    <w:multiLevelType w:val="multilevel"/>
    <w:tmpl w:val="A4CA525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960"/>
        </w:tabs>
        <w:ind w:left="960" w:hanging="720"/>
      </w:pPr>
    </w:lvl>
    <w:lvl w:ilvl="2">
      <w:start w:val="1"/>
      <w:numFmt w:val="decimal"/>
      <w:pStyle w:val="Heading3"/>
      <w:lvlText w:val="%1.%2.%3."/>
      <w:lvlJc w:val="left"/>
      <w:pPr>
        <w:tabs>
          <w:tab w:val="num" w:pos="1920"/>
        </w:tabs>
        <w:ind w:left="1920" w:hanging="720"/>
      </w:pPr>
      <w:rPr>
        <w:b w:val="0"/>
      </w:r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A46182"/>
    <w:multiLevelType w:val="hybridMultilevel"/>
    <w:tmpl w:val="B08688BA"/>
    <w:lvl w:ilvl="0" w:tplc="0809000F">
      <w:start w:val="1"/>
      <w:numFmt w:val="decimal"/>
      <w:lvlText w:val="%1."/>
      <w:lvlJc w:val="left"/>
      <w:pPr>
        <w:ind w:left="3719" w:hanging="360"/>
      </w:pPr>
    </w:lvl>
    <w:lvl w:ilvl="1" w:tplc="08090019" w:tentative="1">
      <w:start w:val="1"/>
      <w:numFmt w:val="lowerLetter"/>
      <w:lvlText w:val="%2."/>
      <w:lvlJc w:val="left"/>
      <w:pPr>
        <w:ind w:left="4439" w:hanging="360"/>
      </w:pPr>
    </w:lvl>
    <w:lvl w:ilvl="2" w:tplc="0809001B" w:tentative="1">
      <w:start w:val="1"/>
      <w:numFmt w:val="lowerRoman"/>
      <w:lvlText w:val="%3."/>
      <w:lvlJc w:val="right"/>
      <w:pPr>
        <w:ind w:left="5159" w:hanging="180"/>
      </w:pPr>
    </w:lvl>
    <w:lvl w:ilvl="3" w:tplc="0809000F" w:tentative="1">
      <w:start w:val="1"/>
      <w:numFmt w:val="decimal"/>
      <w:lvlText w:val="%4."/>
      <w:lvlJc w:val="left"/>
      <w:pPr>
        <w:ind w:left="5879" w:hanging="360"/>
      </w:pPr>
    </w:lvl>
    <w:lvl w:ilvl="4" w:tplc="08090019" w:tentative="1">
      <w:start w:val="1"/>
      <w:numFmt w:val="lowerLetter"/>
      <w:lvlText w:val="%5."/>
      <w:lvlJc w:val="left"/>
      <w:pPr>
        <w:ind w:left="6599" w:hanging="360"/>
      </w:pPr>
    </w:lvl>
    <w:lvl w:ilvl="5" w:tplc="0809001B" w:tentative="1">
      <w:start w:val="1"/>
      <w:numFmt w:val="lowerRoman"/>
      <w:lvlText w:val="%6."/>
      <w:lvlJc w:val="right"/>
      <w:pPr>
        <w:ind w:left="7319" w:hanging="180"/>
      </w:pPr>
    </w:lvl>
    <w:lvl w:ilvl="6" w:tplc="0809000F" w:tentative="1">
      <w:start w:val="1"/>
      <w:numFmt w:val="decimal"/>
      <w:lvlText w:val="%7."/>
      <w:lvlJc w:val="left"/>
      <w:pPr>
        <w:ind w:left="8039" w:hanging="360"/>
      </w:pPr>
    </w:lvl>
    <w:lvl w:ilvl="7" w:tplc="08090019" w:tentative="1">
      <w:start w:val="1"/>
      <w:numFmt w:val="lowerLetter"/>
      <w:lvlText w:val="%8."/>
      <w:lvlJc w:val="left"/>
      <w:pPr>
        <w:ind w:left="8759" w:hanging="360"/>
      </w:pPr>
    </w:lvl>
    <w:lvl w:ilvl="8" w:tplc="0809001B" w:tentative="1">
      <w:start w:val="1"/>
      <w:numFmt w:val="lowerRoman"/>
      <w:lvlText w:val="%9."/>
      <w:lvlJc w:val="right"/>
      <w:pPr>
        <w:ind w:left="9479" w:hanging="18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3B64773"/>
    <w:multiLevelType w:val="hybridMultilevel"/>
    <w:tmpl w:val="7974F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624B56"/>
    <w:multiLevelType w:val="hybridMultilevel"/>
    <w:tmpl w:val="C20A99E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nsid w:val="271872DB"/>
    <w:multiLevelType w:val="hybridMultilevel"/>
    <w:tmpl w:val="F2A4FF1A"/>
    <w:lvl w:ilvl="0" w:tplc="040C0001">
      <w:start w:val="1"/>
      <w:numFmt w:val="bullet"/>
      <w:lvlText w:val=""/>
      <w:lvlJc w:val="left"/>
      <w:pPr>
        <w:ind w:left="3231" w:hanging="360"/>
      </w:pPr>
      <w:rPr>
        <w:rFonts w:ascii="Symbol" w:hAnsi="Symbol" w:hint="default"/>
      </w:rPr>
    </w:lvl>
    <w:lvl w:ilvl="1" w:tplc="040C0003" w:tentative="1">
      <w:start w:val="1"/>
      <w:numFmt w:val="bullet"/>
      <w:lvlText w:val="o"/>
      <w:lvlJc w:val="left"/>
      <w:pPr>
        <w:ind w:left="3951" w:hanging="360"/>
      </w:pPr>
      <w:rPr>
        <w:rFonts w:ascii="Courier New" w:hAnsi="Courier New" w:hint="default"/>
      </w:rPr>
    </w:lvl>
    <w:lvl w:ilvl="2" w:tplc="040C0005" w:tentative="1">
      <w:start w:val="1"/>
      <w:numFmt w:val="bullet"/>
      <w:lvlText w:val=""/>
      <w:lvlJc w:val="left"/>
      <w:pPr>
        <w:ind w:left="4671" w:hanging="360"/>
      </w:pPr>
      <w:rPr>
        <w:rFonts w:ascii="Wingdings" w:hAnsi="Wingdings" w:hint="default"/>
      </w:rPr>
    </w:lvl>
    <w:lvl w:ilvl="3" w:tplc="040C0001" w:tentative="1">
      <w:start w:val="1"/>
      <w:numFmt w:val="bullet"/>
      <w:lvlText w:val=""/>
      <w:lvlJc w:val="left"/>
      <w:pPr>
        <w:ind w:left="5391" w:hanging="360"/>
      </w:pPr>
      <w:rPr>
        <w:rFonts w:ascii="Symbol" w:hAnsi="Symbol" w:hint="default"/>
      </w:rPr>
    </w:lvl>
    <w:lvl w:ilvl="4" w:tplc="040C0003" w:tentative="1">
      <w:start w:val="1"/>
      <w:numFmt w:val="bullet"/>
      <w:lvlText w:val="o"/>
      <w:lvlJc w:val="left"/>
      <w:pPr>
        <w:ind w:left="6111" w:hanging="360"/>
      </w:pPr>
      <w:rPr>
        <w:rFonts w:ascii="Courier New" w:hAnsi="Courier New" w:hint="default"/>
      </w:rPr>
    </w:lvl>
    <w:lvl w:ilvl="5" w:tplc="040C0005" w:tentative="1">
      <w:start w:val="1"/>
      <w:numFmt w:val="bullet"/>
      <w:lvlText w:val=""/>
      <w:lvlJc w:val="left"/>
      <w:pPr>
        <w:ind w:left="6831" w:hanging="360"/>
      </w:pPr>
      <w:rPr>
        <w:rFonts w:ascii="Wingdings" w:hAnsi="Wingdings" w:hint="default"/>
      </w:rPr>
    </w:lvl>
    <w:lvl w:ilvl="6" w:tplc="040C0001" w:tentative="1">
      <w:start w:val="1"/>
      <w:numFmt w:val="bullet"/>
      <w:lvlText w:val=""/>
      <w:lvlJc w:val="left"/>
      <w:pPr>
        <w:ind w:left="7551" w:hanging="360"/>
      </w:pPr>
      <w:rPr>
        <w:rFonts w:ascii="Symbol" w:hAnsi="Symbol" w:hint="default"/>
      </w:rPr>
    </w:lvl>
    <w:lvl w:ilvl="7" w:tplc="040C0003" w:tentative="1">
      <w:start w:val="1"/>
      <w:numFmt w:val="bullet"/>
      <w:lvlText w:val="o"/>
      <w:lvlJc w:val="left"/>
      <w:pPr>
        <w:ind w:left="8271" w:hanging="360"/>
      </w:pPr>
      <w:rPr>
        <w:rFonts w:ascii="Courier New" w:hAnsi="Courier New" w:hint="default"/>
      </w:rPr>
    </w:lvl>
    <w:lvl w:ilvl="8" w:tplc="040C0005" w:tentative="1">
      <w:start w:val="1"/>
      <w:numFmt w:val="bullet"/>
      <w:lvlText w:val=""/>
      <w:lvlJc w:val="left"/>
      <w:pPr>
        <w:ind w:left="8991" w:hanging="360"/>
      </w:pPr>
      <w:rPr>
        <w:rFonts w:ascii="Wingdings" w:hAnsi="Wingdings" w:hint="default"/>
      </w:rPr>
    </w:lvl>
  </w:abstractNum>
  <w:abstractNum w:abstractNumId="16">
    <w:nsid w:val="299D162D"/>
    <w:multiLevelType w:val="hybridMultilevel"/>
    <w:tmpl w:val="DB7C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CF7DB0"/>
    <w:multiLevelType w:val="multilevel"/>
    <w:tmpl w:val="203887C4"/>
    <w:lvl w:ilvl="0">
      <w:start w:val="1"/>
      <w:numFmt w:val="decimal"/>
      <w:pStyle w:val="JRCLevel-1title"/>
      <w:lvlText w:val="%1"/>
      <w:lvlJc w:val="left"/>
      <w:pPr>
        <w:ind w:left="432" w:hanging="432"/>
      </w:pPr>
      <w:rPr>
        <w:rFonts w:cs="Times New Roman" w:hint="default"/>
      </w:rPr>
    </w:lvl>
    <w:lvl w:ilvl="1">
      <w:start w:val="1"/>
      <w:numFmt w:val="decimal"/>
      <w:pStyle w:val="JRCLevel-2title"/>
      <w:lvlText w:val="%1.%2"/>
      <w:lvlJc w:val="left"/>
      <w:pPr>
        <w:ind w:left="576" w:hanging="576"/>
      </w:pPr>
      <w:rPr>
        <w:rFonts w:cs="Times New Roman" w:hint="default"/>
      </w:rPr>
    </w:lvl>
    <w:lvl w:ilvl="2">
      <w:start w:val="1"/>
      <w:numFmt w:val="decimal"/>
      <w:pStyle w:val="JRCLevel-3title"/>
      <w:lvlText w:val="%1.%2.%3"/>
      <w:lvlJc w:val="left"/>
      <w:pPr>
        <w:ind w:left="720" w:hanging="720"/>
      </w:pPr>
      <w:rPr>
        <w:rFonts w:cs="Times New Roman" w:hint="default"/>
      </w:rPr>
    </w:lvl>
    <w:lvl w:ilvl="3">
      <w:start w:val="1"/>
      <w:numFmt w:val="decimal"/>
      <w:pStyle w:val="JRCLevel-4title"/>
      <w:lvlText w:val="%1.%2.%3.%4"/>
      <w:lvlJc w:val="left"/>
      <w:pPr>
        <w:ind w:left="864" w:hanging="864"/>
      </w:pPr>
      <w:rPr>
        <w:rFonts w:cs="Times New Roman" w:hint="default"/>
      </w:rPr>
    </w:lvl>
    <w:lvl w:ilvl="4">
      <w:start w:val="1"/>
      <w:numFmt w:val="decimal"/>
      <w:pStyle w:val="JRCLevel-5title"/>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2D334C72"/>
    <w:multiLevelType w:val="hybridMultilevel"/>
    <w:tmpl w:val="EA9A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8F36ECB"/>
    <w:multiLevelType w:val="hybridMultilevel"/>
    <w:tmpl w:val="FCF4D9C6"/>
    <w:lvl w:ilvl="0" w:tplc="D6680EF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FF01544"/>
    <w:multiLevelType w:val="hybridMultilevel"/>
    <w:tmpl w:val="2B9C5BB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F146AF"/>
    <w:multiLevelType w:val="hybridMultilevel"/>
    <w:tmpl w:val="E86AD6C2"/>
    <w:lvl w:ilvl="0" w:tplc="0809000F">
      <w:start w:val="1"/>
      <w:numFmt w:val="decimal"/>
      <w:lvlText w:val="%1."/>
      <w:lvlJc w:val="left"/>
      <w:pPr>
        <w:ind w:left="2044" w:hanging="360"/>
      </w:pPr>
    </w:lvl>
    <w:lvl w:ilvl="1" w:tplc="08090019" w:tentative="1">
      <w:start w:val="1"/>
      <w:numFmt w:val="lowerLetter"/>
      <w:lvlText w:val="%2."/>
      <w:lvlJc w:val="left"/>
      <w:pPr>
        <w:ind w:left="2764" w:hanging="360"/>
      </w:pPr>
    </w:lvl>
    <w:lvl w:ilvl="2" w:tplc="0809001B" w:tentative="1">
      <w:start w:val="1"/>
      <w:numFmt w:val="lowerRoman"/>
      <w:lvlText w:val="%3."/>
      <w:lvlJc w:val="right"/>
      <w:pPr>
        <w:ind w:left="3484" w:hanging="180"/>
      </w:pPr>
    </w:lvl>
    <w:lvl w:ilvl="3" w:tplc="0809000F" w:tentative="1">
      <w:start w:val="1"/>
      <w:numFmt w:val="decimal"/>
      <w:lvlText w:val="%4."/>
      <w:lvlJc w:val="left"/>
      <w:pPr>
        <w:ind w:left="4204" w:hanging="360"/>
      </w:pPr>
    </w:lvl>
    <w:lvl w:ilvl="4" w:tplc="08090019" w:tentative="1">
      <w:start w:val="1"/>
      <w:numFmt w:val="lowerLetter"/>
      <w:lvlText w:val="%5."/>
      <w:lvlJc w:val="left"/>
      <w:pPr>
        <w:ind w:left="4924" w:hanging="360"/>
      </w:pPr>
    </w:lvl>
    <w:lvl w:ilvl="5" w:tplc="0809001B" w:tentative="1">
      <w:start w:val="1"/>
      <w:numFmt w:val="lowerRoman"/>
      <w:lvlText w:val="%6."/>
      <w:lvlJc w:val="right"/>
      <w:pPr>
        <w:ind w:left="5644" w:hanging="180"/>
      </w:pPr>
    </w:lvl>
    <w:lvl w:ilvl="6" w:tplc="0809000F" w:tentative="1">
      <w:start w:val="1"/>
      <w:numFmt w:val="decimal"/>
      <w:lvlText w:val="%7."/>
      <w:lvlJc w:val="left"/>
      <w:pPr>
        <w:ind w:left="6364" w:hanging="360"/>
      </w:pPr>
    </w:lvl>
    <w:lvl w:ilvl="7" w:tplc="08090019" w:tentative="1">
      <w:start w:val="1"/>
      <w:numFmt w:val="lowerLetter"/>
      <w:lvlText w:val="%8."/>
      <w:lvlJc w:val="left"/>
      <w:pPr>
        <w:ind w:left="7084" w:hanging="360"/>
      </w:pPr>
    </w:lvl>
    <w:lvl w:ilvl="8" w:tplc="0809001B" w:tentative="1">
      <w:start w:val="1"/>
      <w:numFmt w:val="lowerRoman"/>
      <w:lvlText w:val="%9."/>
      <w:lvlJc w:val="right"/>
      <w:pPr>
        <w:ind w:left="7804" w:hanging="180"/>
      </w:pPr>
    </w:lvl>
  </w:abstractNum>
  <w:abstractNum w:abstractNumId="28">
    <w:nsid w:val="44B172DC"/>
    <w:multiLevelType w:val="hybridMultilevel"/>
    <w:tmpl w:val="83D0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481EA4"/>
    <w:multiLevelType w:val="multilevel"/>
    <w:tmpl w:val="28525E6E"/>
    <w:lvl w:ilvl="0">
      <w:start w:val="1"/>
      <w:numFmt w:val="decimal"/>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rPr>
    </w:lvl>
    <w:lvl w:ilvl="3">
      <w:start w:val="1"/>
      <w:numFmt w:val="bullet"/>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nsid w:val="4A5B46D1"/>
    <w:multiLevelType w:val="hybridMultilevel"/>
    <w:tmpl w:val="FC12E9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4BF35F0F"/>
    <w:multiLevelType w:val="hybridMultilevel"/>
    <w:tmpl w:val="28B0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CA925EB"/>
    <w:multiLevelType w:val="hybridMultilevel"/>
    <w:tmpl w:val="13644318"/>
    <w:lvl w:ilvl="0" w:tplc="08090001">
      <w:start w:val="1"/>
      <w:numFmt w:val="bullet"/>
      <w:lvlText w:val=""/>
      <w:lvlJc w:val="left"/>
      <w:pPr>
        <w:ind w:left="5144" w:hanging="360"/>
      </w:pPr>
      <w:rPr>
        <w:rFonts w:ascii="Symbol" w:hAnsi="Symbol" w:hint="default"/>
      </w:rPr>
    </w:lvl>
    <w:lvl w:ilvl="1" w:tplc="6D8AD4CC">
      <w:numFmt w:val="bullet"/>
      <w:lvlText w:val="•"/>
      <w:lvlJc w:val="left"/>
      <w:pPr>
        <w:ind w:left="5864" w:hanging="360"/>
      </w:pPr>
      <w:rPr>
        <w:rFonts w:ascii="Times New Roman" w:eastAsia="Times New Roman" w:hAnsi="Times New Roman" w:cs="Times New Roman" w:hint="default"/>
      </w:rPr>
    </w:lvl>
    <w:lvl w:ilvl="2" w:tplc="08090005" w:tentative="1">
      <w:start w:val="1"/>
      <w:numFmt w:val="bullet"/>
      <w:lvlText w:val=""/>
      <w:lvlJc w:val="left"/>
      <w:pPr>
        <w:ind w:left="6584" w:hanging="360"/>
      </w:pPr>
      <w:rPr>
        <w:rFonts w:ascii="Wingdings" w:hAnsi="Wingdings" w:hint="default"/>
      </w:rPr>
    </w:lvl>
    <w:lvl w:ilvl="3" w:tplc="08090001" w:tentative="1">
      <w:start w:val="1"/>
      <w:numFmt w:val="bullet"/>
      <w:lvlText w:val=""/>
      <w:lvlJc w:val="left"/>
      <w:pPr>
        <w:ind w:left="7304" w:hanging="360"/>
      </w:pPr>
      <w:rPr>
        <w:rFonts w:ascii="Symbol" w:hAnsi="Symbol" w:hint="default"/>
      </w:rPr>
    </w:lvl>
    <w:lvl w:ilvl="4" w:tplc="08090003" w:tentative="1">
      <w:start w:val="1"/>
      <w:numFmt w:val="bullet"/>
      <w:lvlText w:val="o"/>
      <w:lvlJc w:val="left"/>
      <w:pPr>
        <w:ind w:left="8024" w:hanging="360"/>
      </w:pPr>
      <w:rPr>
        <w:rFonts w:ascii="Courier New" w:hAnsi="Courier New" w:cs="Courier New" w:hint="default"/>
      </w:rPr>
    </w:lvl>
    <w:lvl w:ilvl="5" w:tplc="08090005" w:tentative="1">
      <w:start w:val="1"/>
      <w:numFmt w:val="bullet"/>
      <w:lvlText w:val=""/>
      <w:lvlJc w:val="left"/>
      <w:pPr>
        <w:ind w:left="8744" w:hanging="360"/>
      </w:pPr>
      <w:rPr>
        <w:rFonts w:ascii="Wingdings" w:hAnsi="Wingdings" w:hint="default"/>
      </w:rPr>
    </w:lvl>
    <w:lvl w:ilvl="6" w:tplc="08090001" w:tentative="1">
      <w:start w:val="1"/>
      <w:numFmt w:val="bullet"/>
      <w:lvlText w:val=""/>
      <w:lvlJc w:val="left"/>
      <w:pPr>
        <w:ind w:left="9464" w:hanging="360"/>
      </w:pPr>
      <w:rPr>
        <w:rFonts w:ascii="Symbol" w:hAnsi="Symbol" w:hint="default"/>
      </w:rPr>
    </w:lvl>
    <w:lvl w:ilvl="7" w:tplc="08090003" w:tentative="1">
      <w:start w:val="1"/>
      <w:numFmt w:val="bullet"/>
      <w:lvlText w:val="o"/>
      <w:lvlJc w:val="left"/>
      <w:pPr>
        <w:ind w:left="10184" w:hanging="360"/>
      </w:pPr>
      <w:rPr>
        <w:rFonts w:ascii="Courier New" w:hAnsi="Courier New" w:cs="Courier New" w:hint="default"/>
      </w:rPr>
    </w:lvl>
    <w:lvl w:ilvl="8" w:tplc="08090005" w:tentative="1">
      <w:start w:val="1"/>
      <w:numFmt w:val="bullet"/>
      <w:lvlText w:val=""/>
      <w:lvlJc w:val="left"/>
      <w:pPr>
        <w:ind w:left="10904" w:hanging="360"/>
      </w:pPr>
      <w:rPr>
        <w:rFonts w:ascii="Wingdings" w:hAnsi="Wingdings" w:hint="default"/>
      </w:rPr>
    </w:lvl>
  </w:abstractNum>
  <w:abstractNum w:abstractNumId="34">
    <w:nsid w:val="4E41518A"/>
    <w:multiLevelType w:val="hybridMultilevel"/>
    <w:tmpl w:val="CD5CD0D6"/>
    <w:lvl w:ilvl="0" w:tplc="D550E442">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E53AA2"/>
    <w:multiLevelType w:val="hybridMultilevel"/>
    <w:tmpl w:val="15D62428"/>
    <w:lvl w:ilvl="0" w:tplc="D6680EF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7D49D6"/>
    <w:multiLevelType w:val="hybridMultilevel"/>
    <w:tmpl w:val="442E016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2F83706"/>
    <w:multiLevelType w:val="hybridMultilevel"/>
    <w:tmpl w:val="8D068042"/>
    <w:lvl w:ilvl="0" w:tplc="08090011">
      <w:start w:val="1"/>
      <w:numFmt w:val="decimal"/>
      <w:lvlText w:val="%1)"/>
      <w:lvlJc w:val="left"/>
      <w:pPr>
        <w:ind w:left="720" w:hanging="360"/>
      </w:pPr>
      <w:rPr>
        <w:rFonts w:hint="default"/>
        <w:b/>
        <w:i w:val="0"/>
      </w:rPr>
    </w:lvl>
    <w:lvl w:ilvl="1" w:tplc="B2B2F64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9">
    <w:nsid w:val="58B72246"/>
    <w:multiLevelType w:val="hybridMultilevel"/>
    <w:tmpl w:val="69729518"/>
    <w:lvl w:ilvl="0" w:tplc="B2B2F64C">
      <w:numFmt w:val="bullet"/>
      <w:lvlText w:val="•"/>
      <w:lvlJc w:val="left"/>
      <w:pPr>
        <w:ind w:left="720" w:hanging="360"/>
      </w:pPr>
      <w:rPr>
        <w:rFonts w:ascii="Calibri" w:eastAsiaTheme="minorHAnsi" w:hAnsi="Calibri" w:cstheme="minorBidi" w:hint="default"/>
      </w:rPr>
    </w:lvl>
    <w:lvl w:ilvl="1" w:tplc="B2B2F64C">
      <w:numFmt w:val="bullet"/>
      <w:lvlText w:val="•"/>
      <w:lvlJc w:val="left"/>
      <w:pPr>
        <w:ind w:left="1440" w:hanging="360"/>
      </w:pPr>
      <w:rPr>
        <w:rFonts w:ascii="Calibri" w:eastAsiaTheme="minorHAnsi" w:hAnsi="Calibri" w:cstheme="minorBidi" w:hint="default"/>
      </w:rPr>
    </w:lvl>
    <w:lvl w:ilvl="2" w:tplc="4C7800FC">
      <w:start w:val="2"/>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nsid w:val="5E5121D8"/>
    <w:multiLevelType w:val="hybridMultilevel"/>
    <w:tmpl w:val="870AF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4">
    <w:nsid w:val="65ED6F93"/>
    <w:multiLevelType w:val="hybridMultilevel"/>
    <w:tmpl w:val="5E149F9C"/>
    <w:lvl w:ilvl="0" w:tplc="08090001">
      <w:start w:val="1"/>
      <w:numFmt w:val="bullet"/>
      <w:lvlText w:val=""/>
      <w:lvlJc w:val="left"/>
      <w:pPr>
        <w:ind w:left="1006" w:hanging="360"/>
      </w:pPr>
      <w:rPr>
        <w:rFonts w:ascii="Symbol" w:hAnsi="Symbol" w:hint="default"/>
      </w:rPr>
    </w:lvl>
    <w:lvl w:ilvl="1" w:tplc="08090003" w:tentative="1">
      <w:start w:val="1"/>
      <w:numFmt w:val="bullet"/>
      <w:lvlText w:val="o"/>
      <w:lvlJc w:val="left"/>
      <w:pPr>
        <w:ind w:left="1726" w:hanging="360"/>
      </w:pPr>
      <w:rPr>
        <w:rFonts w:ascii="Courier New" w:hAnsi="Courier New" w:cs="Courier New" w:hint="default"/>
      </w:rPr>
    </w:lvl>
    <w:lvl w:ilvl="2" w:tplc="08090005" w:tentative="1">
      <w:start w:val="1"/>
      <w:numFmt w:val="bullet"/>
      <w:lvlText w:val=""/>
      <w:lvlJc w:val="left"/>
      <w:pPr>
        <w:ind w:left="2446" w:hanging="360"/>
      </w:pPr>
      <w:rPr>
        <w:rFonts w:ascii="Wingdings" w:hAnsi="Wingdings" w:hint="default"/>
      </w:rPr>
    </w:lvl>
    <w:lvl w:ilvl="3" w:tplc="08090001" w:tentative="1">
      <w:start w:val="1"/>
      <w:numFmt w:val="bullet"/>
      <w:lvlText w:val=""/>
      <w:lvlJc w:val="left"/>
      <w:pPr>
        <w:ind w:left="3166" w:hanging="360"/>
      </w:pPr>
      <w:rPr>
        <w:rFonts w:ascii="Symbol" w:hAnsi="Symbol" w:hint="default"/>
      </w:rPr>
    </w:lvl>
    <w:lvl w:ilvl="4" w:tplc="08090003" w:tentative="1">
      <w:start w:val="1"/>
      <w:numFmt w:val="bullet"/>
      <w:lvlText w:val="o"/>
      <w:lvlJc w:val="left"/>
      <w:pPr>
        <w:ind w:left="3886" w:hanging="360"/>
      </w:pPr>
      <w:rPr>
        <w:rFonts w:ascii="Courier New" w:hAnsi="Courier New" w:cs="Courier New" w:hint="default"/>
      </w:rPr>
    </w:lvl>
    <w:lvl w:ilvl="5" w:tplc="08090005" w:tentative="1">
      <w:start w:val="1"/>
      <w:numFmt w:val="bullet"/>
      <w:lvlText w:val=""/>
      <w:lvlJc w:val="left"/>
      <w:pPr>
        <w:ind w:left="4606" w:hanging="360"/>
      </w:pPr>
      <w:rPr>
        <w:rFonts w:ascii="Wingdings" w:hAnsi="Wingdings" w:hint="default"/>
      </w:rPr>
    </w:lvl>
    <w:lvl w:ilvl="6" w:tplc="08090001" w:tentative="1">
      <w:start w:val="1"/>
      <w:numFmt w:val="bullet"/>
      <w:lvlText w:val=""/>
      <w:lvlJc w:val="left"/>
      <w:pPr>
        <w:ind w:left="5326" w:hanging="360"/>
      </w:pPr>
      <w:rPr>
        <w:rFonts w:ascii="Symbol" w:hAnsi="Symbol" w:hint="default"/>
      </w:rPr>
    </w:lvl>
    <w:lvl w:ilvl="7" w:tplc="08090003" w:tentative="1">
      <w:start w:val="1"/>
      <w:numFmt w:val="bullet"/>
      <w:lvlText w:val="o"/>
      <w:lvlJc w:val="left"/>
      <w:pPr>
        <w:ind w:left="6046" w:hanging="360"/>
      </w:pPr>
      <w:rPr>
        <w:rFonts w:ascii="Courier New" w:hAnsi="Courier New" w:cs="Courier New" w:hint="default"/>
      </w:rPr>
    </w:lvl>
    <w:lvl w:ilvl="8" w:tplc="08090005" w:tentative="1">
      <w:start w:val="1"/>
      <w:numFmt w:val="bullet"/>
      <w:lvlText w:val=""/>
      <w:lvlJc w:val="left"/>
      <w:pPr>
        <w:ind w:left="6766" w:hanging="360"/>
      </w:pPr>
      <w:rPr>
        <w:rFonts w:ascii="Wingdings" w:hAnsi="Wingdings" w:hint="default"/>
      </w:rPr>
    </w:lvl>
  </w:abstractNum>
  <w:abstractNum w:abstractNumId="45">
    <w:nsid w:val="664E7D80"/>
    <w:multiLevelType w:val="hybridMultilevel"/>
    <w:tmpl w:val="A75854AA"/>
    <w:lvl w:ilvl="0" w:tplc="AE185314">
      <w:start w:val="3"/>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7FD272E"/>
    <w:multiLevelType w:val="hybridMultilevel"/>
    <w:tmpl w:val="835AAC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nsid w:val="6953587F"/>
    <w:multiLevelType w:val="hybridMultilevel"/>
    <w:tmpl w:val="585C4AE8"/>
    <w:lvl w:ilvl="0" w:tplc="0809000F">
      <w:start w:val="1"/>
      <w:numFmt w:val="decimal"/>
      <w:lvlText w:val="%1."/>
      <w:lvlJc w:val="left"/>
      <w:pPr>
        <w:ind w:left="-2880" w:hanging="360"/>
      </w:pPr>
    </w:lvl>
    <w:lvl w:ilvl="1" w:tplc="08090019">
      <w:start w:val="1"/>
      <w:numFmt w:val="lowerLetter"/>
      <w:lvlText w:val="%2."/>
      <w:lvlJc w:val="left"/>
      <w:pPr>
        <w:ind w:left="-2160" w:hanging="360"/>
      </w:pPr>
    </w:lvl>
    <w:lvl w:ilvl="2" w:tplc="0809001B">
      <w:start w:val="1"/>
      <w:numFmt w:val="lowerRoman"/>
      <w:lvlText w:val="%3."/>
      <w:lvlJc w:val="right"/>
      <w:pPr>
        <w:ind w:left="-1440" w:hanging="180"/>
      </w:pPr>
    </w:lvl>
    <w:lvl w:ilvl="3" w:tplc="0809000F">
      <w:start w:val="1"/>
      <w:numFmt w:val="decimal"/>
      <w:lvlText w:val="%4."/>
      <w:lvlJc w:val="left"/>
      <w:pPr>
        <w:ind w:left="-720" w:hanging="360"/>
      </w:pPr>
    </w:lvl>
    <w:lvl w:ilvl="4" w:tplc="08090019">
      <w:start w:val="1"/>
      <w:numFmt w:val="lowerLetter"/>
      <w:lvlText w:val="%5."/>
      <w:lvlJc w:val="left"/>
      <w:pPr>
        <w:ind w:left="0" w:hanging="360"/>
      </w:pPr>
    </w:lvl>
    <w:lvl w:ilvl="5" w:tplc="0809001B">
      <w:start w:val="1"/>
      <w:numFmt w:val="lowerRoman"/>
      <w:lvlText w:val="%6."/>
      <w:lvlJc w:val="right"/>
      <w:pPr>
        <w:ind w:left="720" w:hanging="180"/>
      </w:pPr>
    </w:lvl>
    <w:lvl w:ilvl="6" w:tplc="0809000F">
      <w:start w:val="1"/>
      <w:numFmt w:val="decimal"/>
      <w:lvlText w:val="%7."/>
      <w:lvlJc w:val="left"/>
      <w:pPr>
        <w:ind w:left="1440" w:hanging="360"/>
      </w:pPr>
    </w:lvl>
    <w:lvl w:ilvl="7" w:tplc="08090019">
      <w:start w:val="1"/>
      <w:numFmt w:val="lowerLetter"/>
      <w:lvlText w:val="%8."/>
      <w:lvlJc w:val="left"/>
      <w:pPr>
        <w:ind w:left="2160" w:hanging="360"/>
      </w:pPr>
    </w:lvl>
    <w:lvl w:ilvl="8" w:tplc="0809001B">
      <w:start w:val="1"/>
      <w:numFmt w:val="lowerRoman"/>
      <w:lvlText w:val="%9."/>
      <w:lvlJc w:val="right"/>
      <w:pPr>
        <w:ind w:left="2880" w:hanging="180"/>
      </w:pPr>
    </w:lvl>
  </w:abstractNum>
  <w:abstractNum w:abstractNumId="48">
    <w:nsid w:val="6A470100"/>
    <w:multiLevelType w:val="hybridMultilevel"/>
    <w:tmpl w:val="107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C94255D"/>
    <w:multiLevelType w:val="hybridMultilevel"/>
    <w:tmpl w:val="F0EA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51">
    <w:nsid w:val="71A8086E"/>
    <w:multiLevelType w:val="hybridMultilevel"/>
    <w:tmpl w:val="2B8A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75311FAE"/>
    <w:multiLevelType w:val="hybridMultilevel"/>
    <w:tmpl w:val="EA2648D0"/>
    <w:lvl w:ilvl="0" w:tplc="16E80C62">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4">
    <w:nsid w:val="78122AE9"/>
    <w:multiLevelType w:val="hybridMultilevel"/>
    <w:tmpl w:val="C90C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CC60872"/>
    <w:multiLevelType w:val="hybridMultilevel"/>
    <w:tmpl w:val="F840337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42"/>
  </w:num>
  <w:num w:numId="3">
    <w:abstractNumId w:val="10"/>
  </w:num>
  <w:num w:numId="4">
    <w:abstractNumId w:val="2"/>
  </w:num>
  <w:num w:numId="5">
    <w:abstractNumId w:val="33"/>
  </w:num>
  <w:num w:numId="6">
    <w:abstractNumId w:val="28"/>
  </w:num>
  <w:num w:numId="7">
    <w:abstractNumId w:val="1"/>
  </w:num>
  <w:num w:numId="8">
    <w:abstractNumId w:val="0"/>
  </w:num>
  <w:num w:numId="9">
    <w:abstractNumId w:val="18"/>
  </w:num>
  <w:num w:numId="10">
    <w:abstractNumId w:val="43"/>
  </w:num>
  <w:num w:numId="11">
    <w:abstractNumId w:val="50"/>
  </w:num>
  <w:num w:numId="12">
    <w:abstractNumId w:val="22"/>
  </w:num>
  <w:num w:numId="13">
    <w:abstractNumId w:val="40"/>
  </w:num>
  <w:num w:numId="14">
    <w:abstractNumId w:val="30"/>
  </w:num>
  <w:num w:numId="15">
    <w:abstractNumId w:val="38"/>
  </w:num>
  <w:num w:numId="16">
    <w:abstractNumId w:val="12"/>
  </w:num>
  <w:num w:numId="17">
    <w:abstractNumId w:val="23"/>
  </w:num>
  <w:num w:numId="18">
    <w:abstractNumId w:val="9"/>
  </w:num>
  <w:num w:numId="19">
    <w:abstractNumId w:val="19"/>
  </w:num>
  <w:num w:numId="20">
    <w:abstractNumId w:val="52"/>
  </w:num>
  <w:num w:numId="21">
    <w:abstractNumId w:val="20"/>
  </w:num>
  <w:num w:numId="22">
    <w:abstractNumId w:val="24"/>
  </w:num>
  <w:num w:numId="23">
    <w:abstractNumId w:val="35"/>
  </w:num>
  <w:num w:numId="24">
    <w:abstractNumId w:val="7"/>
  </w:num>
  <w:num w:numId="25">
    <w:abstractNumId w:val="26"/>
  </w:num>
  <w:num w:numId="26">
    <w:abstractNumId w:val="17"/>
  </w:num>
  <w:num w:numId="27">
    <w:abstractNumId w:val="55"/>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1"/>
  </w:num>
  <w:num w:numId="31">
    <w:abstractNumId w:val="31"/>
  </w:num>
  <w:num w:numId="32">
    <w:abstractNumId w:val="36"/>
  </w:num>
  <w:num w:numId="33">
    <w:abstractNumId w:val="27"/>
  </w:num>
  <w:num w:numId="34">
    <w:abstractNumId w:val="49"/>
  </w:num>
  <w:num w:numId="35">
    <w:abstractNumId w:val="8"/>
  </w:num>
  <w:num w:numId="36">
    <w:abstractNumId w:val="32"/>
  </w:num>
  <w:num w:numId="37">
    <w:abstractNumId w:val="51"/>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41"/>
  </w:num>
  <w:num w:numId="41">
    <w:abstractNumId w:val="4"/>
  </w:num>
  <w:num w:numId="42">
    <w:abstractNumId w:val="37"/>
  </w:num>
  <w:num w:numId="43">
    <w:abstractNumId w:val="54"/>
  </w:num>
  <w:num w:numId="44">
    <w:abstractNumId w:val="48"/>
  </w:num>
  <w:num w:numId="45">
    <w:abstractNumId w:val="16"/>
  </w:num>
  <w:num w:numId="46">
    <w:abstractNumId w:val="39"/>
  </w:num>
  <w:num w:numId="47">
    <w:abstractNumId w:val="21"/>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14"/>
  </w:num>
  <w:num w:numId="51">
    <w:abstractNumId w:val="3"/>
  </w:num>
  <w:num w:numId="52">
    <w:abstractNumId w:val="13"/>
  </w:num>
  <w:num w:numId="53">
    <w:abstractNumId w:val="34"/>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num>
  <w:num w:numId="56">
    <w:abstractNumId w:val="6"/>
  </w:num>
  <w:num w:numId="57">
    <w:abstractNumId w:val="44"/>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hyphenationZone w:val="425"/>
  <w:characterSpacingControl w:val="doNotCompress"/>
  <w:hdrShapeDefaults>
    <o:shapedefaults v:ext="edit" spidmax="1034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7EEB6B9-CD21-43AE-A44F-67EA576B0684"/>
    <w:docVar w:name="LW_COVERPAGE_TYPE" w:val="1"/>
    <w:docVar w:name="LW_CROSSREFERENCE" w:val="{COM(2018) 392 final}_x000d__x000a_{COM(2018) 393 final}_x000a_{COM(2018) 394 final}_x000a_{SEC(2018) 305 final}"/>
    <w:docVar w:name="LW_DocType" w:val="NORMAL"/>
    <w:docVar w:name="LW_EMISSION" w:val="1.6.2018"/>
    <w:docVar w:name="LW_EMISSION_ISODATE" w:val="2018-06-01"/>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 Regulation of the European Parliament and of the Council establishing rules on support for strategic plans to be drawn up by Member States under the Common agricultural policy (CAP Strategic Plans) and financed by the European Agricultural Guarantee Fund (EAGF) and by the European Agricultural Fund for Rural Development (EAFRD) and repealing Regulation (EU) No 1305/2013 of the European Parliament and of the Council and Regulation (EU) No 1307/2013 of the European Parliament and of the Council_x000b__x000b_- Regulation of the European Parliament and of the Council on the financing, management and monitoring of the common agricultural policy and repealing Regulation (EU) No 1306/2013_x000b__x000b_- Regulation of the European Parliament and of the Council amending Regulations (EU) No 1308/2013 establishing a common organisation of the markets in agricultural products, (EU) No 1151/2012 on quality schemes for agricultural products and foodstuffs, (EU) No 251/2014 on the definition, description, presentation, labelling and the protection of geographical indications of aromatised wine products, (EU) No 228/2013 laying down specific measures for agriculture in the outermost regions of the Union and (EU) No 229/2013 laying down specific measures for agriculture in favour of the smaller Aegean islands"/>
    <w:docVar w:name="LW_PART_NBR" w:val="3"/>
    <w:docVar w:name="LW_PART_NBR_TOTAL" w:val="3"/>
    <w:docVar w:name="LW_REF.INST.NEW" w:val="SWD"/>
    <w:docVar w:name="LW_REF.INST.NEW_ADOPTED" w:val="final"/>
    <w:docVar w:name="LW_REF.INST.NEW_TEXT" w:val="(2018) 30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s for a"/>
  </w:docVars>
  <w:rsids>
    <w:rsidRoot w:val="00333A1A"/>
    <w:rsid w:val="00333A1A"/>
    <w:rsid w:val="003D29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annotation text" w:uiPriority="0"/>
    <w:lsdException w:name="index heading" w:uiPriority="0"/>
    <w:lsdException w:name="caption" w:uiPriority="0" w:qFormat="1"/>
    <w:lsdException w:name="table of figures" w:uiPriority="0"/>
    <w:lsdException w:name="envelope address" w:uiPriority="0"/>
    <w:lsdException w:name="envelope return" w:uiPriority="0"/>
    <w:lsdException w:name="annotation reference"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spacing w:before="360" w:after="0"/>
    </w:pPr>
    <w:rPr>
      <w:rFonts w:ascii="Times New Roman" w:hAnsi="Times New Roman"/>
      <w:b/>
      <w:bCs/>
      <w:caps/>
      <w:sz w:val="20"/>
      <w:szCs w:val="24"/>
    </w:rPr>
  </w:style>
  <w:style w:type="paragraph" w:styleId="TOC2">
    <w:name w:val="toc 2"/>
    <w:basedOn w:val="Normal"/>
    <w:next w:val="Normal"/>
    <w:uiPriority w:val="39"/>
    <w:qFormat/>
    <w:pPr>
      <w:spacing w:before="240" w:after="0"/>
    </w:pPr>
    <w:rPr>
      <w:rFonts w:ascii="Times New Roman" w:hAnsi="Times New Roman"/>
      <w:b/>
      <w:bCs/>
      <w:smallCaps/>
      <w:sz w:val="20"/>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Heading 2_sj,List Paragraph1,Számozott lista 1,LISTA,Listaszerű bekezdés1,Dot pt,No Spacing1,List Paragraph Char Char Char,Indicator Text,Numbered Para 1,List Paragraph à moi,Welt L Char,Welt L,Bullet List,FooterText,numbered"/>
    <w:basedOn w:val="Normal"/>
    <w:link w:val="ListParagraphChar"/>
    <w:uiPriority w:val="34"/>
    <w:qFormat/>
    <w:pPr>
      <w:ind w:left="720"/>
      <w:contextualSpacing/>
    </w:pPr>
  </w:style>
  <w:style w:type="paragraph" w:styleId="FootnoteText">
    <w:name w:val="footnote text"/>
    <w:aliases w:val="FußnotentextE,Footnote Text Char1 Char,Footnote Text Char Char Char,Footnote Text Char1 Char Char Char,Footnote Text Char Char Char Char Char,Footnote Text Char1 Char1 Char,Footnote Text Char Char Char1 Char,fn,Footnote text,Plonk,o"/>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FußnotentextE Char,Footnote Text Char1 Char Char,Footnote Text Char Char Char Char,Footnote Text Char1 Char Char Char Char,Footnote Text Char Char Char Char Char Char,Footnote Text Char1 Char1 Char Char,fn Char,Footnote text Char"/>
    <w:basedOn w:val="DefaultParagraphFont"/>
    <w:link w:val="FootnoteText"/>
    <w:uiPriority w:val="99"/>
    <w:rPr>
      <w:rFonts w:ascii="Times New Roman" w:hAnsi="Times New Roman"/>
      <w:sz w:val="18"/>
      <w:szCs w:val="20"/>
    </w:rPr>
  </w:style>
  <w:style w:type="character" w:styleId="FootnoteReference">
    <w:name w:val="footnote reference"/>
    <w:aliases w:val="stylish,EN Footnote Reference,-E Fußnotenzeichen,BVI fnr,Footnote,Footnote symbol,Footnote number,Footnote Reference Number,Footnote reference number,Times 10 Point,Exposant 3 Point,Footnote Reference Superscript,note TESI"/>
    <w:basedOn w:val="DefaultParagraphFont"/>
    <w:link w:val="FootnotesymbolCharChar"/>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ListBullet2">
    <w:name w:val="List Bullet 2"/>
    <w:basedOn w:val="Normal"/>
    <w:unhideWhenUsed/>
    <w:pPr>
      <w:numPr>
        <w:numId w:val="4"/>
      </w:numPr>
      <w:contextualSpacing/>
    </w:p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nhideWhenUsed/>
    <w:qFormat/>
    <w:pPr>
      <w:spacing w:line="240" w:lineRule="auto"/>
    </w:pPr>
    <w:rPr>
      <w:b/>
      <w:bCs/>
      <w:color w:val="4F81BD" w:themeColor="accent1"/>
      <w:sz w:val="18"/>
      <w:szCs w:val="18"/>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TOC3">
    <w:name w:val="toc 3"/>
    <w:basedOn w:val="Normal"/>
    <w:next w:val="Normal"/>
    <w:autoRedefine/>
    <w:uiPriority w:val="39"/>
    <w:unhideWhenUsed/>
    <w:qFormat/>
    <w:pPr>
      <w:spacing w:after="0"/>
      <w:ind w:left="220"/>
    </w:pPr>
    <w:rPr>
      <w:sz w:val="20"/>
      <w:szCs w:val="20"/>
    </w:rPr>
  </w:style>
  <w:style w:type="paragraph" w:styleId="TOC4">
    <w:name w:val="toc 4"/>
    <w:basedOn w:val="Normal"/>
    <w:next w:val="Normal"/>
    <w:autoRedefine/>
    <w:unhideWhenUsed/>
    <w:pPr>
      <w:spacing w:after="0"/>
      <w:ind w:left="440"/>
    </w:pPr>
    <w:rPr>
      <w:sz w:val="20"/>
      <w:szCs w:val="20"/>
    </w:rPr>
  </w:style>
  <w:style w:type="paragraph" w:styleId="TOC5">
    <w:name w:val="toc 5"/>
    <w:basedOn w:val="Normal"/>
    <w:next w:val="Normal"/>
    <w:autoRedefine/>
    <w:unhideWhenUsed/>
    <w:pPr>
      <w:spacing w:after="0"/>
      <w:ind w:left="660"/>
    </w:pPr>
    <w:rPr>
      <w:sz w:val="20"/>
      <w:szCs w:val="20"/>
    </w:rPr>
  </w:style>
  <w:style w:type="paragraph" w:styleId="TOC6">
    <w:name w:val="toc 6"/>
    <w:basedOn w:val="Normal"/>
    <w:next w:val="Normal"/>
    <w:autoRedefine/>
    <w:unhideWhenUsed/>
    <w:pPr>
      <w:spacing w:after="0"/>
      <w:ind w:left="880"/>
    </w:pPr>
    <w:rPr>
      <w:sz w:val="20"/>
      <w:szCs w:val="20"/>
    </w:rPr>
  </w:style>
  <w:style w:type="paragraph" w:styleId="TOC7">
    <w:name w:val="toc 7"/>
    <w:basedOn w:val="Normal"/>
    <w:next w:val="Normal"/>
    <w:autoRedefine/>
    <w:unhideWhenUsed/>
    <w:pPr>
      <w:spacing w:after="0"/>
      <w:ind w:left="1100"/>
    </w:pPr>
    <w:rPr>
      <w:sz w:val="20"/>
      <w:szCs w:val="20"/>
    </w:rPr>
  </w:style>
  <w:style w:type="paragraph" w:styleId="TOC8">
    <w:name w:val="toc 8"/>
    <w:basedOn w:val="Normal"/>
    <w:next w:val="Normal"/>
    <w:autoRedefine/>
    <w:unhideWhenUsed/>
    <w:pPr>
      <w:spacing w:after="0"/>
      <w:ind w:left="1320"/>
    </w:pPr>
    <w:rPr>
      <w:sz w:val="20"/>
      <w:szCs w:val="20"/>
    </w:rPr>
  </w:style>
  <w:style w:type="paragraph" w:styleId="TOC9">
    <w:name w:val="toc 9"/>
    <w:basedOn w:val="Normal"/>
    <w:next w:val="Normal"/>
    <w:autoRedefine/>
    <w:unhideWhenUsed/>
    <w:pPr>
      <w:spacing w:after="0"/>
      <w:ind w:left="1540"/>
    </w:pPr>
    <w:rPr>
      <w:sz w:val="20"/>
      <w:szCs w:val="20"/>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basedOn w:val="Normal"/>
    <w:link w:val="BodyTextChar"/>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3">
    <w:name w:val="List Bullet 3"/>
    <w:basedOn w:val="Text3"/>
    <w:pPr>
      <w:numPr>
        <w:numId w:val="10"/>
      </w:numPr>
      <w:tabs>
        <w:tab w:val="clear" w:pos="2302"/>
      </w:tabs>
    </w:pPr>
  </w:style>
  <w:style w:type="paragraph" w:styleId="ListBullet4">
    <w:name w:val="List Bullet 4"/>
    <w:basedOn w:val="Text4"/>
    <w:pPr>
      <w:numPr>
        <w:numId w:val="11"/>
      </w:numPr>
      <w:tabs>
        <w:tab w:val="clear" w:pos="2302"/>
      </w:tabs>
    </w:pPr>
  </w:style>
  <w:style w:type="paragraph" w:styleId="ListBullet5">
    <w:name w:val="List Bullet 5"/>
    <w:basedOn w:val="Normal"/>
    <w:autoRedefine/>
    <w:pPr>
      <w:numPr>
        <w:numId w:val="7"/>
      </w:numPr>
      <w:spacing w:after="240" w:line="240" w:lineRule="auto"/>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Text2"/>
    <w:pPr>
      <w:numPr>
        <w:numId w:val="18"/>
      </w:numPr>
      <w:tabs>
        <w:tab w:val="clear" w:pos="2302"/>
      </w:tabs>
    </w:pPr>
  </w:style>
  <w:style w:type="paragraph" w:styleId="ListNumber3">
    <w:name w:val="List Number 3"/>
    <w:basedOn w:val="Text3"/>
    <w:pPr>
      <w:numPr>
        <w:numId w:val="19"/>
      </w:numPr>
      <w:tabs>
        <w:tab w:val="clear" w:pos="2302"/>
      </w:tabs>
    </w:pPr>
  </w:style>
  <w:style w:type="paragraph" w:styleId="ListNumber4">
    <w:name w:val="List Number 4"/>
    <w:basedOn w:val="Text4"/>
    <w:pPr>
      <w:numPr>
        <w:numId w:val="20"/>
      </w:numPr>
      <w:tabs>
        <w:tab w:val="clear" w:pos="2302"/>
      </w:tabs>
    </w:pPr>
  </w:style>
  <w:style w:type="paragraph" w:styleId="ListNumber5">
    <w:name w:val="List Number 5"/>
    <w:basedOn w:val="Normal"/>
    <w:pPr>
      <w:numPr>
        <w:numId w:val="8"/>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tabs>
        <w:tab w:val="clear" w:pos="960"/>
        <w:tab w:val="num" w:pos="1200"/>
      </w:tabs>
      <w:ind w:left="120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rPr>
  </w:style>
  <w:style w:type="paragraph" w:styleId="Title">
    <w:name w:val="Title"/>
    <w:basedOn w:val="Normal"/>
    <w:next w:val="SubTitle1"/>
    <w:link w:val="TitleChar"/>
    <w:qFormat/>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9"/>
      </w:numPr>
    </w:pPr>
  </w:style>
  <w:style w:type="paragraph" w:customStyle="1" w:styleId="ListDash">
    <w:name w:val="List Dash"/>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Text2"/>
    <w:pPr>
      <w:numPr>
        <w:numId w:val="13"/>
      </w:numPr>
      <w:tabs>
        <w:tab w:val="clear" w:pos="2302"/>
      </w:tabs>
    </w:pPr>
  </w:style>
  <w:style w:type="paragraph" w:customStyle="1" w:styleId="ListDash3">
    <w:name w:val="List Dash 3"/>
    <w:basedOn w:val="Text3"/>
    <w:pPr>
      <w:numPr>
        <w:numId w:val="14"/>
      </w:numPr>
      <w:tabs>
        <w:tab w:val="clear" w:pos="2302"/>
      </w:tabs>
    </w:pPr>
  </w:style>
  <w:style w:type="paragraph" w:customStyle="1" w:styleId="ListDash4">
    <w:name w:val="List Dash 4"/>
    <w:basedOn w:val="Text4"/>
    <w:pPr>
      <w:numPr>
        <w:numId w:val="15"/>
      </w:numPr>
      <w:tabs>
        <w:tab w:val="clear" w:pos="2302"/>
      </w:tabs>
    </w:pPr>
  </w:style>
  <w:style w:type="paragraph" w:customStyle="1" w:styleId="ListNumberLevel2">
    <w:name w:val="List Number (Level 2)"/>
    <w:basedOn w:val="Normal"/>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7"/>
      </w:numPr>
    </w:pPr>
  </w:style>
  <w:style w:type="paragraph" w:customStyle="1" w:styleId="ListNumber1Level2">
    <w:name w:val="List Number 1 (Level 2)"/>
    <w:basedOn w:val="Text1"/>
    <w:pPr>
      <w:numPr>
        <w:ilvl w:val="1"/>
        <w:numId w:val="17"/>
      </w:numPr>
    </w:pPr>
  </w:style>
  <w:style w:type="paragraph" w:customStyle="1" w:styleId="ListNumber1Level3">
    <w:name w:val="List Number 1 (Level 3)"/>
    <w:basedOn w:val="Text1"/>
    <w:pPr>
      <w:numPr>
        <w:ilvl w:val="2"/>
        <w:numId w:val="17"/>
      </w:numPr>
    </w:pPr>
  </w:style>
  <w:style w:type="paragraph" w:customStyle="1" w:styleId="ListNumber1Level4">
    <w:name w:val="List Number 1 (Level 4)"/>
    <w:basedOn w:val="Text1"/>
    <w:pPr>
      <w:numPr>
        <w:ilvl w:val="3"/>
        <w:numId w:val="17"/>
      </w:numPr>
    </w:pPr>
  </w:style>
  <w:style w:type="paragraph" w:customStyle="1" w:styleId="ListNumber2Level2">
    <w:name w:val="List Number 2 (Level 2)"/>
    <w:basedOn w:val="Text2"/>
    <w:pPr>
      <w:numPr>
        <w:ilvl w:val="1"/>
        <w:numId w:val="18"/>
      </w:numPr>
      <w:tabs>
        <w:tab w:val="clear" w:pos="2302"/>
      </w:tabs>
    </w:pPr>
  </w:style>
  <w:style w:type="paragraph" w:customStyle="1" w:styleId="ListNumber2Level3">
    <w:name w:val="List Number 2 (Level 3)"/>
    <w:basedOn w:val="Text2"/>
    <w:pPr>
      <w:numPr>
        <w:ilvl w:val="2"/>
        <w:numId w:val="18"/>
      </w:numPr>
      <w:tabs>
        <w:tab w:val="clear" w:pos="2302"/>
      </w:tabs>
    </w:pPr>
  </w:style>
  <w:style w:type="paragraph" w:customStyle="1" w:styleId="ListNumber2Level4">
    <w:name w:val="List Number 2 (Level 4)"/>
    <w:basedOn w:val="Text2"/>
    <w:pPr>
      <w:numPr>
        <w:ilvl w:val="3"/>
        <w:numId w:val="18"/>
      </w:numPr>
      <w:tabs>
        <w:tab w:val="clear" w:pos="2302"/>
      </w:tabs>
    </w:pPr>
  </w:style>
  <w:style w:type="paragraph" w:customStyle="1" w:styleId="ListNumber3Level2">
    <w:name w:val="List Number 3 (Level 2)"/>
    <w:basedOn w:val="Text3"/>
    <w:pPr>
      <w:numPr>
        <w:ilvl w:val="1"/>
        <w:numId w:val="19"/>
      </w:numPr>
      <w:tabs>
        <w:tab w:val="clear" w:pos="2302"/>
      </w:tabs>
    </w:pPr>
  </w:style>
  <w:style w:type="paragraph" w:customStyle="1" w:styleId="ListNumber3Level3">
    <w:name w:val="List Number 3 (Level 3)"/>
    <w:basedOn w:val="Text3"/>
    <w:pPr>
      <w:numPr>
        <w:ilvl w:val="2"/>
        <w:numId w:val="19"/>
      </w:numPr>
      <w:tabs>
        <w:tab w:val="clear" w:pos="2302"/>
      </w:tabs>
    </w:pPr>
  </w:style>
  <w:style w:type="paragraph" w:customStyle="1" w:styleId="ListNumber3Level4">
    <w:name w:val="List Number 3 (Level 4)"/>
    <w:basedOn w:val="Text3"/>
    <w:pPr>
      <w:numPr>
        <w:ilvl w:val="3"/>
        <w:numId w:val="19"/>
      </w:numPr>
      <w:tabs>
        <w:tab w:val="clear" w:pos="2302"/>
      </w:tabs>
    </w:pPr>
  </w:style>
  <w:style w:type="paragraph" w:customStyle="1" w:styleId="ListNumber4Level2">
    <w:name w:val="List Number 4 (Level 2)"/>
    <w:basedOn w:val="Text4"/>
    <w:pPr>
      <w:numPr>
        <w:ilvl w:val="1"/>
        <w:numId w:val="20"/>
      </w:numPr>
      <w:tabs>
        <w:tab w:val="clear" w:pos="2302"/>
      </w:tabs>
    </w:pPr>
  </w:style>
  <w:style w:type="paragraph" w:customStyle="1" w:styleId="ListNumber4Level3">
    <w:name w:val="List Number 4 (Level 3)"/>
    <w:basedOn w:val="Text4"/>
    <w:pPr>
      <w:numPr>
        <w:ilvl w:val="2"/>
        <w:numId w:val="20"/>
      </w:numPr>
      <w:tabs>
        <w:tab w:val="clear" w:pos="2302"/>
      </w:tabs>
    </w:pPr>
  </w:style>
  <w:style w:type="paragraph" w:customStyle="1" w:styleId="ListNumber4Level4">
    <w:name w:val="List Number 4 (Level 4)"/>
    <w:basedOn w:val="Text4"/>
    <w:pPr>
      <w:numPr>
        <w:ilvl w:val="3"/>
        <w:numId w:val="20"/>
      </w:numPr>
      <w:tabs>
        <w:tab w:val="clear" w:pos="2302"/>
      </w:tabs>
    </w:p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21"/>
      </w:numPr>
      <w:spacing w:after="240" w:line="360" w:lineRule="auto"/>
    </w:pPr>
    <w:rPr>
      <w:rFonts w:ascii="Times New Roman" w:hAnsi="Times New Roman" w:cs="Times New Roman"/>
      <w:sz w:val="24"/>
    </w:rPr>
  </w:style>
  <w:style w:type="paragraph" w:customStyle="1" w:styleId="LegalNumPar2">
    <w:name w:val="LegalNumPar2"/>
    <w:basedOn w:val="Normal"/>
    <w:pPr>
      <w:numPr>
        <w:ilvl w:val="1"/>
        <w:numId w:val="21"/>
      </w:numPr>
      <w:spacing w:after="240" w:line="360" w:lineRule="auto"/>
      <w:ind w:left="952" w:hanging="476"/>
    </w:pPr>
    <w:rPr>
      <w:rFonts w:ascii="Times New Roman" w:hAnsi="Times New Roman" w:cs="Times New Roman"/>
      <w:sz w:val="24"/>
    </w:rPr>
  </w:style>
  <w:style w:type="paragraph" w:customStyle="1" w:styleId="LegalNumPar3">
    <w:name w:val="LegalNumPar3"/>
    <w:basedOn w:val="Normal"/>
    <w:pPr>
      <w:numPr>
        <w:ilvl w:val="2"/>
        <w:numId w:val="21"/>
      </w:numPr>
      <w:spacing w:after="240" w:line="360" w:lineRule="auto"/>
    </w:pPr>
    <w:rPr>
      <w:rFonts w:ascii="Times New Roman" w:hAnsi="Times New Roman" w:cs="Times New Roman"/>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heme="minorEastAsia"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heme="minorEastAsia" w:hAnsi="Arial" w:cs="Arial"/>
      <w:sz w:val="16"/>
      <w:szCs w:val="16"/>
      <w:lang w:eastAsia="en-GB"/>
    </w:rPr>
  </w:style>
  <w:style w:type="paragraph" w:customStyle="1" w:styleId="JRCFigurecaption">
    <w:name w:val="JRC_Figure_caption"/>
    <w:basedOn w:val="Normal"/>
    <w:next w:val="JRCText"/>
    <w:uiPriority w:val="99"/>
    <w:pPr>
      <w:spacing w:before="360" w:after="120" w:line="240" w:lineRule="auto"/>
      <w:jc w:val="center"/>
    </w:pPr>
    <w:rPr>
      <w:rFonts w:ascii="Verdana" w:eastAsia="Times New Roman" w:hAnsi="Verdana" w:cs="Times New Roman"/>
      <w:sz w:val="18"/>
    </w:rPr>
  </w:style>
  <w:style w:type="paragraph" w:customStyle="1" w:styleId="JRCText">
    <w:name w:val="JRC_Text"/>
    <w:basedOn w:val="Normal"/>
    <w:uiPriority w:val="99"/>
    <w:pPr>
      <w:spacing w:before="120" w:after="120" w:line="240" w:lineRule="auto"/>
      <w:jc w:val="both"/>
    </w:pPr>
    <w:rPr>
      <w:rFonts w:ascii="Verdana" w:eastAsia="Times New Roman" w:hAnsi="Verdana" w:cs="Times New Roman"/>
      <w:sz w:val="20"/>
    </w:rPr>
  </w:style>
  <w:style w:type="paragraph" w:customStyle="1" w:styleId="JRCLevel-2title">
    <w:name w:val="JRC_Level-2_title"/>
    <w:basedOn w:val="Heading2"/>
    <w:next w:val="JRCText"/>
    <w:uiPriority w:val="99"/>
    <w:pPr>
      <w:keepLines/>
      <w:numPr>
        <w:numId w:val="26"/>
      </w:numPr>
      <w:tabs>
        <w:tab w:val="num" w:pos="360"/>
      </w:tabs>
      <w:spacing w:before="240" w:after="120"/>
      <w:ind w:left="0" w:firstLine="0"/>
    </w:pPr>
    <w:rPr>
      <w:rFonts w:ascii="Verdana" w:hAnsi="Verdana"/>
      <w:bCs/>
      <w:iCs/>
      <w:szCs w:val="26"/>
      <w:lang w:val="en-US"/>
    </w:rPr>
  </w:style>
  <w:style w:type="paragraph" w:customStyle="1" w:styleId="JRCLevel-1title">
    <w:name w:val="JRC_Level-1_title"/>
    <w:basedOn w:val="Heading1"/>
    <w:next w:val="JRCText"/>
    <w:uiPriority w:val="99"/>
    <w:pPr>
      <w:pageBreakBefore/>
      <w:numPr>
        <w:numId w:val="26"/>
      </w:numPr>
      <w:tabs>
        <w:tab w:val="num" w:pos="360"/>
      </w:tabs>
      <w:spacing w:before="0" w:after="120"/>
      <w:ind w:left="0" w:firstLine="0"/>
      <w:jc w:val="left"/>
    </w:pPr>
    <w:rPr>
      <w:rFonts w:ascii="Verdana" w:hAnsi="Verdana"/>
      <w:smallCaps w:val="0"/>
      <w:sz w:val="26"/>
      <w:szCs w:val="24"/>
      <w:lang w:val="en-US"/>
    </w:rPr>
  </w:style>
  <w:style w:type="paragraph" w:customStyle="1" w:styleId="JRCLevel-4title">
    <w:name w:val="JRC_Level-4_title"/>
    <w:basedOn w:val="Normal"/>
    <w:next w:val="JRCText"/>
    <w:uiPriority w:val="99"/>
    <w:pPr>
      <w:keepNext/>
      <w:numPr>
        <w:ilvl w:val="3"/>
        <w:numId w:val="26"/>
      </w:numPr>
      <w:spacing w:before="240" w:after="120" w:line="240" w:lineRule="auto"/>
    </w:pPr>
    <w:rPr>
      <w:rFonts w:ascii="Verdana" w:eastAsia="Times New Roman" w:hAnsi="Verdana" w:cs="Times New Roman"/>
      <w:b/>
      <w:i/>
      <w:sz w:val="20"/>
      <w:lang w:eastAsia="en-GB"/>
    </w:rPr>
  </w:style>
  <w:style w:type="paragraph" w:customStyle="1" w:styleId="JRCLevel-3title">
    <w:name w:val="JRC_Level-3_title"/>
    <w:basedOn w:val="Heading3"/>
    <w:next w:val="JRCText"/>
    <w:uiPriority w:val="99"/>
    <w:pPr>
      <w:keepLines/>
      <w:numPr>
        <w:numId w:val="26"/>
      </w:numPr>
      <w:tabs>
        <w:tab w:val="num" w:pos="360"/>
      </w:tabs>
      <w:spacing w:before="240" w:after="120"/>
      <w:ind w:left="0" w:firstLine="0"/>
    </w:pPr>
    <w:rPr>
      <w:rFonts w:ascii="Verdana" w:hAnsi="Verdana"/>
      <w:b/>
      <w:bCs/>
      <w:i w:val="0"/>
      <w:sz w:val="22"/>
      <w:szCs w:val="24"/>
      <w:lang w:val="en-US"/>
    </w:rPr>
  </w:style>
  <w:style w:type="paragraph" w:customStyle="1" w:styleId="JRCLevel-5title">
    <w:name w:val="JRC_Level-5_title"/>
    <w:basedOn w:val="Normal"/>
    <w:next w:val="JRCText"/>
    <w:uiPriority w:val="99"/>
    <w:pPr>
      <w:keepNext/>
      <w:numPr>
        <w:ilvl w:val="4"/>
        <w:numId w:val="26"/>
      </w:numPr>
      <w:spacing w:before="200" w:after="0" w:line="240" w:lineRule="auto"/>
      <w:ind w:left="1134" w:hanging="1134"/>
      <w:outlineLvl w:val="4"/>
    </w:pPr>
    <w:rPr>
      <w:rFonts w:ascii="Verdana" w:eastAsia="Times New Roman" w:hAnsi="Verdana" w:cs="Times New Roman"/>
      <w:sz w:val="20"/>
      <w:lang w:eastAsia="en-GB"/>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cinsinresolver1">
    <w:name w:val="Mención sin resolver1"/>
    <w:basedOn w:val="DefaultParagraphFont"/>
    <w:uiPriority w:val="99"/>
    <w:semiHidden/>
    <w:unhideWhenUsed/>
    <w:rPr>
      <w:color w:val="808080"/>
      <w:shd w:val="clear" w:color="auto" w:fill="E6E6E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gliatabella1">
    <w:name w:val="Griglia tabella1"/>
    <w:basedOn w:val="TableNormal"/>
    <w:next w:val="TableGrid"/>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
    <w:name w:val="Fuente de párrafo predeter."/>
  </w:style>
  <w:style w:type="table" w:customStyle="1" w:styleId="Grigliatabella2">
    <w:name w:val="Griglia tabella2"/>
    <w:basedOn w:val="TableNormal"/>
    <w:next w:val="TableGrid"/>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4">
    <w:name w:val="CM4"/>
    <w:basedOn w:val="Normal"/>
    <w:next w:val="Normal"/>
    <w:uiPriority w:val="99"/>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link w:val="FootnoteReference"/>
    <w:uiPriority w:val="99"/>
    <w:pPr>
      <w:spacing w:before="120" w:after="160" w:line="240" w:lineRule="exact"/>
    </w:pPr>
    <w:rPr>
      <w:vertAlign w:val="superscript"/>
    </w:rPr>
  </w:style>
  <w:style w:type="character" w:styleId="Emphasis">
    <w:name w:val="Emphasis"/>
    <w:basedOn w:val="DefaultParagraphFont"/>
    <w:uiPriority w:val="20"/>
    <w:qFormat/>
    <w:rPr>
      <w:i/>
      <w:iCs/>
    </w:rPr>
  </w:style>
  <w:style w:type="numbering" w:customStyle="1" w:styleId="NoList1">
    <w:name w:val="No List1"/>
    <w:next w:val="NoList"/>
    <w:uiPriority w:val="99"/>
    <w:semiHidden/>
    <w:unhideWhenUsed/>
  </w:style>
  <w:style w:type="paragraph" w:customStyle="1" w:styleId="NachZwischenberschrift">
    <w:name w:val="_Nach_Zwischenüberschrift"/>
    <w:basedOn w:val="Normal"/>
    <w:qFormat/>
    <w:pPr>
      <w:spacing w:before="120" w:after="0" w:line="320" w:lineRule="atLeast"/>
      <w:jc w:val="both"/>
    </w:pPr>
    <w:rPr>
      <w:rFonts w:ascii="Calibri" w:eastAsia="Times New Roman" w:hAnsi="Calibri" w:cs="Times New Roman"/>
      <w:szCs w:val="20"/>
      <w:lang w:eastAsia="de-DE"/>
    </w:rPr>
  </w:style>
  <w:style w:type="character" w:customStyle="1" w:styleId="ListParagraphChar">
    <w:name w:val="List Paragraph Char"/>
    <w:aliases w:val="Heading 2_sj Char,List Paragraph1 Char,Számozott lista 1 Char,LISTA Char,Listaszerű bekezdés1 Char,Dot pt Char,No Spacing1 Char,List Paragraph Char Char Char Char,Indicator Text Char,Numbered Para 1 Char,List Paragraph à moi Char"/>
    <w:link w:val="ListParagraph"/>
    <w:uiPriority w:val="34"/>
    <w:locked/>
  </w:style>
  <w:style w:type="paragraph" w:styleId="NoSpacing">
    <w:name w:val="No Spacing"/>
    <w:uiPriority w:val="1"/>
    <w:qFormat/>
    <w:pPr>
      <w:spacing w:after="0" w:line="240" w:lineRule="auto"/>
    </w:pPr>
  </w:style>
  <w:style w:type="character" w:styleId="Strong">
    <w:name w:val="Strong"/>
    <w:basedOn w:val="DefaultParagraphFont"/>
    <w:uiPriority w:val="22"/>
    <w:qFormat/>
    <w:rPr>
      <w:b/>
      <w:bCs/>
    </w:rPr>
  </w:style>
  <w:style w:type="character" w:customStyle="1" w:styleId="CommentTextChar1">
    <w:name w:val="Comment Text Char1"/>
    <w:basedOn w:val="DefaultParagraphFont"/>
    <w:semiHidden/>
    <w:rPr>
      <w:lang w:eastAsia="en-US"/>
    </w:rPr>
  </w:style>
  <w:style w:type="character" w:customStyle="1" w:styleId="EndNoteBibliographyChar">
    <w:name w:val="EndNote Bibliography Char"/>
    <w:basedOn w:val="DefaultParagraphFont"/>
    <w:link w:val="EndNoteBibliography"/>
    <w:locked/>
    <w:rPr>
      <w:rFonts w:ascii="Tahoma" w:hAnsi="Tahoma" w:cs="Tahoma"/>
    </w:rPr>
  </w:style>
  <w:style w:type="paragraph" w:customStyle="1" w:styleId="EndNoteBibliography">
    <w:name w:val="EndNote Bibliography"/>
    <w:basedOn w:val="Normal"/>
    <w:link w:val="EndNoteBibliographyChar"/>
    <w:pPr>
      <w:spacing w:before="60" w:after="0" w:line="240" w:lineRule="auto"/>
      <w:jc w:val="both"/>
    </w:pPr>
    <w:rPr>
      <w:rFonts w:ascii="Tahoma" w:hAnsi="Tahoma" w:cs="Tahoma"/>
    </w:rPr>
  </w:style>
  <w:style w:type="character" w:customStyle="1" w:styleId="A3">
    <w:name w:val="A3"/>
    <w:uiPriority w:val="99"/>
    <w:rPr>
      <w:rFonts w:cs="Myriad Pro"/>
      <w:b/>
      <w:bCs/>
      <w:color w:val="000000"/>
      <w:sz w:val="120"/>
      <w:szCs w:val="120"/>
    </w:r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leftside">
    <w:name w:val="left_side"/>
    <w:basedOn w:val="DefaultParagraphFont"/>
  </w:style>
  <w:style w:type="character" w:customStyle="1" w:styleId="Mentionnonrsolue2">
    <w:name w:val="Mention non résolue2"/>
    <w:basedOn w:val="DefaultParagraphFont"/>
    <w:uiPriority w:val="99"/>
    <w:semiHidden/>
    <w:unhideWhenUsed/>
    <w:rPr>
      <w:color w:val="808080"/>
      <w:shd w:val="clear" w:color="auto" w:fill="E6E6E6"/>
    </w:rPr>
  </w:style>
  <w:style w:type="character" w:customStyle="1" w:styleId="st1">
    <w:name w:val="st1"/>
    <w:basedOn w:val="DefaultParagraphFont"/>
  </w:style>
  <w:style w:type="character" w:customStyle="1" w:styleId="st">
    <w:name w:val="st"/>
    <w:basedOn w:val="DefaultParagraphFont"/>
  </w:style>
  <w:style w:type="character" w:customStyle="1" w:styleId="nlmarticle-title">
    <w:name w:val="nlm_article-title"/>
    <w:basedOn w:val="DefaultParagraphFont"/>
  </w:style>
  <w:style w:type="character" w:customStyle="1" w:styleId="highlight">
    <w:name w:val="highlight"/>
    <w:basedOn w:val="DefaultParagraphFont"/>
  </w:style>
  <w:style w:type="character" w:customStyle="1" w:styleId="Mentionnonrsolue3">
    <w:name w:val="Mention non résolue3"/>
    <w:basedOn w:val="DefaultParagraphFont"/>
    <w:uiPriority w:val="99"/>
    <w:semiHidden/>
    <w:unhideWhenUsed/>
    <w:rPr>
      <w:color w:val="808080"/>
      <w:shd w:val="clear" w:color="auto" w:fill="E6E6E6"/>
    </w:rPr>
  </w:style>
  <w:style w:type="paragraph" w:customStyle="1" w:styleId="BR-Introductionblue">
    <w:name w:val="BR - Introduction (blue)"/>
    <w:basedOn w:val="Default"/>
    <w:next w:val="Default"/>
    <w:uiPriority w:val="99"/>
    <w:rPr>
      <w:rFonts w:ascii="Myriad Pro" w:hAnsi="Myriad Pro" w:cstheme="minorBidi"/>
      <w:color w:val="auto"/>
    </w:rPr>
  </w:style>
  <w:style w:type="paragraph" w:customStyle="1" w:styleId="BR-normaltext">
    <w:name w:val="BR - normal text"/>
    <w:basedOn w:val="Default"/>
    <w:next w:val="Default"/>
    <w:uiPriority w:val="99"/>
    <w:rPr>
      <w:rFonts w:ascii="Myriad Pro" w:hAnsi="Myriad Pro" w:cstheme="minorBidi"/>
      <w:color w:val="auto"/>
    </w:rPr>
  </w:style>
  <w:style w:type="character" w:customStyle="1" w:styleId="Mentionnonrsolue4">
    <w:name w:val="Mention non résolue4"/>
    <w:basedOn w:val="DefaultParagraphFont"/>
    <w:uiPriority w:val="99"/>
    <w:semiHidden/>
    <w:unhideWhenUsed/>
    <w:rPr>
      <w:color w:val="808080"/>
      <w:shd w:val="clear" w:color="auto" w:fill="E6E6E6"/>
    </w:rPr>
  </w:style>
  <w:style w:type="character" w:customStyle="1" w:styleId="size-m">
    <w:name w:val="size-m"/>
    <w:basedOn w:val="DefaultParagraphFont"/>
  </w:style>
  <w:style w:type="character" w:customStyle="1" w:styleId="A4">
    <w:name w:val="A4"/>
    <w:uiPriority w:val="99"/>
    <w:rPr>
      <w:rFonts w:cs="EC Square Sans Pro"/>
      <w:color w:val="000000"/>
      <w:sz w:val="20"/>
      <w:szCs w:val="20"/>
    </w:rPr>
  </w:style>
  <w:style w:type="paragraph" w:customStyle="1" w:styleId="typedudocumentcp">
    <w:name w:val="typedudocument_cp"/>
    <w:basedOn w:val="Normal"/>
    <w:pPr>
      <w:spacing w:after="0" w:line="240" w:lineRule="auto"/>
      <w:jc w:val="center"/>
    </w:pPr>
    <w:rPr>
      <w:rFonts w:ascii="Times New Roman" w:eastAsia="Times New Roman" w:hAnsi="Times New Roman" w:cs="Times New Roman"/>
      <w:b/>
      <w:bCs/>
      <w:sz w:val="24"/>
      <w:szCs w:val="24"/>
      <w:lang w:eastAsia="en-GB"/>
    </w:rPr>
  </w:style>
  <w:style w:type="paragraph" w:customStyle="1" w:styleId="titreobjetcp">
    <w:name w:val="titreobjet_cp"/>
    <w:basedOn w:val="Normal"/>
    <w:pPr>
      <w:spacing w:after="0" w:line="240" w:lineRule="auto"/>
      <w:jc w:val="center"/>
    </w:pPr>
    <w:rPr>
      <w:rFonts w:ascii="Times New Roman" w:eastAsia="Times New Roman" w:hAnsi="Times New Roman" w:cs="Times New Roman"/>
      <w:b/>
      <w:bCs/>
      <w:sz w:val="24"/>
      <w:szCs w:val="24"/>
      <w:lang w:eastAsia="en-GB"/>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annotation text" w:uiPriority="0"/>
    <w:lsdException w:name="index heading" w:uiPriority="0"/>
    <w:lsdException w:name="caption" w:uiPriority="0" w:qFormat="1"/>
    <w:lsdException w:name="table of figures" w:uiPriority="0"/>
    <w:lsdException w:name="envelope address" w:uiPriority="0"/>
    <w:lsdException w:name="envelope return" w:uiPriority="0"/>
    <w:lsdException w:name="annotation reference"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spacing w:before="360" w:after="0"/>
    </w:pPr>
    <w:rPr>
      <w:rFonts w:ascii="Times New Roman" w:hAnsi="Times New Roman"/>
      <w:b/>
      <w:bCs/>
      <w:caps/>
      <w:sz w:val="20"/>
      <w:szCs w:val="24"/>
    </w:rPr>
  </w:style>
  <w:style w:type="paragraph" w:styleId="TOC2">
    <w:name w:val="toc 2"/>
    <w:basedOn w:val="Normal"/>
    <w:next w:val="Normal"/>
    <w:uiPriority w:val="39"/>
    <w:qFormat/>
    <w:pPr>
      <w:spacing w:before="240" w:after="0"/>
    </w:pPr>
    <w:rPr>
      <w:rFonts w:ascii="Times New Roman" w:hAnsi="Times New Roman"/>
      <w:b/>
      <w:bCs/>
      <w:smallCaps/>
      <w:sz w:val="20"/>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Heading 2_sj,List Paragraph1,Számozott lista 1,LISTA,Listaszerű bekezdés1,Dot pt,No Spacing1,List Paragraph Char Char Char,Indicator Text,Numbered Para 1,List Paragraph à moi,Welt L Char,Welt L,Bullet List,FooterText,numbered"/>
    <w:basedOn w:val="Normal"/>
    <w:link w:val="ListParagraphChar"/>
    <w:uiPriority w:val="34"/>
    <w:qFormat/>
    <w:pPr>
      <w:ind w:left="720"/>
      <w:contextualSpacing/>
    </w:pPr>
  </w:style>
  <w:style w:type="paragraph" w:styleId="FootnoteText">
    <w:name w:val="footnote text"/>
    <w:aliases w:val="FußnotentextE,Footnote Text Char1 Char,Footnote Text Char Char Char,Footnote Text Char1 Char Char Char,Footnote Text Char Char Char Char Char,Footnote Text Char1 Char1 Char,Footnote Text Char Char Char1 Char,fn,Footnote text,Plonk,o"/>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FußnotentextE Char,Footnote Text Char1 Char Char,Footnote Text Char Char Char Char,Footnote Text Char1 Char Char Char Char,Footnote Text Char Char Char Char Char Char,Footnote Text Char1 Char1 Char Char,fn Char,Footnote text Char"/>
    <w:basedOn w:val="DefaultParagraphFont"/>
    <w:link w:val="FootnoteText"/>
    <w:uiPriority w:val="99"/>
    <w:rPr>
      <w:rFonts w:ascii="Times New Roman" w:hAnsi="Times New Roman"/>
      <w:sz w:val="18"/>
      <w:szCs w:val="20"/>
    </w:rPr>
  </w:style>
  <w:style w:type="character" w:styleId="FootnoteReference">
    <w:name w:val="footnote reference"/>
    <w:aliases w:val="stylish,EN Footnote Reference,-E Fußnotenzeichen,BVI fnr,Footnote,Footnote symbol,Footnote number,Footnote Reference Number,Footnote reference number,Times 10 Point,Exposant 3 Point,Footnote Reference Superscript,note TESI"/>
    <w:basedOn w:val="DefaultParagraphFont"/>
    <w:link w:val="FootnotesymbolCharChar"/>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ListBullet2">
    <w:name w:val="List Bullet 2"/>
    <w:basedOn w:val="Normal"/>
    <w:unhideWhenUsed/>
    <w:pPr>
      <w:numPr>
        <w:numId w:val="4"/>
      </w:numPr>
      <w:contextualSpacing/>
    </w:p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nhideWhenUsed/>
    <w:qFormat/>
    <w:pPr>
      <w:spacing w:line="240" w:lineRule="auto"/>
    </w:pPr>
    <w:rPr>
      <w:b/>
      <w:bCs/>
      <w:color w:val="4F81BD" w:themeColor="accent1"/>
      <w:sz w:val="18"/>
      <w:szCs w:val="18"/>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TOC3">
    <w:name w:val="toc 3"/>
    <w:basedOn w:val="Normal"/>
    <w:next w:val="Normal"/>
    <w:autoRedefine/>
    <w:uiPriority w:val="39"/>
    <w:unhideWhenUsed/>
    <w:qFormat/>
    <w:pPr>
      <w:spacing w:after="0"/>
      <w:ind w:left="220"/>
    </w:pPr>
    <w:rPr>
      <w:sz w:val="20"/>
      <w:szCs w:val="20"/>
    </w:rPr>
  </w:style>
  <w:style w:type="paragraph" w:styleId="TOC4">
    <w:name w:val="toc 4"/>
    <w:basedOn w:val="Normal"/>
    <w:next w:val="Normal"/>
    <w:autoRedefine/>
    <w:unhideWhenUsed/>
    <w:pPr>
      <w:spacing w:after="0"/>
      <w:ind w:left="440"/>
    </w:pPr>
    <w:rPr>
      <w:sz w:val="20"/>
      <w:szCs w:val="20"/>
    </w:rPr>
  </w:style>
  <w:style w:type="paragraph" w:styleId="TOC5">
    <w:name w:val="toc 5"/>
    <w:basedOn w:val="Normal"/>
    <w:next w:val="Normal"/>
    <w:autoRedefine/>
    <w:unhideWhenUsed/>
    <w:pPr>
      <w:spacing w:after="0"/>
      <w:ind w:left="660"/>
    </w:pPr>
    <w:rPr>
      <w:sz w:val="20"/>
      <w:szCs w:val="20"/>
    </w:rPr>
  </w:style>
  <w:style w:type="paragraph" w:styleId="TOC6">
    <w:name w:val="toc 6"/>
    <w:basedOn w:val="Normal"/>
    <w:next w:val="Normal"/>
    <w:autoRedefine/>
    <w:unhideWhenUsed/>
    <w:pPr>
      <w:spacing w:after="0"/>
      <w:ind w:left="880"/>
    </w:pPr>
    <w:rPr>
      <w:sz w:val="20"/>
      <w:szCs w:val="20"/>
    </w:rPr>
  </w:style>
  <w:style w:type="paragraph" w:styleId="TOC7">
    <w:name w:val="toc 7"/>
    <w:basedOn w:val="Normal"/>
    <w:next w:val="Normal"/>
    <w:autoRedefine/>
    <w:unhideWhenUsed/>
    <w:pPr>
      <w:spacing w:after="0"/>
      <w:ind w:left="1100"/>
    </w:pPr>
    <w:rPr>
      <w:sz w:val="20"/>
      <w:szCs w:val="20"/>
    </w:rPr>
  </w:style>
  <w:style w:type="paragraph" w:styleId="TOC8">
    <w:name w:val="toc 8"/>
    <w:basedOn w:val="Normal"/>
    <w:next w:val="Normal"/>
    <w:autoRedefine/>
    <w:unhideWhenUsed/>
    <w:pPr>
      <w:spacing w:after="0"/>
      <w:ind w:left="1320"/>
    </w:pPr>
    <w:rPr>
      <w:sz w:val="20"/>
      <w:szCs w:val="20"/>
    </w:rPr>
  </w:style>
  <w:style w:type="paragraph" w:styleId="TOC9">
    <w:name w:val="toc 9"/>
    <w:basedOn w:val="Normal"/>
    <w:next w:val="Normal"/>
    <w:autoRedefine/>
    <w:unhideWhenUsed/>
    <w:pPr>
      <w:spacing w:after="0"/>
      <w:ind w:left="1540"/>
    </w:pPr>
    <w:rPr>
      <w:sz w:val="20"/>
      <w:szCs w:val="20"/>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basedOn w:val="Normal"/>
    <w:link w:val="BodyTextChar"/>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3">
    <w:name w:val="List Bullet 3"/>
    <w:basedOn w:val="Text3"/>
    <w:pPr>
      <w:numPr>
        <w:numId w:val="10"/>
      </w:numPr>
      <w:tabs>
        <w:tab w:val="clear" w:pos="2302"/>
      </w:tabs>
    </w:pPr>
  </w:style>
  <w:style w:type="paragraph" w:styleId="ListBullet4">
    <w:name w:val="List Bullet 4"/>
    <w:basedOn w:val="Text4"/>
    <w:pPr>
      <w:numPr>
        <w:numId w:val="11"/>
      </w:numPr>
      <w:tabs>
        <w:tab w:val="clear" w:pos="2302"/>
      </w:tabs>
    </w:pPr>
  </w:style>
  <w:style w:type="paragraph" w:styleId="ListBullet5">
    <w:name w:val="List Bullet 5"/>
    <w:basedOn w:val="Normal"/>
    <w:autoRedefine/>
    <w:pPr>
      <w:numPr>
        <w:numId w:val="7"/>
      </w:numPr>
      <w:spacing w:after="240" w:line="240" w:lineRule="auto"/>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Text2"/>
    <w:pPr>
      <w:numPr>
        <w:numId w:val="18"/>
      </w:numPr>
      <w:tabs>
        <w:tab w:val="clear" w:pos="2302"/>
      </w:tabs>
    </w:pPr>
  </w:style>
  <w:style w:type="paragraph" w:styleId="ListNumber3">
    <w:name w:val="List Number 3"/>
    <w:basedOn w:val="Text3"/>
    <w:pPr>
      <w:numPr>
        <w:numId w:val="19"/>
      </w:numPr>
      <w:tabs>
        <w:tab w:val="clear" w:pos="2302"/>
      </w:tabs>
    </w:pPr>
  </w:style>
  <w:style w:type="paragraph" w:styleId="ListNumber4">
    <w:name w:val="List Number 4"/>
    <w:basedOn w:val="Text4"/>
    <w:pPr>
      <w:numPr>
        <w:numId w:val="20"/>
      </w:numPr>
      <w:tabs>
        <w:tab w:val="clear" w:pos="2302"/>
      </w:tabs>
    </w:pPr>
  </w:style>
  <w:style w:type="paragraph" w:styleId="ListNumber5">
    <w:name w:val="List Number 5"/>
    <w:basedOn w:val="Normal"/>
    <w:pPr>
      <w:numPr>
        <w:numId w:val="8"/>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tabs>
        <w:tab w:val="clear" w:pos="960"/>
        <w:tab w:val="num" w:pos="1200"/>
      </w:tabs>
      <w:ind w:left="120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rPr>
  </w:style>
  <w:style w:type="paragraph" w:styleId="Title">
    <w:name w:val="Title"/>
    <w:basedOn w:val="Normal"/>
    <w:next w:val="SubTitle1"/>
    <w:link w:val="TitleChar"/>
    <w:qFormat/>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9"/>
      </w:numPr>
    </w:pPr>
  </w:style>
  <w:style w:type="paragraph" w:customStyle="1" w:styleId="ListDash">
    <w:name w:val="List Dash"/>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Text2"/>
    <w:pPr>
      <w:numPr>
        <w:numId w:val="13"/>
      </w:numPr>
      <w:tabs>
        <w:tab w:val="clear" w:pos="2302"/>
      </w:tabs>
    </w:pPr>
  </w:style>
  <w:style w:type="paragraph" w:customStyle="1" w:styleId="ListDash3">
    <w:name w:val="List Dash 3"/>
    <w:basedOn w:val="Text3"/>
    <w:pPr>
      <w:numPr>
        <w:numId w:val="14"/>
      </w:numPr>
      <w:tabs>
        <w:tab w:val="clear" w:pos="2302"/>
      </w:tabs>
    </w:pPr>
  </w:style>
  <w:style w:type="paragraph" w:customStyle="1" w:styleId="ListDash4">
    <w:name w:val="List Dash 4"/>
    <w:basedOn w:val="Text4"/>
    <w:pPr>
      <w:numPr>
        <w:numId w:val="15"/>
      </w:numPr>
      <w:tabs>
        <w:tab w:val="clear" w:pos="2302"/>
      </w:tabs>
    </w:pPr>
  </w:style>
  <w:style w:type="paragraph" w:customStyle="1" w:styleId="ListNumberLevel2">
    <w:name w:val="List Number (Level 2)"/>
    <w:basedOn w:val="Normal"/>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7"/>
      </w:numPr>
    </w:pPr>
  </w:style>
  <w:style w:type="paragraph" w:customStyle="1" w:styleId="ListNumber1Level2">
    <w:name w:val="List Number 1 (Level 2)"/>
    <w:basedOn w:val="Text1"/>
    <w:pPr>
      <w:numPr>
        <w:ilvl w:val="1"/>
        <w:numId w:val="17"/>
      </w:numPr>
    </w:pPr>
  </w:style>
  <w:style w:type="paragraph" w:customStyle="1" w:styleId="ListNumber1Level3">
    <w:name w:val="List Number 1 (Level 3)"/>
    <w:basedOn w:val="Text1"/>
    <w:pPr>
      <w:numPr>
        <w:ilvl w:val="2"/>
        <w:numId w:val="17"/>
      </w:numPr>
    </w:pPr>
  </w:style>
  <w:style w:type="paragraph" w:customStyle="1" w:styleId="ListNumber1Level4">
    <w:name w:val="List Number 1 (Level 4)"/>
    <w:basedOn w:val="Text1"/>
    <w:pPr>
      <w:numPr>
        <w:ilvl w:val="3"/>
        <w:numId w:val="17"/>
      </w:numPr>
    </w:pPr>
  </w:style>
  <w:style w:type="paragraph" w:customStyle="1" w:styleId="ListNumber2Level2">
    <w:name w:val="List Number 2 (Level 2)"/>
    <w:basedOn w:val="Text2"/>
    <w:pPr>
      <w:numPr>
        <w:ilvl w:val="1"/>
        <w:numId w:val="18"/>
      </w:numPr>
      <w:tabs>
        <w:tab w:val="clear" w:pos="2302"/>
      </w:tabs>
    </w:pPr>
  </w:style>
  <w:style w:type="paragraph" w:customStyle="1" w:styleId="ListNumber2Level3">
    <w:name w:val="List Number 2 (Level 3)"/>
    <w:basedOn w:val="Text2"/>
    <w:pPr>
      <w:numPr>
        <w:ilvl w:val="2"/>
        <w:numId w:val="18"/>
      </w:numPr>
      <w:tabs>
        <w:tab w:val="clear" w:pos="2302"/>
      </w:tabs>
    </w:pPr>
  </w:style>
  <w:style w:type="paragraph" w:customStyle="1" w:styleId="ListNumber2Level4">
    <w:name w:val="List Number 2 (Level 4)"/>
    <w:basedOn w:val="Text2"/>
    <w:pPr>
      <w:numPr>
        <w:ilvl w:val="3"/>
        <w:numId w:val="18"/>
      </w:numPr>
      <w:tabs>
        <w:tab w:val="clear" w:pos="2302"/>
      </w:tabs>
    </w:pPr>
  </w:style>
  <w:style w:type="paragraph" w:customStyle="1" w:styleId="ListNumber3Level2">
    <w:name w:val="List Number 3 (Level 2)"/>
    <w:basedOn w:val="Text3"/>
    <w:pPr>
      <w:numPr>
        <w:ilvl w:val="1"/>
        <w:numId w:val="19"/>
      </w:numPr>
      <w:tabs>
        <w:tab w:val="clear" w:pos="2302"/>
      </w:tabs>
    </w:pPr>
  </w:style>
  <w:style w:type="paragraph" w:customStyle="1" w:styleId="ListNumber3Level3">
    <w:name w:val="List Number 3 (Level 3)"/>
    <w:basedOn w:val="Text3"/>
    <w:pPr>
      <w:numPr>
        <w:ilvl w:val="2"/>
        <w:numId w:val="19"/>
      </w:numPr>
      <w:tabs>
        <w:tab w:val="clear" w:pos="2302"/>
      </w:tabs>
    </w:pPr>
  </w:style>
  <w:style w:type="paragraph" w:customStyle="1" w:styleId="ListNumber3Level4">
    <w:name w:val="List Number 3 (Level 4)"/>
    <w:basedOn w:val="Text3"/>
    <w:pPr>
      <w:numPr>
        <w:ilvl w:val="3"/>
        <w:numId w:val="19"/>
      </w:numPr>
      <w:tabs>
        <w:tab w:val="clear" w:pos="2302"/>
      </w:tabs>
    </w:pPr>
  </w:style>
  <w:style w:type="paragraph" w:customStyle="1" w:styleId="ListNumber4Level2">
    <w:name w:val="List Number 4 (Level 2)"/>
    <w:basedOn w:val="Text4"/>
    <w:pPr>
      <w:numPr>
        <w:ilvl w:val="1"/>
        <w:numId w:val="20"/>
      </w:numPr>
      <w:tabs>
        <w:tab w:val="clear" w:pos="2302"/>
      </w:tabs>
    </w:pPr>
  </w:style>
  <w:style w:type="paragraph" w:customStyle="1" w:styleId="ListNumber4Level3">
    <w:name w:val="List Number 4 (Level 3)"/>
    <w:basedOn w:val="Text4"/>
    <w:pPr>
      <w:numPr>
        <w:ilvl w:val="2"/>
        <w:numId w:val="20"/>
      </w:numPr>
      <w:tabs>
        <w:tab w:val="clear" w:pos="2302"/>
      </w:tabs>
    </w:pPr>
  </w:style>
  <w:style w:type="paragraph" w:customStyle="1" w:styleId="ListNumber4Level4">
    <w:name w:val="List Number 4 (Level 4)"/>
    <w:basedOn w:val="Text4"/>
    <w:pPr>
      <w:numPr>
        <w:ilvl w:val="3"/>
        <w:numId w:val="20"/>
      </w:numPr>
      <w:tabs>
        <w:tab w:val="clear" w:pos="2302"/>
      </w:tabs>
    </w:p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21"/>
      </w:numPr>
      <w:spacing w:after="240" w:line="360" w:lineRule="auto"/>
    </w:pPr>
    <w:rPr>
      <w:rFonts w:ascii="Times New Roman" w:hAnsi="Times New Roman" w:cs="Times New Roman"/>
      <w:sz w:val="24"/>
    </w:rPr>
  </w:style>
  <w:style w:type="paragraph" w:customStyle="1" w:styleId="LegalNumPar2">
    <w:name w:val="LegalNumPar2"/>
    <w:basedOn w:val="Normal"/>
    <w:pPr>
      <w:numPr>
        <w:ilvl w:val="1"/>
        <w:numId w:val="21"/>
      </w:numPr>
      <w:spacing w:after="240" w:line="360" w:lineRule="auto"/>
      <w:ind w:left="952" w:hanging="476"/>
    </w:pPr>
    <w:rPr>
      <w:rFonts w:ascii="Times New Roman" w:hAnsi="Times New Roman" w:cs="Times New Roman"/>
      <w:sz w:val="24"/>
    </w:rPr>
  </w:style>
  <w:style w:type="paragraph" w:customStyle="1" w:styleId="LegalNumPar3">
    <w:name w:val="LegalNumPar3"/>
    <w:basedOn w:val="Normal"/>
    <w:pPr>
      <w:numPr>
        <w:ilvl w:val="2"/>
        <w:numId w:val="21"/>
      </w:numPr>
      <w:spacing w:after="240" w:line="360" w:lineRule="auto"/>
    </w:pPr>
    <w:rPr>
      <w:rFonts w:ascii="Times New Roman" w:hAnsi="Times New Roman" w:cs="Times New Roman"/>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heme="minorEastAsia"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heme="minorEastAsia" w:hAnsi="Arial" w:cs="Arial"/>
      <w:sz w:val="16"/>
      <w:szCs w:val="16"/>
      <w:lang w:eastAsia="en-GB"/>
    </w:rPr>
  </w:style>
  <w:style w:type="paragraph" w:customStyle="1" w:styleId="JRCFigurecaption">
    <w:name w:val="JRC_Figure_caption"/>
    <w:basedOn w:val="Normal"/>
    <w:next w:val="JRCText"/>
    <w:uiPriority w:val="99"/>
    <w:pPr>
      <w:spacing w:before="360" w:after="120" w:line="240" w:lineRule="auto"/>
      <w:jc w:val="center"/>
    </w:pPr>
    <w:rPr>
      <w:rFonts w:ascii="Verdana" w:eastAsia="Times New Roman" w:hAnsi="Verdana" w:cs="Times New Roman"/>
      <w:sz w:val="18"/>
    </w:rPr>
  </w:style>
  <w:style w:type="paragraph" w:customStyle="1" w:styleId="JRCText">
    <w:name w:val="JRC_Text"/>
    <w:basedOn w:val="Normal"/>
    <w:uiPriority w:val="99"/>
    <w:pPr>
      <w:spacing w:before="120" w:after="120" w:line="240" w:lineRule="auto"/>
      <w:jc w:val="both"/>
    </w:pPr>
    <w:rPr>
      <w:rFonts w:ascii="Verdana" w:eastAsia="Times New Roman" w:hAnsi="Verdana" w:cs="Times New Roman"/>
      <w:sz w:val="20"/>
    </w:rPr>
  </w:style>
  <w:style w:type="paragraph" w:customStyle="1" w:styleId="JRCLevel-2title">
    <w:name w:val="JRC_Level-2_title"/>
    <w:basedOn w:val="Heading2"/>
    <w:next w:val="JRCText"/>
    <w:uiPriority w:val="99"/>
    <w:pPr>
      <w:keepLines/>
      <w:numPr>
        <w:numId w:val="26"/>
      </w:numPr>
      <w:tabs>
        <w:tab w:val="num" w:pos="360"/>
      </w:tabs>
      <w:spacing w:before="240" w:after="120"/>
      <w:ind w:left="0" w:firstLine="0"/>
    </w:pPr>
    <w:rPr>
      <w:rFonts w:ascii="Verdana" w:hAnsi="Verdana"/>
      <w:bCs/>
      <w:iCs/>
      <w:szCs w:val="26"/>
      <w:lang w:val="en-US"/>
    </w:rPr>
  </w:style>
  <w:style w:type="paragraph" w:customStyle="1" w:styleId="JRCLevel-1title">
    <w:name w:val="JRC_Level-1_title"/>
    <w:basedOn w:val="Heading1"/>
    <w:next w:val="JRCText"/>
    <w:uiPriority w:val="99"/>
    <w:pPr>
      <w:pageBreakBefore/>
      <w:numPr>
        <w:numId w:val="26"/>
      </w:numPr>
      <w:tabs>
        <w:tab w:val="num" w:pos="360"/>
      </w:tabs>
      <w:spacing w:before="0" w:after="120"/>
      <w:ind w:left="0" w:firstLine="0"/>
      <w:jc w:val="left"/>
    </w:pPr>
    <w:rPr>
      <w:rFonts w:ascii="Verdana" w:hAnsi="Verdana"/>
      <w:smallCaps w:val="0"/>
      <w:sz w:val="26"/>
      <w:szCs w:val="24"/>
      <w:lang w:val="en-US"/>
    </w:rPr>
  </w:style>
  <w:style w:type="paragraph" w:customStyle="1" w:styleId="JRCLevel-4title">
    <w:name w:val="JRC_Level-4_title"/>
    <w:basedOn w:val="Normal"/>
    <w:next w:val="JRCText"/>
    <w:uiPriority w:val="99"/>
    <w:pPr>
      <w:keepNext/>
      <w:numPr>
        <w:ilvl w:val="3"/>
        <w:numId w:val="26"/>
      </w:numPr>
      <w:spacing w:before="240" w:after="120" w:line="240" w:lineRule="auto"/>
    </w:pPr>
    <w:rPr>
      <w:rFonts w:ascii="Verdana" w:eastAsia="Times New Roman" w:hAnsi="Verdana" w:cs="Times New Roman"/>
      <w:b/>
      <w:i/>
      <w:sz w:val="20"/>
      <w:lang w:eastAsia="en-GB"/>
    </w:rPr>
  </w:style>
  <w:style w:type="paragraph" w:customStyle="1" w:styleId="JRCLevel-3title">
    <w:name w:val="JRC_Level-3_title"/>
    <w:basedOn w:val="Heading3"/>
    <w:next w:val="JRCText"/>
    <w:uiPriority w:val="99"/>
    <w:pPr>
      <w:keepLines/>
      <w:numPr>
        <w:numId w:val="26"/>
      </w:numPr>
      <w:tabs>
        <w:tab w:val="num" w:pos="360"/>
      </w:tabs>
      <w:spacing w:before="240" w:after="120"/>
      <w:ind w:left="0" w:firstLine="0"/>
    </w:pPr>
    <w:rPr>
      <w:rFonts w:ascii="Verdana" w:hAnsi="Verdana"/>
      <w:b/>
      <w:bCs/>
      <w:i w:val="0"/>
      <w:sz w:val="22"/>
      <w:szCs w:val="24"/>
      <w:lang w:val="en-US"/>
    </w:rPr>
  </w:style>
  <w:style w:type="paragraph" w:customStyle="1" w:styleId="JRCLevel-5title">
    <w:name w:val="JRC_Level-5_title"/>
    <w:basedOn w:val="Normal"/>
    <w:next w:val="JRCText"/>
    <w:uiPriority w:val="99"/>
    <w:pPr>
      <w:keepNext/>
      <w:numPr>
        <w:ilvl w:val="4"/>
        <w:numId w:val="26"/>
      </w:numPr>
      <w:spacing w:before="200" w:after="0" w:line="240" w:lineRule="auto"/>
      <w:ind w:left="1134" w:hanging="1134"/>
      <w:outlineLvl w:val="4"/>
    </w:pPr>
    <w:rPr>
      <w:rFonts w:ascii="Verdana" w:eastAsia="Times New Roman" w:hAnsi="Verdana" w:cs="Times New Roman"/>
      <w:sz w:val="20"/>
      <w:lang w:eastAsia="en-GB"/>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cinsinresolver1">
    <w:name w:val="Mención sin resolver1"/>
    <w:basedOn w:val="DefaultParagraphFont"/>
    <w:uiPriority w:val="99"/>
    <w:semiHidden/>
    <w:unhideWhenUsed/>
    <w:rPr>
      <w:color w:val="808080"/>
      <w:shd w:val="clear" w:color="auto" w:fill="E6E6E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gliatabella1">
    <w:name w:val="Griglia tabella1"/>
    <w:basedOn w:val="TableNormal"/>
    <w:next w:val="TableGrid"/>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
    <w:name w:val="Fuente de párrafo predeter."/>
  </w:style>
  <w:style w:type="table" w:customStyle="1" w:styleId="Grigliatabella2">
    <w:name w:val="Griglia tabella2"/>
    <w:basedOn w:val="TableNormal"/>
    <w:next w:val="TableGrid"/>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4">
    <w:name w:val="CM4"/>
    <w:basedOn w:val="Normal"/>
    <w:next w:val="Normal"/>
    <w:uiPriority w:val="99"/>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link w:val="FootnoteReference"/>
    <w:uiPriority w:val="99"/>
    <w:pPr>
      <w:spacing w:before="120" w:after="160" w:line="240" w:lineRule="exact"/>
    </w:pPr>
    <w:rPr>
      <w:vertAlign w:val="superscript"/>
    </w:rPr>
  </w:style>
  <w:style w:type="character" w:styleId="Emphasis">
    <w:name w:val="Emphasis"/>
    <w:basedOn w:val="DefaultParagraphFont"/>
    <w:uiPriority w:val="20"/>
    <w:qFormat/>
    <w:rPr>
      <w:i/>
      <w:iCs/>
    </w:rPr>
  </w:style>
  <w:style w:type="numbering" w:customStyle="1" w:styleId="NoList1">
    <w:name w:val="No List1"/>
    <w:next w:val="NoList"/>
    <w:uiPriority w:val="99"/>
    <w:semiHidden/>
    <w:unhideWhenUsed/>
  </w:style>
  <w:style w:type="paragraph" w:customStyle="1" w:styleId="NachZwischenberschrift">
    <w:name w:val="_Nach_Zwischenüberschrift"/>
    <w:basedOn w:val="Normal"/>
    <w:qFormat/>
    <w:pPr>
      <w:spacing w:before="120" w:after="0" w:line="320" w:lineRule="atLeast"/>
      <w:jc w:val="both"/>
    </w:pPr>
    <w:rPr>
      <w:rFonts w:ascii="Calibri" w:eastAsia="Times New Roman" w:hAnsi="Calibri" w:cs="Times New Roman"/>
      <w:szCs w:val="20"/>
      <w:lang w:eastAsia="de-DE"/>
    </w:rPr>
  </w:style>
  <w:style w:type="character" w:customStyle="1" w:styleId="ListParagraphChar">
    <w:name w:val="List Paragraph Char"/>
    <w:aliases w:val="Heading 2_sj Char,List Paragraph1 Char,Számozott lista 1 Char,LISTA Char,Listaszerű bekezdés1 Char,Dot pt Char,No Spacing1 Char,List Paragraph Char Char Char Char,Indicator Text Char,Numbered Para 1 Char,List Paragraph à moi Char"/>
    <w:link w:val="ListParagraph"/>
    <w:uiPriority w:val="34"/>
    <w:locked/>
  </w:style>
  <w:style w:type="paragraph" w:styleId="NoSpacing">
    <w:name w:val="No Spacing"/>
    <w:uiPriority w:val="1"/>
    <w:qFormat/>
    <w:pPr>
      <w:spacing w:after="0" w:line="240" w:lineRule="auto"/>
    </w:pPr>
  </w:style>
  <w:style w:type="character" w:styleId="Strong">
    <w:name w:val="Strong"/>
    <w:basedOn w:val="DefaultParagraphFont"/>
    <w:uiPriority w:val="22"/>
    <w:qFormat/>
    <w:rPr>
      <w:b/>
      <w:bCs/>
    </w:rPr>
  </w:style>
  <w:style w:type="character" w:customStyle="1" w:styleId="CommentTextChar1">
    <w:name w:val="Comment Text Char1"/>
    <w:basedOn w:val="DefaultParagraphFont"/>
    <w:semiHidden/>
    <w:rPr>
      <w:lang w:eastAsia="en-US"/>
    </w:rPr>
  </w:style>
  <w:style w:type="character" w:customStyle="1" w:styleId="EndNoteBibliographyChar">
    <w:name w:val="EndNote Bibliography Char"/>
    <w:basedOn w:val="DefaultParagraphFont"/>
    <w:link w:val="EndNoteBibliography"/>
    <w:locked/>
    <w:rPr>
      <w:rFonts w:ascii="Tahoma" w:hAnsi="Tahoma" w:cs="Tahoma"/>
    </w:rPr>
  </w:style>
  <w:style w:type="paragraph" w:customStyle="1" w:styleId="EndNoteBibliography">
    <w:name w:val="EndNote Bibliography"/>
    <w:basedOn w:val="Normal"/>
    <w:link w:val="EndNoteBibliographyChar"/>
    <w:pPr>
      <w:spacing w:before="60" w:after="0" w:line="240" w:lineRule="auto"/>
      <w:jc w:val="both"/>
    </w:pPr>
    <w:rPr>
      <w:rFonts w:ascii="Tahoma" w:hAnsi="Tahoma" w:cs="Tahoma"/>
    </w:rPr>
  </w:style>
  <w:style w:type="character" w:customStyle="1" w:styleId="A3">
    <w:name w:val="A3"/>
    <w:uiPriority w:val="99"/>
    <w:rPr>
      <w:rFonts w:cs="Myriad Pro"/>
      <w:b/>
      <w:bCs/>
      <w:color w:val="000000"/>
      <w:sz w:val="120"/>
      <w:szCs w:val="120"/>
    </w:r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leftside">
    <w:name w:val="left_side"/>
    <w:basedOn w:val="DefaultParagraphFont"/>
  </w:style>
  <w:style w:type="character" w:customStyle="1" w:styleId="Mentionnonrsolue2">
    <w:name w:val="Mention non résolue2"/>
    <w:basedOn w:val="DefaultParagraphFont"/>
    <w:uiPriority w:val="99"/>
    <w:semiHidden/>
    <w:unhideWhenUsed/>
    <w:rPr>
      <w:color w:val="808080"/>
      <w:shd w:val="clear" w:color="auto" w:fill="E6E6E6"/>
    </w:rPr>
  </w:style>
  <w:style w:type="character" w:customStyle="1" w:styleId="st1">
    <w:name w:val="st1"/>
    <w:basedOn w:val="DefaultParagraphFont"/>
  </w:style>
  <w:style w:type="character" w:customStyle="1" w:styleId="st">
    <w:name w:val="st"/>
    <w:basedOn w:val="DefaultParagraphFont"/>
  </w:style>
  <w:style w:type="character" w:customStyle="1" w:styleId="nlmarticle-title">
    <w:name w:val="nlm_article-title"/>
    <w:basedOn w:val="DefaultParagraphFont"/>
  </w:style>
  <w:style w:type="character" w:customStyle="1" w:styleId="highlight">
    <w:name w:val="highlight"/>
    <w:basedOn w:val="DefaultParagraphFont"/>
  </w:style>
  <w:style w:type="character" w:customStyle="1" w:styleId="Mentionnonrsolue3">
    <w:name w:val="Mention non résolue3"/>
    <w:basedOn w:val="DefaultParagraphFont"/>
    <w:uiPriority w:val="99"/>
    <w:semiHidden/>
    <w:unhideWhenUsed/>
    <w:rPr>
      <w:color w:val="808080"/>
      <w:shd w:val="clear" w:color="auto" w:fill="E6E6E6"/>
    </w:rPr>
  </w:style>
  <w:style w:type="paragraph" w:customStyle="1" w:styleId="BR-Introductionblue">
    <w:name w:val="BR - Introduction (blue)"/>
    <w:basedOn w:val="Default"/>
    <w:next w:val="Default"/>
    <w:uiPriority w:val="99"/>
    <w:rPr>
      <w:rFonts w:ascii="Myriad Pro" w:hAnsi="Myriad Pro" w:cstheme="minorBidi"/>
      <w:color w:val="auto"/>
    </w:rPr>
  </w:style>
  <w:style w:type="paragraph" w:customStyle="1" w:styleId="BR-normaltext">
    <w:name w:val="BR - normal text"/>
    <w:basedOn w:val="Default"/>
    <w:next w:val="Default"/>
    <w:uiPriority w:val="99"/>
    <w:rPr>
      <w:rFonts w:ascii="Myriad Pro" w:hAnsi="Myriad Pro" w:cstheme="minorBidi"/>
      <w:color w:val="auto"/>
    </w:rPr>
  </w:style>
  <w:style w:type="character" w:customStyle="1" w:styleId="Mentionnonrsolue4">
    <w:name w:val="Mention non résolue4"/>
    <w:basedOn w:val="DefaultParagraphFont"/>
    <w:uiPriority w:val="99"/>
    <w:semiHidden/>
    <w:unhideWhenUsed/>
    <w:rPr>
      <w:color w:val="808080"/>
      <w:shd w:val="clear" w:color="auto" w:fill="E6E6E6"/>
    </w:rPr>
  </w:style>
  <w:style w:type="character" w:customStyle="1" w:styleId="size-m">
    <w:name w:val="size-m"/>
    <w:basedOn w:val="DefaultParagraphFont"/>
  </w:style>
  <w:style w:type="character" w:customStyle="1" w:styleId="A4">
    <w:name w:val="A4"/>
    <w:uiPriority w:val="99"/>
    <w:rPr>
      <w:rFonts w:cs="EC Square Sans Pro"/>
      <w:color w:val="000000"/>
      <w:sz w:val="20"/>
      <w:szCs w:val="20"/>
    </w:rPr>
  </w:style>
  <w:style w:type="paragraph" w:customStyle="1" w:styleId="typedudocumentcp">
    <w:name w:val="typedudocument_cp"/>
    <w:basedOn w:val="Normal"/>
    <w:pPr>
      <w:spacing w:after="0" w:line="240" w:lineRule="auto"/>
      <w:jc w:val="center"/>
    </w:pPr>
    <w:rPr>
      <w:rFonts w:ascii="Times New Roman" w:eastAsia="Times New Roman" w:hAnsi="Times New Roman" w:cs="Times New Roman"/>
      <w:b/>
      <w:bCs/>
      <w:sz w:val="24"/>
      <w:szCs w:val="24"/>
      <w:lang w:eastAsia="en-GB"/>
    </w:rPr>
  </w:style>
  <w:style w:type="paragraph" w:customStyle="1" w:styleId="titreobjetcp">
    <w:name w:val="titreobjet_cp"/>
    <w:basedOn w:val="Normal"/>
    <w:pPr>
      <w:spacing w:after="0" w:line="240" w:lineRule="auto"/>
      <w:jc w:val="center"/>
    </w:pPr>
    <w:rPr>
      <w:rFonts w:ascii="Times New Roman" w:eastAsia="Times New Roman" w:hAnsi="Times New Roman" w:cs="Times New Roman"/>
      <w:b/>
      <w:bCs/>
      <w:sz w:val="24"/>
      <w:szCs w:val="24"/>
      <w:lang w:eastAsia="en-GB"/>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036691">
      <w:bodyDiv w:val="1"/>
      <w:marLeft w:val="0"/>
      <w:marRight w:val="0"/>
      <w:marTop w:val="0"/>
      <w:marBottom w:val="0"/>
      <w:divBdr>
        <w:top w:val="none" w:sz="0" w:space="0" w:color="auto"/>
        <w:left w:val="none" w:sz="0" w:space="0" w:color="auto"/>
        <w:bottom w:val="none" w:sz="0" w:space="0" w:color="auto"/>
        <w:right w:val="none" w:sz="0" w:space="0" w:color="auto"/>
      </w:divBdr>
    </w:div>
    <w:div w:id="649943117">
      <w:bodyDiv w:val="1"/>
      <w:marLeft w:val="0"/>
      <w:marRight w:val="0"/>
      <w:marTop w:val="0"/>
      <w:marBottom w:val="0"/>
      <w:divBdr>
        <w:top w:val="none" w:sz="0" w:space="0" w:color="auto"/>
        <w:left w:val="none" w:sz="0" w:space="0" w:color="auto"/>
        <w:bottom w:val="none" w:sz="0" w:space="0" w:color="auto"/>
        <w:right w:val="none" w:sz="0" w:space="0" w:color="auto"/>
      </w:divBdr>
    </w:div>
    <w:div w:id="932469801">
      <w:bodyDiv w:val="1"/>
      <w:marLeft w:val="0"/>
      <w:marRight w:val="0"/>
      <w:marTop w:val="0"/>
      <w:marBottom w:val="0"/>
      <w:divBdr>
        <w:top w:val="none" w:sz="0" w:space="0" w:color="auto"/>
        <w:left w:val="none" w:sz="0" w:space="0" w:color="auto"/>
        <w:bottom w:val="none" w:sz="0" w:space="0" w:color="auto"/>
        <w:right w:val="none" w:sz="0" w:space="0" w:color="auto"/>
      </w:divBdr>
    </w:div>
    <w:div w:id="956066186">
      <w:bodyDiv w:val="1"/>
      <w:marLeft w:val="0"/>
      <w:marRight w:val="0"/>
      <w:marTop w:val="0"/>
      <w:marBottom w:val="0"/>
      <w:divBdr>
        <w:top w:val="none" w:sz="0" w:space="0" w:color="auto"/>
        <w:left w:val="none" w:sz="0" w:space="0" w:color="auto"/>
        <w:bottom w:val="none" w:sz="0" w:space="0" w:color="auto"/>
        <w:right w:val="none" w:sz="0" w:space="0" w:color="auto"/>
      </w:divBdr>
    </w:div>
    <w:div w:id="1169516865">
      <w:bodyDiv w:val="1"/>
      <w:marLeft w:val="0"/>
      <w:marRight w:val="0"/>
      <w:marTop w:val="0"/>
      <w:marBottom w:val="0"/>
      <w:divBdr>
        <w:top w:val="none" w:sz="0" w:space="0" w:color="auto"/>
        <w:left w:val="none" w:sz="0" w:space="0" w:color="auto"/>
        <w:bottom w:val="none" w:sz="0" w:space="0" w:color="auto"/>
        <w:right w:val="none" w:sz="0" w:space="0" w:color="auto"/>
      </w:divBdr>
    </w:div>
    <w:div w:id="1430538793">
      <w:bodyDiv w:val="1"/>
      <w:marLeft w:val="0"/>
      <w:marRight w:val="0"/>
      <w:marTop w:val="0"/>
      <w:marBottom w:val="0"/>
      <w:divBdr>
        <w:top w:val="none" w:sz="0" w:space="0" w:color="auto"/>
        <w:left w:val="none" w:sz="0" w:space="0" w:color="auto"/>
        <w:bottom w:val="none" w:sz="0" w:space="0" w:color="auto"/>
        <w:right w:val="none" w:sz="0" w:space="0" w:color="auto"/>
      </w:divBdr>
    </w:div>
    <w:div w:id="1568685793">
      <w:bodyDiv w:val="1"/>
      <w:marLeft w:val="0"/>
      <w:marRight w:val="0"/>
      <w:marTop w:val="0"/>
      <w:marBottom w:val="0"/>
      <w:divBdr>
        <w:top w:val="none" w:sz="0" w:space="0" w:color="auto"/>
        <w:left w:val="none" w:sz="0" w:space="0" w:color="auto"/>
        <w:bottom w:val="none" w:sz="0" w:space="0" w:color="auto"/>
        <w:right w:val="none" w:sz="0" w:space="0" w:color="auto"/>
      </w:divBdr>
    </w:div>
    <w:div w:id="169603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medit.iamb.it/share/img_new_medit_articoli/53_54cannarella.pdf" TargetMode="External"/><Relationship Id="rId299" Type="http://schemas.openxmlformats.org/officeDocument/2006/relationships/hyperlink" Target="http://www.oecd.org/regional/rural-urban-partnerships-an-integrated-approach-to-economic-development.htm" TargetMode="External"/><Relationship Id="rId303" Type="http://schemas.openxmlformats.org/officeDocument/2006/relationships/hyperlink" Target="http://www.europarl.europa.eu/RegData/etudes/STUD/2016/573418/IPOL_STU(2016)573418_EN.pdf" TargetMode="External"/><Relationship Id="rId21" Type="http://schemas.openxmlformats.org/officeDocument/2006/relationships/footer" Target="footer6.xml"/><Relationship Id="rId42" Type="http://schemas.openxmlformats.org/officeDocument/2006/relationships/chart" Target="charts/chart14.xml"/><Relationship Id="rId63" Type="http://schemas.openxmlformats.org/officeDocument/2006/relationships/chart" Target="charts/chart35.xml"/><Relationship Id="rId84" Type="http://schemas.openxmlformats.org/officeDocument/2006/relationships/image" Target="media/image19.emf"/><Relationship Id="rId138" Type="http://schemas.openxmlformats.org/officeDocument/2006/relationships/hyperlink" Target="https://ec.europa.eu/agriculture/external-studies/young-farmers_en" TargetMode="External"/><Relationship Id="rId159" Type="http://schemas.openxmlformats.org/officeDocument/2006/relationships/hyperlink" Target="http://ec.europa.eu/smart-regulation/better_regulation/documents/com_2015_215_en.pdf" TargetMode="External"/><Relationship Id="rId324" Type="http://schemas.openxmlformats.org/officeDocument/2006/relationships/hyperlink" Target="https://ec.europa.eu/agriculture/external-studies/2016-organic-food-chain_en" TargetMode="External"/><Relationship Id="rId345" Type="http://schemas.openxmlformats.org/officeDocument/2006/relationships/hyperlink" Target="https://www.fsa.usda.gov/programs-and-services/farm-bill/index" TargetMode="External"/><Relationship Id="rId170" Type="http://schemas.openxmlformats.org/officeDocument/2006/relationships/hyperlink" Target="https://ec.europa.eu/transparency/regdoc/rep/10102/2016/EN/SWD-2016-319-F1-EN-MAIN.PDF" TargetMode="External"/><Relationship Id="rId191" Type="http://schemas.openxmlformats.org/officeDocument/2006/relationships/hyperlink" Target="http://ec.europa.eu/smart-regulation/roadmaps/docs/plan_2016_526_evaluation_cap_viable_food_production_en.pdf" TargetMode="External"/><Relationship Id="rId205" Type="http://schemas.openxmlformats.org/officeDocument/2006/relationships/hyperlink" Target="https://ec.europa.eu/agriculture/events/cap-have-your-say/workshops_en" TargetMode="External"/><Relationship Id="rId226" Type="http://schemas.openxmlformats.org/officeDocument/2006/relationships/hyperlink" Target="https://www.eca.europa.eu/en/Pages/DocItem.aspx?did=41379" TargetMode="External"/><Relationship Id="rId247" Type="http://schemas.openxmlformats.org/officeDocument/2006/relationships/hyperlink" Target="http://eur-lex.europa.eu/legal-content/en/ALL/?uri=CELEX:32013R1308" TargetMode="External"/><Relationship Id="rId107" Type="http://schemas.openxmlformats.org/officeDocument/2006/relationships/hyperlink" Target="http://www.agrifood.se/Files/AgriFood_WP20143.pdf" TargetMode="External"/><Relationship Id="rId268" Type="http://schemas.openxmlformats.org/officeDocument/2006/relationships/hyperlink" Target="https://www.sfer.asso.fr/source/coll-lait2016/lml2016_c3_santini.pdf" TargetMode="External"/><Relationship Id="rId289" Type="http://schemas.openxmlformats.org/officeDocument/2006/relationships/hyperlink" Target="https://ec.europa.eu/agriculture/evaluation/rural-development-reports/2010-leaderplus-expost_en" TargetMode="External"/><Relationship Id="rId11" Type="http://schemas.openxmlformats.org/officeDocument/2006/relationships/header" Target="header2.xml"/><Relationship Id="rId32" Type="http://schemas.openxmlformats.org/officeDocument/2006/relationships/image" Target="media/image3.emf"/><Relationship Id="rId53" Type="http://schemas.openxmlformats.org/officeDocument/2006/relationships/chart" Target="charts/chart25.xml"/><Relationship Id="rId74" Type="http://schemas.openxmlformats.org/officeDocument/2006/relationships/image" Target="media/image11.png"/><Relationship Id="rId128" Type="http://schemas.openxmlformats.org/officeDocument/2006/relationships/hyperlink" Target="http://citeseerx.ist.psu.edu/viewdoc/download?doi=10.1.1.721.5242&amp;rep=rep1&amp;type=pdf" TargetMode="External"/><Relationship Id="rId149" Type="http://schemas.openxmlformats.org/officeDocument/2006/relationships/hyperlink" Target="https://ec.europa.eu/eip/agriculture/sites/agri-eip/files/eip-agri_fg_citiesfood_final_report_2016_en.pdf" TargetMode="External"/><Relationship Id="rId314" Type="http://schemas.openxmlformats.org/officeDocument/2006/relationships/hyperlink" Target="http://ageconsearch.umn.edu/record/93158/files/wp9.pdf" TargetMode="External"/><Relationship Id="rId335" Type="http://schemas.openxmlformats.org/officeDocument/2006/relationships/hyperlink" Target="https://books.google.be/books?hl=en&amp;lr=&amp;id=oX3oFqAM9GkC&amp;oi=fnd&amp;pg=PR1&amp;dq=Sutton+et+al.+(eds.)+(2011).+The+European+Nitrogen+Assessment:+Sources,+Effects+and+Policy+Perspectives.+Cambridge,+Cambridge+University+Press&amp;ots=xkAiZy-o21&amp;sig=3M0qYZPuoiFNIOxiyMMjqhtypMk" TargetMode="External"/><Relationship Id="rId356" Type="http://schemas.openxmlformats.org/officeDocument/2006/relationships/footer" Target="footer7.xml"/><Relationship Id="rId5" Type="http://schemas.openxmlformats.org/officeDocument/2006/relationships/settings" Target="settings.xml"/><Relationship Id="rId95" Type="http://schemas.openxmlformats.org/officeDocument/2006/relationships/hyperlink" Target="https://ec.europa.eu/agriculture/evaluation/market-and-income-reports/2007-cross-compliance_en" TargetMode="External"/><Relationship Id="rId160" Type="http://schemas.openxmlformats.org/officeDocument/2006/relationships/hyperlink" Target="http://ec.europa.eu/smart-regulation/guidelines/docs/br_toolbox_en.pdf" TargetMode="External"/><Relationship Id="rId181" Type="http://schemas.openxmlformats.org/officeDocument/2006/relationships/hyperlink" Target="http://eur-lex.europa.eu/legal-content/EN/TXT/HTML/?uri=CELEX:52016DC0797&amp;from=EN" TargetMode="External"/><Relationship Id="rId216" Type="http://schemas.openxmlformats.org/officeDocument/2006/relationships/hyperlink" Target="https://www.eca.europa.eu/Lists/ECADocuments/SR13_06/SR13_06_EN.pdf" TargetMode="External"/><Relationship Id="rId237" Type="http://schemas.openxmlformats.org/officeDocument/2006/relationships/hyperlink" Target="http://enrd.ec.europa.eu/enrd-static/policy-in-action/rdp_view/en/view_project_1241_en.html" TargetMode="External"/><Relationship Id="rId258" Type="http://schemas.openxmlformats.org/officeDocument/2006/relationships/hyperlink" Target="http://ec.europa.eu/competition/publications/KD0214955ENN.pdf" TargetMode="External"/><Relationship Id="rId279" Type="http://schemas.openxmlformats.org/officeDocument/2006/relationships/hyperlink" Target="https://ec.europa.eu/agriculture/sites/agriculture/files/evaluation/market-and-income-reports/2011/dairy-sector/fulltext_en.pdf" TargetMode="External"/><Relationship Id="rId22" Type="http://schemas.openxmlformats.org/officeDocument/2006/relationships/chart" Target="charts/chart1.xml"/><Relationship Id="rId43" Type="http://schemas.openxmlformats.org/officeDocument/2006/relationships/chart" Target="charts/chart15.xml"/><Relationship Id="rId64" Type="http://schemas.openxmlformats.org/officeDocument/2006/relationships/chart" Target="charts/chart36.xml"/><Relationship Id="rId118" Type="http://schemas.openxmlformats.org/officeDocument/2006/relationships/hyperlink" Target="http://ec.europa.eu/smart-regulation/refit/admin_burden/docs/enterprise/documents/files/abs_development_reduction_recommendations_en.pdf" TargetMode="External"/><Relationship Id="rId139" Type="http://schemas.openxmlformats.org/officeDocument/2006/relationships/hyperlink" Target="https://ec.europa.eu/agriculture/sites/agriculture/files/consultations/cap-modernising/summary-public-consul.pdf" TargetMode="External"/><Relationship Id="rId290" Type="http://schemas.openxmlformats.org/officeDocument/2006/relationships/hyperlink" Target="https://ageconsearch.umn.edu/bitstream/205102/2/14705-32445-1-PB.pdf" TargetMode="External"/><Relationship Id="rId304" Type="http://schemas.openxmlformats.org/officeDocument/2006/relationships/hyperlink" Target="http://ageconsearch.umn.edu/record/128790/files/FM%20WP%2028%20CAP%20_%20Farm%20Labour%20Migration.pdf" TargetMode="External"/><Relationship Id="rId325" Type="http://schemas.openxmlformats.org/officeDocument/2006/relationships/hyperlink" Target="https://www.researchgate.net/publication/200668093_How_farming_styles_influence_biodiversity_maintenance_in_Austrian_agricultural_landscapes" TargetMode="External"/><Relationship Id="rId346" Type="http://schemas.openxmlformats.org/officeDocument/2006/relationships/hyperlink" Target="http://publications.jrc.ec.europa.eu/repository/bitstream/JRC83284/behaviouralsciencepolicybriefonline-spreads.pdf" TargetMode="External"/><Relationship Id="rId85" Type="http://schemas.openxmlformats.org/officeDocument/2006/relationships/image" Target="media/image20.emf"/><Relationship Id="rId150" Type="http://schemas.openxmlformats.org/officeDocument/2006/relationships/hyperlink" Target="http://digitalcommons.ilr.cornell.edu/cgi/viewcontent.cgi?article=1420&amp;context=intl" TargetMode="External"/><Relationship Id="rId171" Type="http://schemas.openxmlformats.org/officeDocument/2006/relationships/hyperlink" Target="http://ec.europa.eu/newsroom/horizon2020/document.cfm?doc_id=16669" TargetMode="External"/><Relationship Id="rId192" Type="http://schemas.openxmlformats.org/officeDocument/2006/relationships/hyperlink" Target="http://ec.europa.eu/research/participants/portal/desktop/en/opportunities/h2020/topics/rur-16-2019.html" TargetMode="External"/><Relationship Id="rId206" Type="http://schemas.openxmlformats.org/officeDocument/2006/relationships/hyperlink" Target="https://ec.europa.eu/agriculture/sites/agriculture/files/rural-area-economics/briefs/pdf/015_en.pdf" TargetMode="External"/><Relationship Id="rId227" Type="http://schemas.openxmlformats.org/officeDocument/2006/relationships/hyperlink" Target="https://www.eca.europa.eu/Lists/ECADocuments/SR17_10/SR_YOUNG_FARMERS_EN.pdf" TargetMode="External"/><Relationship Id="rId248" Type="http://schemas.openxmlformats.org/officeDocument/2006/relationships/hyperlink" Target="http://www.europarl.europa.eu/external/html/welcomingeurope/default_en.htm" TargetMode="External"/><Relationship Id="rId269" Type="http://schemas.openxmlformats.org/officeDocument/2006/relationships/hyperlink" Target="http://www.kluwerlawonline.com/document.php?id=IJCL2014009&amp;PHPSESSID=71sq327n47vta5bbeqaj4eavd5" TargetMode="External"/><Relationship Id="rId12" Type="http://schemas.openxmlformats.org/officeDocument/2006/relationships/footer" Target="footer1.xml"/><Relationship Id="rId33" Type="http://schemas.openxmlformats.org/officeDocument/2006/relationships/image" Target="media/image4.png"/><Relationship Id="rId108" Type="http://schemas.openxmlformats.org/officeDocument/2006/relationships/hyperlink" Target="https://www.researchgate.net/publication/296342381_Changing_social_characteristics_patterns_of_inequality_and_exclusion" TargetMode="External"/><Relationship Id="rId129" Type="http://schemas.openxmlformats.org/officeDocument/2006/relationships/hyperlink" Target="http://eprints.lse.ac.uk/66946/1/Crescenzi_EU%20cohesion%20policy_2016.pdf" TargetMode="External"/><Relationship Id="rId280" Type="http://schemas.openxmlformats.org/officeDocument/2006/relationships/hyperlink" Target="http://www.flint-fp7.eu/index.html" TargetMode="External"/><Relationship Id="rId315" Type="http://schemas.openxmlformats.org/officeDocument/2006/relationships/hyperlink" Target="https://econpapers.repec.org/article/blaagecon/" TargetMode="External"/><Relationship Id="rId336" Type="http://schemas.openxmlformats.org/officeDocument/2006/relationships/hyperlink" Target="http://ec.europa.eu/regional_policy/sources/docgener/studies/pdf/new_prov_simplification_esif_en.pdf" TargetMode="External"/><Relationship Id="rId357" Type="http://schemas.openxmlformats.org/officeDocument/2006/relationships/footer" Target="footer8.xml"/><Relationship Id="rId54" Type="http://schemas.openxmlformats.org/officeDocument/2006/relationships/chart" Target="charts/chart26.xml"/><Relationship Id="rId75" Type="http://schemas.openxmlformats.org/officeDocument/2006/relationships/image" Target="media/image12.png"/><Relationship Id="rId96" Type="http://schemas.openxmlformats.org/officeDocument/2006/relationships/hyperlink" Target="https://ec.europa.eu/agriculture/sites/agriculture/files/fullrep_en.pdf" TargetMode="External"/><Relationship Id="rId140" Type="http://schemas.openxmlformats.org/officeDocument/2006/relationships/hyperlink" Target="https://publications.europa.eu/en/publication-detail/-/publication/e789793a-ec9d-49d2-b4b4-29bbf9205f5d/language-en/format-PDF/source-search" TargetMode="External"/><Relationship Id="rId161" Type="http://schemas.openxmlformats.org/officeDocument/2006/relationships/hyperlink" Target="https://ec.europa.eu/digital-single-market/news/digital-agenda-scoreboard-2015-most-targets-reached-time-has-come-lift-digital-borders" TargetMode="External"/><Relationship Id="rId182" Type="http://schemas.openxmlformats.org/officeDocument/2006/relationships/hyperlink" Target="https://ec.europa.eu/commission/sites/beta-political/files/reflection-paper-eu-finances_en.pdf" TargetMode="External"/><Relationship Id="rId217" Type="http://schemas.openxmlformats.org/officeDocument/2006/relationships/hyperlink" Target="https://www.eca.europa.eu/Lists/ECADocuments/SR14_04/SR14_04_EN.pdf" TargetMode="External"/><Relationship Id="rId6" Type="http://schemas.openxmlformats.org/officeDocument/2006/relationships/webSettings" Target="webSettings.xml"/><Relationship Id="rId238" Type="http://schemas.openxmlformats.org/officeDocument/2006/relationships/hyperlink" Target="https://enrd.ec.europa.eu/news-events/events/enrd-workshop-social-inclusion_en" TargetMode="External"/><Relationship Id="rId259" Type="http://schemas.openxmlformats.org/officeDocument/2006/relationships/hyperlink" Target="http://ec.europa.eu/agriculture/rur/leader2/rural-fr/biblio/exclusion/exclusion.pdf" TargetMode="External"/><Relationship Id="rId23" Type="http://schemas.openxmlformats.org/officeDocument/2006/relationships/chart" Target="charts/chart2.xml"/><Relationship Id="rId119" Type="http://schemas.openxmlformats.org/officeDocument/2006/relationships/hyperlink" Target="https://ec.europa.eu/agriculture/external-studies/rd-simplification_en" TargetMode="External"/><Relationship Id="rId270" Type="http://schemas.openxmlformats.org/officeDocument/2006/relationships/hyperlink" Target="https://www.foropac.es/sites/default/files/documentos/IEEP.pdf" TargetMode="External"/><Relationship Id="rId291" Type="http://schemas.openxmlformats.org/officeDocument/2006/relationships/hyperlink" Target="https://ec.europa.eu/jrc/en/publication/eur-scientific-and-technical-research-reports/delivering-eu-food-safety-and-nutrition-2050-future-challenges-and-policy-preparedness" TargetMode="External"/><Relationship Id="rId305" Type="http://schemas.openxmlformats.org/officeDocument/2006/relationships/hyperlink" Target="https://www.sciencedirect.com/science/article/pii/S004896971531247X" TargetMode="External"/><Relationship Id="rId326" Type="http://schemas.openxmlformats.org/officeDocument/2006/relationships/hyperlink" Target="http://www.europarl.europa.eu/RegData/etudes/STUD/2016/581892/EPRS_STU(2016)581892_EN.pdf" TargetMode="External"/><Relationship Id="rId347" Type="http://schemas.openxmlformats.org/officeDocument/2006/relationships/hyperlink" Target="http://www.wcdp.ie/wp-content/uploads/2013/03/Employment-and-Social-Inclusion-in-Rural-Areas-A-Fresh-Start-2.pdf" TargetMode="External"/><Relationship Id="rId44" Type="http://schemas.openxmlformats.org/officeDocument/2006/relationships/chart" Target="charts/chart16.xml"/><Relationship Id="rId65" Type="http://schemas.openxmlformats.org/officeDocument/2006/relationships/image" Target="media/image7.png"/><Relationship Id="rId86" Type="http://schemas.openxmlformats.org/officeDocument/2006/relationships/image" Target="media/image21.emf"/><Relationship Id="rId130" Type="http://schemas.openxmlformats.org/officeDocument/2006/relationships/hyperlink" Target="https://econrsa.org/system/files/publications/working_papers/working_paper_407.pdf" TargetMode="External"/><Relationship Id="rId151" Type="http://schemas.openxmlformats.org/officeDocument/2006/relationships/hyperlink" Target="https://www.espon.eu/programme/projects/espon-2013/targeted-analyses/euroislands-development-islands-%E2%80%93-european-islands" TargetMode="External"/><Relationship Id="rId172" Type="http://schemas.openxmlformats.org/officeDocument/2006/relationships/hyperlink" Target="http://ec.europa.eu/environment/nature/legislation/fitness_check/docs/nature_fitness_check.pdf" TargetMode="External"/><Relationship Id="rId193" Type="http://schemas.openxmlformats.org/officeDocument/2006/relationships/hyperlink" Target="http://ec.europa.eu/regional_policy/en/policy/how/improving-investment/high-level-group-simplification/" TargetMode="External"/><Relationship Id="rId207" Type="http://schemas.openxmlformats.org/officeDocument/2006/relationships/hyperlink" Target="https://circabc.europa.eu/sd/a/abff972e-203a-4b4e-b42e-a0f291d3fdf9/SWD_2017_EN_V4_P1_885057.pdf" TargetMode="External"/><Relationship Id="rId228" Type="http://schemas.openxmlformats.org/officeDocument/2006/relationships/hyperlink" Target="https://www.eea.europa.eu/downloads/a898650f58a641589eb0ad2cd92b55be/1481900146/agriculture-and-climate-change.pdf?direct=1" TargetMode="External"/><Relationship Id="rId249" Type="http://schemas.openxmlformats.org/officeDocument/2006/relationships/hyperlink" Target="http://ec.europa.eu/eurostat/documents/3217494/5713579/KS-DY-09-001-EN.PDF/35c63f24-25fe-42a8-8ba3-8f4ff19ae3e9?version=1.0" TargetMode="External"/><Relationship Id="rId13" Type="http://schemas.openxmlformats.org/officeDocument/2006/relationships/footer" Target="footer2.xml"/><Relationship Id="rId109" Type="http://schemas.openxmlformats.org/officeDocument/2006/relationships/hyperlink" Target="http://www.cohesion-territoires.gouv.fr/IMG/pdf/2016.01.07_rapport_bonnet-1.pdf" TargetMode="External"/><Relationship Id="rId260" Type="http://schemas.openxmlformats.org/officeDocument/2006/relationships/hyperlink" Target="https://www.espon.eu/sites/default/files/attachments/ATLAS-ESPON-2013_0.pdf" TargetMode="External"/><Relationship Id="rId281" Type="http://schemas.openxmlformats.org/officeDocument/2006/relationships/hyperlink" Target="http://www-sre.wu.ac.at/ersa/ersaconfs/ersa10/ERSA2010finalpaper1650.pdf" TargetMode="External"/><Relationship Id="rId316" Type="http://schemas.openxmlformats.org/officeDocument/2006/relationships/hyperlink" Target="http://www.openspace.eca.ed.ac.uk/wp-content/uploads/2015/12/Peri_Urbanisation_in_Europe_printversion.pdf" TargetMode="External"/><Relationship Id="rId337" Type="http://schemas.openxmlformats.org/officeDocument/2006/relationships/hyperlink" Target="https://ec.europa.eu/agriculture/sites/agriculture/files/external-studies/2008/landmarkets/report_en.pdf" TargetMode="External"/><Relationship Id="rId34" Type="http://schemas.openxmlformats.org/officeDocument/2006/relationships/image" Target="cid:image003.png@01D3B6F9.301EE780" TargetMode="External"/><Relationship Id="rId55" Type="http://schemas.openxmlformats.org/officeDocument/2006/relationships/chart" Target="charts/chart27.xml"/><Relationship Id="rId76" Type="http://schemas.openxmlformats.org/officeDocument/2006/relationships/image" Target="media/image13.emf"/><Relationship Id="rId97" Type="http://schemas.openxmlformats.org/officeDocument/2006/relationships/hyperlink" Target="https://ec.europa.eu/agriculture/sites/agriculture/files/external-studies/2012/renewable-energy-impacts/full_text_en.pdf" TargetMode="External"/><Relationship Id="rId120" Type="http://schemas.openxmlformats.org/officeDocument/2006/relationships/hyperlink" Target="http://www.cema-agri.org/" TargetMode="External"/><Relationship Id="rId141" Type="http://schemas.openxmlformats.org/officeDocument/2006/relationships/hyperlink" Target="https://ec.europa.eu/agriculture/external-studies/mapping-analysis-implementation-cap_en" TargetMode="External"/><Relationship Id="rId358" Type="http://schemas.openxmlformats.org/officeDocument/2006/relationships/header" Target="header9.xml"/><Relationship Id="rId7" Type="http://schemas.openxmlformats.org/officeDocument/2006/relationships/footnotes" Target="footnotes.xml"/><Relationship Id="rId162" Type="http://schemas.openxmlformats.org/officeDocument/2006/relationships/hyperlink" Target="https://circabc.europa.eu/sd/a/4063d635-957b-4b6f-bfd4-b51b0acb2570/Guidance%20No%2031%20-%20Ecological%20flows%20%28final%20version%29.pdf" TargetMode="External"/><Relationship Id="rId183" Type="http://schemas.openxmlformats.org/officeDocument/2006/relationships/hyperlink" Target="https://ec.europa.eu/transparency/regdoc/rep/1/2017/EN/COM-2017-623-F1-EN-MAIN-PART-1.PDF" TargetMode="External"/><Relationship Id="rId218" Type="http://schemas.openxmlformats.org/officeDocument/2006/relationships/hyperlink" Target="http://www.eca.europa.eu/en/Pages/DocItem.aspx?did=35306" TargetMode="External"/><Relationship Id="rId239" Type="http://schemas.openxmlformats.org/officeDocument/2006/relationships/hyperlink" Target="http://eur-lex.europa.eu/legal-content/EN/TXT/HTML/?uri=CELEX:32000L0060&amp;from=EN" TargetMode="External"/><Relationship Id="rId250" Type="http://schemas.openxmlformats.org/officeDocument/2006/relationships/hyperlink" Target="http://ec.europa.eu/eurostat/statistics-explained/index.php/Statistics_on_rural_areas_in_the_EU" TargetMode="External"/><Relationship Id="rId271" Type="http://schemas.openxmlformats.org/officeDocument/2006/relationships/hyperlink" Target="https://publications.europa.eu/en/publication-detail/-/publication/cd1c6a81-969e-11e7-b92d-01aa75ed71a1/language-en" TargetMode="External"/><Relationship Id="rId292" Type="http://schemas.openxmlformats.org/officeDocument/2006/relationships/hyperlink" Target="https://ac.els-cdn.com/S0921800911001054/1-s2.0-S0921800911001054-main.pdf?_tid=acb4a0ed-0bff-4ec4-af4b-ab434615bf05&amp;acdnat=1521626657_1c03bb9118fc8fb507e97db2157f6a7d" TargetMode="External"/><Relationship Id="rId306" Type="http://schemas.openxmlformats.org/officeDocument/2006/relationships/hyperlink" Target="http://www.tandfonline.com/doi/full/10.1080/09654313.2017.1280002?scroll=top&amp;needAccess=true" TargetMode="External"/><Relationship Id="rId24" Type="http://schemas.openxmlformats.org/officeDocument/2006/relationships/chart" Target="charts/chart3.xml"/><Relationship Id="rId45" Type="http://schemas.openxmlformats.org/officeDocument/2006/relationships/chart" Target="charts/chart17.xml"/><Relationship Id="rId66" Type="http://schemas.openxmlformats.org/officeDocument/2006/relationships/image" Target="media/image8.png"/><Relationship Id="rId87" Type="http://schemas.openxmlformats.org/officeDocument/2006/relationships/image" Target="media/image22.emf"/><Relationship Id="rId110" Type="http://schemas.openxmlformats.org/officeDocument/2006/relationships/hyperlink" Target="http://onlinelibrary.wiley.com/doi/10.1002/ldr.2588/full" TargetMode="External"/><Relationship Id="rId131" Type="http://schemas.openxmlformats.org/officeDocument/2006/relationships/hyperlink" Target="http://www.europarl.europa.eu/RegData/etudes/etudes/join/2013/495861/IPOL-AGRI_ET(2013)495861_EN.pdf" TargetMode="External"/><Relationship Id="rId327" Type="http://schemas.openxmlformats.org/officeDocument/2006/relationships/hyperlink" Target="https://onlinelibrary.wiley.com/doi/10.1111/1477-9552.12044" TargetMode="External"/><Relationship Id="rId348" Type="http://schemas.openxmlformats.org/officeDocument/2006/relationships/hyperlink" Target="https://www.palgrave.com/gp/book/9781137483034" TargetMode="External"/><Relationship Id="rId152" Type="http://schemas.openxmlformats.org/officeDocument/2006/relationships/hyperlink" Target="https://www.espon.eu/sites/default/files/attachments/FR_Annex_IV_Analysis_of_the_relevant_Literature.pdf" TargetMode="External"/><Relationship Id="rId173" Type="http://schemas.openxmlformats.org/officeDocument/2006/relationships/hyperlink" Target="https://ec.europa.eu/agriculture/sites/agriculture/files/trade-analysis/monitoring-agri-food-trade/2016-12_en.pdf" TargetMode="External"/><Relationship Id="rId194" Type="http://schemas.openxmlformats.org/officeDocument/2006/relationships/hyperlink" Target="https://ec.europa.eu/research/evaluations/pdf/ec-rtd_interim_evaluation_studies-and-report.pdf" TargetMode="External"/><Relationship Id="rId208" Type="http://schemas.openxmlformats.org/officeDocument/2006/relationships/hyperlink" Target="https://ec.europa.eu/commission/sites/beta-political/files/communication-modern-budget-may_2018_en.pdf" TargetMode="External"/><Relationship Id="rId229" Type="http://schemas.openxmlformats.org/officeDocument/2006/relationships/hyperlink" Target="https://www.eea.europa.eu/publications/state-of-nature-in-the-eu" TargetMode="External"/><Relationship Id="rId240" Type="http://schemas.openxmlformats.org/officeDocument/2006/relationships/hyperlink" Target="http://eur-lex.europa.eu/legal-content/EN/TXT/HTML/?uri=CELEX:32001L0042&amp;from=EN" TargetMode="External"/><Relationship Id="rId261" Type="http://schemas.openxmlformats.org/officeDocument/2006/relationships/hyperlink" Target="https://ec.europa.eu/agriculture/sites/agriculture/files/events/2017/cap-have-your-say/soc-eco-workshop/2_scene-setteron-jobs-and-growth-in-eu-agri-food_sector.pdf" TargetMode="External"/><Relationship Id="rId14" Type="http://schemas.openxmlformats.org/officeDocument/2006/relationships/header" Target="header3.xml"/><Relationship Id="rId35" Type="http://schemas.openxmlformats.org/officeDocument/2006/relationships/image" Target="media/image5.png"/><Relationship Id="rId56" Type="http://schemas.openxmlformats.org/officeDocument/2006/relationships/chart" Target="charts/chart28.xml"/><Relationship Id="rId77" Type="http://schemas.openxmlformats.org/officeDocument/2006/relationships/chart" Target="charts/chart37.xml"/><Relationship Id="rId100" Type="http://schemas.openxmlformats.org/officeDocument/2006/relationships/hyperlink" Target="http://www.europarl.europa.eu/RegData/etudes/BRIE/2017/599333/EPRS_BRI(2017)599333_EN.pdf" TargetMode="External"/><Relationship Id="rId282" Type="http://schemas.openxmlformats.org/officeDocument/2006/relationships/hyperlink" Target="https://ec.europa.eu/eip/agriculture/sites/agri-eip/files/field_event_attachments/20160420-21_pres07_sustainable_and_environmentally_friendly_wheat-value_chain_ludger_linnemann.pdf" TargetMode="External"/><Relationship Id="rId317" Type="http://schemas.openxmlformats.org/officeDocument/2006/relationships/hyperlink" Target="http://www.euroconsulting.be/upload/news/documents/20120509103345_Report_bio_090512.pdf" TargetMode="External"/><Relationship Id="rId338" Type="http://schemas.openxmlformats.org/officeDocument/2006/relationships/hyperlink" Target="http://www.europarl.europa.eu/thinktank/en/document.html?reference=IPOL-AGRI_ET%282013%29495866" TargetMode="External"/><Relationship Id="rId359" Type="http://schemas.openxmlformats.org/officeDocument/2006/relationships/footer" Target="footer9.xml"/><Relationship Id="rId8" Type="http://schemas.openxmlformats.org/officeDocument/2006/relationships/endnotes" Target="endnotes.xml"/><Relationship Id="rId98" Type="http://schemas.openxmlformats.org/officeDocument/2006/relationships/hyperlink" Target="https://ec.europa.eu/agriculture/external-studies/added-value-pdo-pgi_en" TargetMode="External"/><Relationship Id="rId121" Type="http://schemas.openxmlformats.org/officeDocument/2006/relationships/hyperlink" Target="http://onlinelibrary.wiley.com/doi/10.1111/1477-9552.12253/full" TargetMode="External"/><Relationship Id="rId142" Type="http://schemas.openxmlformats.org/officeDocument/2006/relationships/hyperlink" Target="https://ec.europa.eu/eip/agriculture/sites/agri-eip/files/eip-agri_focus_group_on_precision_farming_final_report_2015.pdf" TargetMode="External"/><Relationship Id="rId163" Type="http://schemas.openxmlformats.org/officeDocument/2006/relationships/hyperlink" Target="https://ec.europa.eu/agriculture/sites/agriculture/files/glossary/pdf/index_en.pdf" TargetMode="External"/><Relationship Id="rId184" Type="http://schemas.openxmlformats.org/officeDocument/2006/relationships/hyperlink" Target="https://circabc.europa.eu/sd/a/abff972e-203a-4b4e-b42e-a0f291d3fdf9/SWD_2017_EN_V4_P1_885057.pdf" TargetMode="External"/><Relationship Id="rId219" Type="http://schemas.openxmlformats.org/officeDocument/2006/relationships/hyperlink" Target="https://www.eca.europa.eu/en/Pages/DocItem.aspx?did=34948" TargetMode="External"/><Relationship Id="rId230" Type="http://schemas.openxmlformats.org/officeDocument/2006/relationships/hyperlink" Target="https://www.eea.europa.eu/publications/annual-european-union-greenhouse-gas/" TargetMode="External"/><Relationship Id="rId251" Type="http://schemas.openxmlformats.org/officeDocument/2006/relationships/hyperlink" Target="http://ec.europa.eu/eurostat/web/products-statistical-books/-/KS-04-17-780" TargetMode="External"/><Relationship Id="rId25" Type="http://schemas.openxmlformats.org/officeDocument/2006/relationships/chart" Target="charts/chart4.xml"/><Relationship Id="rId46" Type="http://schemas.openxmlformats.org/officeDocument/2006/relationships/chart" Target="charts/chart18.xml"/><Relationship Id="rId67" Type="http://schemas.openxmlformats.org/officeDocument/2006/relationships/hyperlink" Target="http://www.ecad.eu/download/ensembles/download.php" TargetMode="External"/><Relationship Id="rId272" Type="http://schemas.openxmlformats.org/officeDocument/2006/relationships/hyperlink" Target="http://www.ipcc.ch/report/ar5/wg2/" TargetMode="External"/><Relationship Id="rId293" Type="http://schemas.openxmlformats.org/officeDocument/2006/relationships/hyperlink" Target="https://www.ipcc.ch/publications_and_data/ar4/wg2/en/ch6.html" TargetMode="External"/><Relationship Id="rId307" Type="http://schemas.openxmlformats.org/officeDocument/2006/relationships/hyperlink" Target="https://www.sciencedirect.com/science/article/pii/S1462901115301283" TargetMode="External"/><Relationship Id="rId328" Type="http://schemas.openxmlformats.org/officeDocument/2006/relationships/hyperlink" Target="https://www.google.be/url?sa=t&amp;rct=j&amp;q=&amp;esrc=s&amp;source=web&amp;cd=1&amp;cad=rja&amp;uact=8&amp;ved=0ahUKEwig2729t8XXAhWFLhoKHZ2SAQkQFggmMAA&amp;url=https%3A%2F%2Fdialnet.unirioja.es%2Fdescarga%2Farticulo%2F5695120.pdf&amp;usg=AOvVaw2OZ6OY5F41Uow7pKaRf50v" TargetMode="External"/><Relationship Id="rId349" Type="http://schemas.openxmlformats.org/officeDocument/2006/relationships/hyperlink" Target="http://publ.ext.zalf.de/publications/Wiggering_2006_Ecological_Indicators.pdf" TargetMode="External"/><Relationship Id="rId88" Type="http://schemas.openxmlformats.org/officeDocument/2006/relationships/image" Target="media/image23.emf"/><Relationship Id="rId111" Type="http://schemas.openxmlformats.org/officeDocument/2006/relationships/hyperlink" Target="http://publications.jrc.ec.europa.eu/repository/bitstream/JRC103602/lb-na-28206-en-n_full_report_final.pdf" TargetMode="External"/><Relationship Id="rId132" Type="http://schemas.openxmlformats.org/officeDocument/2006/relationships/hyperlink" Target="http://www.europarl.europa.eu/RegData/etudes/STUD/2016/585898/IPOL_STU(2016)585898_EN.pdf" TargetMode="External"/><Relationship Id="rId153" Type="http://schemas.openxmlformats.org/officeDocument/2006/relationships/hyperlink" Target="http://ec.europa.eu/regional_policy/archive/consultation/terco/paper_terco_en.pdf" TargetMode="External"/><Relationship Id="rId174" Type="http://schemas.openxmlformats.org/officeDocument/2006/relationships/hyperlink" Target="https://ec.europa.eu/europeaid/sites/devco/files/communication-next-steps-sustainable-europe-20161122_en.pdf" TargetMode="External"/><Relationship Id="rId195" Type="http://schemas.openxmlformats.org/officeDocument/2006/relationships/hyperlink" Target="http://eur-lex.europa.eu/legal-content/EN/TXT/?qid=1490786763554&amp;uri=COM:2017:152:FIN" TargetMode="External"/><Relationship Id="rId209" Type="http://schemas.openxmlformats.org/officeDocument/2006/relationships/hyperlink" Target="https://ec.europa.eu/commission/sites/beta-political/files/communication-new-modern-multiannual-financial-framework_en.pdf" TargetMode="External"/><Relationship Id="rId360" Type="http://schemas.openxmlformats.org/officeDocument/2006/relationships/fontTable" Target="fontTable.xml"/><Relationship Id="rId220" Type="http://schemas.openxmlformats.org/officeDocument/2006/relationships/hyperlink" Target="https://www.eca.europa.eu/en/Pages/DocItem.aspx?did=33224" TargetMode="External"/><Relationship Id="rId241" Type="http://schemas.openxmlformats.org/officeDocument/2006/relationships/hyperlink" Target="http://eur-lex.europa.eu/legal-content/EN/TXT/HTML/?uri=CELEX:32009L0128&amp;from=EN" TargetMode="External"/><Relationship Id="rId15" Type="http://schemas.openxmlformats.org/officeDocument/2006/relationships/footer" Target="footer3.xml"/><Relationship Id="rId36" Type="http://schemas.openxmlformats.org/officeDocument/2006/relationships/image" Target="cid:image005.png@01D3B9F5.38FF0700" TargetMode="External"/><Relationship Id="rId57" Type="http://schemas.openxmlformats.org/officeDocument/2006/relationships/chart" Target="charts/chart29.xml"/><Relationship Id="rId106" Type="http://schemas.openxmlformats.org/officeDocument/2006/relationships/hyperlink" Target="https://ec.europa.eu/agriculture/sites/agriculture/files/external-studies/2012/support-farmers-coop/fulltext_en.pdf" TargetMode="External"/><Relationship Id="rId127" Type="http://schemas.openxmlformats.org/officeDocument/2006/relationships/hyperlink" Target="https://www.espon.eu/sites/default/files/attachments/EDORA_Final_Report_Parts_A_and_B-maps_corrected_06-02-2012.pdf" TargetMode="External"/><Relationship Id="rId262" Type="http://schemas.openxmlformats.org/officeDocument/2006/relationships/hyperlink" Target="http://www.fertilizerseurope.com/fileadmin/user_upload/publications/statistics_publications/Stats_Brochure2.pdf" TargetMode="External"/><Relationship Id="rId283" Type="http://schemas.openxmlformats.org/officeDocument/2006/relationships/hyperlink" Target="https://ec.europa.eu/agriculture/sites/agriculture/files/evaluation/market-and-income-reports/2012/cereals-2012/presentation_en.pdf" TargetMode="External"/><Relationship Id="rId313" Type="http://schemas.openxmlformats.org/officeDocument/2006/relationships/hyperlink" Target="http://publications.jrc.ec.europa.eu/repository/bitstream/JRC101396/jrc101396_ecampa2_final_report.pdf" TargetMode="External"/><Relationship Id="rId318" Type="http://schemas.openxmlformats.org/officeDocument/2006/relationships/hyperlink" Target="https://ec.europa.eu/agriculture/sites/agriculture/files/external-studies/2007/burden/fulltext.pdf" TargetMode="External"/><Relationship Id="rId339" Type="http://schemas.openxmlformats.org/officeDocument/2006/relationships/hyperlink" Target="http://www.europarl.europa.eu/RegData/etudes/STUD/2017/601975/IPOL_STU(2017)601975_EN.pdf" TargetMode="External"/><Relationship Id="rId10" Type="http://schemas.openxmlformats.org/officeDocument/2006/relationships/header" Target="header1.xml"/><Relationship Id="rId31" Type="http://schemas.openxmlformats.org/officeDocument/2006/relationships/image" Target="media/image2.png"/><Relationship Id="rId52" Type="http://schemas.openxmlformats.org/officeDocument/2006/relationships/chart" Target="charts/chart24.xml"/><Relationship Id="rId73" Type="http://schemas.openxmlformats.org/officeDocument/2006/relationships/hyperlink" Target="https://ec.europa.eu/energy/sites/ener/files/documents/20160712_Summary_Ref_scenario_MAIN_RESULTS%20(2)-web.pdf" TargetMode="External"/><Relationship Id="rId78" Type="http://schemas.openxmlformats.org/officeDocument/2006/relationships/image" Target="media/image14.png"/><Relationship Id="rId94" Type="http://schemas.openxmlformats.org/officeDocument/2006/relationships/hyperlink" Target="http://ec.europa.eu/smart-regulation/roadmaps/docs/plan_2016_526_evaluation_cap_viable_food_production_en.pdf" TargetMode="External"/><Relationship Id="rId99" Type="http://schemas.openxmlformats.org/officeDocument/2006/relationships/hyperlink" Target="http://www.europarl.europa.eu/RegData/etudes/BRIE/2016/586650/EPRS_BRI(2016)586650_EN.pdf" TargetMode="External"/><Relationship Id="rId101" Type="http://schemas.openxmlformats.org/officeDocument/2006/relationships/hyperlink" Target="https://ieep.eu/publications/measuring-the-cap-s-environmental-and-climate-performance" TargetMode="External"/><Relationship Id="rId122" Type="http://schemas.openxmlformats.org/officeDocument/2006/relationships/hyperlink" Target="https://ec.europa.eu/agriculture/external-studies/2016-eip_en" TargetMode="External"/><Relationship Id="rId143" Type="http://schemas.openxmlformats.org/officeDocument/2006/relationships/hyperlink" Target="https://ec.europa.eu/eip/agriculture/sites/agri-eip/files/eip-agri_brochure_multi-actor_projects_2017_en_web.pdf" TargetMode="External"/><Relationship Id="rId148" Type="http://schemas.openxmlformats.org/officeDocument/2006/relationships/hyperlink" Target="https://ec.europa.eu/eip/agriculture/sites/agri-eip/files/eip-agri_fg_innovative_food_supply_chain_management_final_report_2015_en.pdf" TargetMode="External"/><Relationship Id="rId164" Type="http://schemas.openxmlformats.org/officeDocument/2006/relationships/hyperlink" Target="http://eur-lex.europa.eu/legal-content/EN/TXT/?uri=CELEX:52015DC0478" TargetMode="External"/><Relationship Id="rId169" Type="http://schemas.openxmlformats.org/officeDocument/2006/relationships/hyperlink" Target="https://ec.europa.eu/transparency/regdoc/rep/1/2016/EN/COM-2016-724-F1-EN-MAIN.PDF" TargetMode="External"/><Relationship Id="rId185" Type="http://schemas.openxmlformats.org/officeDocument/2006/relationships/hyperlink" Target="https://ec.europa.eu/agriculture/future-cap_en" TargetMode="External"/><Relationship Id="rId334" Type="http://schemas.openxmlformats.org/officeDocument/2006/relationships/hyperlink" Target="https://esdac.jrc.ec.europa.eu/content/soil-threats-europe-status-methods-drivers-and-effects-ecosystem-services" TargetMode="External"/><Relationship Id="rId350" Type="http://schemas.openxmlformats.org/officeDocument/2006/relationships/hyperlink" Target="http://publications.jrc.ec.europa.eu/repository/bitstream/JRC107880/milk_package_pos-jrc_report.pdf" TargetMode="External"/><Relationship Id="rId355"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ec.europa.eu/transparency/regdoc/?fuseaction=list&amp;coteId=10102&amp;year=2016&amp;number=218&amp;language=EN" TargetMode="External"/><Relationship Id="rId210" Type="http://schemas.openxmlformats.org/officeDocument/2006/relationships/hyperlink" Target="https://ec.europa.eu/growth/sectors/social-economy/cooperatives_en" TargetMode="External"/><Relationship Id="rId215" Type="http://schemas.openxmlformats.org/officeDocument/2006/relationships/hyperlink" Target="http://eur-lex.europa.eu/legal-content/EN/TXT/HTML/?uri=CELEX:01992L0043-20070101&amp;from=EN" TargetMode="External"/><Relationship Id="rId236" Type="http://schemas.openxmlformats.org/officeDocument/2006/relationships/hyperlink" Target="http://enrd.ec.europa.eu/enrd-static/fms/pdf/25EE01A8-E719-F85B-1D36-29C9581638F1.pdf" TargetMode="External"/><Relationship Id="rId257" Type="http://schemas.openxmlformats.org/officeDocument/2006/relationships/hyperlink" Target="http://apphttp/appsso.eurostat.ec.europa.eu/nui/show.do?dataset=urt_d3dens&amp;lang=en" TargetMode="External"/><Relationship Id="rId278" Type="http://schemas.openxmlformats.org/officeDocument/2006/relationships/hyperlink" Target="http://www.europarl.europa.eu/RegData/etudes/STUD/2017/603207/EPRS_STU(2017)603207_EN.pdf" TargetMode="External"/><Relationship Id="rId26" Type="http://schemas.openxmlformats.org/officeDocument/2006/relationships/chart" Target="charts/chart5.xml"/><Relationship Id="rId231" Type="http://schemas.openxmlformats.org/officeDocument/2006/relationships/hyperlink" Target="https://www.eea.europa.eu/publications/climate-change-impacts-and-vulnerability-2016" TargetMode="External"/><Relationship Id="rId252" Type="http://schemas.openxmlformats.org/officeDocument/2006/relationships/hyperlink" Target="http://ec.europa.eu/eurostat/web/agri-environmental-indicators" TargetMode="External"/><Relationship Id="rId273" Type="http://schemas.openxmlformats.org/officeDocument/2006/relationships/hyperlink" Target="http://ec.europa.eu/regional_policy/sources/docgener/evaluation/pdf/expost2013/wp9_final_report.pdf" TargetMode="External"/><Relationship Id="rId294" Type="http://schemas.openxmlformats.org/officeDocument/2006/relationships/hyperlink" Target="http://www.nordregio.se/Global/Staff/sera_report.pdf" TargetMode="External"/><Relationship Id="rId308" Type="http://schemas.openxmlformats.org/officeDocument/2006/relationships/hyperlink" Target="http://onlinelibrary.wiley.com/doi/10.1002/ldr.2879/full" TargetMode="External"/><Relationship Id="rId329" Type="http://schemas.openxmlformats.org/officeDocument/2006/relationships/hyperlink" Target="http://www.eesc.europa.eu/en/our-work/opinions-information-reports/information-reports/ex-post-evaluation-rural-development-programmes-2007-2013-information-report" TargetMode="External"/><Relationship Id="rId47" Type="http://schemas.openxmlformats.org/officeDocument/2006/relationships/chart" Target="charts/chart19.xml"/><Relationship Id="rId68" Type="http://schemas.openxmlformats.org/officeDocument/2006/relationships/hyperlink" Target="https://esgf-node.ipsl.upmc.fr/search/cordex-ipsl/" TargetMode="External"/><Relationship Id="rId89" Type="http://schemas.openxmlformats.org/officeDocument/2006/relationships/image" Target="media/image24.emf"/><Relationship Id="rId112" Type="http://schemas.openxmlformats.org/officeDocument/2006/relationships/hyperlink" Target="https://www.researchgate.net/publication/286223379_Calibrating_Agri-Environmental_Schemes_using_a_Two-Stage_Discrete_Choice_Experiments" TargetMode="External"/><Relationship Id="rId133" Type="http://schemas.openxmlformats.org/officeDocument/2006/relationships/hyperlink" Target="https://www.researchgate.net/publication/4991142_Factors_Affecting_Farmers%27_Participation_in_Agri-environmental_Measures_A_Northern_Italian_Perspective" TargetMode="External"/><Relationship Id="rId154" Type="http://schemas.openxmlformats.org/officeDocument/2006/relationships/hyperlink" Target="http://ec.europa.eu/research/bioeconomy/pdf/official-strategy_en.pdf" TargetMode="External"/><Relationship Id="rId175" Type="http://schemas.openxmlformats.org/officeDocument/2006/relationships/hyperlink" Target="https://ec.europa.eu/agriculture/sites/agriculture/files/markets-and-prices/market-briefs/pdf/10_en.pdf" TargetMode="External"/><Relationship Id="rId340" Type="http://schemas.openxmlformats.org/officeDocument/2006/relationships/hyperlink" Target="https://ec.europa.eu/agriculture/sites/agriculture/files/external-studies/2013/farmland-abandonment/fulltext_en.pdf" TargetMode="External"/><Relationship Id="rId361" Type="http://schemas.openxmlformats.org/officeDocument/2006/relationships/theme" Target="theme/theme1.xml"/><Relationship Id="rId196" Type="http://schemas.openxmlformats.org/officeDocument/2006/relationships/hyperlink" Target="http://ec.europa.eu/social/main.jsp?langId=en&amp;catId=1196&amp;newsId=2785&amp;furtherNews=yes" TargetMode="External"/><Relationship Id="rId200" Type="http://schemas.openxmlformats.org/officeDocument/2006/relationships/hyperlink" Target="https://myintracomm.ec.europa.eu/dg/budg/Communication/futureOfEurope/Documents/reflection-paper-eu-finances_en.pdf" TargetMode="External"/><Relationship Id="rId16" Type="http://schemas.openxmlformats.org/officeDocument/2006/relationships/header" Target="header4.xml"/><Relationship Id="rId221" Type="http://schemas.openxmlformats.org/officeDocument/2006/relationships/hyperlink" Target="https://www.eca.europa.eu/Lists/ECADocuments/SR16_01/SR_FARMERS_EN.pdf" TargetMode="External"/><Relationship Id="rId242" Type="http://schemas.openxmlformats.org/officeDocument/2006/relationships/hyperlink" Target="http://eur-lex.europa.eu/legal-content/EN/TXT/HTML/?uri=CELEX:32009L0147&amp;from=EN" TargetMode="External"/><Relationship Id="rId263" Type="http://schemas.openxmlformats.org/officeDocument/2006/relationships/hyperlink" Target="http://www.fooddrinkeurope.eu/uploads/publications_documents/FoodDrinkEurope_EFFAT_Industrial_Policy.pdf" TargetMode="External"/><Relationship Id="rId284" Type="http://schemas.openxmlformats.org/officeDocument/2006/relationships/hyperlink" Target="http://www.europarl.europa.eu/RegData/etudes/STUD/2016/585898/IPOL_STU(2016)585898_EN.pdf" TargetMode="External"/><Relationship Id="rId319" Type="http://schemas.openxmlformats.org/officeDocument/2006/relationships/hyperlink" Target="http://www.sciencedirect.com/science/article/pii/S026483771200066X?via%3Dihub" TargetMode="External"/><Relationship Id="rId37" Type="http://schemas.openxmlformats.org/officeDocument/2006/relationships/image" Target="media/image6.png"/><Relationship Id="rId58" Type="http://schemas.openxmlformats.org/officeDocument/2006/relationships/chart" Target="charts/chart30.xml"/><Relationship Id="rId79" Type="http://schemas.openxmlformats.org/officeDocument/2006/relationships/image" Target="media/image15.jpeg"/><Relationship Id="rId102" Type="http://schemas.openxmlformats.org/officeDocument/2006/relationships/hyperlink" Target="http://www.europarl.europa.eu/RegData/etudes/STUD/2016/573415/IPOL_STU(2016)573415_EN.pdf" TargetMode="External"/><Relationship Id="rId123" Type="http://schemas.openxmlformats.org/officeDocument/2006/relationships/hyperlink" Target="http://cdn.nimbu.io/s/hcjwsxq/channelentries/kgzke9k/files/cogeca_report_2014_agricultural_cooperatives.pdf" TargetMode="External"/><Relationship Id="rId144" Type="http://schemas.openxmlformats.org/officeDocument/2006/relationships/hyperlink" Target="https://ec.europa.eu/eip/agriculture/en/about/multi-actor-projects-scientists-and-farmers" TargetMode="External"/><Relationship Id="rId330" Type="http://schemas.openxmlformats.org/officeDocument/2006/relationships/hyperlink" Target="http://www2.jordbruksverket.se/webdav/files/SJV/trycksaker/Pdf_rapporter/ra11_5eng.pdf" TargetMode="External"/><Relationship Id="rId90" Type="http://schemas.openxmlformats.org/officeDocument/2006/relationships/image" Target="media/image25.emf"/><Relationship Id="rId165" Type="http://schemas.openxmlformats.org/officeDocument/2006/relationships/hyperlink" Target="https://ec.europa.eu/info/sites/info/files/file_import/aar-agri-2016_en_2.pdf" TargetMode="External"/><Relationship Id="rId186" Type="http://schemas.openxmlformats.org/officeDocument/2006/relationships/hyperlink" Target="https://ec.europa.eu/agriculture/consultations/cap-modernising/2017_en" TargetMode="External"/><Relationship Id="rId351" Type="http://schemas.openxmlformats.org/officeDocument/2006/relationships/hyperlink" Target="http://pubdocs.worldbank.org/en/369851513586667729/Thinking-CAP-World-Bank-Report-on-the-EU.pdf" TargetMode="External"/><Relationship Id="rId211" Type="http://schemas.openxmlformats.org/officeDocument/2006/relationships/hyperlink" Target="http://ec.europa.eu/environment/air/clean_air/review.htm" TargetMode="External"/><Relationship Id="rId232" Type="http://schemas.openxmlformats.org/officeDocument/2006/relationships/hyperlink" Target="https://www.eea.europa.eu/data-and-maps/indicators/use-of-freshwater-resources-2/assessment-2" TargetMode="External"/><Relationship Id="rId253" Type="http://schemas.openxmlformats.org/officeDocument/2006/relationships/hyperlink" Target="http://ec.europa.eu/eurostat/web/hicp/methodology/food-price-monitoring-tool" TargetMode="External"/><Relationship Id="rId274" Type="http://schemas.openxmlformats.org/officeDocument/2006/relationships/hyperlink" Target="https://onlinelibrary.wiley.com/doi/full/10.1111/j.1574-0862.2010.00454.x" TargetMode="External"/><Relationship Id="rId295" Type="http://schemas.openxmlformats.org/officeDocument/2006/relationships/hyperlink" Target="https://ec.europa.eu/agriculture/sites/agriculture/files/external-studies/2006/scenar2020/full-rep_en.pdf" TargetMode="External"/><Relationship Id="rId309" Type="http://schemas.openxmlformats.org/officeDocument/2006/relationships/hyperlink" Target="https://www.sciencedirect.com/science/article/pii/S0264837715001611" TargetMode="External"/><Relationship Id="rId27" Type="http://schemas.openxmlformats.org/officeDocument/2006/relationships/chart" Target="charts/chart6.xml"/><Relationship Id="rId48" Type="http://schemas.openxmlformats.org/officeDocument/2006/relationships/chart" Target="charts/chart20.xml"/><Relationship Id="rId69" Type="http://schemas.openxmlformats.org/officeDocument/2006/relationships/hyperlink" Target="https://esdac.jrc.ec.europa.eu/" TargetMode="External"/><Relationship Id="rId113" Type="http://schemas.openxmlformats.org/officeDocument/2006/relationships/hyperlink" Target="http://www.ncl.ac.uk/media/wwwnclacuk/centreforruraleconomy/files/discussion-paper-26.pdf" TargetMode="External"/><Relationship Id="rId134" Type="http://schemas.openxmlformats.org/officeDocument/2006/relationships/hyperlink" Target="https://ec.europa.eu/agriculture/external-studies/e-governance_nl" TargetMode="External"/><Relationship Id="rId320" Type="http://schemas.openxmlformats.org/officeDocument/2006/relationships/hyperlink" Target="https://ec.europa.eu/jrc/sites/jrcsh/files/JRC97789%20Factsheet_Bioeconomy_final.pdf" TargetMode="External"/><Relationship Id="rId80" Type="http://schemas.openxmlformats.org/officeDocument/2006/relationships/image" Target="cid:image002.jpg@01D3A580.DF099360" TargetMode="External"/><Relationship Id="rId155" Type="http://schemas.openxmlformats.org/officeDocument/2006/relationships/hyperlink" Target="https://eur-lex.europa.eu/legal-content/EN/TXT/HTML/?uri=CELEX:52012DC0670&amp;from=EN" TargetMode="External"/><Relationship Id="rId176" Type="http://schemas.openxmlformats.org/officeDocument/2006/relationships/hyperlink" Target="https://ec.europa.eu/agriculture/sites/agriculture/files/markets-and-prices/medium-term-outlook/2016/2016-fullrep_en.pdf" TargetMode="External"/><Relationship Id="rId197" Type="http://schemas.openxmlformats.org/officeDocument/2006/relationships/hyperlink" Target="https://ec.europa.eu/agriculture/sites/agriculture/files/markets-and-prices/market-briefs/pdf/11_en.pdf" TargetMode="External"/><Relationship Id="rId341" Type="http://schemas.openxmlformats.org/officeDocument/2006/relationships/hyperlink" Target="http://proakis.webarchive.hutton.ac.uk/" TargetMode="External"/><Relationship Id="rId201" Type="http://schemas.openxmlformats.org/officeDocument/2006/relationships/hyperlink" Target="http://eur-lex.europa.eu/legal-content/EN/TXT/HTML/?uri=CELEX:52017SC0121&amp;from=EN" TargetMode="External"/><Relationship Id="rId222" Type="http://schemas.openxmlformats.org/officeDocument/2006/relationships/hyperlink" Target="https://www.eca.europa.eu/en/Pages/DocItem.aspx?did=38185" TargetMode="External"/><Relationship Id="rId243" Type="http://schemas.openxmlformats.org/officeDocument/2006/relationships/hyperlink" Target="http://eur-lex.europa.eu/legal-content/EN/TXT/HTML/?uri=CELEX:32011L0092&amp;from=EN" TargetMode="External"/><Relationship Id="rId264" Type="http://schemas.openxmlformats.org/officeDocument/2006/relationships/hyperlink" Target="https://link.springer.com/article/10.1007/s10584-016-1661-x" TargetMode="External"/><Relationship Id="rId285" Type="http://schemas.openxmlformats.org/officeDocument/2006/relationships/hyperlink" Target="http://www.europarl.europa.eu/RegData/etudes/BRIE/2017/599266/EPRS_BRI(2017)599266_EN.pdf" TargetMode="External"/><Relationship Id="rId17" Type="http://schemas.openxmlformats.org/officeDocument/2006/relationships/header" Target="header5.xml"/><Relationship Id="rId38" Type="http://schemas.openxmlformats.org/officeDocument/2006/relationships/chart" Target="charts/chart10.xml"/><Relationship Id="rId59" Type="http://schemas.openxmlformats.org/officeDocument/2006/relationships/chart" Target="charts/chart31.xml"/><Relationship Id="rId103" Type="http://schemas.openxmlformats.org/officeDocument/2006/relationships/hyperlink" Target="https://www.sciencedirect.com/science/article/pii/S0301479799902967?via%3Dihub" TargetMode="External"/><Relationship Id="rId124" Type="http://schemas.openxmlformats.org/officeDocument/2006/relationships/hyperlink" Target="https://ec.europa.eu/agriculture/sites/agriculture/files/external-studies/2016-bilateral-trade-agreements/final-report_en.pdf" TargetMode="External"/><Relationship Id="rId310" Type="http://schemas.openxmlformats.org/officeDocument/2006/relationships/hyperlink" Target="https://onlinelibrary.wiley.com/doi/full/10.1002/ldr.2538" TargetMode="External"/><Relationship Id="rId70" Type="http://schemas.openxmlformats.org/officeDocument/2006/relationships/image" Target="media/image9.png"/><Relationship Id="rId91" Type="http://schemas.openxmlformats.org/officeDocument/2006/relationships/hyperlink" Target="https://ec.europa.eu/agriculture/evaluation/market-and-income-reports/2009-fas_en" TargetMode="External"/><Relationship Id="rId145" Type="http://schemas.openxmlformats.org/officeDocument/2006/relationships/hyperlink" Target="https://ec.europa.eu/eip/agriculture/sites/agri-eip/files/eip-agri_brochure_digital_revolution_2017_en_web.pdf" TargetMode="External"/><Relationship Id="rId166" Type="http://schemas.openxmlformats.org/officeDocument/2006/relationships/hyperlink" Target="https://ec.europa.eu/info/sites/info/files/file_import/aar-agri-2016_annex_en_2.pdf" TargetMode="External"/><Relationship Id="rId187" Type="http://schemas.openxmlformats.org/officeDocument/2006/relationships/hyperlink" Target="https://ec.europa.eu/agriculture/markets-and-prices/medium-term-outlook_en" TargetMode="External"/><Relationship Id="rId331" Type="http://schemas.openxmlformats.org/officeDocument/2006/relationships/hyperlink" Target="https://ec.europa.eu/eip/agriculture/sites/agri-eip/files/policy_brief_on_the_future_of_advisory_services_scar_akis_06102017.pdf" TargetMode="External"/><Relationship Id="rId352" Type="http://schemas.openxmlformats.org/officeDocument/2006/relationships/hyperlink" Target="http://www.oecd-ilibrary.org/docserver/download/97767de8-en.pdf?expires=1521131668&amp;id=id&amp;accname=guest&amp;checksum=2CF7416EB5E5262C78B9037AD8C78CF0" TargetMode="External"/><Relationship Id="rId1" Type="http://schemas.openxmlformats.org/officeDocument/2006/relationships/customXml" Target="../customXml/item1.xml"/><Relationship Id="rId212" Type="http://schemas.openxmlformats.org/officeDocument/2006/relationships/hyperlink" Target="https://ec.europa.eu/agriculture/future-cap_en" TargetMode="External"/><Relationship Id="rId233" Type="http://schemas.openxmlformats.org/officeDocument/2006/relationships/hyperlink" Target="http://www.fefac.eu/files/79278.pdf" TargetMode="External"/><Relationship Id="rId254" Type="http://schemas.openxmlformats.org/officeDocument/2006/relationships/hyperlink" Target="http://appsso.eurostat.ec.europa.eu/nui/show.do?dataset=edat_lfs_9913&amp;lang=en" TargetMode="External"/><Relationship Id="rId28" Type="http://schemas.openxmlformats.org/officeDocument/2006/relationships/chart" Target="charts/chart7.xml"/><Relationship Id="rId49" Type="http://schemas.openxmlformats.org/officeDocument/2006/relationships/chart" Target="charts/chart21.xml"/><Relationship Id="rId114" Type="http://schemas.openxmlformats.org/officeDocument/2006/relationships/hyperlink" Target="http://onlinelibrary.wiley.com/doi/10.1111/1467-9523.00157/full" TargetMode="External"/><Relationship Id="rId275" Type="http://schemas.openxmlformats.org/officeDocument/2006/relationships/hyperlink" Target="https://ec.europa.eu/agriculture/sites/agriculture/files/evaluation/rural-development-reports/2015/ex_ante_rdp_synthesis_2014_2020/fulltext_en.pdf" TargetMode="External"/><Relationship Id="rId296" Type="http://schemas.openxmlformats.org/officeDocument/2006/relationships/hyperlink" Target="https://www.oecd.org/regional/regional-policy/Renewable-rural-energy-summary.pdf" TargetMode="External"/><Relationship Id="rId300" Type="http://schemas.openxmlformats.org/officeDocument/2006/relationships/hyperlink" Target="http://www.oecd.org/publications/evaluation-of-agricultural-policy-reforms-in-the-european-union-9789264278783-en.htm" TargetMode="External"/><Relationship Id="rId60" Type="http://schemas.openxmlformats.org/officeDocument/2006/relationships/chart" Target="charts/chart32.xml"/><Relationship Id="rId81" Type="http://schemas.openxmlformats.org/officeDocument/2006/relationships/image" Target="media/image16.png"/><Relationship Id="rId135" Type="http://schemas.openxmlformats.org/officeDocument/2006/relationships/hyperlink" Target="https://www.researchgate.net/profile/Hasan_Dudu/publication/318701227_Impact_of_CAP_Pillar_II_Payments_on_Agricultural_Productivity/links/59784f680f7e9b277726e0b7/Impact-of-CAP-Pillar-II-Payments-on-Agricultural-Productivity.pdf" TargetMode="External"/><Relationship Id="rId156" Type="http://schemas.openxmlformats.org/officeDocument/2006/relationships/hyperlink" Target="http://eur-lex.europa.eu/legal-content/EN/TXT/?uri=CELEX:52013SC0531" TargetMode="External"/><Relationship Id="rId177" Type="http://schemas.openxmlformats.org/officeDocument/2006/relationships/hyperlink" Target="https://ec.europa.eu/info/sites/info/files/opinion_agriculture_i_4a_final.pdf" TargetMode="External"/><Relationship Id="rId198" Type="http://schemas.openxmlformats.org/officeDocument/2006/relationships/hyperlink" Target="https://ec.europa.eu/agriculture/sites/agriculture/files/consultations/cap-modernising/eco_background_final_en.pdf" TargetMode="External"/><Relationship Id="rId321" Type="http://schemas.openxmlformats.org/officeDocument/2006/relationships/hyperlink" Target="http://www.fupress.net/index.php/bae/article/view/20567" TargetMode="External"/><Relationship Id="rId342" Type="http://schemas.openxmlformats.org/officeDocument/2006/relationships/hyperlink" Target="http://ec.europa.eu/environment/nature/natura2000/financing/docs/Natura2000_integration_into_EU%20funds.pdf" TargetMode="External"/><Relationship Id="rId202" Type="http://schemas.openxmlformats.org/officeDocument/2006/relationships/hyperlink" Target="https://ec.europa.eu/agriculture/sites/agriculture/files/markets-and-prices/market-briefs/pdf/12_en.pdf" TargetMode="External"/><Relationship Id="rId223" Type="http://schemas.openxmlformats.org/officeDocument/2006/relationships/hyperlink" Target="https://www.eca.europa.eu/en/Pages/DocItem.aspx?did=44179" TargetMode="External"/><Relationship Id="rId244" Type="http://schemas.openxmlformats.org/officeDocument/2006/relationships/hyperlink" Target="https://eur-lex.europa.eu/legal-content/EN/TXT/?uri=celex:32013R1305" TargetMode="External"/><Relationship Id="rId18" Type="http://schemas.openxmlformats.org/officeDocument/2006/relationships/footer" Target="footer4.xml"/><Relationship Id="rId39" Type="http://schemas.openxmlformats.org/officeDocument/2006/relationships/chart" Target="charts/chart11.xml"/><Relationship Id="rId265" Type="http://schemas.openxmlformats.org/officeDocument/2006/relationships/hyperlink" Target="https://www.ifama.org/resources/Documents/v9i4/Gall-Schroder.pdf" TargetMode="External"/><Relationship Id="rId286" Type="http://schemas.openxmlformats.org/officeDocument/2006/relationships/hyperlink" Target="http://www.risefoundation.eu/images/files/2017/2017_RISE_CAP_Full_Report.pdf" TargetMode="External"/><Relationship Id="rId50" Type="http://schemas.openxmlformats.org/officeDocument/2006/relationships/chart" Target="charts/chart22.xml"/><Relationship Id="rId104" Type="http://schemas.openxmlformats.org/officeDocument/2006/relationships/hyperlink" Target="https://www.sciencedirect.com/science/journal/03014797/57/3" TargetMode="External"/><Relationship Id="rId125" Type="http://schemas.openxmlformats.org/officeDocument/2006/relationships/hyperlink" Target="http://www.europarl.europa.eu/RegData/etudes/STUD/2014/540343/IPOL_STU(2014)540343_EN.pdf" TargetMode="External"/><Relationship Id="rId146" Type="http://schemas.openxmlformats.org/officeDocument/2006/relationships/hyperlink" Target="https://ec.europa.eu/eip/agriculture/sites/agri-eip/files/field_event_attachments/ais2017_12102017_shaping_the_future_skills_development_aniko_juhasz.pdf" TargetMode="External"/><Relationship Id="rId167" Type="http://schemas.openxmlformats.org/officeDocument/2006/relationships/hyperlink" Target="https://ec.europa.eu/agriculture/sites/agriculture/files/cap-indicators/context/2016/c23_en.pdf" TargetMode="External"/><Relationship Id="rId188" Type="http://schemas.openxmlformats.org/officeDocument/2006/relationships/hyperlink" Target="http://ec.europa.eu/commfrontoffice/publicopinion/index.cfm/survey/getsurveydetail/instruments/special/surveyky/2161" TargetMode="External"/><Relationship Id="rId311" Type="http://schemas.openxmlformats.org/officeDocument/2006/relationships/hyperlink" Target="http://www.publish.csiro.au/an/EA05037" TargetMode="External"/><Relationship Id="rId332" Type="http://schemas.openxmlformats.org/officeDocument/2006/relationships/hyperlink" Target="https://ec.europa.eu/research/scar/pdf/akis-3_end_report.pdf" TargetMode="External"/><Relationship Id="rId353" Type="http://schemas.openxmlformats.org/officeDocument/2006/relationships/hyperlink" Target="https://ec.europa.eu/agriculture/sites/agriculture/files/events/2017/cap-have-your-say/soc-eco-workshop/9_territorial-cohesion-through-lenses-cap-rural-areas.pdf" TargetMode="External"/><Relationship Id="rId71" Type="http://schemas.openxmlformats.org/officeDocument/2006/relationships/hyperlink" Target="https://ec.europa.eu/agriculture/markets-and-prices/medium-term-outlook_en" TargetMode="External"/><Relationship Id="rId92" Type="http://schemas.openxmlformats.org/officeDocument/2006/relationships/hyperlink" Target="https://ec.europa.eu/agriculture/agri-markets-task-force_en" TargetMode="External"/><Relationship Id="rId213" Type="http://schemas.openxmlformats.org/officeDocument/2006/relationships/hyperlink" Target="https://ec.europa.eu/commission/priorities/jobs-growth-and-investment/investment-plan-europe-juncker-plan_en" TargetMode="External"/><Relationship Id="rId234" Type="http://schemas.openxmlformats.org/officeDocument/2006/relationships/hyperlink" Target="http://eige.europa.eu/rdc/eige-publications/gender-agriculture-and-rural-development" TargetMode="External"/><Relationship Id="rId2" Type="http://schemas.openxmlformats.org/officeDocument/2006/relationships/numbering" Target="numbering.xml"/><Relationship Id="rId29" Type="http://schemas.openxmlformats.org/officeDocument/2006/relationships/chart" Target="charts/chart8.xml"/><Relationship Id="rId255" Type="http://schemas.openxmlformats.org/officeDocument/2006/relationships/hyperlink" Target="http://appsso.eurostat.ec.europa.eu/nui/show.do?dataset=nama_10r_3empers&amp;lang=en" TargetMode="External"/><Relationship Id="rId276" Type="http://schemas.openxmlformats.org/officeDocument/2006/relationships/hyperlink" Target="http://www.europarl.europa.eu/eplibrary/The-low-absorption-of-EU-Structural-Funds.pdf" TargetMode="External"/><Relationship Id="rId297" Type="http://schemas.openxmlformats.org/officeDocument/2006/relationships/hyperlink" Target="http://www.oecd.org/cfe/regional-policy/oecdruralpolicyreviewsstrategiestoimproveruralservicedelivery.htm" TargetMode="External"/><Relationship Id="rId40" Type="http://schemas.openxmlformats.org/officeDocument/2006/relationships/chart" Target="charts/chart12.xml"/><Relationship Id="rId115" Type="http://schemas.openxmlformats.org/officeDocument/2006/relationships/hyperlink" Target="http://capreform.eu/does-the-wto-discipline-really-constrain-the-design-of-cap-payments/" TargetMode="External"/><Relationship Id="rId136" Type="http://schemas.openxmlformats.org/officeDocument/2006/relationships/hyperlink" Target="https://ec.europa.eu/agriculture/sites/agriculture/files/external-studies/2010/employment/summary_en.pdf" TargetMode="External"/><Relationship Id="rId157" Type="http://schemas.openxmlformats.org/officeDocument/2006/relationships/hyperlink" Target="https://publications.europa.eu/en/publication-detail/-/publication/06ab9386-193b-11e4-933d-01aa75ed71a1/language-en" TargetMode="External"/><Relationship Id="rId178" Type="http://schemas.openxmlformats.org/officeDocument/2006/relationships/hyperlink" Target="https://ec.europa.eu/info/sites/info/files/agriculture_and_development_0.pdf" TargetMode="External"/><Relationship Id="rId301" Type="http://schemas.openxmlformats.org/officeDocument/2006/relationships/hyperlink" Target="http://dx.doi.org/10.1787/agr_pol-2017-en" TargetMode="External"/><Relationship Id="rId322" Type="http://schemas.openxmlformats.org/officeDocument/2006/relationships/hyperlink" Target="http://www.europarl.europa.eu/RegData/etudes/ATAG/2017/599374/EPRS_ATA(2017)599374_EN.pdf" TargetMode="External"/><Relationship Id="rId343" Type="http://schemas.openxmlformats.org/officeDocument/2006/relationships/hyperlink" Target="http://agriculture.gouv.fr/etude-sur-les-mesures-contre-les-desequilibres-de-marche-quelles-perspectives-pour-lapres-quotas" TargetMode="External"/><Relationship Id="rId61" Type="http://schemas.openxmlformats.org/officeDocument/2006/relationships/chart" Target="charts/chart33.xml"/><Relationship Id="rId82" Type="http://schemas.openxmlformats.org/officeDocument/2006/relationships/image" Target="media/image17.png"/><Relationship Id="rId199" Type="http://schemas.openxmlformats.org/officeDocument/2006/relationships/hyperlink" Target="https://ec.europa.eu/info/sites/info/files/opinion_i10agadopted.pdf" TargetMode="External"/><Relationship Id="rId203" Type="http://schemas.openxmlformats.org/officeDocument/2006/relationships/hyperlink" Target="https://ec.europa.eu/digital-single-market/en/desi" TargetMode="External"/><Relationship Id="rId19" Type="http://schemas.openxmlformats.org/officeDocument/2006/relationships/footer" Target="footer5.xml"/><Relationship Id="rId224" Type="http://schemas.openxmlformats.org/officeDocument/2006/relationships/hyperlink" Target="https://www.eca.europa.eu/en/Pages/DocItem.aspx?did=40768" TargetMode="External"/><Relationship Id="rId245" Type="http://schemas.openxmlformats.org/officeDocument/2006/relationships/hyperlink" Target="http://eur-lex.europa.eu/legal-content/EN/ALL/?uri=CELEX:32013R1306" TargetMode="External"/><Relationship Id="rId266" Type="http://schemas.openxmlformats.org/officeDocument/2006/relationships/hyperlink" Target="https://www.researchgate.net/publication/248587710_Connectedness_to_nature_place_attachment_and_conservation_behaviour_Testing_connectedness_theory_among_farmers" TargetMode="External"/><Relationship Id="rId287" Type="http://schemas.openxmlformats.org/officeDocument/2006/relationships/hyperlink" Target="http://www.europarl.europa.eu/RegData/etudes/STUD/2016/585898/IPOL_STU(2016)585898_EN.pdf" TargetMode="External"/><Relationship Id="rId30" Type="http://schemas.openxmlformats.org/officeDocument/2006/relationships/chart" Target="charts/chart9.xml"/><Relationship Id="rId105" Type="http://schemas.openxmlformats.org/officeDocument/2006/relationships/hyperlink" Target="http://ec.europa.eu/social/BlobServlet?docId=2085&amp;langId=en" TargetMode="External"/><Relationship Id="rId126" Type="http://schemas.openxmlformats.org/officeDocument/2006/relationships/hyperlink" Target="http://data.consilium.europa.eu/doc/document/ST-7324-2018-INIT/en/pdf" TargetMode="External"/><Relationship Id="rId147" Type="http://schemas.openxmlformats.org/officeDocument/2006/relationships/hyperlink" Target="https://ec.europa.eu/eip/agriculture/en/publications/eip-agri-brochure-agricultural-knowledge-and" TargetMode="External"/><Relationship Id="rId168" Type="http://schemas.openxmlformats.org/officeDocument/2006/relationships/hyperlink" Target="https://ec.europa.eu/agriculture/events/rural-development-2016_en" TargetMode="External"/><Relationship Id="rId312" Type="http://schemas.openxmlformats.org/officeDocument/2006/relationships/hyperlink" Target="https://www.greens-efa.eu/files/doc/docs/f9a6e0b649a9a238d21f6620886dd014.pdf" TargetMode="External"/><Relationship Id="rId333" Type="http://schemas.openxmlformats.org/officeDocument/2006/relationships/hyperlink" Target="https://books.google.be/books?hl=en&amp;lr=&amp;id=YU0XBAAAQBAJ&amp;oi=fnd&amp;pg=PP1&amp;dq=Stewart,+D.+W.,+%26+Shamdasani,+P.+N.+(2014).+Focus+groups:+Theory+and+practice+(Vol.+20).&amp;ots=bDoKGJU4PC&amp;sig=a4mYnIVGWKPUGjLLLQCBqWaWfiY" TargetMode="External"/><Relationship Id="rId354" Type="http://schemas.openxmlformats.org/officeDocument/2006/relationships/header" Target="header7.xml"/><Relationship Id="rId51" Type="http://schemas.openxmlformats.org/officeDocument/2006/relationships/chart" Target="charts/chart23.xml"/><Relationship Id="rId72" Type="http://schemas.openxmlformats.org/officeDocument/2006/relationships/image" Target="media/image10.png"/><Relationship Id="rId93" Type="http://schemas.openxmlformats.org/officeDocument/2006/relationships/hyperlink" Target="https://ec.europa.eu/agriculture/sites/agriculture/files/evaluation/market-and-income-reports/2015/article_68/fullrep_en.pdf" TargetMode="External"/><Relationship Id="rId189" Type="http://schemas.openxmlformats.org/officeDocument/2006/relationships/hyperlink" Target="http://ec.europa.eu/newsroom/document.cfm?doc_id=45188" TargetMode="External"/><Relationship Id="rId3" Type="http://schemas.openxmlformats.org/officeDocument/2006/relationships/styles" Target="styles.xml"/><Relationship Id="rId214" Type="http://schemas.openxmlformats.org/officeDocument/2006/relationships/hyperlink" Target="http://ec.europa.eu/environment/water/quantity/building_blocks_prev.htm" TargetMode="External"/><Relationship Id="rId235" Type="http://schemas.openxmlformats.org/officeDocument/2006/relationships/hyperlink" Target="https://enrd.ec.europa.eu/public-goods_en" TargetMode="External"/><Relationship Id="rId256" Type="http://schemas.openxmlformats.org/officeDocument/2006/relationships/hyperlink" Target="http://appsso.eurostat.ec.europa.eu/nui/show.do?dataset=nama_10r_3gva&amp;lang=en" TargetMode="External"/><Relationship Id="rId277" Type="http://schemas.openxmlformats.org/officeDocument/2006/relationships/hyperlink" Target="https://www.ipcc.ch/pdf/assessment-report/ar5/wg2/WGIIAR5-Chap23_FINAL.pdf" TargetMode="External"/><Relationship Id="rId298" Type="http://schemas.openxmlformats.org/officeDocument/2006/relationships/hyperlink" Target="http://www.oecd.org/site/govrdpc/50138839.pdf" TargetMode="External"/><Relationship Id="rId116" Type="http://schemas.openxmlformats.org/officeDocument/2006/relationships/hyperlink" Target="https://www.businesswire.com/news/home/20150528006131/en/Research-Markets-France-Crop-Protection-Pesticides-Market" TargetMode="External"/><Relationship Id="rId137" Type="http://schemas.openxmlformats.org/officeDocument/2006/relationships/hyperlink" Target="http://www.europarl.europa.eu/RegData/etudes/etudes/join/2014/490684/IPOL-JOIN_ET(2014)490684_EN.pdf" TargetMode="External"/><Relationship Id="rId158" Type="http://schemas.openxmlformats.org/officeDocument/2006/relationships/hyperlink" Target="https://ec.europa.eu/agriculture/market-observatory_en" TargetMode="External"/><Relationship Id="rId302" Type="http://schemas.openxmlformats.org/officeDocument/2006/relationships/hyperlink" Target="https://ec.europa.eu/agriculture/sites/agriculture/files/evaluation/rural-development-reports/2012/synthesis-mte-2007-2013/fulltext_en.pdf" TargetMode="External"/><Relationship Id="rId323" Type="http://schemas.openxmlformats.org/officeDocument/2006/relationships/hyperlink" Target="http://edepot.wur.nl/200922" TargetMode="External"/><Relationship Id="rId344" Type="http://schemas.openxmlformats.org/officeDocument/2006/relationships/hyperlink" Target="https://unstats.un.org/unsd/statcom/47th-session/documents/2016-2-IAEG-SDGs-E.pdf" TargetMode="External"/><Relationship Id="rId20" Type="http://schemas.openxmlformats.org/officeDocument/2006/relationships/header" Target="header6.xml"/><Relationship Id="rId41" Type="http://schemas.openxmlformats.org/officeDocument/2006/relationships/chart" Target="charts/chart13.xml"/><Relationship Id="rId62" Type="http://schemas.openxmlformats.org/officeDocument/2006/relationships/chart" Target="charts/chart34.xml"/><Relationship Id="rId83" Type="http://schemas.openxmlformats.org/officeDocument/2006/relationships/image" Target="media/image18.png"/><Relationship Id="rId179" Type="http://schemas.openxmlformats.org/officeDocument/2006/relationships/hyperlink" Target="https://ec.europa.eu/info/files/refit-platform-recommendations-i2a-cross-compliance-rules-under-common-agricultural-policy-cap_en" TargetMode="External"/><Relationship Id="rId190" Type="http://schemas.openxmlformats.org/officeDocument/2006/relationships/hyperlink" Target="https://ec.europa.eu/agriculture/sites/agriculture/files/evaluation/plan_en.pdf" TargetMode="External"/><Relationship Id="rId204" Type="http://schemas.openxmlformats.org/officeDocument/2006/relationships/hyperlink" Target="https://ec.europa.eu/agriculture/sites/agriculture/files/future-of-cap/future_of_food_and_farming_communication_en.pdf" TargetMode="External"/><Relationship Id="rId225" Type="http://schemas.openxmlformats.org/officeDocument/2006/relationships/hyperlink" Target="https://www.eca.europa.eu/en/Pages/DocItem.aspx?did=43179" TargetMode="External"/><Relationship Id="rId246" Type="http://schemas.openxmlformats.org/officeDocument/2006/relationships/hyperlink" Target="https://eur-lex.europa.eu/legal-content/en/TXT/?uri=CELEX:32013R1307" TargetMode="External"/><Relationship Id="rId267" Type="http://schemas.openxmlformats.org/officeDocument/2006/relationships/hyperlink" Target="https://ec.europa.eu/agriculture/sites/agriculture/files/events/2017/cap-have-your-say/soc-eco-workshop/4_links-between-global-agriculture-and-food-value-chains-jobs-growth.pdf" TargetMode="External"/><Relationship Id="rId288" Type="http://schemas.openxmlformats.org/officeDocument/2006/relationships/hyperlink" Target="https://datam.jrc.ec.europa.eu/datam/mashup/SCENAR2030/index.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agriculture/external-studies/2016-eip_en" TargetMode="External"/><Relationship Id="rId18" Type="http://schemas.openxmlformats.org/officeDocument/2006/relationships/hyperlink" Target="http://www.proakis.eu" TargetMode="External"/><Relationship Id="rId26" Type="http://schemas.openxmlformats.org/officeDocument/2006/relationships/hyperlink" Target="http://www.europarl.europa.eu/RegData/etudes/STUD/2017/603207/EPRS_STU(2017)603207_EN.pdf" TargetMode="External"/><Relationship Id="rId39" Type="http://schemas.openxmlformats.org/officeDocument/2006/relationships/hyperlink" Target="https://www.wur.nl/en/Publication-details.htm?publicationId=publication-way-343232373932" TargetMode="External"/><Relationship Id="rId21" Type="http://schemas.openxmlformats.org/officeDocument/2006/relationships/hyperlink" Target="http://ec.europa.eu/newsroom/horizon2020/document.cfm?doc_id=16669" TargetMode="External"/><Relationship Id="rId34" Type="http://schemas.openxmlformats.org/officeDocument/2006/relationships/hyperlink" Target="http://ec.europa.eu/regional_policy/sources/docgener/studies/pdf/new_prov_simplification_esif_en.pdf" TargetMode="External"/><Relationship Id="rId42" Type="http://schemas.openxmlformats.org/officeDocument/2006/relationships/hyperlink" Target="http://ec.europa.eu/regional_policy/sources/docgener/studies/pdf/new_prov_simplification_esif_en.pdf" TargetMode="External"/><Relationship Id="rId47" Type="http://schemas.openxmlformats.org/officeDocument/2006/relationships/hyperlink" Target="https://www.eca.europa.eu/en/Pages/DocItem.aspx?did=43179" TargetMode="External"/><Relationship Id="rId50" Type="http://schemas.openxmlformats.org/officeDocument/2006/relationships/hyperlink" Target="https://ec.europa.eu/agriculture/external-studies/mapping-analysis-implementation-cap_en" TargetMode="External"/><Relationship Id="rId55" Type="http://schemas.openxmlformats.org/officeDocument/2006/relationships/hyperlink" Target="https://ec.europa.eu/agriculture/sites/agriculture/files/consultations/cap-modernising/env_background_final_en.pdf" TargetMode="External"/><Relationship Id="rId7" Type="http://schemas.openxmlformats.org/officeDocument/2006/relationships/hyperlink" Target="https://ec.europa.eu/agriculture/sites/agriculture/files/external-studies/2010/livestock-gas/full_text_en.pdf" TargetMode="External"/><Relationship Id="rId12" Type="http://schemas.openxmlformats.org/officeDocument/2006/relationships/hyperlink" Target="https://ec.europa.eu/europeaid/sites/devco/files/communication-next-steps-sustainable-europe-20161122_en.pdf" TargetMode="External"/><Relationship Id="rId17" Type="http://schemas.openxmlformats.org/officeDocument/2006/relationships/hyperlink" Target="https://ec.europa.eu/research/scar/pdf/akis-3_end_report.pdf" TargetMode="External"/><Relationship Id="rId25" Type="http://schemas.openxmlformats.org/officeDocument/2006/relationships/hyperlink" Target="https://ec.europa.eu/eip/agriculture/sites/agri-eip/files/policy_brief_on_the_future_of_advisory_services_scar_akis_06102017.pdf" TargetMode="External"/><Relationship Id="rId33" Type="http://schemas.openxmlformats.org/officeDocument/2006/relationships/hyperlink" Target="https://ec.europa.eu/agriculture/sites/agriculture/files/external-studies/2007/burden/fulltext.pdf" TargetMode="External"/><Relationship Id="rId38" Type="http://schemas.openxmlformats.org/officeDocument/2006/relationships/hyperlink" Target="https://ec.europa.eu/agriculture/sites/agriculture/files/external-studies/2007/burden/fulltext.pdf" TargetMode="External"/><Relationship Id="rId46" Type="http://schemas.openxmlformats.org/officeDocument/2006/relationships/hyperlink" Target="https://ec.europa.eu/agriculture/external-studies/mapping-analysis-implementation-cap_en" TargetMode="External"/><Relationship Id="rId2" Type="http://schemas.openxmlformats.org/officeDocument/2006/relationships/hyperlink" Target="https://ec.europa.eu/agriculture/sites/agriculture/files/statistics/facts-figures/direct-payments.pdf" TargetMode="External"/><Relationship Id="rId16" Type="http://schemas.openxmlformats.org/officeDocument/2006/relationships/hyperlink" Target="https://ec.europa.eu/eip/agriculture/sites/agri-eip/files/field_event_attachments/ais2017_12102017_shaping_the_future_skills_development_aniko_juhasz.pdf" TargetMode="External"/><Relationship Id="rId20" Type="http://schemas.openxmlformats.org/officeDocument/2006/relationships/hyperlink" Target="https://ec.europa.eu/eip/agriculture/en/publications/eip-agri-brochure-agricultural-knowledge-and" TargetMode="External"/><Relationship Id="rId29" Type="http://schemas.openxmlformats.org/officeDocument/2006/relationships/hyperlink" Target="https://ec.europa.eu/agriculture/sites/agriculture/files/glossary/pdf/index_en.pdf" TargetMode="External"/><Relationship Id="rId41" Type="http://schemas.openxmlformats.org/officeDocument/2006/relationships/hyperlink" Target="http://www.europarl.europa.eu/RegData/etudes/etudes/join/2014/490684/IPOL-JOIN_ET(2014)490684_EN.pdf" TargetMode="External"/><Relationship Id="rId54" Type="http://schemas.openxmlformats.org/officeDocument/2006/relationships/hyperlink" Target="https://ec.europa.eu/agriculture/sites/agriculture/files/consultations/cap-modernising/eco_background_final_en.pdf" TargetMode="External"/><Relationship Id="rId1" Type="http://schemas.openxmlformats.org/officeDocument/2006/relationships/hyperlink" Target="https://ec.europa.eu/agriculture/sites/agriculture/files/glossary/pdf/index_en.pdf" TargetMode="External"/><Relationship Id="rId6" Type="http://schemas.openxmlformats.org/officeDocument/2006/relationships/hyperlink" Target="http://publications.jrc.ec.europa.eu/repository/bitstream/JRC101396/jrc101396_ecampa2_final_report.pdf" TargetMode="External"/><Relationship Id="rId11" Type="http://schemas.openxmlformats.org/officeDocument/2006/relationships/hyperlink" Target="https://sustainabledevelopment.un.org/content/documents/11803Official-List-of-Proposed-SDG-Indicators.pdf" TargetMode="External"/><Relationship Id="rId24" Type="http://schemas.openxmlformats.org/officeDocument/2006/relationships/hyperlink" Target="https://ec.europa.eu/agriculture/sites/agriculture/files/external-studies/2016/eip-2016/eval_en.pdf" TargetMode="External"/><Relationship Id="rId32" Type="http://schemas.openxmlformats.org/officeDocument/2006/relationships/hyperlink" Target="https://ec.europa.eu/agriculture/external-studies/rd-simplification_en" TargetMode="External"/><Relationship Id="rId37" Type="http://schemas.openxmlformats.org/officeDocument/2006/relationships/hyperlink" Target="https://ec.europa.eu/agriculture/evaluation/rural-development-reports/ex-ante-rdp-synthesis-2014-2020_en" TargetMode="External"/><Relationship Id="rId40" Type="http://schemas.openxmlformats.org/officeDocument/2006/relationships/hyperlink" Target="https://ec.europa.eu/agriculture/external-studies/mapping-analysis-implementation-cap_en" TargetMode="External"/><Relationship Id="rId45" Type="http://schemas.openxmlformats.org/officeDocument/2006/relationships/hyperlink" Target="https://www.eca.europa.eu/en/Pages/DocItem.aspx?did=43179" TargetMode="External"/><Relationship Id="rId53" Type="http://schemas.openxmlformats.org/officeDocument/2006/relationships/hyperlink" Target="http://ec.europa.eu/smart-regulation/refit/admin_burden/docs/enterprise/documents/files/abs_development_reduction_recommendations_en.pdf" TargetMode="External"/><Relationship Id="rId5" Type="http://schemas.openxmlformats.org/officeDocument/2006/relationships/hyperlink" Target="https://ec.europa.eu/agriculture/markets-and-prices/market-briefs_en" TargetMode="External"/><Relationship Id="rId15" Type="http://schemas.openxmlformats.org/officeDocument/2006/relationships/hyperlink" Target="https://ec.europa.eu/eip/agriculture/sites/agri-eip/files/policy_brief_on_the_future_of_advisory_services_scar_akis_06102017.pdf" TargetMode="External"/><Relationship Id="rId23" Type="http://schemas.openxmlformats.org/officeDocument/2006/relationships/hyperlink" Target="https://ec.europa.eu/transparency/regdoc/rep/10102/2016/EN/SWD-2016-319-F1-EN-MAIN.PDF" TargetMode="External"/><Relationship Id="rId28" Type="http://schemas.openxmlformats.org/officeDocument/2006/relationships/hyperlink" Target="http://www.europarl.europa.eu/RegData/etudes/STUD/2017/603207/EPRS_STU(2017)603207_EN.pdf" TargetMode="External"/><Relationship Id="rId36" Type="http://schemas.openxmlformats.org/officeDocument/2006/relationships/hyperlink" Target="https://ec.europa.eu/agriculture/evaluation/market-and-income-reports/greening-of-direct-payments_en" TargetMode="External"/><Relationship Id="rId49" Type="http://schemas.openxmlformats.org/officeDocument/2006/relationships/hyperlink" Target="https://ec.europa.eu/agriculture/external-studies/e-governance_nl" TargetMode="External"/><Relationship Id="rId10" Type="http://schemas.openxmlformats.org/officeDocument/2006/relationships/hyperlink" Target="http://pubdocs.worldbank.org/en/369851513586667729/Thinking-CAP-World-Bank-Report-on-the-EU.pdf" TargetMode="External"/><Relationship Id="rId19" Type="http://schemas.openxmlformats.org/officeDocument/2006/relationships/hyperlink" Target="https://ec.europa.eu/agriculture/external-studies/2016-eip_en" TargetMode="External"/><Relationship Id="rId31" Type="http://schemas.openxmlformats.org/officeDocument/2006/relationships/hyperlink" Target="http://ec.europa.eu/regional_policy/sources/docgener/studies/pdf/new_prov_simplification_esif_en.pdf" TargetMode="External"/><Relationship Id="rId44" Type="http://schemas.openxmlformats.org/officeDocument/2006/relationships/hyperlink" Target="https://ec.europa.eu/agriculture/evaluation/rural-development-reports/synthesis-mte-2007-2013_en" TargetMode="External"/><Relationship Id="rId52" Type="http://schemas.openxmlformats.org/officeDocument/2006/relationships/hyperlink" Target="https://ec.europa.eu/info/sites/info/files/file_import/better-regulation-toolbox-60_en_0.pdf" TargetMode="External"/><Relationship Id="rId4" Type="http://schemas.openxmlformats.org/officeDocument/2006/relationships/hyperlink" Target="https://ec.europa.eu/agriculture/sites/agriculture/files/markets-and-prices/market-briefs/pdf/12_en.pdf" TargetMode="External"/><Relationship Id="rId9" Type="http://schemas.openxmlformats.org/officeDocument/2006/relationships/hyperlink" Target="http://ec.europa.eu/smart-regulation/guidelines/docs/br_toolbox_en.pdf" TargetMode="External"/><Relationship Id="rId14" Type="http://schemas.openxmlformats.org/officeDocument/2006/relationships/hyperlink" Target="https://ec.europa.eu/agriculture/external-studies/2016-eip_en" TargetMode="External"/><Relationship Id="rId22" Type="http://schemas.openxmlformats.org/officeDocument/2006/relationships/hyperlink" Target="http://ec.europa.eu/research/bioeconomy/pdf/official-strategy_en.pdf" TargetMode="External"/><Relationship Id="rId27" Type="http://schemas.openxmlformats.org/officeDocument/2006/relationships/hyperlink" Target="https://ec.europa.eu/eip/agriculture/sites/agri-eip/files/eip-agri_brochure_digital_revolution_2017_en_web.pdf" TargetMode="External"/><Relationship Id="rId30" Type="http://schemas.openxmlformats.org/officeDocument/2006/relationships/hyperlink" Target="https://ec.europa.eu/info/sites/info/files/file_import/aar-agri-2016_en_2.pdf" TargetMode="External"/><Relationship Id="rId35" Type="http://schemas.openxmlformats.org/officeDocument/2006/relationships/hyperlink" Target="https://ec.europa.eu/agriculture/external-studies/mapping-analysis-implementation-cap_en" TargetMode="External"/><Relationship Id="rId43" Type="http://schemas.openxmlformats.org/officeDocument/2006/relationships/hyperlink" Target="http://ec.europa.eu/regional_policy/sources/newsroom/pdf/simplification_proposals.pdf" TargetMode="External"/><Relationship Id="rId48" Type="http://schemas.openxmlformats.org/officeDocument/2006/relationships/hyperlink" Target="http://ec.europa.eu/regional_policy/sources/docgener/studies/pdf/new_prov_simplification_esif_en.pdf" TargetMode="External"/><Relationship Id="rId56" Type="http://schemas.openxmlformats.org/officeDocument/2006/relationships/hyperlink" Target="https://ec.europa.eu/agriculture/sites/agriculture/files/glossary/pdf/index_en.pdf" TargetMode="External"/><Relationship Id="rId8" Type="http://schemas.openxmlformats.org/officeDocument/2006/relationships/hyperlink" Target="https://ec.europa.eu/jrc/en/publication/eur-scientific-and-technical-research-reports/economic-assessment-ghg-mitigation-policy-options-eu-agriculture-ecampa-2" TargetMode="External"/><Relationship Id="rId51" Type="http://schemas.openxmlformats.org/officeDocument/2006/relationships/hyperlink" Target="https://ec.europa.eu/agriculture/external-studies/mapping-analysis-implementation-cap_en" TargetMode="External"/><Relationship Id="rId3" Type="http://schemas.openxmlformats.org/officeDocument/2006/relationships/hyperlink" Target="https://ec.europa.eu/agriculture/sites/agriculture/files/consultations/cap-modernising/eco_background_final_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IFM-CAPRI\IA\IFM_CAP_23.02.2018_ISS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MCA\Results\IA%20All%20201803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MCA\Results\IA%20All%20201803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MCA\Results\IA%20All%2020180319.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net1.cec.eu.int\AGRI\C\2\1-CAP%20Reform%20contributions\1-11%20Modernise%20the%20CAP\Analysis%20and%20IA%20report\MCA\Results\IA%20All%2020180319.xlsx" TargetMode="External"/><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MCA\Results\IA%20All%2020180319.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net1.cec.eu.int\AGRI\C\2\1-CAP%20Reform%20contributions\1-11%20Modernise%20the%20CAP\Analysis%20and%20IA%20report\MCA\Results\IA%20All%2020180319.xlsx" TargetMode="External"/><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oleObject" Target="file:///\\net1.cec.eu.int\AGRI\C\2\1-CAP%20Reform%20contributions\1-11%20Modernise%20the%20CAP\Analysis%20and%20IA%20report\MCA\Results\IA%20All%2020180301.xlsx" TargetMode="External"/><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1" Type="http://schemas.openxmlformats.org/officeDocument/2006/relationships/oleObject" Target="file:///\\net1.cec.eu.int\Homes\102\MONDEKO\My%20Documents\Models\MacBeth\IA%20All.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net1.cec.eu.int\AGRI\C\2\1-CAP%20Reform%20contributions\1-11%20Modernise%20the%20CAP\Analysis%20and%20IA%20report\MCA\Results\IA%20All%2020180301.xlsx" TargetMode="External"/><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oleObject" Target="file:///\\net1.cec.eu.int\Homes\102\MONDEKO\My%20Documents\Models\MacBeth\IA%20All.xlsx"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IFM-CAPRI\IA\IFM_CAP_23.02.2018_ISSG.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net1.cec.eu.int\Homes\102\MONDEKO\My%20Documents\Models\MacBeth\IA%20All.xlsx" TargetMode="External"/><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2" Type="http://schemas.openxmlformats.org/officeDocument/2006/relationships/oleObject" Target="file:///\\net1.cec.eu.int\Homes\102\MONDEKO\My%20Documents\Models\MacBeth\IA%20All.xlsx" TargetMode="External"/><Relationship Id="rId1" Type="http://schemas.openxmlformats.org/officeDocument/2006/relationships/themeOverride" Target="../theme/themeOverride7.xml"/></Relationships>
</file>

<file path=word/charts/_rels/chart22.xml.rels><?xml version="1.0" encoding="UTF-8" standalone="yes"?>
<Relationships xmlns="http://schemas.openxmlformats.org/package/2006/relationships"><Relationship Id="rId1" Type="http://schemas.openxmlformats.org/officeDocument/2006/relationships/oleObject" Target="file:///\\net1.cec.eu.int\Homes\102\MONDEKO\My%20Documents\Models\MacBeth\IA%20Al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net1.cec.eu.int\Homes\102\MONDEKO\My%20Documents\Models\MacBeth\IA%20All.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1" Type="http://schemas.openxmlformats.org/officeDocument/2006/relationships/oleObject" Target="file:///\\net1.cec.eu.int\Homes\102\MONDEKO\My%20Documents\Models\MacBeth\IA%20All.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net1.cec.eu.int\Homes\102\MONDEKO\My%20Documents\Models\MacBeth\IA%20All.xlsx" TargetMode="External"/><Relationship Id="rId1" Type="http://schemas.openxmlformats.org/officeDocument/2006/relationships/themeOverride" Target="../theme/themeOverride9.xml"/></Relationships>
</file>

<file path=word/charts/_rels/chart27.xml.rels><?xml version="1.0" encoding="UTF-8" standalone="yes"?>
<Relationships xmlns="http://schemas.openxmlformats.org/package/2006/relationships"><Relationship Id="rId2" Type="http://schemas.openxmlformats.org/officeDocument/2006/relationships/oleObject" Target="file:///\\net1.cec.eu.int\Homes\102\MONDEKO\My%20Documents\Models\MacBeth\IA%20All.xlsx" TargetMode="External"/><Relationship Id="rId1" Type="http://schemas.openxmlformats.org/officeDocument/2006/relationships/themeOverride" Target="../theme/themeOverride10.xml"/></Relationships>
</file>

<file path=word/charts/_rels/chart28.xml.rels><?xml version="1.0" encoding="UTF-8" standalone="yes"?>
<Relationships xmlns="http://schemas.openxmlformats.org/package/2006/relationships"><Relationship Id="rId1" Type="http://schemas.openxmlformats.org/officeDocument/2006/relationships/oleObject" Target="file:///\\net1.cec.eu.int\Homes\102\MONDEKO\My%20Documents\Models\MacBeth\IA%20All.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net1.cec.eu.int\Homes\102\MONDEKO\My%20Documents\Models\MacBeth\IA%20All.xlsx" TargetMode="External"/><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ophiehelaine:Desktop:IFM_CAP_23.02.2018%20(version%20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net1.cec.eu.int\Homes\102\MONDEKO\My%20Documents\Models\MacBeth\IA%20Al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net1.cec.eu.int\Homes\102\MONDEKO\My%20Documents\Models\MacBeth\IA%20All.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net1.cec.eu.int\Homes\102\MONDEKO\My%20Documents\Models\MacBeth\IA%20All.xlsx" TargetMode="External"/><Relationship Id="rId1" Type="http://schemas.openxmlformats.org/officeDocument/2006/relationships/themeOverride" Target="../theme/themeOverride12.xml"/></Relationships>
</file>

<file path=word/charts/_rels/chart33.xml.rels><?xml version="1.0" encoding="UTF-8" standalone="yes"?>
<Relationships xmlns="http://schemas.openxmlformats.org/package/2006/relationships"><Relationship Id="rId2" Type="http://schemas.openxmlformats.org/officeDocument/2006/relationships/oleObject" Target="file:///\\net1.cec.eu.int\AGRI\C\2\1-CAP%20Reform%20contributions\1-11%20Modernise%20the%20CAP\Analysis%20and%20IA%20report\MCA\Results\IA%20All%2020180301.xlsx" TargetMode="External"/><Relationship Id="rId1" Type="http://schemas.openxmlformats.org/officeDocument/2006/relationships/themeOverride" Target="../theme/themeOverride1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4.xml"/></Relationships>
</file>

<file path=word/charts/_rels/chart35.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MCA\Results\IA%20All%202018030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MCA\Results\IA%20All%202018030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helaiso\AppData\Local\Microsoft\Windows\Temporary%20Internet%20Files\Content.Outlook\FAIFTXGD\Income%20variability%20for%20IA%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sophiehelaine:Desktop:IFM_CAP_23.02.2018%20(version%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IFM-CAPRI\IA\IFM_CAP_23.02.2018_RSB.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sophiehelaine:Desktop:IFM_CAP_23.02.2018%20(version%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AGRI\C\2\1-CAP%20Reform%20contributions\1-11%20Modernise%20the%20CAP\Analysis%20and%20IA%20report\Annex%20Results\80_20_Graph2.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USB%20DISK:IFM_CAP_23.02.2018_ISS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USB%20DISK:IFM_CAP_23.02.2018_ISS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FNVA_Correct!$AT$5</c:f>
              <c:strCache>
                <c:ptCount val="1"/>
                <c:pt idx="0">
                  <c:v>1</c:v>
                </c:pt>
              </c:strCache>
            </c:strRef>
          </c:tx>
          <c:spPr>
            <a:solidFill>
              <a:srgbClr val="FF0000"/>
            </a:solidFill>
          </c:spPr>
          <c:invertIfNegative val="0"/>
          <c:cat>
            <c:strRef>
              <c:f>FNVA_Correct!$AM$6:$AM$15</c:f>
              <c:strCache>
                <c:ptCount val="10"/>
                <c:pt idx="0">
                  <c:v>Horticulture</c:v>
                </c:pt>
                <c:pt idx="1">
                  <c:v>Orchards</c:v>
                </c:pt>
                <c:pt idx="2">
                  <c:v>Olives</c:v>
                </c:pt>
                <c:pt idx="3">
                  <c:v>Wine</c:v>
                </c:pt>
                <c:pt idx="4">
                  <c:v>Sheep&amp;goat</c:v>
                </c:pt>
                <c:pt idx="5">
                  <c:v>Cattle</c:v>
                </c:pt>
                <c:pt idx="6">
                  <c:v>Milk</c:v>
                </c:pt>
                <c:pt idx="7">
                  <c:v>Pig&amp;poultry</c:v>
                </c:pt>
                <c:pt idx="8">
                  <c:v>COP</c:v>
                </c:pt>
                <c:pt idx="9">
                  <c:v>Other fieldcrops</c:v>
                </c:pt>
              </c:strCache>
            </c:strRef>
          </c:cat>
          <c:val>
            <c:numRef>
              <c:f>FNVA_Correct!$AT$6:$AT$15</c:f>
              <c:numCache>
                <c:formatCode>0%</c:formatCode>
                <c:ptCount val="10"/>
                <c:pt idx="0">
                  <c:v>-1.1335969921306701E-3</c:v>
                </c:pt>
                <c:pt idx="1">
                  <c:v>-9.4660068762158003E-3</c:v>
                </c:pt>
                <c:pt idx="2">
                  <c:v>-3.7781024915556898E-2</c:v>
                </c:pt>
                <c:pt idx="3">
                  <c:v>-8.6635791489010402E-3</c:v>
                </c:pt>
                <c:pt idx="4">
                  <c:v>-3.7597952021699098E-2</c:v>
                </c:pt>
                <c:pt idx="5">
                  <c:v>-9.5010624274429606E-2</c:v>
                </c:pt>
                <c:pt idx="6">
                  <c:v>-1.47357287202985E-2</c:v>
                </c:pt>
                <c:pt idx="7">
                  <c:v>-1.7356451280149301E-2</c:v>
                </c:pt>
                <c:pt idx="8">
                  <c:v>-6.2531342840862703E-2</c:v>
                </c:pt>
                <c:pt idx="9">
                  <c:v>-2.0651873328880101E-2</c:v>
                </c:pt>
              </c:numCache>
            </c:numRef>
          </c:val>
        </c:ser>
        <c:dLbls>
          <c:showLegendKey val="0"/>
          <c:showVal val="0"/>
          <c:showCatName val="0"/>
          <c:showSerName val="0"/>
          <c:showPercent val="0"/>
          <c:showBubbleSize val="0"/>
        </c:dLbls>
        <c:gapWidth val="150"/>
        <c:axId val="131162112"/>
        <c:axId val="131163648"/>
      </c:barChart>
      <c:catAx>
        <c:axId val="131162112"/>
        <c:scaling>
          <c:orientation val="minMax"/>
        </c:scaling>
        <c:delete val="0"/>
        <c:axPos val="l"/>
        <c:majorTickMark val="out"/>
        <c:minorTickMark val="none"/>
        <c:tickLblPos val="high"/>
        <c:crossAx val="131163648"/>
        <c:crosses val="autoZero"/>
        <c:auto val="1"/>
        <c:lblAlgn val="ctr"/>
        <c:lblOffset val="100"/>
        <c:noMultiLvlLbl val="0"/>
      </c:catAx>
      <c:valAx>
        <c:axId val="131163648"/>
        <c:scaling>
          <c:orientation val="minMax"/>
        </c:scaling>
        <c:delete val="0"/>
        <c:axPos val="b"/>
        <c:majorGridlines/>
        <c:numFmt formatCode="0%" sourceLinked="1"/>
        <c:majorTickMark val="out"/>
        <c:minorTickMark val="none"/>
        <c:tickLblPos val="nextTo"/>
        <c:crossAx val="131162112"/>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All!$A$39</c:f>
              <c:strCache>
                <c:ptCount val="1"/>
                <c:pt idx="0">
                  <c:v>BAS</c:v>
                </c:pt>
              </c:strCache>
            </c:strRef>
          </c:tx>
          <c:spPr>
            <a:ln>
              <a:noFill/>
            </a:ln>
          </c:spPr>
          <c:marker>
            <c:symbol val="star"/>
            <c:size val="7"/>
            <c:spPr>
              <a:noFill/>
              <a:ln>
                <a:solidFill>
                  <a:schemeClr val="accent3">
                    <a:lumMod val="75000"/>
                  </a:schemeClr>
                </a:solidFill>
              </a:ln>
            </c:spPr>
          </c:marker>
          <c:cat>
            <c:strRef>
              <c:f>All!$B$38:$C$38</c:f>
              <c:strCache>
                <c:ptCount val="2"/>
                <c:pt idx="0">
                  <c:v>Overall</c:v>
                </c:pt>
                <c:pt idx="1">
                  <c:v>Amb-Cons</c:v>
                </c:pt>
              </c:strCache>
            </c:strRef>
          </c:cat>
          <c:val>
            <c:numRef>
              <c:f>All!$B$39:$C$39</c:f>
              <c:numCache>
                <c:formatCode>General</c:formatCode>
                <c:ptCount val="2"/>
                <c:pt idx="0">
                  <c:v>36.181797899999999</c:v>
                </c:pt>
                <c:pt idx="1">
                  <c:v>36.181797899999999</c:v>
                </c:pt>
              </c:numCache>
            </c:numRef>
          </c:val>
          <c:smooth val="0"/>
        </c:ser>
        <c:ser>
          <c:idx val="1"/>
          <c:order val="1"/>
          <c:tx>
            <c:strRef>
              <c:f>All!$A$40</c:f>
              <c:strCache>
                <c:ptCount val="1"/>
                <c:pt idx="0">
                  <c:v>1</c:v>
                </c:pt>
              </c:strCache>
            </c:strRef>
          </c:tx>
          <c:spPr>
            <a:ln>
              <a:noFill/>
            </a:ln>
          </c:spPr>
          <c:marker>
            <c:spPr>
              <a:solidFill>
                <a:schemeClr val="accent3"/>
              </a:solidFill>
              <a:ln>
                <a:solidFill>
                  <a:schemeClr val="accent3"/>
                </a:solidFill>
              </a:ln>
            </c:spPr>
          </c:marker>
          <c:cat>
            <c:strRef>
              <c:f>All!$B$38:$C$38</c:f>
              <c:strCache>
                <c:ptCount val="2"/>
                <c:pt idx="0">
                  <c:v>Overall</c:v>
                </c:pt>
                <c:pt idx="1">
                  <c:v>Amb-Cons</c:v>
                </c:pt>
              </c:strCache>
            </c:strRef>
          </c:cat>
          <c:val>
            <c:numRef>
              <c:f>All!$B$40:$C$40</c:f>
              <c:numCache>
                <c:formatCode>General</c:formatCode>
                <c:ptCount val="2"/>
                <c:pt idx="0">
                  <c:v>11.231912115155708</c:v>
                </c:pt>
                <c:pt idx="1">
                  <c:v>11.231912115155708</c:v>
                </c:pt>
              </c:numCache>
            </c:numRef>
          </c:val>
          <c:smooth val="0"/>
        </c:ser>
        <c:ser>
          <c:idx val="2"/>
          <c:order val="2"/>
          <c:tx>
            <c:strRef>
              <c:f>All!$A$41</c:f>
              <c:strCache>
                <c:ptCount val="1"/>
                <c:pt idx="0">
                  <c:v>3</c:v>
                </c:pt>
              </c:strCache>
            </c:strRef>
          </c:tx>
          <c:spPr>
            <a:ln>
              <a:noFill/>
            </a:ln>
          </c:spPr>
          <c:marker>
            <c:spPr>
              <a:solidFill>
                <a:schemeClr val="accent2">
                  <a:lumMod val="75000"/>
                </a:schemeClr>
              </a:solidFill>
              <a:ln>
                <a:solidFill>
                  <a:schemeClr val="accent2">
                    <a:lumMod val="75000"/>
                  </a:schemeClr>
                </a:solidFill>
              </a:ln>
            </c:spPr>
          </c:marker>
          <c:cat>
            <c:strRef>
              <c:f>All!$B$38:$C$38</c:f>
              <c:strCache>
                <c:ptCount val="2"/>
                <c:pt idx="0">
                  <c:v>Overall</c:v>
                </c:pt>
                <c:pt idx="1">
                  <c:v>Amb-Cons</c:v>
                </c:pt>
              </c:strCache>
            </c:strRef>
          </c:cat>
          <c:val>
            <c:numRef>
              <c:f>All!$B$41:$C$41</c:f>
              <c:numCache>
                <c:formatCode>General</c:formatCode>
                <c:ptCount val="2"/>
                <c:pt idx="0">
                  <c:v>61.505364067841001</c:v>
                </c:pt>
              </c:numCache>
            </c:numRef>
          </c:val>
          <c:smooth val="0"/>
        </c:ser>
        <c:ser>
          <c:idx val="3"/>
          <c:order val="3"/>
          <c:tx>
            <c:strRef>
              <c:f>All!$A$42</c:f>
              <c:strCache>
                <c:ptCount val="1"/>
                <c:pt idx="0">
                  <c:v>3a</c:v>
                </c:pt>
              </c:strCache>
            </c:strRef>
          </c:tx>
          <c:spPr>
            <a:ln>
              <a:noFill/>
            </a:ln>
          </c:spPr>
          <c:marker>
            <c:symbol val="triangle"/>
            <c:size val="7"/>
            <c:spPr>
              <a:solidFill>
                <a:schemeClr val="accent2">
                  <a:lumMod val="75000"/>
                </a:schemeClr>
              </a:solidFill>
              <a:ln>
                <a:solidFill>
                  <a:schemeClr val="tx1"/>
                </a:solidFill>
              </a:ln>
            </c:spPr>
          </c:marker>
          <c:cat>
            <c:strRef>
              <c:f>All!$B$38:$C$38</c:f>
              <c:strCache>
                <c:ptCount val="2"/>
                <c:pt idx="0">
                  <c:v>Overall</c:v>
                </c:pt>
                <c:pt idx="1">
                  <c:v>Amb-Cons</c:v>
                </c:pt>
              </c:strCache>
            </c:strRef>
          </c:cat>
          <c:val>
            <c:numRef>
              <c:f>All!$B$42:$C$42</c:f>
              <c:numCache>
                <c:formatCode>General</c:formatCode>
                <c:ptCount val="2"/>
                <c:pt idx="1">
                  <c:v>70.579648666666671</c:v>
                </c:pt>
              </c:numCache>
            </c:numRef>
          </c:val>
          <c:smooth val="0"/>
        </c:ser>
        <c:ser>
          <c:idx val="4"/>
          <c:order val="4"/>
          <c:tx>
            <c:strRef>
              <c:f>All!$A$43</c:f>
              <c:strCache>
                <c:ptCount val="1"/>
                <c:pt idx="0">
                  <c:v>3b</c:v>
                </c:pt>
              </c:strCache>
            </c:strRef>
          </c:tx>
          <c:spPr>
            <a:ln>
              <a:noFill/>
            </a:ln>
          </c:spPr>
          <c:marker>
            <c:symbol val="triangle"/>
            <c:size val="7"/>
            <c:spPr>
              <a:solidFill>
                <a:schemeClr val="accent2">
                  <a:lumMod val="20000"/>
                  <a:lumOff val="80000"/>
                </a:schemeClr>
              </a:solidFill>
              <a:ln>
                <a:solidFill>
                  <a:schemeClr val="accent2">
                    <a:lumMod val="50000"/>
                  </a:schemeClr>
                </a:solidFill>
              </a:ln>
            </c:spPr>
          </c:marker>
          <c:cat>
            <c:strRef>
              <c:f>All!$B$38:$C$38</c:f>
              <c:strCache>
                <c:ptCount val="2"/>
                <c:pt idx="0">
                  <c:v>Overall</c:v>
                </c:pt>
                <c:pt idx="1">
                  <c:v>Amb-Cons</c:v>
                </c:pt>
              </c:strCache>
            </c:strRef>
          </c:cat>
          <c:val>
            <c:numRef>
              <c:f>All!$B$43:$C$43</c:f>
              <c:numCache>
                <c:formatCode>General</c:formatCode>
                <c:ptCount val="2"/>
                <c:pt idx="1">
                  <c:v>52.431079469015323</c:v>
                </c:pt>
              </c:numCache>
            </c:numRef>
          </c:val>
          <c:smooth val="0"/>
        </c:ser>
        <c:ser>
          <c:idx val="5"/>
          <c:order val="5"/>
          <c:tx>
            <c:strRef>
              <c:f>All!$A$44</c:f>
              <c:strCache>
                <c:ptCount val="1"/>
                <c:pt idx="0">
                  <c:v>4</c:v>
                </c:pt>
              </c:strCache>
            </c:strRef>
          </c:tx>
          <c:spPr>
            <a:ln>
              <a:noFill/>
            </a:ln>
          </c:spPr>
          <c:marker>
            <c:spPr>
              <a:solidFill>
                <a:schemeClr val="accent6">
                  <a:lumMod val="75000"/>
                </a:schemeClr>
              </a:solidFill>
              <a:ln>
                <a:solidFill>
                  <a:schemeClr val="accent6">
                    <a:lumMod val="75000"/>
                  </a:schemeClr>
                </a:solidFill>
              </a:ln>
            </c:spPr>
          </c:marker>
          <c:cat>
            <c:strRef>
              <c:f>All!$B$38:$C$38</c:f>
              <c:strCache>
                <c:ptCount val="2"/>
                <c:pt idx="0">
                  <c:v>Overall</c:v>
                </c:pt>
                <c:pt idx="1">
                  <c:v>Amb-Cons</c:v>
                </c:pt>
              </c:strCache>
            </c:strRef>
          </c:cat>
          <c:val>
            <c:numRef>
              <c:f>All!$B$44:$C$44</c:f>
              <c:numCache>
                <c:formatCode>General</c:formatCode>
                <c:ptCount val="2"/>
                <c:pt idx="0">
                  <c:v>55.902901908401425</c:v>
                </c:pt>
              </c:numCache>
            </c:numRef>
          </c:val>
          <c:smooth val="0"/>
        </c:ser>
        <c:ser>
          <c:idx val="6"/>
          <c:order val="6"/>
          <c:tx>
            <c:strRef>
              <c:f>All!$A$45</c:f>
              <c:strCache>
                <c:ptCount val="1"/>
                <c:pt idx="0">
                  <c:v>4a</c:v>
                </c:pt>
              </c:strCache>
            </c:strRef>
          </c:tx>
          <c:spPr>
            <a:ln>
              <a:noFill/>
            </a:ln>
          </c:spPr>
          <c:marker>
            <c:symbol val="circle"/>
            <c:size val="7"/>
            <c:spPr>
              <a:solidFill>
                <a:schemeClr val="accent6"/>
              </a:solidFill>
              <a:ln>
                <a:solidFill>
                  <a:schemeClr val="tx1"/>
                </a:solidFill>
              </a:ln>
            </c:spPr>
          </c:marker>
          <c:cat>
            <c:strRef>
              <c:f>All!$B$38:$C$38</c:f>
              <c:strCache>
                <c:ptCount val="2"/>
                <c:pt idx="0">
                  <c:v>Overall</c:v>
                </c:pt>
                <c:pt idx="1">
                  <c:v>Amb-Cons</c:v>
                </c:pt>
              </c:strCache>
            </c:strRef>
          </c:cat>
          <c:val>
            <c:numRef>
              <c:f>All!$B$45:$C$45</c:f>
              <c:numCache>
                <c:formatCode>General</c:formatCode>
                <c:ptCount val="2"/>
                <c:pt idx="1">
                  <c:v>58.69486916002834</c:v>
                </c:pt>
              </c:numCache>
            </c:numRef>
          </c:val>
          <c:smooth val="0"/>
        </c:ser>
        <c:ser>
          <c:idx val="7"/>
          <c:order val="7"/>
          <c:tx>
            <c:strRef>
              <c:f>All!$A$46</c:f>
              <c:strCache>
                <c:ptCount val="1"/>
                <c:pt idx="0">
                  <c:v>4b</c:v>
                </c:pt>
              </c:strCache>
            </c:strRef>
          </c:tx>
          <c:spPr>
            <a:ln w="28575">
              <a:noFill/>
            </a:ln>
          </c:spPr>
          <c:marker>
            <c:symbol val="circle"/>
            <c:size val="7"/>
            <c:spPr>
              <a:solidFill>
                <a:schemeClr val="accent6">
                  <a:lumMod val="40000"/>
                  <a:lumOff val="60000"/>
                </a:schemeClr>
              </a:solidFill>
              <a:ln>
                <a:solidFill>
                  <a:schemeClr val="accent6">
                    <a:lumMod val="50000"/>
                  </a:schemeClr>
                </a:solidFill>
              </a:ln>
            </c:spPr>
          </c:marker>
          <c:cat>
            <c:strRef>
              <c:f>All!$B$38:$C$38</c:f>
              <c:strCache>
                <c:ptCount val="2"/>
                <c:pt idx="0">
                  <c:v>Overall</c:v>
                </c:pt>
                <c:pt idx="1">
                  <c:v>Amb-Cons</c:v>
                </c:pt>
              </c:strCache>
            </c:strRef>
          </c:cat>
          <c:val>
            <c:numRef>
              <c:f>All!$B$46:$C$46</c:f>
              <c:numCache>
                <c:formatCode>General</c:formatCode>
                <c:ptCount val="2"/>
                <c:pt idx="1">
                  <c:v>53.110934656774511</c:v>
                </c:pt>
              </c:numCache>
            </c:numRef>
          </c:val>
          <c:smooth val="0"/>
        </c:ser>
        <c:ser>
          <c:idx val="8"/>
          <c:order val="8"/>
          <c:tx>
            <c:strRef>
              <c:f>All!$A$47</c:f>
              <c:strCache>
                <c:ptCount val="1"/>
                <c:pt idx="0">
                  <c:v>5</c:v>
                </c:pt>
              </c:strCache>
            </c:strRef>
          </c:tx>
          <c:spPr>
            <a:ln w="28575">
              <a:noFill/>
            </a:ln>
          </c:spPr>
          <c:marker>
            <c:symbol val="diamond"/>
            <c:size val="7"/>
            <c:spPr>
              <a:solidFill>
                <a:schemeClr val="accent1"/>
              </a:solidFill>
              <a:ln>
                <a:solidFill>
                  <a:schemeClr val="accent1"/>
                </a:solidFill>
              </a:ln>
            </c:spPr>
          </c:marker>
          <c:cat>
            <c:strRef>
              <c:f>All!$B$38:$C$38</c:f>
              <c:strCache>
                <c:ptCount val="2"/>
                <c:pt idx="0">
                  <c:v>Overall</c:v>
                </c:pt>
                <c:pt idx="1">
                  <c:v>Amb-Cons</c:v>
                </c:pt>
              </c:strCache>
            </c:strRef>
          </c:cat>
          <c:val>
            <c:numRef>
              <c:f>All!$B$47:$C$47</c:f>
              <c:numCache>
                <c:formatCode>General</c:formatCode>
                <c:ptCount val="2"/>
                <c:pt idx="0">
                  <c:v>70.774487806489063</c:v>
                </c:pt>
                <c:pt idx="1">
                  <c:v>70.774487806489063</c:v>
                </c:pt>
              </c:numCache>
            </c:numRef>
          </c:val>
          <c:smooth val="0"/>
        </c:ser>
        <c:dLbls>
          <c:showLegendKey val="0"/>
          <c:showVal val="0"/>
          <c:showCatName val="0"/>
          <c:showSerName val="0"/>
          <c:showPercent val="0"/>
          <c:showBubbleSize val="0"/>
        </c:dLbls>
        <c:marker val="1"/>
        <c:smooth val="0"/>
        <c:axId val="139929088"/>
        <c:axId val="139931008"/>
      </c:lineChart>
      <c:catAx>
        <c:axId val="139929088"/>
        <c:scaling>
          <c:orientation val="minMax"/>
        </c:scaling>
        <c:delete val="0"/>
        <c:axPos val="b"/>
        <c:majorTickMark val="out"/>
        <c:minorTickMark val="none"/>
        <c:tickLblPos val="nextTo"/>
        <c:crossAx val="139931008"/>
        <c:crosses val="autoZero"/>
        <c:auto val="1"/>
        <c:lblAlgn val="ctr"/>
        <c:lblOffset val="100"/>
        <c:noMultiLvlLbl val="0"/>
      </c:catAx>
      <c:valAx>
        <c:axId val="139931008"/>
        <c:scaling>
          <c:orientation val="minMax"/>
          <c:max val="100"/>
        </c:scaling>
        <c:delete val="0"/>
        <c:axPos val="l"/>
        <c:title>
          <c:tx>
            <c:rich>
              <a:bodyPr rot="-5400000" vert="horz"/>
              <a:lstStyle/>
              <a:p>
                <a:pPr>
                  <a:defRPr/>
                </a:pPr>
                <a:r>
                  <a:rPr lang="en-US"/>
                  <a:t>Option score (/100)</a:t>
                </a:r>
              </a:p>
            </c:rich>
          </c:tx>
          <c:layout/>
          <c:overlay val="0"/>
        </c:title>
        <c:numFmt formatCode="General" sourceLinked="1"/>
        <c:majorTickMark val="out"/>
        <c:minorTickMark val="none"/>
        <c:tickLblPos val="nextTo"/>
        <c:crossAx val="13992908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All!$H$4</c:f>
              <c:strCache>
                <c:ptCount val="1"/>
                <c:pt idx="0">
                  <c:v>BAS</c:v>
                </c:pt>
              </c:strCache>
            </c:strRef>
          </c:tx>
          <c:spPr>
            <a:ln>
              <a:noFill/>
            </a:ln>
          </c:spPr>
          <c:marker>
            <c:symbol val="star"/>
            <c:size val="7"/>
            <c:spPr>
              <a:noFill/>
              <a:ln>
                <a:solidFill>
                  <a:schemeClr val="accent3">
                    <a:lumMod val="75000"/>
                  </a:schemeClr>
                </a:solidFill>
              </a:ln>
            </c:spPr>
          </c:marker>
          <c:cat>
            <c:strRef>
              <c:f>All!$I$3:$K$3</c:f>
              <c:strCache>
                <c:ptCount val="3"/>
                <c:pt idx="0">
                  <c:v>ECO</c:v>
                </c:pt>
                <c:pt idx="1">
                  <c:v>ENV</c:v>
                </c:pt>
                <c:pt idx="2">
                  <c:v>SOC</c:v>
                </c:pt>
              </c:strCache>
            </c:strRef>
          </c:cat>
          <c:val>
            <c:numRef>
              <c:f>All!$I$4:$K$4</c:f>
              <c:numCache>
                <c:formatCode>General</c:formatCode>
                <c:ptCount val="3"/>
                <c:pt idx="0">
                  <c:v>41.575393699999999</c:v>
                </c:pt>
                <c:pt idx="1">
                  <c:v>19.72</c:v>
                </c:pt>
                <c:pt idx="2">
                  <c:v>47.25</c:v>
                </c:pt>
              </c:numCache>
            </c:numRef>
          </c:val>
          <c:smooth val="0"/>
        </c:ser>
        <c:ser>
          <c:idx val="1"/>
          <c:order val="1"/>
          <c:tx>
            <c:strRef>
              <c:f>All!$H$5</c:f>
              <c:strCache>
                <c:ptCount val="1"/>
                <c:pt idx="0">
                  <c:v>1</c:v>
                </c:pt>
              </c:strCache>
            </c:strRef>
          </c:tx>
          <c:spPr>
            <a:ln>
              <a:noFill/>
            </a:ln>
          </c:spPr>
          <c:marker>
            <c:spPr>
              <a:solidFill>
                <a:schemeClr val="accent3"/>
              </a:solidFill>
              <a:ln>
                <a:solidFill>
                  <a:schemeClr val="accent3"/>
                </a:solidFill>
              </a:ln>
            </c:spPr>
          </c:marker>
          <c:cat>
            <c:strRef>
              <c:f>All!$I$3:$K$3</c:f>
              <c:strCache>
                <c:ptCount val="3"/>
                <c:pt idx="0">
                  <c:v>ECO</c:v>
                </c:pt>
                <c:pt idx="1">
                  <c:v>ENV</c:v>
                </c:pt>
                <c:pt idx="2">
                  <c:v>SOC</c:v>
                </c:pt>
              </c:strCache>
            </c:strRef>
          </c:cat>
          <c:val>
            <c:numRef>
              <c:f>All!$I$5:$K$5</c:f>
              <c:numCache>
                <c:formatCode>General</c:formatCode>
                <c:ptCount val="3"/>
                <c:pt idx="0">
                  <c:v>21.675736345467129</c:v>
                </c:pt>
                <c:pt idx="1">
                  <c:v>1.52</c:v>
                </c:pt>
                <c:pt idx="2">
                  <c:v>10.5</c:v>
                </c:pt>
              </c:numCache>
            </c:numRef>
          </c:val>
          <c:smooth val="0"/>
        </c:ser>
        <c:ser>
          <c:idx val="2"/>
          <c:order val="2"/>
          <c:tx>
            <c:strRef>
              <c:f>All!$H$6</c:f>
              <c:strCache>
                <c:ptCount val="1"/>
                <c:pt idx="0">
                  <c:v>3</c:v>
                </c:pt>
              </c:strCache>
            </c:strRef>
          </c:tx>
          <c:spPr>
            <a:ln>
              <a:noFill/>
            </a:ln>
          </c:spPr>
          <c:marker>
            <c:spPr>
              <a:solidFill>
                <a:schemeClr val="accent2">
                  <a:lumMod val="75000"/>
                </a:schemeClr>
              </a:solidFill>
              <a:ln>
                <a:solidFill>
                  <a:schemeClr val="accent2">
                    <a:lumMod val="75000"/>
                  </a:schemeClr>
                </a:solidFill>
              </a:ln>
            </c:spPr>
          </c:marker>
          <c:cat>
            <c:strRef>
              <c:f>All!$I$3:$K$3</c:f>
              <c:strCache>
                <c:ptCount val="3"/>
                <c:pt idx="0">
                  <c:v>ECO</c:v>
                </c:pt>
                <c:pt idx="1">
                  <c:v>ENV</c:v>
                </c:pt>
                <c:pt idx="2">
                  <c:v>SOC</c:v>
                </c:pt>
              </c:strCache>
            </c:strRef>
          </c:cat>
          <c:val>
            <c:numRef>
              <c:f>All!$I$6:$K$6</c:f>
              <c:numCache>
                <c:formatCode>General</c:formatCode>
                <c:ptCount val="3"/>
                <c:pt idx="0">
                  <c:v>59.936092203522996</c:v>
                </c:pt>
                <c:pt idx="1">
                  <c:v>65.185000000000002</c:v>
                </c:pt>
                <c:pt idx="2">
                  <c:v>59.394999999999996</c:v>
                </c:pt>
              </c:numCache>
            </c:numRef>
          </c:val>
          <c:smooth val="0"/>
        </c:ser>
        <c:ser>
          <c:idx val="3"/>
          <c:order val="3"/>
          <c:tx>
            <c:strRef>
              <c:f>All!$H$7</c:f>
              <c:strCache>
                <c:ptCount val="1"/>
                <c:pt idx="0">
                  <c:v>3a</c:v>
                </c:pt>
              </c:strCache>
            </c:strRef>
          </c:tx>
          <c:spPr>
            <a:ln>
              <a:noFill/>
            </a:ln>
          </c:spPr>
          <c:marker>
            <c:symbol val="triangle"/>
            <c:size val="7"/>
            <c:spPr>
              <a:solidFill>
                <a:schemeClr val="accent2">
                  <a:lumMod val="75000"/>
                </a:schemeClr>
              </a:solidFill>
              <a:ln>
                <a:solidFill>
                  <a:schemeClr val="tx1"/>
                </a:solidFill>
              </a:ln>
            </c:spPr>
          </c:marker>
          <c:cat>
            <c:strRef>
              <c:f>All!$I$3:$K$3</c:f>
              <c:strCache>
                <c:ptCount val="3"/>
                <c:pt idx="0">
                  <c:v>ECO</c:v>
                </c:pt>
                <c:pt idx="1">
                  <c:v>ENV</c:v>
                </c:pt>
                <c:pt idx="2">
                  <c:v>SOC</c:v>
                </c:pt>
              </c:strCache>
            </c:strRef>
          </c:cat>
          <c:val>
            <c:numRef>
              <c:f>All!$I$7:$K$7</c:f>
              <c:numCache>
                <c:formatCode>General</c:formatCode>
                <c:ptCount val="3"/>
                <c:pt idx="0">
                  <c:v>68.768946</c:v>
                </c:pt>
                <c:pt idx="1">
                  <c:v>88.45</c:v>
                </c:pt>
                <c:pt idx="2">
                  <c:v>54.52</c:v>
                </c:pt>
              </c:numCache>
            </c:numRef>
          </c:val>
          <c:smooth val="0"/>
        </c:ser>
        <c:ser>
          <c:idx val="4"/>
          <c:order val="4"/>
          <c:tx>
            <c:strRef>
              <c:f>All!$H$8</c:f>
              <c:strCache>
                <c:ptCount val="1"/>
                <c:pt idx="0">
                  <c:v>3b</c:v>
                </c:pt>
              </c:strCache>
            </c:strRef>
          </c:tx>
          <c:spPr>
            <a:ln>
              <a:noFill/>
            </a:ln>
          </c:spPr>
          <c:marker>
            <c:symbol val="triangle"/>
            <c:size val="7"/>
            <c:spPr>
              <a:solidFill>
                <a:schemeClr val="accent2">
                  <a:lumMod val="20000"/>
                  <a:lumOff val="80000"/>
                </a:schemeClr>
              </a:solidFill>
              <a:ln>
                <a:solidFill>
                  <a:schemeClr val="accent2">
                    <a:lumMod val="50000"/>
                  </a:schemeClr>
                </a:solidFill>
              </a:ln>
            </c:spPr>
          </c:marker>
          <c:cat>
            <c:strRef>
              <c:f>All!$I$3:$K$3</c:f>
              <c:strCache>
                <c:ptCount val="3"/>
                <c:pt idx="0">
                  <c:v>ECO</c:v>
                </c:pt>
                <c:pt idx="1">
                  <c:v>ENV</c:v>
                </c:pt>
                <c:pt idx="2">
                  <c:v>SOC</c:v>
                </c:pt>
              </c:strCache>
            </c:strRef>
          </c:cat>
          <c:val>
            <c:numRef>
              <c:f>All!$I$8:$K$8</c:f>
              <c:numCache>
                <c:formatCode>General</c:formatCode>
                <c:ptCount val="3"/>
                <c:pt idx="0">
                  <c:v>51.103238407045993</c:v>
                </c:pt>
                <c:pt idx="1">
                  <c:v>41.92</c:v>
                </c:pt>
                <c:pt idx="2">
                  <c:v>64.27</c:v>
                </c:pt>
              </c:numCache>
            </c:numRef>
          </c:val>
          <c:smooth val="0"/>
        </c:ser>
        <c:ser>
          <c:idx val="5"/>
          <c:order val="5"/>
          <c:tx>
            <c:strRef>
              <c:f>All!$H$9</c:f>
              <c:strCache>
                <c:ptCount val="1"/>
                <c:pt idx="0">
                  <c:v>4</c:v>
                </c:pt>
              </c:strCache>
            </c:strRef>
          </c:tx>
          <c:spPr>
            <a:ln>
              <a:noFill/>
            </a:ln>
          </c:spPr>
          <c:marker>
            <c:spPr>
              <a:solidFill>
                <a:schemeClr val="accent6">
                  <a:lumMod val="75000"/>
                </a:schemeClr>
              </a:solidFill>
              <a:ln>
                <a:solidFill>
                  <a:schemeClr val="accent6">
                    <a:lumMod val="75000"/>
                  </a:schemeClr>
                </a:solidFill>
              </a:ln>
            </c:spPr>
          </c:marker>
          <c:cat>
            <c:strRef>
              <c:f>All!$I$3:$K$3</c:f>
              <c:strCache>
                <c:ptCount val="3"/>
                <c:pt idx="0">
                  <c:v>ECO</c:v>
                </c:pt>
                <c:pt idx="1">
                  <c:v>ENV</c:v>
                </c:pt>
                <c:pt idx="2">
                  <c:v>SOC</c:v>
                </c:pt>
              </c:strCache>
            </c:strRef>
          </c:cat>
          <c:val>
            <c:numRef>
              <c:f>All!$I$9:$K$9</c:f>
              <c:numCache>
                <c:formatCode>General</c:formatCode>
                <c:ptCount val="3"/>
                <c:pt idx="0">
                  <c:v>58.593705725204281</c:v>
                </c:pt>
                <c:pt idx="1">
                  <c:v>67.084999999999994</c:v>
                </c:pt>
                <c:pt idx="2">
                  <c:v>42.03</c:v>
                </c:pt>
              </c:numCache>
            </c:numRef>
          </c:val>
          <c:smooth val="0"/>
        </c:ser>
        <c:ser>
          <c:idx val="6"/>
          <c:order val="6"/>
          <c:tx>
            <c:strRef>
              <c:f>All!$H$10</c:f>
              <c:strCache>
                <c:ptCount val="1"/>
                <c:pt idx="0">
                  <c:v>4a</c:v>
                </c:pt>
              </c:strCache>
            </c:strRef>
          </c:tx>
          <c:spPr>
            <a:ln>
              <a:noFill/>
            </a:ln>
          </c:spPr>
          <c:marker>
            <c:symbol val="circle"/>
            <c:size val="7"/>
            <c:spPr>
              <a:solidFill>
                <a:schemeClr val="accent6"/>
              </a:solidFill>
              <a:ln>
                <a:solidFill>
                  <a:schemeClr val="tx1"/>
                </a:solidFill>
              </a:ln>
            </c:spPr>
          </c:marker>
          <c:cat>
            <c:strRef>
              <c:f>All!$I$3:$K$3</c:f>
              <c:strCache>
                <c:ptCount val="3"/>
                <c:pt idx="0">
                  <c:v>ECO</c:v>
                </c:pt>
                <c:pt idx="1">
                  <c:v>ENV</c:v>
                </c:pt>
                <c:pt idx="2">
                  <c:v>SOC</c:v>
                </c:pt>
              </c:strCache>
            </c:strRef>
          </c:cat>
          <c:val>
            <c:numRef>
              <c:f>All!$I$10:$K$10</c:f>
              <c:numCache>
                <c:formatCode>General</c:formatCode>
                <c:ptCount val="3"/>
                <c:pt idx="0">
                  <c:v>54.014607480085019</c:v>
                </c:pt>
                <c:pt idx="1">
                  <c:v>83.96</c:v>
                </c:pt>
                <c:pt idx="2">
                  <c:v>38.11</c:v>
                </c:pt>
              </c:numCache>
            </c:numRef>
          </c:val>
          <c:smooth val="0"/>
        </c:ser>
        <c:ser>
          <c:idx val="7"/>
          <c:order val="7"/>
          <c:tx>
            <c:strRef>
              <c:f>All!$H$11</c:f>
              <c:strCache>
                <c:ptCount val="1"/>
                <c:pt idx="0">
                  <c:v>4b</c:v>
                </c:pt>
              </c:strCache>
            </c:strRef>
          </c:tx>
          <c:spPr>
            <a:ln w="28575">
              <a:noFill/>
            </a:ln>
          </c:spPr>
          <c:marker>
            <c:symbol val="circle"/>
            <c:size val="7"/>
            <c:spPr>
              <a:solidFill>
                <a:schemeClr val="accent6">
                  <a:lumMod val="40000"/>
                  <a:lumOff val="60000"/>
                </a:schemeClr>
              </a:solidFill>
              <a:ln>
                <a:solidFill>
                  <a:schemeClr val="accent6">
                    <a:lumMod val="50000"/>
                  </a:schemeClr>
                </a:solidFill>
              </a:ln>
            </c:spPr>
          </c:marker>
          <c:cat>
            <c:strRef>
              <c:f>All!$I$3:$K$3</c:f>
              <c:strCache>
                <c:ptCount val="3"/>
                <c:pt idx="0">
                  <c:v>ECO</c:v>
                </c:pt>
                <c:pt idx="1">
                  <c:v>ENV</c:v>
                </c:pt>
                <c:pt idx="2">
                  <c:v>SOC</c:v>
                </c:pt>
              </c:strCache>
            </c:strRef>
          </c:cat>
          <c:val>
            <c:numRef>
              <c:f>All!$I$11:$K$11</c:f>
              <c:numCache>
                <c:formatCode>General</c:formatCode>
                <c:ptCount val="3"/>
                <c:pt idx="0">
                  <c:v>63.172803970323542</c:v>
                </c:pt>
                <c:pt idx="1">
                  <c:v>50.21</c:v>
                </c:pt>
                <c:pt idx="2">
                  <c:v>45.95</c:v>
                </c:pt>
              </c:numCache>
            </c:numRef>
          </c:val>
          <c:smooth val="0"/>
        </c:ser>
        <c:ser>
          <c:idx val="8"/>
          <c:order val="8"/>
          <c:tx>
            <c:strRef>
              <c:f>All!$H$12</c:f>
              <c:strCache>
                <c:ptCount val="1"/>
                <c:pt idx="0">
                  <c:v>5</c:v>
                </c:pt>
              </c:strCache>
            </c:strRef>
          </c:tx>
          <c:spPr>
            <a:ln w="28575">
              <a:noFill/>
            </a:ln>
          </c:spPr>
          <c:marker>
            <c:symbol val="diamond"/>
            <c:size val="7"/>
            <c:spPr>
              <a:solidFill>
                <a:schemeClr val="accent1"/>
              </a:solidFill>
              <a:ln>
                <a:solidFill>
                  <a:schemeClr val="accent1"/>
                </a:solidFill>
              </a:ln>
            </c:spPr>
          </c:marker>
          <c:cat>
            <c:strRef>
              <c:f>All!$I$3:$K$3</c:f>
              <c:strCache>
                <c:ptCount val="3"/>
                <c:pt idx="0">
                  <c:v>ECO</c:v>
                </c:pt>
                <c:pt idx="1">
                  <c:v>ENV</c:v>
                </c:pt>
                <c:pt idx="2">
                  <c:v>SOC</c:v>
                </c:pt>
              </c:strCache>
            </c:strRef>
          </c:cat>
          <c:val>
            <c:numRef>
              <c:f>All!$I$12:$K$12</c:f>
              <c:numCache>
                <c:formatCode>General</c:formatCode>
                <c:ptCount val="3"/>
                <c:pt idx="0">
                  <c:v>42.513463419467222</c:v>
                </c:pt>
                <c:pt idx="1">
                  <c:v>78.61</c:v>
                </c:pt>
                <c:pt idx="2">
                  <c:v>91.2</c:v>
                </c:pt>
              </c:numCache>
            </c:numRef>
          </c:val>
          <c:smooth val="0"/>
        </c:ser>
        <c:dLbls>
          <c:showLegendKey val="0"/>
          <c:showVal val="0"/>
          <c:showCatName val="0"/>
          <c:showSerName val="0"/>
          <c:showPercent val="0"/>
          <c:showBubbleSize val="0"/>
        </c:dLbls>
        <c:marker val="1"/>
        <c:smooth val="0"/>
        <c:axId val="142218752"/>
        <c:axId val="142220672"/>
      </c:lineChart>
      <c:catAx>
        <c:axId val="142218752"/>
        <c:scaling>
          <c:orientation val="minMax"/>
        </c:scaling>
        <c:delete val="0"/>
        <c:axPos val="b"/>
        <c:majorTickMark val="out"/>
        <c:minorTickMark val="none"/>
        <c:tickLblPos val="nextTo"/>
        <c:crossAx val="142220672"/>
        <c:crosses val="autoZero"/>
        <c:auto val="1"/>
        <c:lblAlgn val="ctr"/>
        <c:lblOffset val="100"/>
        <c:noMultiLvlLbl val="0"/>
      </c:catAx>
      <c:valAx>
        <c:axId val="142220672"/>
        <c:scaling>
          <c:orientation val="minMax"/>
          <c:max val="100"/>
        </c:scaling>
        <c:delete val="0"/>
        <c:axPos val="l"/>
        <c:title>
          <c:tx>
            <c:rich>
              <a:bodyPr rot="-5400000" vert="horz"/>
              <a:lstStyle/>
              <a:p>
                <a:pPr>
                  <a:defRPr/>
                </a:pPr>
                <a:r>
                  <a:rPr lang="en-US"/>
                  <a:t>Option score (/100)</a:t>
                </a:r>
              </a:p>
            </c:rich>
          </c:tx>
          <c:layout/>
          <c:overlay val="0"/>
        </c:title>
        <c:numFmt formatCode="General" sourceLinked="1"/>
        <c:majorTickMark val="out"/>
        <c:minorTickMark val="none"/>
        <c:tickLblPos val="nextTo"/>
        <c:crossAx val="142218752"/>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26129647463133"/>
          <c:y val="8.3809523809523806E-2"/>
          <c:w val="0.53033592024018583"/>
          <c:h val="0.64940922384701916"/>
        </c:manualLayout>
      </c:layout>
      <c:lineChart>
        <c:grouping val="standard"/>
        <c:varyColors val="0"/>
        <c:ser>
          <c:idx val="0"/>
          <c:order val="0"/>
          <c:tx>
            <c:strRef>
              <c:f>All!$AB$35</c:f>
              <c:strCache>
                <c:ptCount val="1"/>
                <c:pt idx="0">
                  <c:v>BAS</c:v>
                </c:pt>
              </c:strCache>
            </c:strRef>
          </c:tx>
          <c:spPr>
            <a:ln>
              <a:noFill/>
            </a:ln>
          </c:spPr>
          <c:marker>
            <c:symbol val="star"/>
            <c:size val="5"/>
            <c:spPr>
              <a:noFill/>
              <a:ln>
                <a:solidFill>
                  <a:schemeClr val="accent3">
                    <a:lumMod val="75000"/>
                  </a:schemeClr>
                </a:solidFill>
              </a:ln>
            </c:spPr>
          </c:marker>
          <c:cat>
            <c:strRef>
              <c:f>All!$AC$34:$AD$34</c:f>
              <c:strCache>
                <c:ptCount val="2"/>
                <c:pt idx="0">
                  <c:v>33/33/33</c:v>
                </c:pt>
                <c:pt idx="1">
                  <c:v>57/32/11</c:v>
                </c:pt>
              </c:strCache>
            </c:strRef>
          </c:cat>
          <c:val>
            <c:numRef>
              <c:f>All!$AC$35:$AD$35</c:f>
              <c:numCache>
                <c:formatCode>General</c:formatCode>
                <c:ptCount val="2"/>
                <c:pt idx="0">
                  <c:v>36.181797899999999</c:v>
                </c:pt>
                <c:pt idx="1">
                  <c:v>35.205874408999996</c:v>
                </c:pt>
              </c:numCache>
            </c:numRef>
          </c:val>
          <c:smooth val="0"/>
        </c:ser>
        <c:ser>
          <c:idx val="1"/>
          <c:order val="1"/>
          <c:tx>
            <c:strRef>
              <c:f>All!$AB$36</c:f>
              <c:strCache>
                <c:ptCount val="1"/>
                <c:pt idx="0">
                  <c:v>1</c:v>
                </c:pt>
              </c:strCache>
            </c:strRef>
          </c:tx>
          <c:spPr>
            <a:ln>
              <a:noFill/>
            </a:ln>
          </c:spPr>
          <c:marker>
            <c:symbol val="square"/>
            <c:size val="5"/>
            <c:spPr>
              <a:solidFill>
                <a:schemeClr val="accent3"/>
              </a:solidFill>
              <a:ln>
                <a:solidFill>
                  <a:schemeClr val="accent3"/>
                </a:solidFill>
              </a:ln>
            </c:spPr>
          </c:marker>
          <c:cat>
            <c:strRef>
              <c:f>All!$AC$34:$AD$34</c:f>
              <c:strCache>
                <c:ptCount val="2"/>
                <c:pt idx="0">
                  <c:v>33/33/33</c:v>
                </c:pt>
                <c:pt idx="1">
                  <c:v>57/32/11</c:v>
                </c:pt>
              </c:strCache>
            </c:strRef>
          </c:cat>
          <c:val>
            <c:numRef>
              <c:f>All!$AC$36:$AD$36</c:f>
              <c:numCache>
                <c:formatCode>General</c:formatCode>
                <c:ptCount val="2"/>
                <c:pt idx="0">
                  <c:v>11.231912115155708</c:v>
                </c:pt>
                <c:pt idx="1">
                  <c:v>13.996569716916262</c:v>
                </c:pt>
              </c:numCache>
            </c:numRef>
          </c:val>
          <c:smooth val="0"/>
        </c:ser>
        <c:ser>
          <c:idx val="2"/>
          <c:order val="2"/>
          <c:tx>
            <c:strRef>
              <c:f>All!$AB$37</c:f>
              <c:strCache>
                <c:ptCount val="1"/>
                <c:pt idx="0">
                  <c:v>3</c:v>
                </c:pt>
              </c:strCache>
            </c:strRef>
          </c:tx>
          <c:spPr>
            <a:ln>
              <a:noFill/>
            </a:ln>
          </c:spPr>
          <c:marker>
            <c:spPr>
              <a:solidFill>
                <a:schemeClr val="accent2">
                  <a:lumMod val="75000"/>
                </a:schemeClr>
              </a:solidFill>
              <a:ln>
                <a:solidFill>
                  <a:schemeClr val="accent2">
                    <a:lumMod val="75000"/>
                  </a:schemeClr>
                </a:solidFill>
              </a:ln>
            </c:spPr>
          </c:marker>
          <c:cat>
            <c:strRef>
              <c:f>All!$AC$34:$AD$34</c:f>
              <c:strCache>
                <c:ptCount val="2"/>
                <c:pt idx="0">
                  <c:v>33/33/33</c:v>
                </c:pt>
                <c:pt idx="1">
                  <c:v>57/32/11</c:v>
                </c:pt>
              </c:strCache>
            </c:strRef>
          </c:cat>
          <c:val>
            <c:numRef>
              <c:f>All!$AC$37:$AD$37</c:f>
              <c:numCache>
                <c:formatCode>General</c:formatCode>
                <c:ptCount val="2"/>
                <c:pt idx="0">
                  <c:v>61.505364067841001</c:v>
                </c:pt>
                <c:pt idx="1">
                  <c:v>61.556222556008109</c:v>
                </c:pt>
              </c:numCache>
            </c:numRef>
          </c:val>
          <c:smooth val="0"/>
        </c:ser>
        <c:ser>
          <c:idx val="3"/>
          <c:order val="3"/>
          <c:tx>
            <c:strRef>
              <c:f>All!$AB$38</c:f>
              <c:strCache>
                <c:ptCount val="1"/>
                <c:pt idx="0">
                  <c:v>4</c:v>
                </c:pt>
              </c:strCache>
            </c:strRef>
          </c:tx>
          <c:spPr>
            <a:ln>
              <a:noFill/>
            </a:ln>
          </c:spPr>
          <c:marker>
            <c:symbol val="circle"/>
            <c:size val="7"/>
            <c:spPr>
              <a:solidFill>
                <a:schemeClr val="accent6">
                  <a:lumMod val="75000"/>
                </a:schemeClr>
              </a:solidFill>
              <a:ln>
                <a:noFill/>
              </a:ln>
            </c:spPr>
          </c:marker>
          <c:cat>
            <c:strRef>
              <c:f>All!$AC$34:$AD$34</c:f>
              <c:strCache>
                <c:ptCount val="2"/>
                <c:pt idx="0">
                  <c:v>33/33/33</c:v>
                </c:pt>
                <c:pt idx="1">
                  <c:v>57/32/11</c:v>
                </c:pt>
              </c:strCache>
            </c:strRef>
          </c:cat>
          <c:val>
            <c:numRef>
              <c:f>All!$AC$38:$AD$38</c:f>
              <c:numCache>
                <c:formatCode>General</c:formatCode>
                <c:ptCount val="2"/>
                <c:pt idx="0">
                  <c:v>55.902901908401425</c:v>
                </c:pt>
                <c:pt idx="1">
                  <c:v>59.48891226336643</c:v>
                </c:pt>
              </c:numCache>
            </c:numRef>
          </c:val>
          <c:smooth val="0"/>
        </c:ser>
        <c:ser>
          <c:idx val="4"/>
          <c:order val="4"/>
          <c:tx>
            <c:strRef>
              <c:f>All!$AB$39</c:f>
              <c:strCache>
                <c:ptCount val="1"/>
                <c:pt idx="0">
                  <c:v>5</c:v>
                </c:pt>
              </c:strCache>
            </c:strRef>
          </c:tx>
          <c:spPr>
            <a:ln>
              <a:noFill/>
            </a:ln>
          </c:spPr>
          <c:marker>
            <c:symbol val="diamond"/>
            <c:size val="7"/>
            <c:spPr>
              <a:solidFill>
                <a:schemeClr val="accent1"/>
              </a:solidFill>
              <a:ln>
                <a:solidFill>
                  <a:schemeClr val="accent1"/>
                </a:solidFill>
              </a:ln>
            </c:spPr>
          </c:marker>
          <c:cat>
            <c:strRef>
              <c:f>All!$AC$34:$AD$34</c:f>
              <c:strCache>
                <c:ptCount val="2"/>
                <c:pt idx="0">
                  <c:v>33/33/33</c:v>
                </c:pt>
                <c:pt idx="1">
                  <c:v>57/32/11</c:v>
                </c:pt>
              </c:strCache>
            </c:strRef>
          </c:cat>
          <c:val>
            <c:numRef>
              <c:f>All!$AC$39:$AD$39</c:f>
              <c:numCache>
                <c:formatCode>General</c:formatCode>
                <c:ptCount val="2"/>
                <c:pt idx="0">
                  <c:v>70.774487806489063</c:v>
                </c:pt>
                <c:pt idx="1">
                  <c:v>59.419874149096316</c:v>
                </c:pt>
              </c:numCache>
            </c:numRef>
          </c:val>
          <c:smooth val="0"/>
        </c:ser>
        <c:dLbls>
          <c:showLegendKey val="0"/>
          <c:showVal val="0"/>
          <c:showCatName val="0"/>
          <c:showSerName val="0"/>
          <c:showPercent val="0"/>
          <c:showBubbleSize val="0"/>
        </c:dLbls>
        <c:marker val="1"/>
        <c:smooth val="0"/>
        <c:axId val="142252288"/>
        <c:axId val="142267136"/>
      </c:lineChart>
      <c:catAx>
        <c:axId val="142252288"/>
        <c:scaling>
          <c:orientation val="minMax"/>
        </c:scaling>
        <c:delete val="0"/>
        <c:axPos val="b"/>
        <c:title>
          <c:tx>
            <c:rich>
              <a:bodyPr/>
              <a:lstStyle/>
              <a:p>
                <a:pPr>
                  <a:defRPr/>
                </a:pPr>
                <a:r>
                  <a:rPr lang="en-US"/>
                  <a:t>Weights ECO/ENV/SOC</a:t>
                </a:r>
              </a:p>
            </c:rich>
          </c:tx>
          <c:layout/>
          <c:overlay val="0"/>
        </c:title>
        <c:majorTickMark val="out"/>
        <c:minorTickMark val="none"/>
        <c:tickLblPos val="nextTo"/>
        <c:crossAx val="142267136"/>
        <c:crosses val="autoZero"/>
        <c:auto val="1"/>
        <c:lblAlgn val="ctr"/>
        <c:lblOffset val="100"/>
        <c:noMultiLvlLbl val="0"/>
      </c:catAx>
      <c:valAx>
        <c:axId val="142267136"/>
        <c:scaling>
          <c:orientation val="minMax"/>
        </c:scaling>
        <c:delete val="0"/>
        <c:axPos val="l"/>
        <c:majorGridlines/>
        <c:title>
          <c:tx>
            <c:rich>
              <a:bodyPr rot="-5400000" vert="horz"/>
              <a:lstStyle/>
              <a:p>
                <a:pPr>
                  <a:defRPr/>
                </a:pPr>
                <a:r>
                  <a:rPr lang="en-US"/>
                  <a:t>Option score (/100)</a:t>
                </a:r>
              </a:p>
            </c:rich>
          </c:tx>
          <c:layout/>
          <c:overlay val="0"/>
        </c:title>
        <c:numFmt formatCode="General" sourceLinked="1"/>
        <c:majorTickMark val="out"/>
        <c:minorTickMark val="none"/>
        <c:tickLblPos val="nextTo"/>
        <c:crossAx val="142252288"/>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346E-2"/>
          <c:y val="5.0925925925925923E-2"/>
          <c:w val="0.87581714785651799"/>
          <c:h val="0.80994604841061535"/>
        </c:manualLayout>
      </c:layout>
      <c:barChart>
        <c:barDir val="bar"/>
        <c:grouping val="clustered"/>
        <c:varyColors val="0"/>
        <c:ser>
          <c:idx val="0"/>
          <c:order val="0"/>
          <c:tx>
            <c:strRef>
              <c:f>'ECO + mod v2'!$Y$27</c:f>
              <c:strCache>
                <c:ptCount val="1"/>
                <c:pt idx="0">
                  <c:v>Overall</c:v>
                </c:pt>
              </c:strCache>
            </c:strRef>
          </c:tx>
          <c:invertIfNegative val="0"/>
          <c:dPt>
            <c:idx val="0"/>
            <c:invertIfNegative val="0"/>
            <c:bubble3D val="0"/>
            <c:spPr>
              <a:solidFill>
                <a:srgbClr val="9BBB59">
                  <a:lumMod val="60000"/>
                  <a:lumOff val="40000"/>
                </a:srgbClr>
              </a:solidFill>
            </c:spPr>
          </c:dPt>
          <c:dPt>
            <c:idx val="1"/>
            <c:invertIfNegative val="0"/>
            <c:bubble3D val="0"/>
            <c:spPr>
              <a:solidFill>
                <a:srgbClr val="9BBB59">
                  <a:lumMod val="75000"/>
                </a:srgbClr>
              </a:solidFill>
            </c:spPr>
          </c:dPt>
          <c:dPt>
            <c:idx val="2"/>
            <c:invertIfNegative val="0"/>
            <c:bubble3D val="0"/>
            <c:spPr>
              <a:solidFill>
                <a:srgbClr val="4F81BD"/>
              </a:solidFill>
            </c:spPr>
          </c:dPt>
          <c:dPt>
            <c:idx val="3"/>
            <c:invertIfNegative val="0"/>
            <c:bubble3D val="0"/>
            <c:spPr>
              <a:solidFill>
                <a:srgbClr val="C0504D">
                  <a:lumMod val="60000"/>
                  <a:lumOff val="40000"/>
                </a:srgbClr>
              </a:solidFill>
            </c:spPr>
          </c:dPt>
          <c:dPt>
            <c:idx val="4"/>
            <c:invertIfNegative val="0"/>
            <c:bubble3D val="0"/>
            <c:spPr>
              <a:solidFill>
                <a:srgbClr val="F79646"/>
              </a:solidFill>
            </c:spPr>
          </c:dPt>
          <c:dPt>
            <c:idx val="5"/>
            <c:invertIfNegative val="0"/>
            <c:bubble3D val="0"/>
            <c:spPr>
              <a:solidFill>
                <a:srgbClr val="F79646">
                  <a:lumMod val="75000"/>
                </a:srgbClr>
              </a:solidFill>
            </c:spPr>
          </c:dPt>
          <c:dPt>
            <c:idx val="6"/>
            <c:invertIfNegative val="0"/>
            <c:bubble3D val="0"/>
            <c:spPr>
              <a:solidFill>
                <a:srgbClr val="C0504D">
                  <a:lumMod val="75000"/>
                </a:srgbClr>
              </a:solidFill>
            </c:spPr>
          </c:dPt>
          <c:dPt>
            <c:idx val="7"/>
            <c:invertIfNegative val="0"/>
            <c:bubble3D val="0"/>
            <c:spPr>
              <a:solidFill>
                <a:srgbClr val="F79646"/>
              </a:solidFill>
            </c:spPr>
          </c:dPt>
          <c:dPt>
            <c:idx val="8"/>
            <c:invertIfNegative val="0"/>
            <c:bubble3D val="0"/>
            <c:spPr>
              <a:solidFill>
                <a:srgbClr val="C0504D">
                  <a:lumMod val="60000"/>
                  <a:lumOff val="40000"/>
                </a:srgbClr>
              </a:solidFill>
            </c:spPr>
          </c:dPt>
          <c:cat>
            <c:strRef>
              <c:f>'ECO + mod v2'!$X$28:$X$36</c:f>
              <c:strCache>
                <c:ptCount val="9"/>
                <c:pt idx="0">
                  <c:v>1</c:v>
                </c:pt>
                <c:pt idx="1">
                  <c:v>BAS</c:v>
                </c:pt>
                <c:pt idx="2">
                  <c:v>5</c:v>
                </c:pt>
                <c:pt idx="3">
                  <c:v>3b</c:v>
                </c:pt>
                <c:pt idx="4">
                  <c:v>4a</c:v>
                </c:pt>
                <c:pt idx="5">
                  <c:v>4</c:v>
                </c:pt>
                <c:pt idx="6">
                  <c:v>3</c:v>
                </c:pt>
                <c:pt idx="7">
                  <c:v>4b</c:v>
                </c:pt>
                <c:pt idx="8">
                  <c:v>3a</c:v>
                </c:pt>
              </c:strCache>
            </c:strRef>
          </c:cat>
          <c:val>
            <c:numRef>
              <c:f>'ECO + mod v2'!$Y$28:$Y$36</c:f>
              <c:numCache>
                <c:formatCode>0</c:formatCode>
                <c:ptCount val="9"/>
                <c:pt idx="0">
                  <c:v>21.675736345467129</c:v>
                </c:pt>
                <c:pt idx="1">
                  <c:v>41.575393699999999</c:v>
                </c:pt>
                <c:pt idx="2">
                  <c:v>42.513463419467222</c:v>
                </c:pt>
                <c:pt idx="3">
                  <c:v>51.103238407045993</c:v>
                </c:pt>
                <c:pt idx="4">
                  <c:v>54.014607480085019</c:v>
                </c:pt>
                <c:pt idx="5">
                  <c:v>58.593705725204288</c:v>
                </c:pt>
                <c:pt idx="6">
                  <c:v>59.936092203522989</c:v>
                </c:pt>
                <c:pt idx="7">
                  <c:v>63.172803970323542</c:v>
                </c:pt>
                <c:pt idx="8">
                  <c:v>68.768946</c:v>
                </c:pt>
              </c:numCache>
            </c:numRef>
          </c:val>
        </c:ser>
        <c:dLbls>
          <c:showLegendKey val="0"/>
          <c:showVal val="0"/>
          <c:showCatName val="0"/>
          <c:showSerName val="0"/>
          <c:showPercent val="0"/>
          <c:showBubbleSize val="0"/>
        </c:dLbls>
        <c:gapWidth val="150"/>
        <c:axId val="142303616"/>
        <c:axId val="142305152"/>
      </c:barChart>
      <c:catAx>
        <c:axId val="142303616"/>
        <c:scaling>
          <c:orientation val="minMax"/>
        </c:scaling>
        <c:delete val="0"/>
        <c:axPos val="l"/>
        <c:numFmt formatCode="General" sourceLinked="1"/>
        <c:majorTickMark val="out"/>
        <c:minorTickMark val="none"/>
        <c:tickLblPos val="nextTo"/>
        <c:crossAx val="142305152"/>
        <c:crosses val="autoZero"/>
        <c:auto val="1"/>
        <c:lblAlgn val="ctr"/>
        <c:lblOffset val="100"/>
        <c:noMultiLvlLbl val="0"/>
      </c:catAx>
      <c:valAx>
        <c:axId val="142305152"/>
        <c:scaling>
          <c:orientation val="minMax"/>
          <c:max val="100"/>
        </c:scaling>
        <c:delete val="0"/>
        <c:axPos val="b"/>
        <c:majorGridlines/>
        <c:numFmt formatCode="0" sourceLinked="1"/>
        <c:majorTickMark val="out"/>
        <c:minorTickMark val="none"/>
        <c:tickLblPos val="nextTo"/>
        <c:crossAx val="14230361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'ECO + modelling'!$Z$3</c:f>
              <c:strCache>
                <c:ptCount val="1"/>
                <c:pt idx="0">
                  <c:v>Increase income level</c:v>
                </c:pt>
              </c:strCache>
            </c:strRef>
          </c:tx>
          <c:spPr>
            <a:solidFill>
              <a:schemeClr val="accent4">
                <a:lumMod val="40000"/>
                <a:lumOff val="60000"/>
              </a:schemeClr>
            </a:solidFill>
          </c:spPr>
          <c:invertIfNegative val="0"/>
          <c:cat>
            <c:strRef>
              <c:f>'ECO + modelling'!$X$4:$X$10</c:f>
              <c:strCache>
                <c:ptCount val="7"/>
                <c:pt idx="0">
                  <c:v>BAS</c:v>
                </c:pt>
                <c:pt idx="1">
                  <c:v>1</c:v>
                </c:pt>
                <c:pt idx="2">
                  <c:v>3a</c:v>
                </c:pt>
                <c:pt idx="3">
                  <c:v>3b</c:v>
                </c:pt>
                <c:pt idx="4">
                  <c:v>4a</c:v>
                </c:pt>
                <c:pt idx="5">
                  <c:v>4b</c:v>
                </c:pt>
                <c:pt idx="6">
                  <c:v>5</c:v>
                </c:pt>
              </c:strCache>
            </c:strRef>
          </c:cat>
          <c:val>
            <c:numRef>
              <c:f>'ECO + modelling'!$Z$4:$Z$10</c:f>
              <c:numCache>
                <c:formatCode>General</c:formatCode>
                <c:ptCount val="7"/>
                <c:pt idx="0">
                  <c:v>100</c:v>
                </c:pt>
                <c:pt idx="1">
                  <c:v>80</c:v>
                </c:pt>
                <c:pt idx="2">
                  <c:v>0</c:v>
                </c:pt>
                <c:pt idx="3">
                  <c:v>50</c:v>
                </c:pt>
                <c:pt idx="4">
                  <c:v>20</c:v>
                </c:pt>
                <c:pt idx="5">
                  <c:v>50</c:v>
                </c:pt>
                <c:pt idx="6">
                  <c:v>50</c:v>
                </c:pt>
              </c:numCache>
            </c:numRef>
          </c:val>
        </c:ser>
        <c:ser>
          <c:idx val="2"/>
          <c:order val="1"/>
          <c:tx>
            <c:strRef>
              <c:f>'ECO + modelling'!$AA$3</c:f>
              <c:strCache>
                <c:ptCount val="1"/>
                <c:pt idx="0">
                  <c:v>Reducing share with negative income</c:v>
                </c:pt>
              </c:strCache>
            </c:strRef>
          </c:tx>
          <c:invertIfNegative val="0"/>
          <c:cat>
            <c:strRef>
              <c:f>'ECO + modelling'!$X$4:$X$10</c:f>
              <c:strCache>
                <c:ptCount val="7"/>
                <c:pt idx="0">
                  <c:v>BAS</c:v>
                </c:pt>
                <c:pt idx="1">
                  <c:v>1</c:v>
                </c:pt>
                <c:pt idx="2">
                  <c:v>3a</c:v>
                </c:pt>
                <c:pt idx="3">
                  <c:v>3b</c:v>
                </c:pt>
                <c:pt idx="4">
                  <c:v>4a</c:v>
                </c:pt>
                <c:pt idx="5">
                  <c:v>4b</c:v>
                </c:pt>
                <c:pt idx="6">
                  <c:v>5</c:v>
                </c:pt>
              </c:strCache>
            </c:strRef>
          </c:cat>
          <c:val>
            <c:numRef>
              <c:f>'ECO + modelling'!$AA$4:$AA$10</c:f>
              <c:numCache>
                <c:formatCode>General</c:formatCode>
                <c:ptCount val="7"/>
                <c:pt idx="0">
                  <c:v>100</c:v>
                </c:pt>
                <c:pt idx="1">
                  <c:v>70.3</c:v>
                </c:pt>
                <c:pt idx="2">
                  <c:v>0</c:v>
                </c:pt>
                <c:pt idx="3">
                  <c:v>42.6</c:v>
                </c:pt>
                <c:pt idx="4">
                  <c:v>31.2</c:v>
                </c:pt>
                <c:pt idx="5">
                  <c:v>46.7</c:v>
                </c:pt>
                <c:pt idx="6">
                  <c:v>77</c:v>
                </c:pt>
              </c:numCache>
            </c:numRef>
          </c:val>
        </c:ser>
        <c:ser>
          <c:idx val="3"/>
          <c:order val="2"/>
          <c:tx>
            <c:strRef>
              <c:f>'ECO + modelling'!$AB$3</c:f>
              <c:strCache>
                <c:ptCount val="1"/>
                <c:pt idx="0">
                  <c:v>Targeting low incomes</c:v>
                </c:pt>
              </c:strCache>
            </c:strRef>
          </c:tx>
          <c:spPr>
            <a:solidFill>
              <a:schemeClr val="accent6">
                <a:lumMod val="75000"/>
              </a:schemeClr>
            </a:solidFill>
          </c:spPr>
          <c:invertIfNegative val="0"/>
          <c:cat>
            <c:strRef>
              <c:f>'ECO + modelling'!$X$4:$X$10</c:f>
              <c:strCache>
                <c:ptCount val="7"/>
                <c:pt idx="0">
                  <c:v>BAS</c:v>
                </c:pt>
                <c:pt idx="1">
                  <c:v>1</c:v>
                </c:pt>
                <c:pt idx="2">
                  <c:v>3a</c:v>
                </c:pt>
                <c:pt idx="3">
                  <c:v>3b</c:v>
                </c:pt>
                <c:pt idx="4">
                  <c:v>4a</c:v>
                </c:pt>
                <c:pt idx="5">
                  <c:v>4b</c:v>
                </c:pt>
                <c:pt idx="6">
                  <c:v>5</c:v>
                </c:pt>
              </c:strCache>
            </c:strRef>
          </c:cat>
          <c:val>
            <c:numRef>
              <c:f>'ECO + modelling'!$AB$4:$AB$10</c:f>
              <c:numCache>
                <c:formatCode>0.0</c:formatCode>
                <c:ptCount val="7"/>
                <c:pt idx="0" formatCode="General">
                  <c:v>100</c:v>
                </c:pt>
                <c:pt idx="1">
                  <c:v>41.016257744339562</c:v>
                </c:pt>
                <c:pt idx="2">
                  <c:v>0</c:v>
                </c:pt>
                <c:pt idx="3">
                  <c:v>23.587028805308606</c:v>
                </c:pt>
                <c:pt idx="4">
                  <c:v>27.66613233300383</c:v>
                </c:pt>
                <c:pt idx="5">
                  <c:v>29.893362532628746</c:v>
                </c:pt>
                <c:pt idx="6">
                  <c:v>39.952572086656851</c:v>
                </c:pt>
              </c:numCache>
            </c:numRef>
          </c:val>
        </c:ser>
        <c:ser>
          <c:idx val="4"/>
          <c:order val="3"/>
          <c:tx>
            <c:strRef>
              <c:f>'ECO + modelling'!$AC$3</c:f>
              <c:strCache>
                <c:ptCount val="1"/>
                <c:pt idx="0">
                  <c:v>Targeting economically small farms</c:v>
                </c:pt>
              </c:strCache>
            </c:strRef>
          </c:tx>
          <c:spPr>
            <a:solidFill>
              <a:schemeClr val="accent1"/>
            </a:solidFill>
          </c:spPr>
          <c:invertIfNegative val="0"/>
          <c:cat>
            <c:strRef>
              <c:f>'ECO + modelling'!$X$4:$X$10</c:f>
              <c:strCache>
                <c:ptCount val="7"/>
                <c:pt idx="0">
                  <c:v>BAS</c:v>
                </c:pt>
                <c:pt idx="1">
                  <c:v>1</c:v>
                </c:pt>
                <c:pt idx="2">
                  <c:v>3a</c:v>
                </c:pt>
                <c:pt idx="3">
                  <c:v>3b</c:v>
                </c:pt>
                <c:pt idx="4">
                  <c:v>4a</c:v>
                </c:pt>
                <c:pt idx="5">
                  <c:v>4b</c:v>
                </c:pt>
                <c:pt idx="6">
                  <c:v>5</c:v>
                </c:pt>
              </c:strCache>
            </c:strRef>
          </c:cat>
          <c:val>
            <c:numRef>
              <c:f>'ECO + modelling'!$AC$4:$AC$10</c:f>
              <c:numCache>
                <c:formatCode>General</c:formatCode>
                <c:ptCount val="7"/>
                <c:pt idx="0">
                  <c:v>82.7</c:v>
                </c:pt>
                <c:pt idx="1">
                  <c:v>41.9</c:v>
                </c:pt>
                <c:pt idx="2">
                  <c:v>0</c:v>
                </c:pt>
                <c:pt idx="3">
                  <c:v>26.2</c:v>
                </c:pt>
                <c:pt idx="4">
                  <c:v>24.3</c:v>
                </c:pt>
                <c:pt idx="5">
                  <c:v>24.3</c:v>
                </c:pt>
                <c:pt idx="6">
                  <c:v>100</c:v>
                </c:pt>
              </c:numCache>
            </c:numRef>
          </c:val>
        </c:ser>
        <c:ser>
          <c:idx val="0"/>
          <c:order val="4"/>
          <c:tx>
            <c:strRef>
              <c:f>'ECO + modelling'!$Y$3</c:f>
              <c:strCache>
                <c:ptCount val="1"/>
                <c:pt idx="0">
                  <c:v>Overall expert judgement</c:v>
                </c:pt>
              </c:strCache>
            </c:strRef>
          </c:tx>
          <c:spPr>
            <a:solidFill>
              <a:schemeClr val="accent2">
                <a:lumMod val="75000"/>
              </a:schemeClr>
            </a:solidFill>
          </c:spPr>
          <c:invertIfNegative val="0"/>
          <c:cat>
            <c:strRef>
              <c:f>'ECO + modelling'!$X$4:$X$10</c:f>
              <c:strCache>
                <c:ptCount val="7"/>
                <c:pt idx="0">
                  <c:v>BAS</c:v>
                </c:pt>
                <c:pt idx="1">
                  <c:v>1</c:v>
                </c:pt>
                <c:pt idx="2">
                  <c:v>3a</c:v>
                </c:pt>
                <c:pt idx="3">
                  <c:v>3b</c:v>
                </c:pt>
                <c:pt idx="4">
                  <c:v>4a</c:v>
                </c:pt>
                <c:pt idx="5">
                  <c:v>4b</c:v>
                </c:pt>
                <c:pt idx="6">
                  <c:v>5</c:v>
                </c:pt>
              </c:strCache>
            </c:strRef>
          </c:cat>
          <c:val>
            <c:numRef>
              <c:f>'ECO + modelling'!$Y$4:$Y$10</c:f>
              <c:numCache>
                <c:formatCode>General</c:formatCode>
                <c:ptCount val="7"/>
                <c:pt idx="0">
                  <c:v>33.33</c:v>
                </c:pt>
                <c:pt idx="1">
                  <c:v>20</c:v>
                </c:pt>
                <c:pt idx="2">
                  <c:v>0</c:v>
                </c:pt>
                <c:pt idx="3">
                  <c:v>46.67</c:v>
                </c:pt>
                <c:pt idx="4">
                  <c:v>86.67</c:v>
                </c:pt>
                <c:pt idx="5">
                  <c:v>100</c:v>
                </c:pt>
                <c:pt idx="6">
                  <c:v>60</c:v>
                </c:pt>
              </c:numCache>
            </c:numRef>
          </c:val>
        </c:ser>
        <c:ser>
          <c:idx val="5"/>
          <c:order val="5"/>
          <c:tx>
            <c:strRef>
              <c:f>'ECO + modelling'!$AD$3</c:f>
              <c:strCache>
                <c:ptCount val="1"/>
                <c:pt idx="0">
                  <c:v>Combined result</c:v>
                </c:pt>
              </c:strCache>
            </c:strRef>
          </c:tx>
          <c:spPr>
            <a:solidFill>
              <a:schemeClr val="tx1"/>
            </a:solidFill>
          </c:spPr>
          <c:invertIfNegative val="0"/>
          <c:cat>
            <c:strRef>
              <c:f>'ECO + modelling'!$X$4:$X$10</c:f>
              <c:strCache>
                <c:ptCount val="7"/>
                <c:pt idx="0">
                  <c:v>BAS</c:v>
                </c:pt>
                <c:pt idx="1">
                  <c:v>1</c:v>
                </c:pt>
                <c:pt idx="2">
                  <c:v>3a</c:v>
                </c:pt>
                <c:pt idx="3">
                  <c:v>3b</c:v>
                </c:pt>
                <c:pt idx="4">
                  <c:v>4a</c:v>
                </c:pt>
                <c:pt idx="5">
                  <c:v>4b</c:v>
                </c:pt>
                <c:pt idx="6">
                  <c:v>5</c:v>
                </c:pt>
              </c:strCache>
            </c:strRef>
          </c:cat>
          <c:val>
            <c:numRef>
              <c:f>'ECO + modelling'!$AD$4:$AD$10</c:f>
              <c:numCache>
                <c:formatCode>0.0</c:formatCode>
                <c:ptCount val="7"/>
                <c:pt idx="0">
                  <c:v>83.205999999999989</c:v>
                </c:pt>
                <c:pt idx="1">
                  <c:v>50.643251548867916</c:v>
                </c:pt>
                <c:pt idx="2">
                  <c:v>0</c:v>
                </c:pt>
                <c:pt idx="3">
                  <c:v>37.811405761061721</c:v>
                </c:pt>
                <c:pt idx="4">
                  <c:v>37.967226466600764</c:v>
                </c:pt>
                <c:pt idx="5">
                  <c:v>50.17867250652575</c:v>
                </c:pt>
                <c:pt idx="6">
                  <c:v>65.390514417331374</c:v>
                </c:pt>
              </c:numCache>
            </c:numRef>
          </c:val>
        </c:ser>
        <c:dLbls>
          <c:showLegendKey val="0"/>
          <c:showVal val="0"/>
          <c:showCatName val="0"/>
          <c:showSerName val="0"/>
          <c:showPercent val="0"/>
          <c:showBubbleSize val="0"/>
        </c:dLbls>
        <c:gapWidth val="150"/>
        <c:axId val="142345344"/>
        <c:axId val="142346880"/>
      </c:barChart>
      <c:catAx>
        <c:axId val="142345344"/>
        <c:scaling>
          <c:orientation val="minMax"/>
        </c:scaling>
        <c:delete val="0"/>
        <c:axPos val="b"/>
        <c:majorTickMark val="out"/>
        <c:minorTickMark val="none"/>
        <c:tickLblPos val="nextTo"/>
        <c:crossAx val="142346880"/>
        <c:crosses val="autoZero"/>
        <c:auto val="1"/>
        <c:lblAlgn val="ctr"/>
        <c:lblOffset val="100"/>
        <c:noMultiLvlLbl val="0"/>
      </c:catAx>
      <c:valAx>
        <c:axId val="142346880"/>
        <c:scaling>
          <c:orientation val="minMax"/>
          <c:max val="100"/>
        </c:scaling>
        <c:delete val="0"/>
        <c:axPos val="l"/>
        <c:title>
          <c:tx>
            <c:rich>
              <a:bodyPr rot="-5400000" vert="horz"/>
              <a:lstStyle/>
              <a:p>
                <a:pPr>
                  <a:defRPr/>
                </a:pPr>
                <a:r>
                  <a:rPr lang="en-US"/>
                  <a:t>Option score (max=100)</a:t>
                </a:r>
              </a:p>
            </c:rich>
          </c:tx>
          <c:layout/>
          <c:overlay val="0"/>
        </c:title>
        <c:numFmt formatCode="General" sourceLinked="1"/>
        <c:majorTickMark val="out"/>
        <c:minorTickMark val="none"/>
        <c:tickLblPos val="nextTo"/>
        <c:crossAx val="142345344"/>
        <c:crosses val="autoZero"/>
        <c:crossBetween val="between"/>
      </c:valAx>
    </c:plotArea>
    <c:legend>
      <c:legendPos val="r"/>
      <c:layout>
        <c:manualLayout>
          <c:xMode val="edge"/>
          <c:yMode val="edge"/>
          <c:x val="0.68284033245844267"/>
          <c:y val="5.0625428578184486E-2"/>
          <c:w val="0.30049300087489061"/>
          <c:h val="0.9107611548556430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346E-2"/>
          <c:y val="5.0925925925925923E-2"/>
          <c:w val="0.87581714785651799"/>
          <c:h val="0.80994604841061535"/>
        </c:manualLayout>
      </c:layout>
      <c:barChart>
        <c:barDir val="bar"/>
        <c:grouping val="clustered"/>
        <c:varyColors val="0"/>
        <c:ser>
          <c:idx val="0"/>
          <c:order val="0"/>
          <c:invertIfNegative val="0"/>
          <c:dPt>
            <c:idx val="0"/>
            <c:invertIfNegative val="0"/>
            <c:bubble3D val="0"/>
            <c:spPr>
              <a:solidFill>
                <a:srgbClr val="4F81BD"/>
              </a:solidFill>
            </c:spPr>
          </c:dPt>
          <c:dPt>
            <c:idx val="1"/>
            <c:invertIfNegative val="0"/>
            <c:bubble3D val="0"/>
            <c:spPr>
              <a:solidFill>
                <a:srgbClr val="9BBB59">
                  <a:lumMod val="60000"/>
                  <a:lumOff val="40000"/>
                </a:srgbClr>
              </a:solidFill>
            </c:spPr>
          </c:dPt>
          <c:dPt>
            <c:idx val="2"/>
            <c:invertIfNegative val="0"/>
            <c:bubble3D val="0"/>
            <c:spPr>
              <a:solidFill>
                <a:srgbClr val="C0504D">
                  <a:lumMod val="60000"/>
                  <a:lumOff val="40000"/>
                </a:srgbClr>
              </a:solidFill>
            </c:spPr>
          </c:dPt>
          <c:dPt>
            <c:idx val="3"/>
            <c:invertIfNegative val="0"/>
            <c:bubble3D val="0"/>
            <c:spPr>
              <a:solidFill>
                <a:srgbClr val="C0504D">
                  <a:lumMod val="60000"/>
                  <a:lumOff val="40000"/>
                </a:srgbClr>
              </a:solidFill>
            </c:spPr>
          </c:dPt>
          <c:dPt>
            <c:idx val="4"/>
            <c:invertIfNegative val="0"/>
            <c:bubble3D val="0"/>
            <c:spPr>
              <a:solidFill>
                <a:srgbClr val="F79646">
                  <a:lumMod val="75000"/>
                </a:srgbClr>
              </a:solidFill>
            </c:spPr>
          </c:dPt>
          <c:dPt>
            <c:idx val="5"/>
            <c:invertIfNegative val="0"/>
            <c:bubble3D val="0"/>
            <c:spPr>
              <a:solidFill>
                <a:srgbClr val="C0504D">
                  <a:lumMod val="75000"/>
                </a:srgbClr>
              </a:solidFill>
            </c:spPr>
          </c:dPt>
          <c:dPt>
            <c:idx val="6"/>
            <c:invertIfNegative val="0"/>
            <c:bubble3D val="0"/>
            <c:spPr>
              <a:solidFill>
                <a:srgbClr val="F79646"/>
              </a:solidFill>
            </c:spPr>
          </c:dPt>
          <c:dPt>
            <c:idx val="7"/>
            <c:invertIfNegative val="0"/>
            <c:bubble3D val="0"/>
            <c:spPr>
              <a:solidFill>
                <a:srgbClr val="9BBB59">
                  <a:lumMod val="75000"/>
                </a:srgbClr>
              </a:solidFill>
            </c:spPr>
          </c:dPt>
          <c:dPt>
            <c:idx val="8"/>
            <c:invertIfNegative val="0"/>
            <c:bubble3D val="0"/>
            <c:spPr>
              <a:solidFill>
                <a:srgbClr val="C0504D">
                  <a:lumMod val="60000"/>
                  <a:lumOff val="40000"/>
                </a:srgbClr>
              </a:solidFill>
            </c:spPr>
          </c:dPt>
          <c:cat>
            <c:strRef>
              <c:f>'ECO + modelling'!$N$45:$N$53</c:f>
              <c:strCache>
                <c:ptCount val="9"/>
                <c:pt idx="0">
                  <c:v>5</c:v>
                </c:pt>
                <c:pt idx="1">
                  <c:v>1</c:v>
                </c:pt>
                <c:pt idx="2">
                  <c:v>4a</c:v>
                </c:pt>
                <c:pt idx="3">
                  <c:v>3b</c:v>
                </c:pt>
                <c:pt idx="4">
                  <c:v>4</c:v>
                </c:pt>
                <c:pt idx="5">
                  <c:v>3</c:v>
                </c:pt>
                <c:pt idx="6">
                  <c:v>4b</c:v>
                </c:pt>
                <c:pt idx="7">
                  <c:v>BAS</c:v>
                </c:pt>
                <c:pt idx="8">
                  <c:v>3a</c:v>
                </c:pt>
              </c:strCache>
            </c:strRef>
          </c:cat>
          <c:val>
            <c:numRef>
              <c:f>'ECO + modelling'!$O$45:$O$53</c:f>
              <c:numCache>
                <c:formatCode>0</c:formatCode>
                <c:ptCount val="9"/>
                <c:pt idx="0">
                  <c:v>24.946441715438997</c:v>
                </c:pt>
                <c:pt idx="1">
                  <c:v>33.248725349054212</c:v>
                </c:pt>
                <c:pt idx="2">
                  <c:v>54.614461850317468</c:v>
                </c:pt>
                <c:pt idx="3">
                  <c:v>56.210094942702511</c:v>
                </c:pt>
                <c:pt idx="4">
                  <c:v>56.943791490944037</c:v>
                </c:pt>
                <c:pt idx="5">
                  <c:v>59.030077701097326</c:v>
                </c:pt>
                <c:pt idx="6">
                  <c:v>59.273121131570591</c:v>
                </c:pt>
                <c:pt idx="7">
                  <c:v>59.599749697702542</c:v>
                </c:pt>
                <c:pt idx="8">
                  <c:v>61.850060459492141</c:v>
                </c:pt>
              </c:numCache>
            </c:numRef>
          </c:val>
        </c:ser>
        <c:dLbls>
          <c:showLegendKey val="0"/>
          <c:showVal val="0"/>
          <c:showCatName val="0"/>
          <c:showSerName val="0"/>
          <c:showPercent val="0"/>
          <c:showBubbleSize val="0"/>
        </c:dLbls>
        <c:gapWidth val="150"/>
        <c:axId val="142379264"/>
        <c:axId val="142385152"/>
      </c:barChart>
      <c:catAx>
        <c:axId val="142379264"/>
        <c:scaling>
          <c:orientation val="minMax"/>
        </c:scaling>
        <c:delete val="0"/>
        <c:axPos val="l"/>
        <c:numFmt formatCode="General" sourceLinked="1"/>
        <c:majorTickMark val="out"/>
        <c:minorTickMark val="none"/>
        <c:tickLblPos val="nextTo"/>
        <c:crossAx val="142385152"/>
        <c:crosses val="autoZero"/>
        <c:auto val="1"/>
        <c:lblAlgn val="ctr"/>
        <c:lblOffset val="100"/>
        <c:noMultiLvlLbl val="0"/>
      </c:catAx>
      <c:valAx>
        <c:axId val="142385152"/>
        <c:scaling>
          <c:orientation val="minMax"/>
          <c:max val="100"/>
        </c:scaling>
        <c:delete val="0"/>
        <c:axPos val="b"/>
        <c:majorGridlines/>
        <c:numFmt formatCode="0" sourceLinked="1"/>
        <c:majorTickMark val="out"/>
        <c:minorTickMark val="none"/>
        <c:tickLblPos val="nextTo"/>
        <c:crossAx val="14237926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'ECO + mod v2'!$AA$1</c:f>
              <c:strCache>
                <c:ptCount val="1"/>
                <c:pt idx="0">
                  <c:v>SO2</c:v>
                </c:pt>
              </c:strCache>
            </c:strRef>
          </c:tx>
          <c:invertIfNegative val="0"/>
          <c:dPt>
            <c:idx val="0"/>
            <c:invertIfNegative val="0"/>
            <c:bubble3D val="0"/>
            <c:spPr>
              <a:solidFill>
                <a:srgbClr val="9BBB59">
                  <a:lumMod val="60000"/>
                  <a:lumOff val="40000"/>
                </a:srgbClr>
              </a:solidFill>
            </c:spPr>
          </c:dPt>
          <c:dPt>
            <c:idx val="1"/>
            <c:invertIfNegative val="0"/>
            <c:bubble3D val="0"/>
            <c:spPr>
              <a:solidFill>
                <a:srgbClr val="9BBB59">
                  <a:lumMod val="75000"/>
                </a:srgbClr>
              </a:solidFill>
            </c:spPr>
          </c:dPt>
          <c:dPt>
            <c:idx val="2"/>
            <c:invertIfNegative val="0"/>
            <c:bubble3D val="0"/>
            <c:spPr>
              <a:solidFill>
                <a:srgbClr val="4F81BD"/>
              </a:solidFill>
            </c:spPr>
          </c:dPt>
          <c:dPt>
            <c:idx val="3"/>
            <c:invertIfNegative val="0"/>
            <c:bubble3D val="0"/>
            <c:spPr>
              <a:solidFill>
                <a:srgbClr val="C0504D">
                  <a:lumMod val="60000"/>
                  <a:lumOff val="40000"/>
                </a:srgbClr>
              </a:solidFill>
            </c:spPr>
          </c:dPt>
          <c:dPt>
            <c:idx val="4"/>
            <c:invertIfNegative val="0"/>
            <c:bubble3D val="0"/>
            <c:spPr>
              <a:solidFill>
                <a:srgbClr val="C0504D">
                  <a:lumMod val="75000"/>
                </a:srgbClr>
              </a:solidFill>
            </c:spPr>
          </c:dPt>
          <c:dPt>
            <c:idx val="5"/>
            <c:invertIfNegative val="0"/>
            <c:bubble3D val="0"/>
            <c:spPr>
              <a:solidFill>
                <a:srgbClr val="F79646"/>
              </a:solidFill>
            </c:spPr>
          </c:dPt>
          <c:dPt>
            <c:idx val="6"/>
            <c:invertIfNegative val="0"/>
            <c:bubble3D val="0"/>
            <c:spPr>
              <a:solidFill>
                <a:srgbClr val="C0504D">
                  <a:lumMod val="60000"/>
                  <a:lumOff val="40000"/>
                </a:srgbClr>
              </a:solidFill>
            </c:spPr>
          </c:dPt>
          <c:dPt>
            <c:idx val="7"/>
            <c:invertIfNegative val="0"/>
            <c:bubble3D val="0"/>
            <c:spPr>
              <a:solidFill>
                <a:srgbClr val="F79646">
                  <a:lumMod val="75000"/>
                </a:srgbClr>
              </a:solidFill>
            </c:spPr>
          </c:dPt>
          <c:dPt>
            <c:idx val="8"/>
            <c:invertIfNegative val="0"/>
            <c:bubble3D val="0"/>
            <c:spPr>
              <a:solidFill>
                <a:srgbClr val="F79646"/>
              </a:solidFill>
            </c:spPr>
          </c:dPt>
          <c:cat>
            <c:strRef>
              <c:f>'ECO + mod v2'!$Z$2:$Z$10</c:f>
              <c:strCache>
                <c:ptCount val="9"/>
                <c:pt idx="0">
                  <c:v>1</c:v>
                </c:pt>
                <c:pt idx="1">
                  <c:v>BAS</c:v>
                </c:pt>
                <c:pt idx="2">
                  <c:v>5</c:v>
                </c:pt>
                <c:pt idx="3">
                  <c:v>3b</c:v>
                </c:pt>
                <c:pt idx="4">
                  <c:v>3</c:v>
                </c:pt>
                <c:pt idx="5">
                  <c:v>4a</c:v>
                </c:pt>
                <c:pt idx="6">
                  <c:v>3a</c:v>
                </c:pt>
                <c:pt idx="7">
                  <c:v>4</c:v>
                </c:pt>
                <c:pt idx="8">
                  <c:v>4b</c:v>
                </c:pt>
              </c:strCache>
            </c:strRef>
          </c:cat>
          <c:val>
            <c:numRef>
              <c:f>'ECO + mod v2'!$AA$2:$AA$10</c:f>
              <c:numCache>
                <c:formatCode>General</c:formatCode>
                <c:ptCount val="9"/>
                <c:pt idx="0">
                  <c:v>24.567551771744132</c:v>
                </c:pt>
                <c:pt idx="1">
                  <c:v>37.51177749654854</c:v>
                </c:pt>
                <c:pt idx="2">
                  <c:v>39.691952369995413</c:v>
                </c:pt>
                <c:pt idx="3">
                  <c:v>41.55572940635065</c:v>
                </c:pt>
                <c:pt idx="4">
                  <c:v>51.962157156005532</c:v>
                </c:pt>
                <c:pt idx="5">
                  <c:v>53.633335250805352</c:v>
                </c:pt>
                <c:pt idx="6">
                  <c:v>62.36858490566037</c:v>
                </c:pt>
                <c:pt idx="7">
                  <c:v>62.39669466175792</c:v>
                </c:pt>
                <c:pt idx="8">
                  <c:v>71.160054072710508</c:v>
                </c:pt>
              </c:numCache>
            </c:numRef>
          </c:val>
        </c:ser>
        <c:dLbls>
          <c:showLegendKey val="0"/>
          <c:showVal val="0"/>
          <c:showCatName val="0"/>
          <c:showSerName val="0"/>
          <c:showPercent val="0"/>
          <c:showBubbleSize val="0"/>
        </c:dLbls>
        <c:gapWidth val="150"/>
        <c:axId val="142748672"/>
        <c:axId val="142758656"/>
      </c:barChart>
      <c:catAx>
        <c:axId val="142748672"/>
        <c:scaling>
          <c:orientation val="minMax"/>
        </c:scaling>
        <c:delete val="0"/>
        <c:axPos val="l"/>
        <c:numFmt formatCode="General" sourceLinked="1"/>
        <c:majorTickMark val="out"/>
        <c:minorTickMark val="none"/>
        <c:tickLblPos val="nextTo"/>
        <c:crossAx val="142758656"/>
        <c:crosses val="autoZero"/>
        <c:auto val="1"/>
        <c:lblAlgn val="ctr"/>
        <c:lblOffset val="100"/>
        <c:noMultiLvlLbl val="0"/>
      </c:catAx>
      <c:valAx>
        <c:axId val="142758656"/>
        <c:scaling>
          <c:orientation val="minMax"/>
          <c:max val="100"/>
        </c:scaling>
        <c:delete val="0"/>
        <c:axPos val="b"/>
        <c:majorGridlines/>
        <c:numFmt formatCode="General" sourceLinked="1"/>
        <c:majorTickMark val="out"/>
        <c:minorTickMark val="none"/>
        <c:tickLblPos val="nextTo"/>
        <c:crossAx val="14274867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'ECO + mod v2'!$C$26</c:f>
              <c:strCache>
                <c:ptCount val="1"/>
                <c:pt idx="0">
                  <c:v>Expert judgement</c:v>
                </c:pt>
              </c:strCache>
            </c:strRef>
          </c:tx>
          <c:spPr>
            <a:solidFill>
              <a:schemeClr val="accent3"/>
            </a:solidFill>
          </c:spPr>
          <c:invertIfNegative val="0"/>
          <c:cat>
            <c:strRef>
              <c:f>'ECO + mod v2'!$B$27:$B$33</c:f>
              <c:strCache>
                <c:ptCount val="7"/>
                <c:pt idx="0">
                  <c:v>BAS</c:v>
                </c:pt>
                <c:pt idx="1">
                  <c:v>1</c:v>
                </c:pt>
                <c:pt idx="2">
                  <c:v>3a</c:v>
                </c:pt>
                <c:pt idx="3">
                  <c:v>3b</c:v>
                </c:pt>
                <c:pt idx="4">
                  <c:v>4a</c:v>
                </c:pt>
                <c:pt idx="5">
                  <c:v>4b</c:v>
                </c:pt>
                <c:pt idx="6">
                  <c:v>5</c:v>
                </c:pt>
              </c:strCache>
            </c:strRef>
          </c:cat>
          <c:val>
            <c:numRef>
              <c:f>'ECO + mod v2'!$C$27:$C$33</c:f>
              <c:numCache>
                <c:formatCode>General</c:formatCode>
                <c:ptCount val="7"/>
                <c:pt idx="0">
                  <c:v>30.77</c:v>
                </c:pt>
                <c:pt idx="1">
                  <c:v>46.15</c:v>
                </c:pt>
                <c:pt idx="2">
                  <c:v>84.62</c:v>
                </c:pt>
                <c:pt idx="3">
                  <c:v>15.38</c:v>
                </c:pt>
                <c:pt idx="4">
                  <c:v>69.23</c:v>
                </c:pt>
                <c:pt idx="5">
                  <c:v>100</c:v>
                </c:pt>
                <c:pt idx="6">
                  <c:v>0</c:v>
                </c:pt>
              </c:numCache>
            </c:numRef>
          </c:val>
        </c:ser>
        <c:ser>
          <c:idx val="1"/>
          <c:order val="1"/>
          <c:tx>
            <c:strRef>
              <c:f>'ECO + mod v2'!$D$26</c:f>
              <c:strCache>
                <c:ptCount val="1"/>
                <c:pt idx="0">
                  <c:v>Net trade (modelling)</c:v>
                </c:pt>
              </c:strCache>
            </c:strRef>
          </c:tx>
          <c:invertIfNegative val="0"/>
          <c:cat>
            <c:strRef>
              <c:f>'ECO + mod v2'!$B$27:$B$33</c:f>
              <c:strCache>
                <c:ptCount val="7"/>
                <c:pt idx="0">
                  <c:v>BAS</c:v>
                </c:pt>
                <c:pt idx="1">
                  <c:v>1</c:v>
                </c:pt>
                <c:pt idx="2">
                  <c:v>3a</c:v>
                </c:pt>
                <c:pt idx="3">
                  <c:v>3b</c:v>
                </c:pt>
                <c:pt idx="4">
                  <c:v>4a</c:v>
                </c:pt>
                <c:pt idx="5">
                  <c:v>4b</c:v>
                </c:pt>
                <c:pt idx="6">
                  <c:v>5</c:v>
                </c:pt>
              </c:strCache>
            </c:strRef>
          </c:cat>
          <c:val>
            <c:numRef>
              <c:f>'ECO + mod v2'!$D$27:$D$33</c:f>
              <c:numCache>
                <c:formatCode>General</c:formatCode>
                <c:ptCount val="7"/>
                <c:pt idx="0">
                  <c:v>100</c:v>
                </c:pt>
                <c:pt idx="1">
                  <c:v>88.19</c:v>
                </c:pt>
                <c:pt idx="2">
                  <c:v>10.18</c:v>
                </c:pt>
                <c:pt idx="3">
                  <c:v>33.42</c:v>
                </c:pt>
                <c:pt idx="4">
                  <c:v>0</c:v>
                </c:pt>
                <c:pt idx="5">
                  <c:v>53.53</c:v>
                </c:pt>
                <c:pt idx="6">
                  <c:v>53.15</c:v>
                </c:pt>
              </c:numCache>
            </c:numRef>
          </c:val>
        </c:ser>
        <c:ser>
          <c:idx val="2"/>
          <c:order val="2"/>
          <c:tx>
            <c:strRef>
              <c:f>'ECO + mod v2'!$E$26</c:f>
              <c:strCache>
                <c:ptCount val="1"/>
                <c:pt idx="0">
                  <c:v>OO2.2</c:v>
                </c:pt>
              </c:strCache>
            </c:strRef>
          </c:tx>
          <c:spPr>
            <a:solidFill>
              <a:schemeClr val="tx1"/>
            </a:solidFill>
          </c:spPr>
          <c:invertIfNegative val="0"/>
          <c:cat>
            <c:strRef>
              <c:f>'ECO + mod v2'!$B$27:$B$33</c:f>
              <c:strCache>
                <c:ptCount val="7"/>
                <c:pt idx="0">
                  <c:v>BAS</c:v>
                </c:pt>
                <c:pt idx="1">
                  <c:v>1</c:v>
                </c:pt>
                <c:pt idx="2">
                  <c:v>3a</c:v>
                </c:pt>
                <c:pt idx="3">
                  <c:v>3b</c:v>
                </c:pt>
                <c:pt idx="4">
                  <c:v>4a</c:v>
                </c:pt>
                <c:pt idx="5">
                  <c:v>4b</c:v>
                </c:pt>
                <c:pt idx="6">
                  <c:v>5</c:v>
                </c:pt>
              </c:strCache>
            </c:strRef>
          </c:cat>
          <c:val>
            <c:numRef>
              <c:f>'ECO + mod v2'!$E$27:$E$33</c:f>
              <c:numCache>
                <c:formatCode>General</c:formatCode>
                <c:ptCount val="7"/>
                <c:pt idx="0">
                  <c:v>65.385000000000005</c:v>
                </c:pt>
                <c:pt idx="1">
                  <c:v>67.169999999999973</c:v>
                </c:pt>
                <c:pt idx="2">
                  <c:v>47.400000000000013</c:v>
                </c:pt>
                <c:pt idx="3">
                  <c:v>24.4</c:v>
                </c:pt>
                <c:pt idx="4">
                  <c:v>34.615000000000002</c:v>
                </c:pt>
                <c:pt idx="5">
                  <c:v>76.765000000000001</c:v>
                </c:pt>
                <c:pt idx="6">
                  <c:v>26.574999999999999</c:v>
                </c:pt>
              </c:numCache>
            </c:numRef>
          </c:val>
        </c:ser>
        <c:dLbls>
          <c:showLegendKey val="0"/>
          <c:showVal val="0"/>
          <c:showCatName val="0"/>
          <c:showSerName val="0"/>
          <c:showPercent val="0"/>
          <c:showBubbleSize val="0"/>
        </c:dLbls>
        <c:gapWidth val="150"/>
        <c:axId val="142800000"/>
        <c:axId val="142801536"/>
      </c:barChart>
      <c:catAx>
        <c:axId val="142800000"/>
        <c:scaling>
          <c:orientation val="minMax"/>
        </c:scaling>
        <c:delete val="0"/>
        <c:axPos val="b"/>
        <c:numFmt formatCode="General" sourceLinked="0"/>
        <c:majorTickMark val="out"/>
        <c:minorTickMark val="none"/>
        <c:tickLblPos val="nextTo"/>
        <c:crossAx val="142801536"/>
        <c:crosses val="autoZero"/>
        <c:auto val="1"/>
        <c:lblAlgn val="ctr"/>
        <c:lblOffset val="100"/>
        <c:noMultiLvlLbl val="0"/>
      </c:catAx>
      <c:valAx>
        <c:axId val="142801536"/>
        <c:scaling>
          <c:orientation val="minMax"/>
          <c:max val="100"/>
        </c:scaling>
        <c:delete val="0"/>
        <c:axPos val="l"/>
        <c:title>
          <c:tx>
            <c:rich>
              <a:bodyPr rot="-5400000" vert="horz"/>
              <a:lstStyle/>
              <a:p>
                <a:pPr>
                  <a:defRPr/>
                </a:pPr>
                <a:r>
                  <a:rPr lang="en-US"/>
                  <a:t>Option score (max=100)</a:t>
                </a:r>
              </a:p>
            </c:rich>
          </c:tx>
          <c:layout/>
          <c:overlay val="0"/>
        </c:title>
        <c:numFmt formatCode="General" sourceLinked="1"/>
        <c:majorTickMark val="out"/>
        <c:minorTickMark val="none"/>
        <c:tickLblPos val="nextTo"/>
        <c:crossAx val="142800000"/>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'ECO + mod v2'!$AA$12</c:f>
              <c:strCache>
                <c:ptCount val="1"/>
                <c:pt idx="0">
                  <c:v>SO3</c:v>
                </c:pt>
              </c:strCache>
            </c:strRef>
          </c:tx>
          <c:invertIfNegative val="0"/>
          <c:dPt>
            <c:idx val="0"/>
            <c:invertIfNegative val="0"/>
            <c:bubble3D val="0"/>
            <c:spPr>
              <a:solidFill>
                <a:srgbClr val="9BBB59">
                  <a:lumMod val="60000"/>
                  <a:lumOff val="40000"/>
                </a:srgbClr>
              </a:solidFill>
            </c:spPr>
          </c:dPt>
          <c:dPt>
            <c:idx val="1"/>
            <c:invertIfNegative val="0"/>
            <c:bubble3D val="0"/>
            <c:spPr>
              <a:solidFill>
                <a:srgbClr val="9BBB59">
                  <a:lumMod val="75000"/>
                </a:srgbClr>
              </a:solidFill>
            </c:spPr>
          </c:dPt>
          <c:dPt>
            <c:idx val="2"/>
            <c:invertIfNegative val="0"/>
            <c:bubble3D val="0"/>
            <c:spPr>
              <a:solidFill>
                <a:srgbClr val="F79646"/>
              </a:solidFill>
            </c:spPr>
          </c:dPt>
          <c:dPt>
            <c:idx val="3"/>
            <c:invertIfNegative val="0"/>
            <c:bubble3D val="0"/>
            <c:spPr>
              <a:solidFill>
                <a:srgbClr val="F79646">
                  <a:lumMod val="75000"/>
                </a:srgbClr>
              </a:solidFill>
            </c:spPr>
          </c:dPt>
          <c:dPt>
            <c:idx val="4"/>
            <c:invertIfNegative val="0"/>
            <c:bubble3D val="0"/>
            <c:spPr>
              <a:solidFill>
                <a:srgbClr val="F79646"/>
              </a:solidFill>
            </c:spPr>
          </c:dPt>
          <c:dPt>
            <c:idx val="5"/>
            <c:invertIfNegative val="0"/>
            <c:bubble3D val="0"/>
            <c:spPr>
              <a:solidFill>
                <a:srgbClr val="C0504D">
                  <a:lumMod val="60000"/>
                  <a:lumOff val="40000"/>
                </a:srgbClr>
              </a:solidFill>
            </c:spPr>
          </c:dPt>
          <c:dPt>
            <c:idx val="6"/>
            <c:invertIfNegative val="0"/>
            <c:bubble3D val="0"/>
            <c:spPr>
              <a:solidFill>
                <a:srgbClr val="4F81BD"/>
              </a:solidFill>
            </c:spPr>
          </c:dPt>
          <c:dPt>
            <c:idx val="7"/>
            <c:invertIfNegative val="0"/>
            <c:bubble3D val="0"/>
            <c:spPr>
              <a:solidFill>
                <a:srgbClr val="C0504D">
                  <a:lumMod val="75000"/>
                </a:srgbClr>
              </a:solidFill>
            </c:spPr>
          </c:dPt>
          <c:dPt>
            <c:idx val="8"/>
            <c:invertIfNegative val="0"/>
            <c:bubble3D val="0"/>
            <c:spPr>
              <a:solidFill>
                <a:srgbClr val="C0504D">
                  <a:lumMod val="60000"/>
                  <a:lumOff val="40000"/>
                </a:srgbClr>
              </a:solidFill>
            </c:spPr>
          </c:dPt>
          <c:cat>
            <c:strRef>
              <c:f>'ECO + mod v2'!$Z$13:$Z$21</c:f>
              <c:strCache>
                <c:ptCount val="9"/>
                <c:pt idx="0">
                  <c:v>1</c:v>
                </c:pt>
                <c:pt idx="1">
                  <c:v>BAS</c:v>
                </c:pt>
                <c:pt idx="2">
                  <c:v>4b</c:v>
                </c:pt>
                <c:pt idx="3">
                  <c:v>4</c:v>
                </c:pt>
                <c:pt idx="4">
                  <c:v>4a</c:v>
                </c:pt>
                <c:pt idx="5">
                  <c:v>3b</c:v>
                </c:pt>
                <c:pt idx="6">
                  <c:v>5</c:v>
                </c:pt>
                <c:pt idx="7">
                  <c:v>3</c:v>
                </c:pt>
                <c:pt idx="8">
                  <c:v>3a</c:v>
                </c:pt>
              </c:strCache>
            </c:strRef>
          </c:cat>
          <c:val>
            <c:numRef>
              <c:f>'ECO + mod v2'!$AA$13:$AA$21</c:f>
              <c:numCache>
                <c:formatCode>General</c:formatCode>
                <c:ptCount val="9"/>
                <c:pt idx="0">
                  <c:v>0</c:v>
                </c:pt>
                <c:pt idx="1">
                  <c:v>23.68788576300086</c:v>
                </c:pt>
                <c:pt idx="2">
                  <c:v>53.875089514066481</c:v>
                </c:pt>
                <c:pt idx="3">
                  <c:v>53.875089514066481</c:v>
                </c:pt>
                <c:pt idx="4">
                  <c:v>53.875089514066481</c:v>
                </c:pt>
                <c:pt idx="5">
                  <c:v>61.589168797953981</c:v>
                </c:pt>
                <c:pt idx="6">
                  <c:v>72.510903665814197</c:v>
                </c:pt>
                <c:pt idx="7">
                  <c:v>75.985460358056244</c:v>
                </c:pt>
                <c:pt idx="8">
                  <c:v>90.381751918158557</c:v>
                </c:pt>
              </c:numCache>
            </c:numRef>
          </c:val>
        </c:ser>
        <c:dLbls>
          <c:showLegendKey val="0"/>
          <c:showVal val="0"/>
          <c:showCatName val="0"/>
          <c:showSerName val="0"/>
          <c:showPercent val="0"/>
          <c:showBubbleSize val="0"/>
        </c:dLbls>
        <c:gapWidth val="150"/>
        <c:axId val="143096448"/>
        <c:axId val="143106432"/>
      </c:barChart>
      <c:catAx>
        <c:axId val="143096448"/>
        <c:scaling>
          <c:orientation val="minMax"/>
        </c:scaling>
        <c:delete val="0"/>
        <c:axPos val="l"/>
        <c:numFmt formatCode="General" sourceLinked="1"/>
        <c:majorTickMark val="out"/>
        <c:minorTickMark val="none"/>
        <c:tickLblPos val="nextTo"/>
        <c:crossAx val="143106432"/>
        <c:crosses val="autoZero"/>
        <c:auto val="1"/>
        <c:lblAlgn val="ctr"/>
        <c:lblOffset val="100"/>
        <c:noMultiLvlLbl val="0"/>
      </c:catAx>
      <c:valAx>
        <c:axId val="143106432"/>
        <c:scaling>
          <c:orientation val="minMax"/>
          <c:max val="100"/>
        </c:scaling>
        <c:delete val="0"/>
        <c:axPos val="b"/>
        <c:majorGridlines/>
        <c:numFmt formatCode="General" sourceLinked="1"/>
        <c:majorTickMark val="out"/>
        <c:minorTickMark val="none"/>
        <c:tickLblPos val="nextTo"/>
        <c:crossAx val="14309644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'SOC + mod v2'!$U$26</c:f>
              <c:strCache>
                <c:ptCount val="1"/>
                <c:pt idx="0">
                  <c:v>Overall</c:v>
                </c:pt>
              </c:strCache>
            </c:strRef>
          </c:tx>
          <c:invertIfNegative val="0"/>
          <c:dPt>
            <c:idx val="0"/>
            <c:invertIfNegative val="0"/>
            <c:bubble3D val="0"/>
            <c:spPr>
              <a:solidFill>
                <a:srgbClr val="9BBB59"/>
              </a:solidFill>
            </c:spPr>
          </c:dPt>
          <c:dPt>
            <c:idx val="1"/>
            <c:invertIfNegative val="0"/>
            <c:bubble3D val="0"/>
            <c:spPr>
              <a:solidFill>
                <a:srgbClr val="F79646"/>
              </a:solidFill>
            </c:spPr>
          </c:dPt>
          <c:dPt>
            <c:idx val="2"/>
            <c:invertIfNegative val="0"/>
            <c:bubble3D val="0"/>
            <c:spPr>
              <a:solidFill>
                <a:srgbClr val="F79646">
                  <a:lumMod val="75000"/>
                </a:srgbClr>
              </a:solidFill>
            </c:spPr>
          </c:dPt>
          <c:dPt>
            <c:idx val="3"/>
            <c:invertIfNegative val="0"/>
            <c:bubble3D val="0"/>
            <c:spPr>
              <a:solidFill>
                <a:srgbClr val="F79646"/>
              </a:solidFill>
            </c:spPr>
          </c:dPt>
          <c:dPt>
            <c:idx val="4"/>
            <c:invertIfNegative val="0"/>
            <c:bubble3D val="0"/>
            <c:spPr>
              <a:solidFill>
                <a:srgbClr val="9BBB59">
                  <a:lumMod val="75000"/>
                </a:srgbClr>
              </a:solidFill>
            </c:spPr>
          </c:dPt>
          <c:dPt>
            <c:idx val="5"/>
            <c:invertIfNegative val="0"/>
            <c:bubble3D val="0"/>
            <c:spPr>
              <a:solidFill>
                <a:srgbClr val="C0504D">
                  <a:lumMod val="60000"/>
                  <a:lumOff val="40000"/>
                </a:srgbClr>
              </a:solidFill>
            </c:spPr>
          </c:dPt>
          <c:dPt>
            <c:idx val="6"/>
            <c:invertIfNegative val="0"/>
            <c:bubble3D val="0"/>
            <c:spPr>
              <a:solidFill>
                <a:srgbClr val="C0504D">
                  <a:lumMod val="75000"/>
                </a:srgbClr>
              </a:solidFill>
            </c:spPr>
          </c:dPt>
          <c:dPt>
            <c:idx val="7"/>
            <c:invertIfNegative val="0"/>
            <c:bubble3D val="0"/>
            <c:spPr>
              <a:solidFill>
                <a:srgbClr val="C0504D">
                  <a:lumMod val="60000"/>
                  <a:lumOff val="40000"/>
                </a:srgbClr>
              </a:solidFill>
            </c:spPr>
          </c:dPt>
          <c:cat>
            <c:strRef>
              <c:f>'SOC + mod v2'!$T$27:$T$35</c:f>
              <c:strCache>
                <c:ptCount val="9"/>
                <c:pt idx="0">
                  <c:v>1</c:v>
                </c:pt>
                <c:pt idx="1">
                  <c:v>4a</c:v>
                </c:pt>
                <c:pt idx="2">
                  <c:v>4</c:v>
                </c:pt>
                <c:pt idx="3">
                  <c:v>4b</c:v>
                </c:pt>
                <c:pt idx="4">
                  <c:v>BAS</c:v>
                </c:pt>
                <c:pt idx="5">
                  <c:v>3a</c:v>
                </c:pt>
                <c:pt idx="6">
                  <c:v>3</c:v>
                </c:pt>
                <c:pt idx="7">
                  <c:v>3b</c:v>
                </c:pt>
                <c:pt idx="8">
                  <c:v>5</c:v>
                </c:pt>
              </c:strCache>
            </c:strRef>
          </c:cat>
          <c:val>
            <c:numRef>
              <c:f>'SOC + mod v2'!$U$27:$U$35</c:f>
              <c:numCache>
                <c:formatCode>General</c:formatCode>
                <c:ptCount val="9"/>
                <c:pt idx="0">
                  <c:v>10.5</c:v>
                </c:pt>
                <c:pt idx="1">
                  <c:v>38.11</c:v>
                </c:pt>
                <c:pt idx="2">
                  <c:v>42.03</c:v>
                </c:pt>
                <c:pt idx="3">
                  <c:v>45.95</c:v>
                </c:pt>
                <c:pt idx="4">
                  <c:v>47.25</c:v>
                </c:pt>
                <c:pt idx="5">
                  <c:v>54.52</c:v>
                </c:pt>
                <c:pt idx="6">
                  <c:v>59.395000000000003</c:v>
                </c:pt>
                <c:pt idx="7">
                  <c:v>64.27</c:v>
                </c:pt>
                <c:pt idx="8">
                  <c:v>91.2</c:v>
                </c:pt>
              </c:numCache>
            </c:numRef>
          </c:val>
        </c:ser>
        <c:dLbls>
          <c:showLegendKey val="0"/>
          <c:showVal val="0"/>
          <c:showCatName val="0"/>
          <c:showSerName val="0"/>
          <c:showPercent val="0"/>
          <c:showBubbleSize val="0"/>
        </c:dLbls>
        <c:gapWidth val="150"/>
        <c:axId val="125700352"/>
        <c:axId val="125702144"/>
      </c:barChart>
      <c:catAx>
        <c:axId val="125700352"/>
        <c:scaling>
          <c:orientation val="minMax"/>
        </c:scaling>
        <c:delete val="0"/>
        <c:axPos val="l"/>
        <c:numFmt formatCode="General" sourceLinked="1"/>
        <c:majorTickMark val="out"/>
        <c:minorTickMark val="none"/>
        <c:tickLblPos val="nextTo"/>
        <c:crossAx val="125702144"/>
        <c:crosses val="autoZero"/>
        <c:auto val="1"/>
        <c:lblAlgn val="ctr"/>
        <c:lblOffset val="100"/>
        <c:noMultiLvlLbl val="0"/>
      </c:catAx>
      <c:valAx>
        <c:axId val="125702144"/>
        <c:scaling>
          <c:orientation val="minMax"/>
          <c:max val="100"/>
        </c:scaling>
        <c:delete val="0"/>
        <c:axPos val="b"/>
        <c:majorGridlines/>
        <c:numFmt formatCode="General" sourceLinked="1"/>
        <c:majorTickMark val="out"/>
        <c:minorTickMark val="none"/>
        <c:tickLblPos val="nextTo"/>
        <c:crossAx val="12570035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404897620120706E-2"/>
          <c:y val="5.0925925925925902E-2"/>
          <c:w val="0.87473090484901495"/>
          <c:h val="0.69252588218139399"/>
        </c:manualLayout>
      </c:layout>
      <c:barChart>
        <c:barDir val="col"/>
        <c:grouping val="clustered"/>
        <c:varyColors val="0"/>
        <c:ser>
          <c:idx val="0"/>
          <c:order val="0"/>
          <c:tx>
            <c:strRef>
              <c:f>FNVA_Correct!$AN$5</c:f>
              <c:strCache>
                <c:ptCount val="1"/>
                <c:pt idx="0">
                  <c:v>3a</c:v>
                </c:pt>
              </c:strCache>
            </c:strRef>
          </c:tx>
          <c:spPr>
            <a:solidFill>
              <a:srgbClr val="FF6600"/>
            </a:solidFill>
          </c:spPr>
          <c:invertIfNegative val="0"/>
          <c:cat>
            <c:strRef>
              <c:f>FNVA_Correct!$AM$6:$AM$15</c:f>
              <c:strCache>
                <c:ptCount val="10"/>
                <c:pt idx="0">
                  <c:v>Horticulture</c:v>
                </c:pt>
                <c:pt idx="1">
                  <c:v>Orchards</c:v>
                </c:pt>
                <c:pt idx="2">
                  <c:v>Olives</c:v>
                </c:pt>
                <c:pt idx="3">
                  <c:v>Wine</c:v>
                </c:pt>
                <c:pt idx="4">
                  <c:v>Sheep&amp;goat</c:v>
                </c:pt>
                <c:pt idx="5">
                  <c:v>Cattle</c:v>
                </c:pt>
                <c:pt idx="6">
                  <c:v>Milk</c:v>
                </c:pt>
                <c:pt idx="7">
                  <c:v>Pig&amp;poultry</c:v>
                </c:pt>
                <c:pt idx="8">
                  <c:v>COP</c:v>
                </c:pt>
                <c:pt idx="9">
                  <c:v>Other fieldcrops</c:v>
                </c:pt>
              </c:strCache>
            </c:strRef>
          </c:cat>
          <c:val>
            <c:numRef>
              <c:f>FNVA_Correct!$AN$6:$AN$15</c:f>
              <c:numCache>
                <c:formatCode>0%</c:formatCode>
                <c:ptCount val="10"/>
                <c:pt idx="0">
                  <c:v>-5.97812173863706E-2</c:v>
                </c:pt>
                <c:pt idx="1">
                  <c:v>-7.1214389488880496E-3</c:v>
                </c:pt>
                <c:pt idx="2">
                  <c:v>-0.128137789619262</c:v>
                </c:pt>
                <c:pt idx="3">
                  <c:v>1.9474854382539001E-3</c:v>
                </c:pt>
                <c:pt idx="4">
                  <c:v>-6.0472868030132701E-2</c:v>
                </c:pt>
                <c:pt idx="5">
                  <c:v>-0.24577656063290401</c:v>
                </c:pt>
                <c:pt idx="6">
                  <c:v>-3.8604966587097E-2</c:v>
                </c:pt>
                <c:pt idx="7">
                  <c:v>-6.9876115182438997E-2</c:v>
                </c:pt>
                <c:pt idx="8">
                  <c:v>-0.14373137677449599</c:v>
                </c:pt>
                <c:pt idx="9">
                  <c:v>-0.32337064325972298</c:v>
                </c:pt>
              </c:numCache>
            </c:numRef>
          </c:val>
        </c:ser>
        <c:ser>
          <c:idx val="1"/>
          <c:order val="1"/>
          <c:tx>
            <c:strRef>
              <c:f>FNVA_Correct!$AO$5</c:f>
              <c:strCache>
                <c:ptCount val="1"/>
                <c:pt idx="0">
                  <c:v>3b</c:v>
                </c:pt>
              </c:strCache>
            </c:strRef>
          </c:tx>
          <c:spPr>
            <a:solidFill>
              <a:srgbClr val="FFC000"/>
            </a:solidFill>
          </c:spPr>
          <c:invertIfNegative val="0"/>
          <c:cat>
            <c:strRef>
              <c:f>FNVA_Correct!$AM$6:$AM$15</c:f>
              <c:strCache>
                <c:ptCount val="10"/>
                <c:pt idx="0">
                  <c:v>Horticulture</c:v>
                </c:pt>
                <c:pt idx="1">
                  <c:v>Orchards</c:v>
                </c:pt>
                <c:pt idx="2">
                  <c:v>Olives</c:v>
                </c:pt>
                <c:pt idx="3">
                  <c:v>Wine</c:v>
                </c:pt>
                <c:pt idx="4">
                  <c:v>Sheep&amp;goat</c:v>
                </c:pt>
                <c:pt idx="5">
                  <c:v>Cattle</c:v>
                </c:pt>
                <c:pt idx="6">
                  <c:v>Milk</c:v>
                </c:pt>
                <c:pt idx="7">
                  <c:v>Pig&amp;poultry</c:v>
                </c:pt>
                <c:pt idx="8">
                  <c:v>COP</c:v>
                </c:pt>
                <c:pt idx="9">
                  <c:v>Other fieldcrops</c:v>
                </c:pt>
              </c:strCache>
            </c:strRef>
          </c:cat>
          <c:val>
            <c:numRef>
              <c:f>FNVA_Correct!$AO$6:$AO$15</c:f>
              <c:numCache>
                <c:formatCode>0%</c:formatCode>
                <c:ptCount val="10"/>
                <c:pt idx="0">
                  <c:v>-5.9266379318921598E-2</c:v>
                </c:pt>
                <c:pt idx="1">
                  <c:v>-6.4399804157735897E-3</c:v>
                </c:pt>
                <c:pt idx="2">
                  <c:v>-7.4135811493345402E-2</c:v>
                </c:pt>
                <c:pt idx="3">
                  <c:v>-1.44147846741246E-3</c:v>
                </c:pt>
                <c:pt idx="4">
                  <c:v>-1.4706583590975601E-2</c:v>
                </c:pt>
                <c:pt idx="5">
                  <c:v>-1.69242640361109E-2</c:v>
                </c:pt>
                <c:pt idx="6">
                  <c:v>-1.5379193056985501E-2</c:v>
                </c:pt>
                <c:pt idx="7">
                  <c:v>-3.4598776442990899E-2</c:v>
                </c:pt>
                <c:pt idx="8">
                  <c:v>-9.5585663669076198E-2</c:v>
                </c:pt>
                <c:pt idx="9">
                  <c:v>-0.163217481032741</c:v>
                </c:pt>
              </c:numCache>
            </c:numRef>
          </c:val>
        </c:ser>
        <c:ser>
          <c:idx val="2"/>
          <c:order val="2"/>
          <c:tx>
            <c:strRef>
              <c:f>FNVA_Correct!$AP$5</c:f>
              <c:strCache>
                <c:ptCount val="1"/>
                <c:pt idx="0">
                  <c:v>4a</c:v>
                </c:pt>
              </c:strCache>
            </c:strRef>
          </c:tx>
          <c:spPr>
            <a:solidFill>
              <a:srgbClr val="0070C0"/>
            </a:solidFill>
          </c:spPr>
          <c:invertIfNegative val="0"/>
          <c:cat>
            <c:strRef>
              <c:f>FNVA_Correct!$AM$6:$AM$15</c:f>
              <c:strCache>
                <c:ptCount val="10"/>
                <c:pt idx="0">
                  <c:v>Horticulture</c:v>
                </c:pt>
                <c:pt idx="1">
                  <c:v>Orchards</c:v>
                </c:pt>
                <c:pt idx="2">
                  <c:v>Olives</c:v>
                </c:pt>
                <c:pt idx="3">
                  <c:v>Wine</c:v>
                </c:pt>
                <c:pt idx="4">
                  <c:v>Sheep&amp;goat</c:v>
                </c:pt>
                <c:pt idx="5">
                  <c:v>Cattle</c:v>
                </c:pt>
                <c:pt idx="6">
                  <c:v>Milk</c:v>
                </c:pt>
                <c:pt idx="7">
                  <c:v>Pig&amp;poultry</c:v>
                </c:pt>
                <c:pt idx="8">
                  <c:v>COP</c:v>
                </c:pt>
                <c:pt idx="9">
                  <c:v>Other fieldcrops</c:v>
                </c:pt>
              </c:strCache>
            </c:strRef>
          </c:cat>
          <c:val>
            <c:numRef>
              <c:f>FNVA_Correct!$AP$6:$AP$15</c:f>
              <c:numCache>
                <c:formatCode>0%</c:formatCode>
                <c:ptCount val="10"/>
                <c:pt idx="0">
                  <c:v>-6.1440088461783199E-2</c:v>
                </c:pt>
                <c:pt idx="1">
                  <c:v>-3.1494204209225698E-3</c:v>
                </c:pt>
                <c:pt idx="2">
                  <c:v>-0.106925815542099</c:v>
                </c:pt>
                <c:pt idx="3">
                  <c:v>4.2322548910514301E-3</c:v>
                </c:pt>
                <c:pt idx="4">
                  <c:v>-1.1423255010257901E-2</c:v>
                </c:pt>
                <c:pt idx="5">
                  <c:v>-7.5714637854276904E-3</c:v>
                </c:pt>
                <c:pt idx="6">
                  <c:v>-2.7488674376111299E-2</c:v>
                </c:pt>
                <c:pt idx="7">
                  <c:v>-5.9912089093569099E-2</c:v>
                </c:pt>
                <c:pt idx="8">
                  <c:v>-0.14805416773969299</c:v>
                </c:pt>
                <c:pt idx="9">
                  <c:v>-0.31816729891283901</c:v>
                </c:pt>
              </c:numCache>
            </c:numRef>
          </c:val>
        </c:ser>
        <c:ser>
          <c:idx val="3"/>
          <c:order val="3"/>
          <c:tx>
            <c:strRef>
              <c:f>FNVA_Correct!$AQ$5</c:f>
              <c:strCache>
                <c:ptCount val="1"/>
                <c:pt idx="0">
                  <c:v>4b</c:v>
                </c:pt>
              </c:strCache>
            </c:strRef>
          </c:tx>
          <c:spPr>
            <a:solidFill>
              <a:srgbClr val="00B0F0"/>
            </a:solidFill>
          </c:spPr>
          <c:invertIfNegative val="0"/>
          <c:cat>
            <c:strRef>
              <c:f>FNVA_Correct!$AM$6:$AM$15</c:f>
              <c:strCache>
                <c:ptCount val="10"/>
                <c:pt idx="0">
                  <c:v>Horticulture</c:v>
                </c:pt>
                <c:pt idx="1">
                  <c:v>Orchards</c:v>
                </c:pt>
                <c:pt idx="2">
                  <c:v>Olives</c:v>
                </c:pt>
                <c:pt idx="3">
                  <c:v>Wine</c:v>
                </c:pt>
                <c:pt idx="4">
                  <c:v>Sheep&amp;goat</c:v>
                </c:pt>
                <c:pt idx="5">
                  <c:v>Cattle</c:v>
                </c:pt>
                <c:pt idx="6">
                  <c:v>Milk</c:v>
                </c:pt>
                <c:pt idx="7">
                  <c:v>Pig&amp;poultry</c:v>
                </c:pt>
                <c:pt idx="8">
                  <c:v>COP</c:v>
                </c:pt>
                <c:pt idx="9">
                  <c:v>Other fieldcrops</c:v>
                </c:pt>
              </c:strCache>
            </c:strRef>
          </c:cat>
          <c:val>
            <c:numRef>
              <c:f>FNVA_Correct!$AQ$6:$AQ$15</c:f>
              <c:numCache>
                <c:formatCode>0%</c:formatCode>
                <c:ptCount val="10"/>
                <c:pt idx="0">
                  <c:v>-6.0700894193423602E-2</c:v>
                </c:pt>
                <c:pt idx="1">
                  <c:v>-2.4243569748581498E-3</c:v>
                </c:pt>
                <c:pt idx="2">
                  <c:v>-0.10593570293710899</c:v>
                </c:pt>
                <c:pt idx="3">
                  <c:v>5.53726811059256E-3</c:v>
                </c:pt>
                <c:pt idx="4">
                  <c:v>-9.4791094770447504E-3</c:v>
                </c:pt>
                <c:pt idx="5">
                  <c:v>-1.97720381398735E-3</c:v>
                </c:pt>
                <c:pt idx="6">
                  <c:v>-2.53502710697057E-2</c:v>
                </c:pt>
                <c:pt idx="7">
                  <c:v>-2.8728265102128999E-2</c:v>
                </c:pt>
                <c:pt idx="8">
                  <c:v>-6.3580450579844697E-2</c:v>
                </c:pt>
                <c:pt idx="9">
                  <c:v>-0.164506854041062</c:v>
                </c:pt>
              </c:numCache>
            </c:numRef>
          </c:val>
        </c:ser>
        <c:ser>
          <c:idx val="4"/>
          <c:order val="4"/>
          <c:tx>
            <c:strRef>
              <c:f>FNVA_Correct!$AR$5</c:f>
              <c:strCache>
                <c:ptCount val="1"/>
                <c:pt idx="0">
                  <c:v>5</c:v>
                </c:pt>
              </c:strCache>
            </c:strRef>
          </c:tx>
          <c:spPr>
            <a:solidFill>
              <a:srgbClr val="FF99FF"/>
            </a:solidFill>
          </c:spPr>
          <c:invertIfNegative val="0"/>
          <c:cat>
            <c:strRef>
              <c:f>FNVA_Correct!$AM$6:$AM$15</c:f>
              <c:strCache>
                <c:ptCount val="10"/>
                <c:pt idx="0">
                  <c:v>Horticulture</c:v>
                </c:pt>
                <c:pt idx="1">
                  <c:v>Orchards</c:v>
                </c:pt>
                <c:pt idx="2">
                  <c:v>Olives</c:v>
                </c:pt>
                <c:pt idx="3">
                  <c:v>Wine</c:v>
                </c:pt>
                <c:pt idx="4">
                  <c:v>Sheep&amp;goat</c:v>
                </c:pt>
                <c:pt idx="5">
                  <c:v>Cattle</c:v>
                </c:pt>
                <c:pt idx="6">
                  <c:v>Milk</c:v>
                </c:pt>
                <c:pt idx="7">
                  <c:v>Pig&amp;poultry</c:v>
                </c:pt>
                <c:pt idx="8">
                  <c:v>COP</c:v>
                </c:pt>
                <c:pt idx="9">
                  <c:v>Other fieldcrops</c:v>
                </c:pt>
              </c:strCache>
            </c:strRef>
          </c:cat>
          <c:val>
            <c:numRef>
              <c:f>FNVA_Correct!$AR$6:$AR$15</c:f>
              <c:numCache>
                <c:formatCode>0%</c:formatCode>
                <c:ptCount val="10"/>
                <c:pt idx="0">
                  <c:v>-6.6858693224911295E-2</c:v>
                </c:pt>
                <c:pt idx="1">
                  <c:v>2.3247318751928401E-2</c:v>
                </c:pt>
                <c:pt idx="2">
                  <c:v>-1.5762439901260899E-2</c:v>
                </c:pt>
                <c:pt idx="3">
                  <c:v>2.0796745338659599E-2</c:v>
                </c:pt>
                <c:pt idx="4">
                  <c:v>6.3162264326660805E-2</c:v>
                </c:pt>
                <c:pt idx="5">
                  <c:v>-5.6461251750400301E-2</c:v>
                </c:pt>
                <c:pt idx="6">
                  <c:v>-2.8686741117871499E-2</c:v>
                </c:pt>
                <c:pt idx="7">
                  <c:v>-4.1146126347770103E-2</c:v>
                </c:pt>
                <c:pt idx="8">
                  <c:v>-0.13525218577670101</c:v>
                </c:pt>
                <c:pt idx="9">
                  <c:v>-0.17862982075470901</c:v>
                </c:pt>
              </c:numCache>
            </c:numRef>
          </c:val>
        </c:ser>
        <c:dLbls>
          <c:showLegendKey val="0"/>
          <c:showVal val="0"/>
          <c:showCatName val="0"/>
          <c:showSerName val="0"/>
          <c:showPercent val="0"/>
          <c:showBubbleSize val="0"/>
        </c:dLbls>
        <c:gapWidth val="150"/>
        <c:axId val="131194880"/>
        <c:axId val="131196416"/>
      </c:barChart>
      <c:catAx>
        <c:axId val="131194880"/>
        <c:scaling>
          <c:orientation val="minMax"/>
        </c:scaling>
        <c:delete val="0"/>
        <c:axPos val="b"/>
        <c:majorTickMark val="out"/>
        <c:minorTickMark val="none"/>
        <c:tickLblPos val="low"/>
        <c:crossAx val="131196416"/>
        <c:crosses val="autoZero"/>
        <c:auto val="1"/>
        <c:lblAlgn val="ctr"/>
        <c:lblOffset val="100"/>
        <c:noMultiLvlLbl val="0"/>
      </c:catAx>
      <c:valAx>
        <c:axId val="131196416"/>
        <c:scaling>
          <c:orientation val="minMax"/>
        </c:scaling>
        <c:delete val="0"/>
        <c:axPos val="l"/>
        <c:majorGridlines/>
        <c:numFmt formatCode="0%" sourceLinked="1"/>
        <c:majorTickMark val="out"/>
        <c:minorTickMark val="none"/>
        <c:tickLblPos val="nextTo"/>
        <c:crossAx val="131194880"/>
        <c:crosses val="autoZero"/>
        <c:crossBetween val="between"/>
        <c:majorUnit val="0.1"/>
      </c:valAx>
    </c:plotArea>
    <c:legend>
      <c:legendPos val="b"/>
      <c:layout>
        <c:manualLayout>
          <c:xMode val="edge"/>
          <c:yMode val="edge"/>
          <c:x val="0.116724108981327"/>
          <c:y val="0.63025298920968198"/>
          <c:w val="0.41761783625731003"/>
          <c:h val="8.5494047619047595E-2"/>
        </c:manualLayout>
      </c:layout>
      <c:overlay val="0"/>
      <c:txPr>
        <a:bodyPr/>
        <a:lstStyle/>
        <a:p>
          <a:pPr>
            <a:defRPr sz="1000"/>
          </a:pPr>
          <a:endParaRPr lang="en-US"/>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SOC!$S$14</c:f>
              <c:strCache>
                <c:ptCount val="1"/>
                <c:pt idx="0">
                  <c:v>OO1</c:v>
                </c:pt>
              </c:strCache>
            </c:strRef>
          </c:tx>
          <c:invertIfNegative val="0"/>
          <c:dPt>
            <c:idx val="0"/>
            <c:invertIfNegative val="0"/>
            <c:bubble3D val="0"/>
            <c:spPr>
              <a:solidFill>
                <a:srgbClr val="9BBB59"/>
              </a:solidFill>
            </c:spPr>
          </c:dPt>
          <c:dPt>
            <c:idx val="1"/>
            <c:invertIfNegative val="0"/>
            <c:bubble3D val="0"/>
            <c:spPr>
              <a:solidFill>
                <a:schemeClr val="accent6"/>
              </a:solidFill>
            </c:spPr>
          </c:dPt>
          <c:dPt>
            <c:idx val="2"/>
            <c:invertIfNegative val="0"/>
            <c:bubble3D val="0"/>
            <c:spPr>
              <a:solidFill>
                <a:schemeClr val="accent6">
                  <a:lumMod val="75000"/>
                </a:schemeClr>
              </a:solidFill>
            </c:spPr>
          </c:dPt>
          <c:dPt>
            <c:idx val="3"/>
            <c:invertIfNegative val="0"/>
            <c:bubble3D val="0"/>
            <c:spPr>
              <a:solidFill>
                <a:srgbClr val="F79646"/>
              </a:solidFill>
            </c:spPr>
          </c:dPt>
          <c:dPt>
            <c:idx val="4"/>
            <c:invertIfNegative val="0"/>
            <c:bubble3D val="0"/>
            <c:spPr>
              <a:solidFill>
                <a:srgbClr val="C0504D">
                  <a:lumMod val="60000"/>
                  <a:lumOff val="40000"/>
                </a:srgbClr>
              </a:solidFill>
            </c:spPr>
          </c:dPt>
          <c:dPt>
            <c:idx val="5"/>
            <c:invertIfNegative val="0"/>
            <c:bubble3D val="0"/>
            <c:spPr>
              <a:solidFill>
                <a:srgbClr val="9BBB59">
                  <a:lumMod val="75000"/>
                </a:srgbClr>
              </a:solidFill>
            </c:spPr>
          </c:dPt>
          <c:dPt>
            <c:idx val="6"/>
            <c:invertIfNegative val="0"/>
            <c:bubble3D val="0"/>
            <c:spPr>
              <a:solidFill>
                <a:srgbClr val="C0504D">
                  <a:lumMod val="75000"/>
                </a:srgbClr>
              </a:solidFill>
            </c:spPr>
          </c:dPt>
          <c:dPt>
            <c:idx val="7"/>
            <c:invertIfNegative val="0"/>
            <c:bubble3D val="0"/>
            <c:spPr>
              <a:solidFill>
                <a:srgbClr val="C0504D">
                  <a:lumMod val="60000"/>
                  <a:lumOff val="40000"/>
                </a:srgbClr>
              </a:solidFill>
            </c:spPr>
          </c:dPt>
          <c:cat>
            <c:strRef>
              <c:f>SOC!$R$15:$R$23</c:f>
              <c:strCache>
                <c:ptCount val="9"/>
                <c:pt idx="0">
                  <c:v>1</c:v>
                </c:pt>
                <c:pt idx="1">
                  <c:v>4a</c:v>
                </c:pt>
                <c:pt idx="2">
                  <c:v>4</c:v>
                </c:pt>
                <c:pt idx="3">
                  <c:v>4b</c:v>
                </c:pt>
                <c:pt idx="4">
                  <c:v>3b</c:v>
                </c:pt>
                <c:pt idx="5">
                  <c:v>BAS</c:v>
                </c:pt>
                <c:pt idx="6">
                  <c:v>3</c:v>
                </c:pt>
                <c:pt idx="7">
                  <c:v>3a</c:v>
                </c:pt>
                <c:pt idx="8">
                  <c:v>5</c:v>
                </c:pt>
              </c:strCache>
            </c:strRef>
          </c:cat>
          <c:val>
            <c:numRef>
              <c:f>SOC!$S$15:$S$23</c:f>
              <c:numCache>
                <c:formatCode>General</c:formatCode>
                <c:ptCount val="9"/>
                <c:pt idx="0">
                  <c:v>0</c:v>
                </c:pt>
                <c:pt idx="1">
                  <c:v>15.38</c:v>
                </c:pt>
                <c:pt idx="2">
                  <c:v>23.074999999999999</c:v>
                </c:pt>
                <c:pt idx="3">
                  <c:v>30.77</c:v>
                </c:pt>
                <c:pt idx="4">
                  <c:v>46.15</c:v>
                </c:pt>
                <c:pt idx="5">
                  <c:v>61.54</c:v>
                </c:pt>
                <c:pt idx="6">
                  <c:v>65.385000000000005</c:v>
                </c:pt>
                <c:pt idx="7">
                  <c:v>84.62</c:v>
                </c:pt>
                <c:pt idx="8">
                  <c:v>100</c:v>
                </c:pt>
              </c:numCache>
            </c:numRef>
          </c:val>
        </c:ser>
        <c:dLbls>
          <c:showLegendKey val="0"/>
          <c:showVal val="0"/>
          <c:showCatName val="0"/>
          <c:showSerName val="0"/>
          <c:showPercent val="0"/>
          <c:showBubbleSize val="0"/>
        </c:dLbls>
        <c:gapWidth val="150"/>
        <c:axId val="125757696"/>
        <c:axId val="125759488"/>
      </c:barChart>
      <c:catAx>
        <c:axId val="125757696"/>
        <c:scaling>
          <c:orientation val="minMax"/>
        </c:scaling>
        <c:delete val="0"/>
        <c:axPos val="l"/>
        <c:numFmt formatCode="General" sourceLinked="1"/>
        <c:majorTickMark val="out"/>
        <c:minorTickMark val="none"/>
        <c:tickLblPos val="nextTo"/>
        <c:crossAx val="125759488"/>
        <c:crosses val="autoZero"/>
        <c:auto val="1"/>
        <c:lblAlgn val="ctr"/>
        <c:lblOffset val="100"/>
        <c:noMultiLvlLbl val="0"/>
      </c:catAx>
      <c:valAx>
        <c:axId val="125759488"/>
        <c:scaling>
          <c:orientation val="minMax"/>
          <c:max val="100"/>
        </c:scaling>
        <c:delete val="0"/>
        <c:axPos val="b"/>
        <c:majorGridlines/>
        <c:numFmt formatCode="General" sourceLinked="1"/>
        <c:majorTickMark val="out"/>
        <c:minorTickMark val="none"/>
        <c:tickLblPos val="nextTo"/>
        <c:crossAx val="12575769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'SOC + mod v2'!$U$39</c:f>
              <c:strCache>
                <c:ptCount val="1"/>
                <c:pt idx="0">
                  <c:v>SO2</c:v>
                </c:pt>
              </c:strCache>
            </c:strRef>
          </c:tx>
          <c:invertIfNegative val="0"/>
          <c:dPt>
            <c:idx val="0"/>
            <c:invertIfNegative val="0"/>
            <c:bubble3D val="0"/>
            <c:spPr>
              <a:solidFill>
                <a:srgbClr val="9BBB59"/>
              </a:solidFill>
            </c:spPr>
          </c:dPt>
          <c:dPt>
            <c:idx val="1"/>
            <c:invertIfNegative val="0"/>
            <c:bubble3D val="0"/>
            <c:spPr>
              <a:solidFill>
                <a:srgbClr val="C0504D">
                  <a:lumMod val="60000"/>
                  <a:lumOff val="40000"/>
                </a:srgbClr>
              </a:solidFill>
            </c:spPr>
          </c:dPt>
          <c:dPt>
            <c:idx val="2"/>
            <c:invertIfNegative val="0"/>
            <c:bubble3D val="0"/>
            <c:spPr>
              <a:solidFill>
                <a:srgbClr val="F79646"/>
              </a:solidFill>
            </c:spPr>
          </c:dPt>
          <c:dPt>
            <c:idx val="3"/>
            <c:invertIfNegative val="0"/>
            <c:bubble3D val="0"/>
            <c:spPr>
              <a:solidFill>
                <a:srgbClr val="F79646">
                  <a:lumMod val="75000"/>
                </a:srgbClr>
              </a:solidFill>
            </c:spPr>
          </c:dPt>
          <c:dPt>
            <c:idx val="4"/>
            <c:invertIfNegative val="0"/>
            <c:bubble3D val="0"/>
            <c:spPr>
              <a:solidFill>
                <a:srgbClr val="F79646"/>
              </a:solidFill>
            </c:spPr>
          </c:dPt>
          <c:dPt>
            <c:idx val="5"/>
            <c:invertIfNegative val="0"/>
            <c:bubble3D val="0"/>
            <c:spPr>
              <a:solidFill>
                <a:srgbClr val="C0504D">
                  <a:lumMod val="75000"/>
                </a:srgbClr>
              </a:solidFill>
            </c:spPr>
          </c:dPt>
          <c:dPt>
            <c:idx val="6"/>
            <c:invertIfNegative val="0"/>
            <c:bubble3D val="0"/>
            <c:spPr>
              <a:solidFill>
                <a:srgbClr val="9BBB59">
                  <a:lumMod val="75000"/>
                </a:srgbClr>
              </a:solidFill>
            </c:spPr>
          </c:dPt>
          <c:dPt>
            <c:idx val="7"/>
            <c:invertIfNegative val="0"/>
            <c:bubble3D val="0"/>
            <c:spPr>
              <a:solidFill>
                <a:srgbClr val="C0504D">
                  <a:lumMod val="60000"/>
                  <a:lumOff val="40000"/>
                </a:srgbClr>
              </a:solidFill>
            </c:spPr>
          </c:dPt>
          <c:cat>
            <c:strRef>
              <c:f>'SOC + mod v2'!$T$40:$T$48</c:f>
              <c:strCache>
                <c:ptCount val="9"/>
                <c:pt idx="0">
                  <c:v>1</c:v>
                </c:pt>
                <c:pt idx="1">
                  <c:v>3a</c:v>
                </c:pt>
                <c:pt idx="2">
                  <c:v>4a</c:v>
                </c:pt>
                <c:pt idx="3">
                  <c:v>4</c:v>
                </c:pt>
                <c:pt idx="4">
                  <c:v>4b</c:v>
                </c:pt>
                <c:pt idx="5">
                  <c:v>3</c:v>
                </c:pt>
                <c:pt idx="6">
                  <c:v>BAS</c:v>
                </c:pt>
                <c:pt idx="7">
                  <c:v>3b</c:v>
                </c:pt>
                <c:pt idx="8">
                  <c:v>5</c:v>
                </c:pt>
              </c:strCache>
            </c:strRef>
          </c:cat>
          <c:val>
            <c:numRef>
              <c:f>'SOC + mod v2'!$U$40:$U$48</c:f>
              <c:numCache>
                <c:formatCode>General</c:formatCode>
                <c:ptCount val="9"/>
                <c:pt idx="0">
                  <c:v>18.922006239500821</c:v>
                </c:pt>
                <c:pt idx="1">
                  <c:v>30.993225341972639</c:v>
                </c:pt>
                <c:pt idx="2">
                  <c:v>33.850479961603043</c:v>
                </c:pt>
                <c:pt idx="3">
                  <c:v>40.63353611711063</c:v>
                </c:pt>
                <c:pt idx="4">
                  <c:v>47.416592272618168</c:v>
                </c:pt>
                <c:pt idx="5">
                  <c:v>49.90691564674826</c:v>
                </c:pt>
                <c:pt idx="6">
                  <c:v>51.548581713462923</c:v>
                </c:pt>
                <c:pt idx="7">
                  <c:v>68.820605951523845</c:v>
                </c:pt>
                <c:pt idx="8">
                  <c:v>82.760075593952479</c:v>
                </c:pt>
              </c:numCache>
            </c:numRef>
          </c:val>
        </c:ser>
        <c:dLbls>
          <c:showLegendKey val="0"/>
          <c:showVal val="0"/>
          <c:showCatName val="0"/>
          <c:showSerName val="0"/>
          <c:showPercent val="0"/>
          <c:showBubbleSize val="0"/>
        </c:dLbls>
        <c:gapWidth val="150"/>
        <c:axId val="122910976"/>
        <c:axId val="122916864"/>
      </c:barChart>
      <c:catAx>
        <c:axId val="122910976"/>
        <c:scaling>
          <c:orientation val="minMax"/>
        </c:scaling>
        <c:delete val="0"/>
        <c:axPos val="l"/>
        <c:numFmt formatCode="General" sourceLinked="1"/>
        <c:majorTickMark val="out"/>
        <c:minorTickMark val="none"/>
        <c:tickLblPos val="nextTo"/>
        <c:crossAx val="122916864"/>
        <c:crosses val="autoZero"/>
        <c:auto val="1"/>
        <c:lblAlgn val="ctr"/>
        <c:lblOffset val="100"/>
        <c:noMultiLvlLbl val="0"/>
      </c:catAx>
      <c:valAx>
        <c:axId val="122916864"/>
        <c:scaling>
          <c:orientation val="minMax"/>
          <c:max val="100"/>
        </c:scaling>
        <c:delete val="0"/>
        <c:axPos val="b"/>
        <c:majorGridlines/>
        <c:numFmt formatCode="General" sourceLinked="1"/>
        <c:majorTickMark val="out"/>
        <c:minorTickMark val="none"/>
        <c:tickLblPos val="nextTo"/>
        <c:crossAx val="12291097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'SOC + mod v2'!$C$26</c:f>
              <c:strCache>
                <c:ptCount val="1"/>
                <c:pt idx="0">
                  <c:v>Expert judgement</c:v>
                </c:pt>
              </c:strCache>
            </c:strRef>
          </c:tx>
          <c:spPr>
            <a:solidFill>
              <a:schemeClr val="accent3"/>
            </a:solidFill>
          </c:spPr>
          <c:invertIfNegative val="0"/>
          <c:cat>
            <c:strRef>
              <c:f>'SOC + mod v2'!$B$27:$B$33</c:f>
              <c:strCache>
                <c:ptCount val="7"/>
                <c:pt idx="0">
                  <c:v>BAS</c:v>
                </c:pt>
                <c:pt idx="1">
                  <c:v>1</c:v>
                </c:pt>
                <c:pt idx="2">
                  <c:v>3a</c:v>
                </c:pt>
                <c:pt idx="3">
                  <c:v>3b</c:v>
                </c:pt>
                <c:pt idx="4">
                  <c:v>4a</c:v>
                </c:pt>
                <c:pt idx="5">
                  <c:v>4b</c:v>
                </c:pt>
                <c:pt idx="6">
                  <c:v>5</c:v>
                </c:pt>
              </c:strCache>
            </c:strRef>
          </c:cat>
          <c:val>
            <c:numRef>
              <c:f>'SOC + mod v2'!$C$27:$C$33</c:f>
              <c:numCache>
                <c:formatCode>General</c:formatCode>
                <c:ptCount val="7"/>
                <c:pt idx="0">
                  <c:v>23.08</c:v>
                </c:pt>
                <c:pt idx="1">
                  <c:v>0</c:v>
                </c:pt>
                <c:pt idx="2">
                  <c:v>38.46</c:v>
                </c:pt>
                <c:pt idx="3">
                  <c:v>53.85</c:v>
                </c:pt>
                <c:pt idx="4">
                  <c:v>84.62</c:v>
                </c:pt>
                <c:pt idx="5">
                  <c:v>100</c:v>
                </c:pt>
                <c:pt idx="6">
                  <c:v>69.23</c:v>
                </c:pt>
              </c:numCache>
            </c:numRef>
          </c:val>
        </c:ser>
        <c:ser>
          <c:idx val="1"/>
          <c:order val="1"/>
          <c:tx>
            <c:strRef>
              <c:f>'SOC + mod v2'!$D$26</c:f>
              <c:strCache>
                <c:ptCount val="1"/>
                <c:pt idx="0">
                  <c:v>Income (modelling)</c:v>
                </c:pt>
              </c:strCache>
            </c:strRef>
          </c:tx>
          <c:invertIfNegative val="0"/>
          <c:cat>
            <c:strRef>
              <c:f>'SOC + mod v2'!$B$27:$B$33</c:f>
              <c:strCache>
                <c:ptCount val="7"/>
                <c:pt idx="0">
                  <c:v>BAS</c:v>
                </c:pt>
                <c:pt idx="1">
                  <c:v>1</c:v>
                </c:pt>
                <c:pt idx="2">
                  <c:v>3a</c:v>
                </c:pt>
                <c:pt idx="3">
                  <c:v>3b</c:v>
                </c:pt>
                <c:pt idx="4">
                  <c:v>4a</c:v>
                </c:pt>
                <c:pt idx="5">
                  <c:v>4b</c:v>
                </c:pt>
                <c:pt idx="6">
                  <c:v>5</c:v>
                </c:pt>
              </c:strCache>
            </c:strRef>
          </c:cat>
          <c:val>
            <c:numRef>
              <c:f>'SOC + mod v2'!$D$27:$D$33</c:f>
              <c:numCache>
                <c:formatCode>General</c:formatCode>
                <c:ptCount val="7"/>
                <c:pt idx="0">
                  <c:v>100</c:v>
                </c:pt>
                <c:pt idx="1">
                  <c:v>80</c:v>
                </c:pt>
                <c:pt idx="2">
                  <c:v>0</c:v>
                </c:pt>
                <c:pt idx="3">
                  <c:v>50</c:v>
                </c:pt>
                <c:pt idx="4">
                  <c:v>20</c:v>
                </c:pt>
                <c:pt idx="5">
                  <c:v>50</c:v>
                </c:pt>
                <c:pt idx="6">
                  <c:v>50</c:v>
                </c:pt>
              </c:numCache>
            </c:numRef>
          </c:val>
        </c:ser>
        <c:ser>
          <c:idx val="2"/>
          <c:order val="2"/>
          <c:tx>
            <c:strRef>
              <c:f>'SOC + mod v2'!$E$26</c:f>
              <c:strCache>
                <c:ptCount val="1"/>
                <c:pt idx="0">
                  <c:v>OO2.2</c:v>
                </c:pt>
              </c:strCache>
            </c:strRef>
          </c:tx>
          <c:spPr>
            <a:solidFill>
              <a:schemeClr val="tx1"/>
            </a:solidFill>
          </c:spPr>
          <c:invertIfNegative val="0"/>
          <c:cat>
            <c:strRef>
              <c:f>'SOC + mod v2'!$B$27:$B$33</c:f>
              <c:strCache>
                <c:ptCount val="7"/>
                <c:pt idx="0">
                  <c:v>BAS</c:v>
                </c:pt>
                <c:pt idx="1">
                  <c:v>1</c:v>
                </c:pt>
                <c:pt idx="2">
                  <c:v>3a</c:v>
                </c:pt>
                <c:pt idx="3">
                  <c:v>3b</c:v>
                </c:pt>
                <c:pt idx="4">
                  <c:v>4a</c:v>
                </c:pt>
                <c:pt idx="5">
                  <c:v>4b</c:v>
                </c:pt>
                <c:pt idx="6">
                  <c:v>5</c:v>
                </c:pt>
              </c:strCache>
            </c:strRef>
          </c:cat>
          <c:val>
            <c:numRef>
              <c:f>'SOC + mod v2'!$E$27:$E$33</c:f>
              <c:numCache>
                <c:formatCode>General</c:formatCode>
                <c:ptCount val="7"/>
                <c:pt idx="0">
                  <c:v>61.54</c:v>
                </c:pt>
                <c:pt idx="1">
                  <c:v>40</c:v>
                </c:pt>
                <c:pt idx="2">
                  <c:v>19.23</c:v>
                </c:pt>
                <c:pt idx="3">
                  <c:v>51.924999999999997</c:v>
                </c:pt>
                <c:pt idx="4">
                  <c:v>52.31</c:v>
                </c:pt>
                <c:pt idx="5">
                  <c:v>75</c:v>
                </c:pt>
                <c:pt idx="6">
                  <c:v>59.615000000000002</c:v>
                </c:pt>
              </c:numCache>
            </c:numRef>
          </c:val>
        </c:ser>
        <c:dLbls>
          <c:showLegendKey val="0"/>
          <c:showVal val="0"/>
          <c:showCatName val="0"/>
          <c:showSerName val="0"/>
          <c:showPercent val="0"/>
          <c:showBubbleSize val="0"/>
        </c:dLbls>
        <c:gapWidth val="150"/>
        <c:axId val="122938112"/>
        <c:axId val="122939648"/>
      </c:barChart>
      <c:catAx>
        <c:axId val="122938112"/>
        <c:scaling>
          <c:orientation val="minMax"/>
        </c:scaling>
        <c:delete val="0"/>
        <c:axPos val="b"/>
        <c:numFmt formatCode="General" sourceLinked="0"/>
        <c:majorTickMark val="out"/>
        <c:minorTickMark val="none"/>
        <c:tickLblPos val="nextTo"/>
        <c:crossAx val="122939648"/>
        <c:crosses val="autoZero"/>
        <c:auto val="1"/>
        <c:lblAlgn val="ctr"/>
        <c:lblOffset val="100"/>
        <c:noMultiLvlLbl val="0"/>
      </c:catAx>
      <c:valAx>
        <c:axId val="122939648"/>
        <c:scaling>
          <c:orientation val="minMax"/>
          <c:max val="100"/>
        </c:scaling>
        <c:delete val="0"/>
        <c:axPos val="l"/>
        <c:title>
          <c:tx>
            <c:rich>
              <a:bodyPr rot="-5400000" vert="horz"/>
              <a:lstStyle/>
              <a:p>
                <a:pPr>
                  <a:defRPr/>
                </a:pPr>
                <a:r>
                  <a:rPr lang="en-US"/>
                  <a:t>Option score (max=100)</a:t>
                </a:r>
              </a:p>
            </c:rich>
          </c:tx>
          <c:layout/>
          <c:overlay val="0"/>
        </c:title>
        <c:numFmt formatCode="General" sourceLinked="1"/>
        <c:majorTickMark val="out"/>
        <c:minorTickMark val="none"/>
        <c:tickLblPos val="nextTo"/>
        <c:crossAx val="122938112"/>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'SOC + mod v2'!$C$41</c:f>
              <c:strCache>
                <c:ptCount val="1"/>
                <c:pt idx="0">
                  <c:v>Expert judgement</c:v>
                </c:pt>
              </c:strCache>
            </c:strRef>
          </c:tx>
          <c:spPr>
            <a:solidFill>
              <a:schemeClr val="accent3"/>
            </a:solidFill>
          </c:spPr>
          <c:invertIfNegative val="0"/>
          <c:cat>
            <c:strRef>
              <c:f>'SOC + mod v2'!$B$42:$B$48</c:f>
              <c:strCache>
                <c:ptCount val="7"/>
                <c:pt idx="0">
                  <c:v>BAS</c:v>
                </c:pt>
                <c:pt idx="1">
                  <c:v>1</c:v>
                </c:pt>
                <c:pt idx="2">
                  <c:v>3a</c:v>
                </c:pt>
                <c:pt idx="3">
                  <c:v>3b</c:v>
                </c:pt>
                <c:pt idx="4">
                  <c:v>4a</c:v>
                </c:pt>
                <c:pt idx="5">
                  <c:v>4b</c:v>
                </c:pt>
                <c:pt idx="6">
                  <c:v>5</c:v>
                </c:pt>
              </c:strCache>
            </c:strRef>
          </c:cat>
          <c:val>
            <c:numRef>
              <c:f>'SOC + mod v2'!$C$42:$C$48</c:f>
              <c:numCache>
                <c:formatCode>General</c:formatCode>
                <c:ptCount val="7"/>
                <c:pt idx="0">
                  <c:v>40</c:v>
                </c:pt>
                <c:pt idx="1">
                  <c:v>0</c:v>
                </c:pt>
                <c:pt idx="2">
                  <c:v>20</c:v>
                </c:pt>
                <c:pt idx="3">
                  <c:v>80</c:v>
                </c:pt>
                <c:pt idx="4">
                  <c:v>60</c:v>
                </c:pt>
                <c:pt idx="5">
                  <c:v>60</c:v>
                </c:pt>
                <c:pt idx="6">
                  <c:v>100</c:v>
                </c:pt>
              </c:numCache>
            </c:numRef>
          </c:val>
        </c:ser>
        <c:ser>
          <c:idx val="1"/>
          <c:order val="1"/>
          <c:tx>
            <c:strRef>
              <c:f>'SOC + mod v2'!$D$41</c:f>
              <c:strCache>
                <c:ptCount val="1"/>
                <c:pt idx="0">
                  <c:v>Gini income (modelling)</c:v>
                </c:pt>
              </c:strCache>
            </c:strRef>
          </c:tx>
          <c:invertIfNegative val="0"/>
          <c:cat>
            <c:strRef>
              <c:f>'SOC + mod v2'!$B$42:$B$48</c:f>
              <c:strCache>
                <c:ptCount val="7"/>
                <c:pt idx="0">
                  <c:v>BAS</c:v>
                </c:pt>
                <c:pt idx="1">
                  <c:v>1</c:v>
                </c:pt>
                <c:pt idx="2">
                  <c:v>3a</c:v>
                </c:pt>
                <c:pt idx="3">
                  <c:v>3b</c:v>
                </c:pt>
                <c:pt idx="4">
                  <c:v>4a</c:v>
                </c:pt>
                <c:pt idx="5">
                  <c:v>4b</c:v>
                </c:pt>
                <c:pt idx="6">
                  <c:v>5</c:v>
                </c:pt>
              </c:strCache>
            </c:strRef>
          </c:cat>
          <c:val>
            <c:numRef>
              <c:f>'SOC + mod v2'!$D$42:$D$48</c:f>
              <c:numCache>
                <c:formatCode>General</c:formatCode>
                <c:ptCount val="7"/>
                <c:pt idx="0">
                  <c:v>100</c:v>
                </c:pt>
                <c:pt idx="1">
                  <c:v>71</c:v>
                </c:pt>
                <c:pt idx="2">
                  <c:v>0</c:v>
                </c:pt>
                <c:pt idx="3">
                  <c:v>52</c:v>
                </c:pt>
                <c:pt idx="4">
                  <c:v>24</c:v>
                </c:pt>
                <c:pt idx="5">
                  <c:v>57</c:v>
                </c:pt>
                <c:pt idx="6">
                  <c:v>52</c:v>
                </c:pt>
              </c:numCache>
            </c:numRef>
          </c:val>
        </c:ser>
        <c:ser>
          <c:idx val="2"/>
          <c:order val="2"/>
          <c:tx>
            <c:strRef>
              <c:f>'SOC + mod v2'!$E$41</c:f>
              <c:strCache>
                <c:ptCount val="1"/>
                <c:pt idx="0">
                  <c:v>OO2.3</c:v>
                </c:pt>
              </c:strCache>
            </c:strRef>
          </c:tx>
          <c:spPr>
            <a:solidFill>
              <a:schemeClr val="tx1"/>
            </a:solidFill>
          </c:spPr>
          <c:invertIfNegative val="0"/>
          <c:cat>
            <c:strRef>
              <c:f>'SOC + mod v2'!$B$42:$B$48</c:f>
              <c:strCache>
                <c:ptCount val="7"/>
                <c:pt idx="0">
                  <c:v>BAS</c:v>
                </c:pt>
                <c:pt idx="1">
                  <c:v>1</c:v>
                </c:pt>
                <c:pt idx="2">
                  <c:v>3a</c:v>
                </c:pt>
                <c:pt idx="3">
                  <c:v>3b</c:v>
                </c:pt>
                <c:pt idx="4">
                  <c:v>4a</c:v>
                </c:pt>
                <c:pt idx="5">
                  <c:v>4b</c:v>
                </c:pt>
                <c:pt idx="6">
                  <c:v>5</c:v>
                </c:pt>
              </c:strCache>
            </c:strRef>
          </c:cat>
          <c:val>
            <c:numRef>
              <c:f>'SOC + mod v2'!$E$42:$E$48</c:f>
              <c:numCache>
                <c:formatCode>General</c:formatCode>
                <c:ptCount val="7"/>
                <c:pt idx="0">
                  <c:v>70</c:v>
                </c:pt>
                <c:pt idx="1">
                  <c:v>35.5</c:v>
                </c:pt>
                <c:pt idx="2">
                  <c:v>10</c:v>
                </c:pt>
                <c:pt idx="3">
                  <c:v>66</c:v>
                </c:pt>
                <c:pt idx="4">
                  <c:v>42</c:v>
                </c:pt>
                <c:pt idx="5">
                  <c:v>58.5</c:v>
                </c:pt>
                <c:pt idx="6">
                  <c:v>76</c:v>
                </c:pt>
              </c:numCache>
            </c:numRef>
          </c:val>
        </c:ser>
        <c:dLbls>
          <c:showLegendKey val="0"/>
          <c:showVal val="0"/>
          <c:showCatName val="0"/>
          <c:showSerName val="0"/>
          <c:showPercent val="0"/>
          <c:showBubbleSize val="0"/>
        </c:dLbls>
        <c:gapWidth val="150"/>
        <c:axId val="122974592"/>
        <c:axId val="122976128"/>
      </c:barChart>
      <c:catAx>
        <c:axId val="122974592"/>
        <c:scaling>
          <c:orientation val="minMax"/>
        </c:scaling>
        <c:delete val="0"/>
        <c:axPos val="b"/>
        <c:numFmt formatCode="General" sourceLinked="0"/>
        <c:majorTickMark val="out"/>
        <c:minorTickMark val="none"/>
        <c:tickLblPos val="nextTo"/>
        <c:crossAx val="122976128"/>
        <c:crosses val="autoZero"/>
        <c:auto val="1"/>
        <c:lblAlgn val="ctr"/>
        <c:lblOffset val="100"/>
        <c:noMultiLvlLbl val="0"/>
      </c:catAx>
      <c:valAx>
        <c:axId val="122976128"/>
        <c:scaling>
          <c:orientation val="minMax"/>
          <c:max val="100"/>
        </c:scaling>
        <c:delete val="0"/>
        <c:axPos val="l"/>
        <c:title>
          <c:tx>
            <c:rich>
              <a:bodyPr rot="-5400000" vert="horz"/>
              <a:lstStyle/>
              <a:p>
                <a:pPr>
                  <a:defRPr/>
                </a:pPr>
                <a:r>
                  <a:rPr lang="en-US"/>
                  <a:t>Option score (max=100)</a:t>
                </a:r>
              </a:p>
            </c:rich>
          </c:tx>
          <c:layout/>
          <c:overlay val="0"/>
        </c:title>
        <c:numFmt formatCode="General" sourceLinked="1"/>
        <c:majorTickMark val="out"/>
        <c:minorTickMark val="none"/>
        <c:tickLblPos val="nextTo"/>
        <c:crossAx val="122974592"/>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'SOC + mod'!$X$18</c:f>
              <c:strCache>
                <c:ptCount val="1"/>
                <c:pt idx="0">
                  <c:v>SO3</c:v>
                </c:pt>
              </c:strCache>
            </c:strRef>
          </c:tx>
          <c:invertIfNegative val="0"/>
          <c:dPt>
            <c:idx val="0"/>
            <c:invertIfNegative val="0"/>
            <c:bubble3D val="0"/>
            <c:spPr>
              <a:solidFill>
                <a:srgbClr val="9BBB59"/>
              </a:solidFill>
            </c:spPr>
          </c:dPt>
          <c:dPt>
            <c:idx val="1"/>
            <c:invertIfNegative val="0"/>
            <c:bubble3D val="0"/>
            <c:spPr>
              <a:solidFill>
                <a:srgbClr val="9BBB59">
                  <a:lumMod val="75000"/>
                </a:srgbClr>
              </a:solidFill>
            </c:spPr>
          </c:dPt>
          <c:dPt>
            <c:idx val="2"/>
            <c:invertIfNegative val="0"/>
            <c:bubble3D val="0"/>
            <c:spPr>
              <a:solidFill>
                <a:srgbClr val="F79646"/>
              </a:solidFill>
            </c:spPr>
          </c:dPt>
          <c:dPt>
            <c:idx val="3"/>
            <c:invertIfNegative val="0"/>
            <c:bubble3D val="0"/>
            <c:spPr>
              <a:solidFill>
                <a:srgbClr val="F79646">
                  <a:lumMod val="75000"/>
                </a:srgbClr>
              </a:solidFill>
            </c:spPr>
          </c:dPt>
          <c:dPt>
            <c:idx val="4"/>
            <c:invertIfNegative val="0"/>
            <c:bubble3D val="0"/>
            <c:spPr>
              <a:solidFill>
                <a:srgbClr val="F79646"/>
              </a:solidFill>
            </c:spPr>
          </c:dPt>
          <c:dPt>
            <c:idx val="5"/>
            <c:invertIfNegative val="0"/>
            <c:bubble3D val="0"/>
            <c:spPr>
              <a:solidFill>
                <a:srgbClr val="C0504D">
                  <a:lumMod val="60000"/>
                  <a:lumOff val="40000"/>
                </a:srgbClr>
              </a:solidFill>
            </c:spPr>
          </c:dPt>
          <c:dPt>
            <c:idx val="6"/>
            <c:invertIfNegative val="0"/>
            <c:bubble3D val="0"/>
            <c:spPr>
              <a:solidFill>
                <a:srgbClr val="C0504D">
                  <a:lumMod val="75000"/>
                </a:srgbClr>
              </a:solidFill>
            </c:spPr>
          </c:dPt>
          <c:dPt>
            <c:idx val="7"/>
            <c:invertIfNegative val="0"/>
            <c:bubble3D val="0"/>
            <c:spPr>
              <a:solidFill>
                <a:srgbClr val="C0504D">
                  <a:lumMod val="60000"/>
                  <a:lumOff val="40000"/>
                </a:srgbClr>
              </a:solidFill>
            </c:spPr>
          </c:dPt>
          <c:cat>
            <c:strRef>
              <c:f>'SOC + mod'!$W$19:$W$27</c:f>
              <c:strCache>
                <c:ptCount val="9"/>
                <c:pt idx="0">
                  <c:v>1</c:v>
                </c:pt>
                <c:pt idx="1">
                  <c:v>BAS</c:v>
                </c:pt>
                <c:pt idx="2">
                  <c:v>4b</c:v>
                </c:pt>
                <c:pt idx="3">
                  <c:v>4</c:v>
                </c:pt>
                <c:pt idx="4">
                  <c:v>4a</c:v>
                </c:pt>
                <c:pt idx="5">
                  <c:v>3a</c:v>
                </c:pt>
                <c:pt idx="6">
                  <c:v>3</c:v>
                </c:pt>
                <c:pt idx="7">
                  <c:v>3b</c:v>
                </c:pt>
                <c:pt idx="8">
                  <c:v>5</c:v>
                </c:pt>
              </c:strCache>
            </c:strRef>
          </c:cat>
          <c:val>
            <c:numRef>
              <c:f>'SOC + mod'!$X$19:$X$27</c:f>
              <c:numCache>
                <c:formatCode>General</c:formatCode>
                <c:ptCount val="9"/>
                <c:pt idx="0">
                  <c:v>7.3569620253164549</c:v>
                </c:pt>
                <c:pt idx="1">
                  <c:v>33.053367088607558</c:v>
                </c:pt>
                <c:pt idx="2">
                  <c:v>53.964497890295327</c:v>
                </c:pt>
                <c:pt idx="3">
                  <c:v>55.806607594936679</c:v>
                </c:pt>
                <c:pt idx="4">
                  <c:v>57.648717299578053</c:v>
                </c:pt>
                <c:pt idx="5">
                  <c:v>62.807136427566768</c:v>
                </c:pt>
                <c:pt idx="6">
                  <c:v>66.678085794655345</c:v>
                </c:pt>
                <c:pt idx="7">
                  <c:v>70.549035161744015</c:v>
                </c:pt>
                <c:pt idx="8">
                  <c:v>95.461603375527446</c:v>
                </c:pt>
              </c:numCache>
            </c:numRef>
          </c:val>
        </c:ser>
        <c:dLbls>
          <c:showLegendKey val="0"/>
          <c:showVal val="0"/>
          <c:showCatName val="0"/>
          <c:showSerName val="0"/>
          <c:showPercent val="0"/>
          <c:showBubbleSize val="0"/>
        </c:dLbls>
        <c:gapWidth val="150"/>
        <c:axId val="122819712"/>
        <c:axId val="122821248"/>
      </c:barChart>
      <c:catAx>
        <c:axId val="122819712"/>
        <c:scaling>
          <c:orientation val="minMax"/>
        </c:scaling>
        <c:delete val="0"/>
        <c:axPos val="l"/>
        <c:numFmt formatCode="General" sourceLinked="1"/>
        <c:majorTickMark val="out"/>
        <c:minorTickMark val="none"/>
        <c:tickLblPos val="nextTo"/>
        <c:crossAx val="122821248"/>
        <c:crosses val="autoZero"/>
        <c:auto val="1"/>
        <c:lblAlgn val="ctr"/>
        <c:lblOffset val="100"/>
        <c:noMultiLvlLbl val="0"/>
      </c:catAx>
      <c:valAx>
        <c:axId val="122821248"/>
        <c:scaling>
          <c:orientation val="minMax"/>
          <c:max val="100"/>
        </c:scaling>
        <c:delete val="0"/>
        <c:axPos val="b"/>
        <c:majorGridlines/>
        <c:numFmt formatCode="General" sourceLinked="1"/>
        <c:majorTickMark val="out"/>
        <c:minorTickMark val="none"/>
        <c:tickLblPos val="nextTo"/>
        <c:crossAx val="12281971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'SOC + mod'!$D$19</c:f>
              <c:strCache>
                <c:ptCount val="1"/>
                <c:pt idx="0">
                  <c:v>Expert judgement</c:v>
                </c:pt>
              </c:strCache>
            </c:strRef>
          </c:tx>
          <c:invertIfNegative val="0"/>
          <c:cat>
            <c:strRef>
              <c:f>'SOC + mod'!$B$20:$B$28</c:f>
              <c:strCache>
                <c:ptCount val="9"/>
                <c:pt idx="0">
                  <c:v>BAS</c:v>
                </c:pt>
                <c:pt idx="1">
                  <c:v>1</c:v>
                </c:pt>
                <c:pt idx="2">
                  <c:v>3</c:v>
                </c:pt>
                <c:pt idx="3">
                  <c:v>3a</c:v>
                </c:pt>
                <c:pt idx="4">
                  <c:v>3b</c:v>
                </c:pt>
                <c:pt idx="5">
                  <c:v>4</c:v>
                </c:pt>
                <c:pt idx="6">
                  <c:v>4a</c:v>
                </c:pt>
                <c:pt idx="7">
                  <c:v>4b</c:v>
                </c:pt>
                <c:pt idx="8">
                  <c:v>5</c:v>
                </c:pt>
              </c:strCache>
            </c:strRef>
          </c:cat>
          <c:val>
            <c:numRef>
              <c:f>'SOC + mod'!$D$20:$D$28</c:f>
              <c:numCache>
                <c:formatCode>General</c:formatCode>
                <c:ptCount val="9"/>
                <c:pt idx="0">
                  <c:v>45.45</c:v>
                </c:pt>
                <c:pt idx="1">
                  <c:v>18.18</c:v>
                </c:pt>
                <c:pt idx="2">
                  <c:v>31.82</c:v>
                </c:pt>
                <c:pt idx="3">
                  <c:v>0</c:v>
                </c:pt>
                <c:pt idx="4">
                  <c:v>63.64</c:v>
                </c:pt>
                <c:pt idx="5">
                  <c:v>100</c:v>
                </c:pt>
                <c:pt idx="6">
                  <c:v>100</c:v>
                </c:pt>
                <c:pt idx="7">
                  <c:v>100</c:v>
                </c:pt>
                <c:pt idx="8">
                  <c:v>81.819999999999993</c:v>
                </c:pt>
              </c:numCache>
            </c:numRef>
          </c:val>
        </c:ser>
        <c:ser>
          <c:idx val="2"/>
          <c:order val="1"/>
          <c:tx>
            <c:strRef>
              <c:f>'SOC + mod'!$E$19</c:f>
              <c:strCache>
                <c:ptCount val="1"/>
                <c:pt idx="0">
                  <c:v>Income in LFA</c:v>
                </c:pt>
              </c:strCache>
            </c:strRef>
          </c:tx>
          <c:invertIfNegative val="0"/>
          <c:cat>
            <c:strRef>
              <c:f>'SOC + mod'!$B$20:$B$28</c:f>
              <c:strCache>
                <c:ptCount val="9"/>
                <c:pt idx="0">
                  <c:v>BAS</c:v>
                </c:pt>
                <c:pt idx="1">
                  <c:v>1</c:v>
                </c:pt>
                <c:pt idx="2">
                  <c:v>3</c:v>
                </c:pt>
                <c:pt idx="3">
                  <c:v>3a</c:v>
                </c:pt>
                <c:pt idx="4">
                  <c:v>3b</c:v>
                </c:pt>
                <c:pt idx="5">
                  <c:v>4</c:v>
                </c:pt>
                <c:pt idx="6">
                  <c:v>4a</c:v>
                </c:pt>
                <c:pt idx="7">
                  <c:v>4b</c:v>
                </c:pt>
                <c:pt idx="8">
                  <c:v>5</c:v>
                </c:pt>
              </c:strCache>
            </c:strRef>
          </c:cat>
          <c:val>
            <c:numRef>
              <c:f>'SOC + mod'!$E$20:$E$28</c:f>
              <c:numCache>
                <c:formatCode>General</c:formatCode>
                <c:ptCount val="9"/>
                <c:pt idx="0">
                  <c:v>100</c:v>
                </c:pt>
                <c:pt idx="1">
                  <c:v>69</c:v>
                </c:pt>
                <c:pt idx="2">
                  <c:v>22.55</c:v>
                </c:pt>
                <c:pt idx="3">
                  <c:v>0</c:v>
                </c:pt>
                <c:pt idx="4">
                  <c:v>45.1</c:v>
                </c:pt>
                <c:pt idx="5">
                  <c:v>40.299999999999997</c:v>
                </c:pt>
                <c:pt idx="6">
                  <c:v>32.1</c:v>
                </c:pt>
                <c:pt idx="7">
                  <c:v>48.5</c:v>
                </c:pt>
                <c:pt idx="8">
                  <c:v>64.400000000000006</c:v>
                </c:pt>
              </c:numCache>
            </c:numRef>
          </c:val>
        </c:ser>
        <c:ser>
          <c:idx val="3"/>
          <c:order val="2"/>
          <c:tx>
            <c:strRef>
              <c:f>'SOC + mod'!$F$19</c:f>
              <c:strCache>
                <c:ptCount val="1"/>
                <c:pt idx="0">
                  <c:v>Income LFA/Non-LFA</c:v>
                </c:pt>
              </c:strCache>
            </c:strRef>
          </c:tx>
          <c:invertIfNegative val="0"/>
          <c:cat>
            <c:strRef>
              <c:f>'SOC + mod'!$B$20:$B$28</c:f>
              <c:strCache>
                <c:ptCount val="9"/>
                <c:pt idx="0">
                  <c:v>BAS</c:v>
                </c:pt>
                <c:pt idx="1">
                  <c:v>1</c:v>
                </c:pt>
                <c:pt idx="2">
                  <c:v>3</c:v>
                </c:pt>
                <c:pt idx="3">
                  <c:v>3a</c:v>
                </c:pt>
                <c:pt idx="4">
                  <c:v>3b</c:v>
                </c:pt>
                <c:pt idx="5">
                  <c:v>4</c:v>
                </c:pt>
                <c:pt idx="6">
                  <c:v>4a</c:v>
                </c:pt>
                <c:pt idx="7">
                  <c:v>4b</c:v>
                </c:pt>
                <c:pt idx="8">
                  <c:v>5</c:v>
                </c:pt>
              </c:strCache>
            </c:strRef>
          </c:cat>
          <c:val>
            <c:numRef>
              <c:f>'SOC + mod'!$F$20:$F$28</c:f>
              <c:numCache>
                <c:formatCode>General</c:formatCode>
                <c:ptCount val="9"/>
                <c:pt idx="0">
                  <c:v>20</c:v>
                </c:pt>
                <c:pt idx="1">
                  <c:v>0</c:v>
                </c:pt>
                <c:pt idx="2">
                  <c:v>50</c:v>
                </c:pt>
                <c:pt idx="3">
                  <c:v>60</c:v>
                </c:pt>
                <c:pt idx="4">
                  <c:v>40</c:v>
                </c:pt>
                <c:pt idx="5">
                  <c:v>70</c:v>
                </c:pt>
                <c:pt idx="6">
                  <c:v>80</c:v>
                </c:pt>
                <c:pt idx="7">
                  <c:v>60</c:v>
                </c:pt>
                <c:pt idx="8">
                  <c:v>100</c:v>
                </c:pt>
              </c:numCache>
            </c:numRef>
          </c:val>
        </c:ser>
        <c:ser>
          <c:idx val="0"/>
          <c:order val="3"/>
          <c:tx>
            <c:strRef>
              <c:f>'SOC + mod'!$C$19</c:f>
              <c:strCache>
                <c:ptCount val="1"/>
                <c:pt idx="0">
                  <c:v>OO3.1</c:v>
                </c:pt>
              </c:strCache>
            </c:strRef>
          </c:tx>
          <c:spPr>
            <a:solidFill>
              <a:schemeClr val="tx1"/>
            </a:solidFill>
          </c:spPr>
          <c:invertIfNegative val="0"/>
          <c:cat>
            <c:strRef>
              <c:f>'SOC + mod'!$B$20:$B$28</c:f>
              <c:strCache>
                <c:ptCount val="9"/>
                <c:pt idx="0">
                  <c:v>BAS</c:v>
                </c:pt>
                <c:pt idx="1">
                  <c:v>1</c:v>
                </c:pt>
                <c:pt idx="2">
                  <c:v>3</c:v>
                </c:pt>
                <c:pt idx="3">
                  <c:v>3a</c:v>
                </c:pt>
                <c:pt idx="4">
                  <c:v>3b</c:v>
                </c:pt>
                <c:pt idx="5">
                  <c:v>4</c:v>
                </c:pt>
                <c:pt idx="6">
                  <c:v>4a</c:v>
                </c:pt>
                <c:pt idx="7">
                  <c:v>4b</c:v>
                </c:pt>
                <c:pt idx="8">
                  <c:v>5</c:v>
                </c:pt>
              </c:strCache>
            </c:strRef>
          </c:cat>
          <c:val>
            <c:numRef>
              <c:f>'SOC + mod'!$C$20:$C$28</c:f>
              <c:numCache>
                <c:formatCode>General</c:formatCode>
                <c:ptCount val="9"/>
                <c:pt idx="0">
                  <c:v>55.15</c:v>
                </c:pt>
                <c:pt idx="1">
                  <c:v>29.06</c:v>
                </c:pt>
                <c:pt idx="2">
                  <c:v>34.790000000000013</c:v>
                </c:pt>
                <c:pt idx="3">
                  <c:v>20</c:v>
                </c:pt>
                <c:pt idx="4">
                  <c:v>49.580000000000013</c:v>
                </c:pt>
                <c:pt idx="5">
                  <c:v>70.099999999999994</c:v>
                </c:pt>
                <c:pt idx="6">
                  <c:v>70.7</c:v>
                </c:pt>
                <c:pt idx="7">
                  <c:v>69.5</c:v>
                </c:pt>
                <c:pt idx="8">
                  <c:v>82.073333333333295</c:v>
                </c:pt>
              </c:numCache>
            </c:numRef>
          </c:val>
        </c:ser>
        <c:dLbls>
          <c:showLegendKey val="0"/>
          <c:showVal val="0"/>
          <c:showCatName val="0"/>
          <c:showSerName val="0"/>
          <c:showPercent val="0"/>
          <c:showBubbleSize val="0"/>
        </c:dLbls>
        <c:gapWidth val="150"/>
        <c:axId val="125886848"/>
        <c:axId val="125888384"/>
      </c:barChart>
      <c:catAx>
        <c:axId val="125886848"/>
        <c:scaling>
          <c:orientation val="minMax"/>
        </c:scaling>
        <c:delete val="0"/>
        <c:axPos val="b"/>
        <c:numFmt formatCode="General" sourceLinked="0"/>
        <c:majorTickMark val="out"/>
        <c:minorTickMark val="none"/>
        <c:tickLblPos val="nextTo"/>
        <c:crossAx val="125888384"/>
        <c:crosses val="autoZero"/>
        <c:auto val="1"/>
        <c:lblAlgn val="ctr"/>
        <c:lblOffset val="100"/>
        <c:noMultiLvlLbl val="0"/>
      </c:catAx>
      <c:valAx>
        <c:axId val="125888384"/>
        <c:scaling>
          <c:orientation val="minMax"/>
          <c:max val="100"/>
        </c:scaling>
        <c:delete val="0"/>
        <c:axPos val="l"/>
        <c:majorGridlines/>
        <c:title>
          <c:tx>
            <c:rich>
              <a:bodyPr rot="-5400000" vert="horz"/>
              <a:lstStyle/>
              <a:p>
                <a:pPr>
                  <a:defRPr/>
                </a:pPr>
                <a:r>
                  <a:rPr lang="en-GB"/>
                  <a:t>Option score (max=100)</a:t>
                </a:r>
              </a:p>
            </c:rich>
          </c:tx>
          <c:layout/>
          <c:overlay val="0"/>
        </c:title>
        <c:numFmt formatCode="General" sourceLinked="1"/>
        <c:majorTickMark val="out"/>
        <c:minorTickMark val="none"/>
        <c:tickLblPos val="nextTo"/>
        <c:crossAx val="125886848"/>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'ENV + mod'!$AJ$18</c:f>
              <c:strCache>
                <c:ptCount val="1"/>
                <c:pt idx="0">
                  <c:v>Overall</c:v>
                </c:pt>
              </c:strCache>
            </c:strRef>
          </c:tx>
          <c:invertIfNegative val="0"/>
          <c:dPt>
            <c:idx val="0"/>
            <c:invertIfNegative val="0"/>
            <c:bubble3D val="0"/>
            <c:spPr>
              <a:solidFill>
                <a:srgbClr val="9BBB59"/>
              </a:solidFill>
            </c:spPr>
          </c:dPt>
          <c:dPt>
            <c:idx val="1"/>
            <c:invertIfNegative val="0"/>
            <c:bubble3D val="0"/>
            <c:spPr>
              <a:solidFill>
                <a:srgbClr val="9BBB59">
                  <a:lumMod val="75000"/>
                </a:srgbClr>
              </a:solidFill>
            </c:spPr>
          </c:dPt>
          <c:dPt>
            <c:idx val="2"/>
            <c:invertIfNegative val="0"/>
            <c:bubble3D val="0"/>
            <c:spPr>
              <a:solidFill>
                <a:srgbClr val="C0504D">
                  <a:lumMod val="60000"/>
                  <a:lumOff val="40000"/>
                </a:srgbClr>
              </a:solidFill>
            </c:spPr>
          </c:dPt>
          <c:dPt>
            <c:idx val="3"/>
            <c:invertIfNegative val="0"/>
            <c:bubble3D val="0"/>
            <c:spPr>
              <a:solidFill>
                <a:srgbClr val="F79646"/>
              </a:solidFill>
            </c:spPr>
          </c:dPt>
          <c:dPt>
            <c:idx val="4"/>
            <c:invertIfNegative val="0"/>
            <c:bubble3D val="0"/>
            <c:spPr>
              <a:solidFill>
                <a:srgbClr val="C0504D"/>
              </a:solidFill>
            </c:spPr>
          </c:dPt>
          <c:dPt>
            <c:idx val="5"/>
            <c:invertIfNegative val="0"/>
            <c:bubble3D val="0"/>
            <c:spPr>
              <a:solidFill>
                <a:srgbClr val="F79646">
                  <a:lumMod val="75000"/>
                </a:srgbClr>
              </a:solidFill>
            </c:spPr>
          </c:dPt>
          <c:dPt>
            <c:idx val="6"/>
            <c:invertIfNegative val="0"/>
            <c:bubble3D val="0"/>
            <c:spPr>
              <a:solidFill>
                <a:srgbClr val="4F81BD"/>
              </a:solidFill>
            </c:spPr>
          </c:dPt>
          <c:dPt>
            <c:idx val="7"/>
            <c:invertIfNegative val="0"/>
            <c:bubble3D val="0"/>
            <c:spPr>
              <a:solidFill>
                <a:srgbClr val="F79646"/>
              </a:solidFill>
            </c:spPr>
          </c:dPt>
          <c:dPt>
            <c:idx val="8"/>
            <c:invertIfNegative val="0"/>
            <c:bubble3D val="0"/>
            <c:spPr>
              <a:solidFill>
                <a:srgbClr val="C0504D">
                  <a:lumMod val="60000"/>
                  <a:lumOff val="40000"/>
                </a:srgbClr>
              </a:solidFill>
            </c:spPr>
          </c:dPt>
          <c:cat>
            <c:strRef>
              <c:f>'ENV + mod'!$AI$19:$AI$27</c:f>
              <c:strCache>
                <c:ptCount val="9"/>
                <c:pt idx="0">
                  <c:v>1</c:v>
                </c:pt>
                <c:pt idx="1">
                  <c:v>BAS</c:v>
                </c:pt>
                <c:pt idx="2">
                  <c:v>3b</c:v>
                </c:pt>
                <c:pt idx="3">
                  <c:v>4b</c:v>
                </c:pt>
                <c:pt idx="4">
                  <c:v>3</c:v>
                </c:pt>
                <c:pt idx="5">
                  <c:v>4</c:v>
                </c:pt>
                <c:pt idx="6">
                  <c:v>5</c:v>
                </c:pt>
                <c:pt idx="7">
                  <c:v>4a</c:v>
                </c:pt>
                <c:pt idx="8">
                  <c:v>3a</c:v>
                </c:pt>
              </c:strCache>
            </c:strRef>
          </c:cat>
          <c:val>
            <c:numRef>
              <c:f>'ENV + mod'!$AJ$19:$AJ$27</c:f>
              <c:numCache>
                <c:formatCode>General</c:formatCode>
                <c:ptCount val="9"/>
                <c:pt idx="0">
                  <c:v>1.52</c:v>
                </c:pt>
                <c:pt idx="1">
                  <c:v>19.72</c:v>
                </c:pt>
                <c:pt idx="2">
                  <c:v>41.92</c:v>
                </c:pt>
                <c:pt idx="3">
                  <c:v>50.21</c:v>
                </c:pt>
                <c:pt idx="4">
                  <c:v>65.184999999999974</c:v>
                </c:pt>
                <c:pt idx="5">
                  <c:v>67.084999999999994</c:v>
                </c:pt>
                <c:pt idx="6">
                  <c:v>78.61</c:v>
                </c:pt>
                <c:pt idx="7">
                  <c:v>83.96</c:v>
                </c:pt>
                <c:pt idx="8">
                  <c:v>88.45</c:v>
                </c:pt>
              </c:numCache>
            </c:numRef>
          </c:val>
        </c:ser>
        <c:dLbls>
          <c:showLegendKey val="0"/>
          <c:showVal val="0"/>
          <c:showCatName val="0"/>
          <c:showSerName val="0"/>
          <c:showPercent val="0"/>
          <c:showBubbleSize val="0"/>
        </c:dLbls>
        <c:gapWidth val="150"/>
        <c:axId val="125785984"/>
        <c:axId val="125787520"/>
      </c:barChart>
      <c:catAx>
        <c:axId val="125785984"/>
        <c:scaling>
          <c:orientation val="minMax"/>
        </c:scaling>
        <c:delete val="0"/>
        <c:axPos val="l"/>
        <c:numFmt formatCode="General" sourceLinked="1"/>
        <c:majorTickMark val="out"/>
        <c:minorTickMark val="none"/>
        <c:tickLblPos val="nextTo"/>
        <c:crossAx val="125787520"/>
        <c:crosses val="autoZero"/>
        <c:auto val="1"/>
        <c:lblAlgn val="ctr"/>
        <c:lblOffset val="100"/>
        <c:noMultiLvlLbl val="0"/>
      </c:catAx>
      <c:valAx>
        <c:axId val="125787520"/>
        <c:scaling>
          <c:orientation val="minMax"/>
          <c:max val="100"/>
        </c:scaling>
        <c:delete val="0"/>
        <c:axPos val="b"/>
        <c:majorGridlines/>
        <c:numFmt formatCode="General" sourceLinked="1"/>
        <c:majorTickMark val="out"/>
        <c:minorTickMark val="none"/>
        <c:tickLblPos val="nextTo"/>
        <c:crossAx val="12578598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'ENV + mod'!$AE$32</c:f>
              <c:strCache>
                <c:ptCount val="1"/>
                <c:pt idx="0">
                  <c:v>SO1</c:v>
                </c:pt>
              </c:strCache>
            </c:strRef>
          </c:tx>
          <c:invertIfNegative val="0"/>
          <c:dPt>
            <c:idx val="0"/>
            <c:invertIfNegative val="0"/>
            <c:bubble3D val="0"/>
            <c:spPr>
              <a:solidFill>
                <a:srgbClr val="9BBB59"/>
              </a:solidFill>
            </c:spPr>
          </c:dPt>
          <c:dPt>
            <c:idx val="1"/>
            <c:invertIfNegative val="0"/>
            <c:bubble3D val="0"/>
            <c:spPr>
              <a:solidFill>
                <a:srgbClr val="9BBB59">
                  <a:lumMod val="75000"/>
                </a:srgbClr>
              </a:solidFill>
            </c:spPr>
          </c:dPt>
          <c:dPt>
            <c:idx val="2"/>
            <c:invertIfNegative val="0"/>
            <c:bubble3D val="0"/>
            <c:spPr>
              <a:solidFill>
                <a:srgbClr val="C0504D">
                  <a:lumMod val="60000"/>
                  <a:lumOff val="40000"/>
                </a:srgbClr>
              </a:solidFill>
            </c:spPr>
          </c:dPt>
          <c:dPt>
            <c:idx val="3"/>
            <c:invertIfNegative val="0"/>
            <c:bubble3D val="0"/>
            <c:spPr>
              <a:solidFill>
                <a:srgbClr val="F79646"/>
              </a:solidFill>
            </c:spPr>
          </c:dPt>
          <c:dPt>
            <c:idx val="4"/>
            <c:invertIfNegative val="0"/>
            <c:bubble3D val="0"/>
            <c:spPr>
              <a:solidFill>
                <a:srgbClr val="C0504D"/>
              </a:solidFill>
            </c:spPr>
          </c:dPt>
          <c:dPt>
            <c:idx val="5"/>
            <c:invertIfNegative val="0"/>
            <c:bubble3D val="0"/>
            <c:spPr>
              <a:solidFill>
                <a:srgbClr val="F79646">
                  <a:lumMod val="75000"/>
                </a:srgbClr>
              </a:solidFill>
            </c:spPr>
          </c:dPt>
          <c:dPt>
            <c:idx val="6"/>
            <c:invertIfNegative val="0"/>
            <c:bubble3D val="0"/>
            <c:spPr>
              <a:solidFill>
                <a:srgbClr val="C0504D">
                  <a:lumMod val="60000"/>
                  <a:lumOff val="40000"/>
                </a:srgbClr>
              </a:solidFill>
            </c:spPr>
          </c:dPt>
          <c:dPt>
            <c:idx val="7"/>
            <c:invertIfNegative val="0"/>
            <c:bubble3D val="0"/>
            <c:spPr>
              <a:solidFill>
                <a:srgbClr val="4F81BD"/>
              </a:solidFill>
            </c:spPr>
          </c:dPt>
          <c:dPt>
            <c:idx val="8"/>
            <c:invertIfNegative val="0"/>
            <c:bubble3D val="0"/>
            <c:spPr>
              <a:solidFill>
                <a:srgbClr val="F79646"/>
              </a:solidFill>
            </c:spPr>
          </c:dPt>
          <c:cat>
            <c:strRef>
              <c:f>'ENV + mod'!$AD$33:$AD$41</c:f>
              <c:strCache>
                <c:ptCount val="9"/>
                <c:pt idx="0">
                  <c:v>1</c:v>
                </c:pt>
                <c:pt idx="1">
                  <c:v>BAS</c:v>
                </c:pt>
                <c:pt idx="2">
                  <c:v>3b</c:v>
                </c:pt>
                <c:pt idx="3">
                  <c:v>4b</c:v>
                </c:pt>
                <c:pt idx="4">
                  <c:v>3</c:v>
                </c:pt>
                <c:pt idx="5">
                  <c:v>4</c:v>
                </c:pt>
                <c:pt idx="6">
                  <c:v>3a</c:v>
                </c:pt>
                <c:pt idx="7">
                  <c:v>5</c:v>
                </c:pt>
                <c:pt idx="8">
                  <c:v>4a</c:v>
                </c:pt>
              </c:strCache>
            </c:strRef>
          </c:cat>
          <c:val>
            <c:numRef>
              <c:f>'ENV + mod'!$AE$33:$AE$41</c:f>
              <c:numCache>
                <c:formatCode>General</c:formatCode>
                <c:ptCount val="9"/>
                <c:pt idx="0">
                  <c:v>2.909919653893696</c:v>
                </c:pt>
                <c:pt idx="1">
                  <c:v>18.54353831891223</c:v>
                </c:pt>
                <c:pt idx="2">
                  <c:v>45.123232385661311</c:v>
                </c:pt>
                <c:pt idx="3">
                  <c:v>46.659304697156983</c:v>
                </c:pt>
                <c:pt idx="4">
                  <c:v>63.101345797280587</c:v>
                </c:pt>
                <c:pt idx="5">
                  <c:v>67.193655747836843</c:v>
                </c:pt>
                <c:pt idx="6">
                  <c:v>81.079459208899848</c:v>
                </c:pt>
                <c:pt idx="7">
                  <c:v>83.357092088998769</c:v>
                </c:pt>
                <c:pt idx="8">
                  <c:v>87.728006798516674</c:v>
                </c:pt>
              </c:numCache>
            </c:numRef>
          </c:val>
        </c:ser>
        <c:dLbls>
          <c:showLegendKey val="0"/>
          <c:showVal val="0"/>
          <c:showCatName val="0"/>
          <c:showSerName val="0"/>
          <c:showPercent val="0"/>
          <c:showBubbleSize val="0"/>
        </c:dLbls>
        <c:gapWidth val="150"/>
        <c:axId val="125818752"/>
        <c:axId val="125820288"/>
      </c:barChart>
      <c:catAx>
        <c:axId val="125818752"/>
        <c:scaling>
          <c:orientation val="minMax"/>
        </c:scaling>
        <c:delete val="0"/>
        <c:axPos val="l"/>
        <c:numFmt formatCode="General" sourceLinked="1"/>
        <c:majorTickMark val="out"/>
        <c:minorTickMark val="none"/>
        <c:tickLblPos val="nextTo"/>
        <c:crossAx val="125820288"/>
        <c:crosses val="autoZero"/>
        <c:auto val="1"/>
        <c:lblAlgn val="ctr"/>
        <c:lblOffset val="100"/>
        <c:noMultiLvlLbl val="0"/>
      </c:catAx>
      <c:valAx>
        <c:axId val="125820288"/>
        <c:scaling>
          <c:orientation val="minMax"/>
          <c:max val="100"/>
        </c:scaling>
        <c:delete val="0"/>
        <c:axPos val="b"/>
        <c:majorGridlines/>
        <c:numFmt formatCode="General" sourceLinked="1"/>
        <c:majorTickMark val="out"/>
        <c:minorTickMark val="none"/>
        <c:tickLblPos val="nextTo"/>
        <c:crossAx val="12581875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'ENV + mod'!$C$40</c:f>
              <c:strCache>
                <c:ptCount val="1"/>
                <c:pt idx="0">
                  <c:v>Expert judgement</c:v>
                </c:pt>
              </c:strCache>
            </c:strRef>
          </c:tx>
          <c:spPr>
            <a:solidFill>
              <a:schemeClr val="accent2"/>
            </a:solidFill>
          </c:spPr>
          <c:invertIfNegative val="0"/>
          <c:cat>
            <c:strRef>
              <c:f>'ENV + mod'!$B$41:$B$49</c:f>
              <c:strCache>
                <c:ptCount val="9"/>
                <c:pt idx="0">
                  <c:v>BAS</c:v>
                </c:pt>
                <c:pt idx="1">
                  <c:v>1</c:v>
                </c:pt>
                <c:pt idx="2">
                  <c:v>3</c:v>
                </c:pt>
                <c:pt idx="3">
                  <c:v>3a</c:v>
                </c:pt>
                <c:pt idx="4">
                  <c:v>3b</c:v>
                </c:pt>
                <c:pt idx="5">
                  <c:v>4</c:v>
                </c:pt>
                <c:pt idx="6">
                  <c:v>4a</c:v>
                </c:pt>
                <c:pt idx="7">
                  <c:v>4b</c:v>
                </c:pt>
                <c:pt idx="8">
                  <c:v>5</c:v>
                </c:pt>
              </c:strCache>
            </c:strRef>
          </c:cat>
          <c:val>
            <c:numRef>
              <c:f>'ENV + mod'!$C$41:$C$49</c:f>
              <c:numCache>
                <c:formatCode>General</c:formatCode>
                <c:ptCount val="9"/>
                <c:pt idx="0">
                  <c:v>20</c:v>
                </c:pt>
                <c:pt idx="1">
                  <c:v>0</c:v>
                </c:pt>
                <c:pt idx="2">
                  <c:v>80</c:v>
                </c:pt>
                <c:pt idx="3">
                  <c:v>100</c:v>
                </c:pt>
                <c:pt idx="4">
                  <c:v>60</c:v>
                </c:pt>
                <c:pt idx="5">
                  <c:v>60</c:v>
                </c:pt>
                <c:pt idx="6">
                  <c:v>80</c:v>
                </c:pt>
                <c:pt idx="7">
                  <c:v>40</c:v>
                </c:pt>
                <c:pt idx="8">
                  <c:v>80</c:v>
                </c:pt>
              </c:numCache>
            </c:numRef>
          </c:val>
        </c:ser>
        <c:ser>
          <c:idx val="0"/>
          <c:order val="1"/>
          <c:tx>
            <c:strRef>
              <c:f>'ENV + mod'!$D$40</c:f>
              <c:strCache>
                <c:ptCount val="1"/>
                <c:pt idx="0">
                  <c:v>Modelling</c:v>
                </c:pt>
              </c:strCache>
            </c:strRef>
          </c:tx>
          <c:spPr>
            <a:solidFill>
              <a:schemeClr val="accent3"/>
            </a:solidFill>
          </c:spPr>
          <c:invertIfNegative val="0"/>
          <c:cat>
            <c:strRef>
              <c:f>'ENV + mod'!$B$41:$B$49</c:f>
              <c:strCache>
                <c:ptCount val="9"/>
                <c:pt idx="0">
                  <c:v>BAS</c:v>
                </c:pt>
                <c:pt idx="1">
                  <c:v>1</c:v>
                </c:pt>
                <c:pt idx="2">
                  <c:v>3</c:v>
                </c:pt>
                <c:pt idx="3">
                  <c:v>3a</c:v>
                </c:pt>
                <c:pt idx="4">
                  <c:v>3b</c:v>
                </c:pt>
                <c:pt idx="5">
                  <c:v>4</c:v>
                </c:pt>
                <c:pt idx="6">
                  <c:v>4a</c:v>
                </c:pt>
                <c:pt idx="7">
                  <c:v>4b</c:v>
                </c:pt>
                <c:pt idx="8">
                  <c:v>5</c:v>
                </c:pt>
              </c:strCache>
            </c:strRef>
          </c:cat>
          <c:val>
            <c:numRef>
              <c:f>'ENV + mod'!$D$41:$D$49</c:f>
              <c:numCache>
                <c:formatCode>General</c:formatCode>
                <c:ptCount val="9"/>
                <c:pt idx="0">
                  <c:v>0</c:v>
                </c:pt>
                <c:pt idx="1">
                  <c:v>18.5</c:v>
                </c:pt>
                <c:pt idx="2">
                  <c:v>63.774999999999999</c:v>
                </c:pt>
                <c:pt idx="3">
                  <c:v>63.8</c:v>
                </c:pt>
                <c:pt idx="4">
                  <c:v>63.75</c:v>
                </c:pt>
                <c:pt idx="5">
                  <c:v>64.12</c:v>
                </c:pt>
                <c:pt idx="6">
                  <c:v>100</c:v>
                </c:pt>
                <c:pt idx="7">
                  <c:v>28.24</c:v>
                </c:pt>
                <c:pt idx="8">
                  <c:v>79.44</c:v>
                </c:pt>
              </c:numCache>
            </c:numRef>
          </c:val>
        </c:ser>
        <c:ser>
          <c:idx val="1"/>
          <c:order val="2"/>
          <c:tx>
            <c:strRef>
              <c:f>'ENV + mod'!$E$40</c:f>
              <c:strCache>
                <c:ptCount val="1"/>
                <c:pt idx="0">
                  <c:v>OO1.1</c:v>
                </c:pt>
              </c:strCache>
            </c:strRef>
          </c:tx>
          <c:spPr>
            <a:solidFill>
              <a:schemeClr val="tx1"/>
            </a:solidFill>
          </c:spPr>
          <c:invertIfNegative val="0"/>
          <c:cat>
            <c:strRef>
              <c:f>'ENV + mod'!$B$41:$B$49</c:f>
              <c:strCache>
                <c:ptCount val="9"/>
                <c:pt idx="0">
                  <c:v>BAS</c:v>
                </c:pt>
                <c:pt idx="1">
                  <c:v>1</c:v>
                </c:pt>
                <c:pt idx="2">
                  <c:v>3</c:v>
                </c:pt>
                <c:pt idx="3">
                  <c:v>3a</c:v>
                </c:pt>
                <c:pt idx="4">
                  <c:v>3b</c:v>
                </c:pt>
                <c:pt idx="5">
                  <c:v>4</c:v>
                </c:pt>
                <c:pt idx="6">
                  <c:v>4a</c:v>
                </c:pt>
                <c:pt idx="7">
                  <c:v>4b</c:v>
                </c:pt>
                <c:pt idx="8">
                  <c:v>5</c:v>
                </c:pt>
              </c:strCache>
            </c:strRef>
          </c:cat>
          <c:val>
            <c:numRef>
              <c:f>'ENV + mod'!$E$41:$E$49</c:f>
              <c:numCache>
                <c:formatCode>General</c:formatCode>
                <c:ptCount val="9"/>
                <c:pt idx="0">
                  <c:v>10</c:v>
                </c:pt>
                <c:pt idx="1">
                  <c:v>9.25</c:v>
                </c:pt>
                <c:pt idx="2">
                  <c:v>71.887500000000003</c:v>
                </c:pt>
                <c:pt idx="3">
                  <c:v>81.900000000000006</c:v>
                </c:pt>
                <c:pt idx="4">
                  <c:v>61.875</c:v>
                </c:pt>
                <c:pt idx="5">
                  <c:v>62.06</c:v>
                </c:pt>
                <c:pt idx="6">
                  <c:v>90</c:v>
                </c:pt>
                <c:pt idx="7">
                  <c:v>34.119999999999997</c:v>
                </c:pt>
                <c:pt idx="8">
                  <c:v>79.72</c:v>
                </c:pt>
              </c:numCache>
            </c:numRef>
          </c:val>
        </c:ser>
        <c:dLbls>
          <c:showLegendKey val="0"/>
          <c:showVal val="0"/>
          <c:showCatName val="0"/>
          <c:showSerName val="0"/>
          <c:showPercent val="0"/>
          <c:showBubbleSize val="0"/>
        </c:dLbls>
        <c:gapWidth val="150"/>
        <c:axId val="156586368"/>
        <c:axId val="156587904"/>
      </c:barChart>
      <c:catAx>
        <c:axId val="156586368"/>
        <c:scaling>
          <c:orientation val="minMax"/>
        </c:scaling>
        <c:delete val="0"/>
        <c:axPos val="b"/>
        <c:numFmt formatCode="General" sourceLinked="0"/>
        <c:majorTickMark val="out"/>
        <c:minorTickMark val="none"/>
        <c:tickLblPos val="nextTo"/>
        <c:crossAx val="156587904"/>
        <c:crosses val="autoZero"/>
        <c:auto val="1"/>
        <c:lblAlgn val="ctr"/>
        <c:lblOffset val="100"/>
        <c:noMultiLvlLbl val="0"/>
      </c:catAx>
      <c:valAx>
        <c:axId val="156587904"/>
        <c:scaling>
          <c:orientation val="minMax"/>
          <c:max val="100"/>
        </c:scaling>
        <c:delete val="0"/>
        <c:axPos val="l"/>
        <c:title>
          <c:tx>
            <c:rich>
              <a:bodyPr rot="-5400000" vert="horz"/>
              <a:lstStyle/>
              <a:p>
                <a:pPr>
                  <a:defRPr/>
                </a:pPr>
                <a:r>
                  <a:rPr lang="en-US"/>
                  <a:t>Option score (max=100)</a:t>
                </a:r>
              </a:p>
            </c:rich>
          </c:tx>
          <c:layout/>
          <c:overlay val="0"/>
        </c:title>
        <c:numFmt formatCode="General" sourceLinked="1"/>
        <c:majorTickMark val="out"/>
        <c:minorTickMark val="none"/>
        <c:tickLblPos val="nextTo"/>
        <c:crossAx val="156586368"/>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'ENV + mod'!$AE$46</c:f>
              <c:strCache>
                <c:ptCount val="1"/>
                <c:pt idx="0">
                  <c:v>SO2</c:v>
                </c:pt>
              </c:strCache>
            </c:strRef>
          </c:tx>
          <c:invertIfNegative val="0"/>
          <c:dPt>
            <c:idx val="0"/>
            <c:invertIfNegative val="0"/>
            <c:bubble3D val="0"/>
            <c:spPr>
              <a:solidFill>
                <a:srgbClr val="9BBB59"/>
              </a:solidFill>
            </c:spPr>
          </c:dPt>
          <c:dPt>
            <c:idx val="1"/>
            <c:invertIfNegative val="0"/>
            <c:bubble3D val="0"/>
            <c:spPr>
              <a:solidFill>
                <a:srgbClr val="9BBB59">
                  <a:lumMod val="75000"/>
                </a:srgbClr>
              </a:solidFill>
            </c:spPr>
          </c:dPt>
          <c:dPt>
            <c:idx val="2"/>
            <c:invertIfNegative val="0"/>
            <c:bubble3D val="0"/>
            <c:spPr>
              <a:solidFill>
                <a:srgbClr val="C0504D">
                  <a:lumMod val="60000"/>
                  <a:lumOff val="40000"/>
                </a:srgbClr>
              </a:solidFill>
            </c:spPr>
          </c:dPt>
          <c:dPt>
            <c:idx val="3"/>
            <c:invertIfNegative val="0"/>
            <c:bubble3D val="0"/>
            <c:spPr>
              <a:solidFill>
                <a:srgbClr val="F79646"/>
              </a:solidFill>
            </c:spPr>
          </c:dPt>
          <c:dPt>
            <c:idx val="4"/>
            <c:invertIfNegative val="0"/>
            <c:bubble3D val="0"/>
            <c:spPr>
              <a:solidFill>
                <a:srgbClr val="C0504D"/>
              </a:solidFill>
            </c:spPr>
          </c:dPt>
          <c:dPt>
            <c:idx val="5"/>
            <c:invertIfNegative val="0"/>
            <c:bubble3D val="0"/>
            <c:spPr>
              <a:solidFill>
                <a:srgbClr val="F79646">
                  <a:lumMod val="75000"/>
                </a:srgbClr>
              </a:solidFill>
            </c:spPr>
          </c:dPt>
          <c:dPt>
            <c:idx val="6"/>
            <c:invertIfNegative val="0"/>
            <c:bubble3D val="0"/>
            <c:spPr>
              <a:solidFill>
                <a:srgbClr val="4F81BD"/>
              </a:solidFill>
            </c:spPr>
          </c:dPt>
          <c:dPt>
            <c:idx val="7"/>
            <c:invertIfNegative val="0"/>
            <c:bubble3D val="0"/>
            <c:spPr>
              <a:solidFill>
                <a:srgbClr val="F79646"/>
              </a:solidFill>
            </c:spPr>
          </c:dPt>
          <c:dPt>
            <c:idx val="8"/>
            <c:invertIfNegative val="0"/>
            <c:bubble3D val="0"/>
            <c:spPr>
              <a:solidFill>
                <a:srgbClr val="C0504D">
                  <a:lumMod val="60000"/>
                  <a:lumOff val="40000"/>
                </a:srgbClr>
              </a:solidFill>
            </c:spPr>
          </c:dPt>
          <c:cat>
            <c:strRef>
              <c:f>'ENV + mod'!$AD$47:$AD$55</c:f>
              <c:strCache>
                <c:ptCount val="9"/>
                <c:pt idx="0">
                  <c:v>1</c:v>
                </c:pt>
                <c:pt idx="1">
                  <c:v>BAS</c:v>
                </c:pt>
                <c:pt idx="2">
                  <c:v>3b</c:v>
                </c:pt>
                <c:pt idx="3">
                  <c:v>4b</c:v>
                </c:pt>
                <c:pt idx="4">
                  <c:v>3</c:v>
                </c:pt>
                <c:pt idx="5">
                  <c:v>4</c:v>
                </c:pt>
                <c:pt idx="6">
                  <c:v>5</c:v>
                </c:pt>
                <c:pt idx="7">
                  <c:v>4a</c:v>
                </c:pt>
                <c:pt idx="8">
                  <c:v>3a</c:v>
                </c:pt>
              </c:strCache>
            </c:strRef>
          </c:cat>
          <c:val>
            <c:numRef>
              <c:f>'ENV + mod'!$AE$47:$AE$55</c:f>
              <c:numCache>
                <c:formatCode>General</c:formatCode>
                <c:ptCount val="9"/>
                <c:pt idx="0">
                  <c:v>1.346466183009595</c:v>
                </c:pt>
                <c:pt idx="1">
                  <c:v>18.65045167329745</c:v>
                </c:pt>
                <c:pt idx="2">
                  <c:v>41.516538731570328</c:v>
                </c:pt>
                <c:pt idx="3">
                  <c:v>50.772803650830802</c:v>
                </c:pt>
                <c:pt idx="4">
                  <c:v>64.403584132927676</c:v>
                </c:pt>
                <c:pt idx="5">
                  <c:v>68.477944067399946</c:v>
                </c:pt>
                <c:pt idx="6">
                  <c:v>75.013295108822831</c:v>
                </c:pt>
                <c:pt idx="7">
                  <c:v>86.183084483969111</c:v>
                </c:pt>
                <c:pt idx="8">
                  <c:v>87.290629534285074</c:v>
                </c:pt>
              </c:numCache>
            </c:numRef>
          </c:val>
        </c:ser>
        <c:dLbls>
          <c:showLegendKey val="0"/>
          <c:showVal val="0"/>
          <c:showCatName val="0"/>
          <c:showSerName val="0"/>
          <c:showPercent val="0"/>
          <c:showBubbleSize val="0"/>
        </c:dLbls>
        <c:gapWidth val="150"/>
        <c:axId val="156706304"/>
        <c:axId val="156707840"/>
      </c:barChart>
      <c:catAx>
        <c:axId val="156706304"/>
        <c:scaling>
          <c:orientation val="minMax"/>
        </c:scaling>
        <c:delete val="0"/>
        <c:axPos val="l"/>
        <c:numFmt formatCode="General" sourceLinked="1"/>
        <c:majorTickMark val="out"/>
        <c:minorTickMark val="none"/>
        <c:tickLblPos val="nextTo"/>
        <c:crossAx val="156707840"/>
        <c:crosses val="autoZero"/>
        <c:auto val="1"/>
        <c:lblAlgn val="ctr"/>
        <c:lblOffset val="100"/>
        <c:noMultiLvlLbl val="0"/>
      </c:catAx>
      <c:valAx>
        <c:axId val="156707840"/>
        <c:scaling>
          <c:orientation val="minMax"/>
          <c:max val="100"/>
        </c:scaling>
        <c:delete val="0"/>
        <c:axPos val="b"/>
        <c:majorGridlines/>
        <c:numFmt formatCode="General" sourceLinked="1"/>
        <c:majorTickMark val="out"/>
        <c:minorTickMark val="none"/>
        <c:tickLblPos val="nextTo"/>
        <c:crossAx val="1567063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'DP distribution'!$AC$41</c:f>
              <c:strCache>
                <c:ptCount val="1"/>
                <c:pt idx="0">
                  <c:v>3a</c:v>
                </c:pt>
              </c:strCache>
            </c:strRef>
          </c:tx>
          <c:spPr>
            <a:solidFill>
              <a:srgbClr val="FF6600"/>
            </a:solidFill>
          </c:spPr>
          <c:invertIfNegative val="0"/>
          <c:cat>
            <c:strRef>
              <c:f>'Support distribution'!$Q$50:$Q$54</c:f>
              <c:strCache>
                <c:ptCount val="5"/>
                <c:pt idx="0">
                  <c:v>&lt; 5</c:v>
                </c:pt>
                <c:pt idx="1">
                  <c:v>5 - 30</c:v>
                </c:pt>
                <c:pt idx="2">
                  <c:v>30 - 150</c:v>
                </c:pt>
                <c:pt idx="3">
                  <c:v>150 - 500</c:v>
                </c:pt>
                <c:pt idx="4">
                  <c:v>&gt; 500</c:v>
                </c:pt>
              </c:strCache>
            </c:strRef>
          </c:cat>
          <c:val>
            <c:numRef>
              <c:f>'Support distribution'!$Y$50:$Y$54</c:f>
              <c:numCache>
                <c:formatCode>0%</c:formatCode>
                <c:ptCount val="5"/>
                <c:pt idx="0">
                  <c:v>-0.32676029473740498</c:v>
                </c:pt>
                <c:pt idx="1">
                  <c:v>-0.15609119593645199</c:v>
                </c:pt>
                <c:pt idx="2">
                  <c:v>-9.4876730294121206E-2</c:v>
                </c:pt>
                <c:pt idx="3">
                  <c:v>-1.28568218951085E-2</c:v>
                </c:pt>
                <c:pt idx="4">
                  <c:v>-1.93195324162183E-2</c:v>
                </c:pt>
              </c:numCache>
            </c:numRef>
          </c:val>
        </c:ser>
        <c:ser>
          <c:idx val="1"/>
          <c:order val="1"/>
          <c:tx>
            <c:strRef>
              <c:f>'DP distribution'!$Y$50</c:f>
              <c:strCache>
                <c:ptCount val="1"/>
                <c:pt idx="0">
                  <c:v>3b</c:v>
                </c:pt>
              </c:strCache>
            </c:strRef>
          </c:tx>
          <c:spPr>
            <a:solidFill>
              <a:srgbClr val="FFC000"/>
            </a:solidFill>
          </c:spPr>
          <c:invertIfNegative val="0"/>
          <c:cat>
            <c:strRef>
              <c:f>'Support distribution'!$Q$50:$Q$54</c:f>
              <c:strCache>
                <c:ptCount val="5"/>
                <c:pt idx="0">
                  <c:v>&lt; 5</c:v>
                </c:pt>
                <c:pt idx="1">
                  <c:v>5 - 30</c:v>
                </c:pt>
                <c:pt idx="2">
                  <c:v>30 - 150</c:v>
                </c:pt>
                <c:pt idx="3">
                  <c:v>150 - 500</c:v>
                </c:pt>
                <c:pt idx="4">
                  <c:v>&gt; 500</c:v>
                </c:pt>
              </c:strCache>
            </c:strRef>
          </c:cat>
          <c:val>
            <c:numRef>
              <c:f>'Support distribution'!$Z$50:$Z$54</c:f>
              <c:numCache>
                <c:formatCode>0%</c:formatCode>
                <c:ptCount val="5"/>
                <c:pt idx="0">
                  <c:v>-0.28089219500406198</c:v>
                </c:pt>
                <c:pt idx="1">
                  <c:v>-2.60892715675114E-2</c:v>
                </c:pt>
                <c:pt idx="2">
                  <c:v>-3.05975220096384E-2</c:v>
                </c:pt>
                <c:pt idx="3">
                  <c:v>-5.7868368850226497E-2</c:v>
                </c:pt>
                <c:pt idx="4">
                  <c:v>-9.4206535568207295E-2</c:v>
                </c:pt>
              </c:numCache>
            </c:numRef>
          </c:val>
        </c:ser>
        <c:ser>
          <c:idx val="2"/>
          <c:order val="2"/>
          <c:tx>
            <c:strRef>
              <c:f>'DP distribution'!$Z$41</c:f>
              <c:strCache>
                <c:ptCount val="1"/>
                <c:pt idx="0">
                  <c:v>4a</c:v>
                </c:pt>
              </c:strCache>
            </c:strRef>
          </c:tx>
          <c:spPr>
            <a:solidFill>
              <a:srgbClr val="0070C0"/>
            </a:solidFill>
          </c:spPr>
          <c:invertIfNegative val="0"/>
          <c:cat>
            <c:strRef>
              <c:f>'Support distribution'!$Q$50:$Q$54</c:f>
              <c:strCache>
                <c:ptCount val="5"/>
                <c:pt idx="0">
                  <c:v>&lt; 5</c:v>
                </c:pt>
                <c:pt idx="1">
                  <c:v>5 - 30</c:v>
                </c:pt>
                <c:pt idx="2">
                  <c:v>30 - 150</c:v>
                </c:pt>
                <c:pt idx="3">
                  <c:v>150 - 500</c:v>
                </c:pt>
                <c:pt idx="4">
                  <c:v>&gt; 500</c:v>
                </c:pt>
              </c:strCache>
            </c:strRef>
          </c:cat>
          <c:val>
            <c:numRef>
              <c:f>'Support distribution'!$AA$50:$AA$54</c:f>
              <c:numCache>
                <c:formatCode>0%</c:formatCode>
                <c:ptCount val="5"/>
                <c:pt idx="0">
                  <c:v>-0.25023650361711097</c:v>
                </c:pt>
                <c:pt idx="1">
                  <c:v>-8.7232012956810601E-2</c:v>
                </c:pt>
                <c:pt idx="2">
                  <c:v>-7.4634917201416E-3</c:v>
                </c:pt>
                <c:pt idx="3">
                  <c:v>7.4180305219531603E-2</c:v>
                </c:pt>
                <c:pt idx="4">
                  <c:v>2.6379779365162798E-2</c:v>
                </c:pt>
              </c:numCache>
            </c:numRef>
          </c:val>
        </c:ser>
        <c:ser>
          <c:idx val="3"/>
          <c:order val="3"/>
          <c:tx>
            <c:strRef>
              <c:f>'DP distribution'!$AA$41</c:f>
              <c:strCache>
                <c:ptCount val="1"/>
                <c:pt idx="0">
                  <c:v>4b</c:v>
                </c:pt>
              </c:strCache>
            </c:strRef>
          </c:tx>
          <c:spPr>
            <a:solidFill>
              <a:srgbClr val="00B0F0"/>
            </a:solidFill>
          </c:spPr>
          <c:invertIfNegative val="0"/>
          <c:cat>
            <c:strRef>
              <c:f>'Support distribution'!$Q$50:$Q$54</c:f>
              <c:strCache>
                <c:ptCount val="5"/>
                <c:pt idx="0">
                  <c:v>&lt; 5</c:v>
                </c:pt>
                <c:pt idx="1">
                  <c:v>5 - 30</c:v>
                </c:pt>
                <c:pt idx="2">
                  <c:v>30 - 150</c:v>
                </c:pt>
                <c:pt idx="3">
                  <c:v>150 - 500</c:v>
                </c:pt>
                <c:pt idx="4">
                  <c:v>&gt; 500</c:v>
                </c:pt>
              </c:strCache>
            </c:strRef>
          </c:cat>
          <c:val>
            <c:numRef>
              <c:f>'Support distribution'!$AB$50:$AB$54</c:f>
              <c:numCache>
                <c:formatCode>0%</c:formatCode>
                <c:ptCount val="5"/>
                <c:pt idx="0">
                  <c:v>-0.25015050821523699</c:v>
                </c:pt>
                <c:pt idx="1">
                  <c:v>-8.7355385103653704E-2</c:v>
                </c:pt>
                <c:pt idx="2">
                  <c:v>-7.4455866816988099E-3</c:v>
                </c:pt>
                <c:pt idx="3">
                  <c:v>7.3995363052288293E-2</c:v>
                </c:pt>
                <c:pt idx="4">
                  <c:v>2.6249058320130199E-2</c:v>
                </c:pt>
              </c:numCache>
            </c:numRef>
          </c:val>
        </c:ser>
        <c:ser>
          <c:idx val="4"/>
          <c:order val="4"/>
          <c:tx>
            <c:strRef>
              <c:f>'DP distribution'!$AB$41</c:f>
              <c:strCache>
                <c:ptCount val="1"/>
                <c:pt idx="0">
                  <c:v>5</c:v>
                </c:pt>
              </c:strCache>
            </c:strRef>
          </c:tx>
          <c:spPr>
            <a:solidFill>
              <a:srgbClr val="FF99FF"/>
            </a:solidFill>
          </c:spPr>
          <c:invertIfNegative val="0"/>
          <c:cat>
            <c:strRef>
              <c:f>'Support distribution'!$Q$50:$Q$54</c:f>
              <c:strCache>
                <c:ptCount val="5"/>
                <c:pt idx="0">
                  <c:v>&lt; 5</c:v>
                </c:pt>
                <c:pt idx="1">
                  <c:v>5 - 30</c:v>
                </c:pt>
                <c:pt idx="2">
                  <c:v>30 - 150</c:v>
                </c:pt>
                <c:pt idx="3">
                  <c:v>150 - 500</c:v>
                </c:pt>
                <c:pt idx="4">
                  <c:v>&gt; 500</c:v>
                </c:pt>
              </c:strCache>
            </c:strRef>
          </c:cat>
          <c:val>
            <c:numRef>
              <c:f>'Support distribution'!$AC$50:$AC$54</c:f>
              <c:numCache>
                <c:formatCode>0%</c:formatCode>
                <c:ptCount val="5"/>
                <c:pt idx="0">
                  <c:v>-3.86954799446051E-2</c:v>
                </c:pt>
                <c:pt idx="1">
                  <c:v>8.2694790826220499E-2</c:v>
                </c:pt>
                <c:pt idx="2">
                  <c:v>4.7717305925942799E-4</c:v>
                </c:pt>
                <c:pt idx="3">
                  <c:v>-0.105388518624421</c:v>
                </c:pt>
                <c:pt idx="4">
                  <c:v>-0.27139502225258599</c:v>
                </c:pt>
              </c:numCache>
            </c:numRef>
          </c:val>
        </c:ser>
        <c:dLbls>
          <c:showLegendKey val="0"/>
          <c:showVal val="0"/>
          <c:showCatName val="0"/>
          <c:showSerName val="0"/>
          <c:showPercent val="0"/>
          <c:showBubbleSize val="0"/>
        </c:dLbls>
        <c:gapWidth val="150"/>
        <c:axId val="136139136"/>
        <c:axId val="136140672"/>
      </c:barChart>
      <c:catAx>
        <c:axId val="136139136"/>
        <c:scaling>
          <c:orientation val="minMax"/>
        </c:scaling>
        <c:delete val="0"/>
        <c:axPos val="b"/>
        <c:majorTickMark val="out"/>
        <c:minorTickMark val="none"/>
        <c:tickLblPos val="low"/>
        <c:crossAx val="136140672"/>
        <c:crosses val="autoZero"/>
        <c:auto val="1"/>
        <c:lblAlgn val="ctr"/>
        <c:lblOffset val="100"/>
        <c:noMultiLvlLbl val="0"/>
      </c:catAx>
      <c:valAx>
        <c:axId val="136140672"/>
        <c:scaling>
          <c:orientation val="minMax"/>
          <c:max val="0.1"/>
        </c:scaling>
        <c:delete val="0"/>
        <c:axPos val="l"/>
        <c:majorGridlines/>
        <c:numFmt formatCode="0%" sourceLinked="1"/>
        <c:majorTickMark val="out"/>
        <c:minorTickMark val="none"/>
        <c:tickLblPos val="nextTo"/>
        <c:crossAx val="136139136"/>
        <c:crosses val="autoZero"/>
        <c:crossBetween val="between"/>
        <c:majorUnit val="0.1"/>
      </c:valAx>
    </c:plotArea>
    <c:legend>
      <c:legendPos val="r"/>
      <c:layout/>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'ENV + mod'!$D$16</c:f>
              <c:strCache>
                <c:ptCount val="1"/>
                <c:pt idx="0">
                  <c:v>Expert judgement</c:v>
                </c:pt>
              </c:strCache>
            </c:strRef>
          </c:tx>
          <c:invertIfNegative val="0"/>
          <c:cat>
            <c:strRef>
              <c:f>'ENV + mod'!$B$17:$B$25</c:f>
              <c:strCache>
                <c:ptCount val="9"/>
                <c:pt idx="0">
                  <c:v>BAS</c:v>
                </c:pt>
                <c:pt idx="1">
                  <c:v>1</c:v>
                </c:pt>
                <c:pt idx="2">
                  <c:v>3</c:v>
                </c:pt>
                <c:pt idx="3">
                  <c:v>3a</c:v>
                </c:pt>
                <c:pt idx="4">
                  <c:v>3b</c:v>
                </c:pt>
                <c:pt idx="5">
                  <c:v>4</c:v>
                </c:pt>
                <c:pt idx="6">
                  <c:v>4a</c:v>
                </c:pt>
                <c:pt idx="7">
                  <c:v>4b</c:v>
                </c:pt>
                <c:pt idx="8">
                  <c:v>5</c:v>
                </c:pt>
              </c:strCache>
            </c:strRef>
          </c:cat>
          <c:val>
            <c:numRef>
              <c:f>'ENV + mod'!$D$17:$D$25</c:f>
              <c:numCache>
                <c:formatCode>General</c:formatCode>
                <c:ptCount val="9"/>
                <c:pt idx="0">
                  <c:v>23.08</c:v>
                </c:pt>
                <c:pt idx="1">
                  <c:v>0</c:v>
                </c:pt>
                <c:pt idx="2">
                  <c:v>69.23</c:v>
                </c:pt>
                <c:pt idx="3">
                  <c:v>100</c:v>
                </c:pt>
                <c:pt idx="4">
                  <c:v>38.46</c:v>
                </c:pt>
                <c:pt idx="5">
                  <c:v>69.235000000000014</c:v>
                </c:pt>
                <c:pt idx="6">
                  <c:v>84.62</c:v>
                </c:pt>
                <c:pt idx="7">
                  <c:v>53.85</c:v>
                </c:pt>
                <c:pt idx="8">
                  <c:v>69.23</c:v>
                </c:pt>
              </c:numCache>
            </c:numRef>
          </c:val>
        </c:ser>
        <c:ser>
          <c:idx val="2"/>
          <c:order val="1"/>
          <c:tx>
            <c:strRef>
              <c:f>'ENV + mod'!$E$16</c:f>
              <c:strCache>
                <c:ptCount val="1"/>
                <c:pt idx="0">
                  <c:v>Modelling</c:v>
                </c:pt>
              </c:strCache>
            </c:strRef>
          </c:tx>
          <c:invertIfNegative val="0"/>
          <c:cat>
            <c:strRef>
              <c:f>'ENV + mod'!$B$17:$B$25</c:f>
              <c:strCache>
                <c:ptCount val="9"/>
                <c:pt idx="0">
                  <c:v>BAS</c:v>
                </c:pt>
                <c:pt idx="1">
                  <c:v>1</c:v>
                </c:pt>
                <c:pt idx="2">
                  <c:v>3</c:v>
                </c:pt>
                <c:pt idx="3">
                  <c:v>3a</c:v>
                </c:pt>
                <c:pt idx="4">
                  <c:v>3b</c:v>
                </c:pt>
                <c:pt idx="5">
                  <c:v>4</c:v>
                </c:pt>
                <c:pt idx="6">
                  <c:v>4a</c:v>
                </c:pt>
                <c:pt idx="7">
                  <c:v>4b</c:v>
                </c:pt>
                <c:pt idx="8">
                  <c:v>5</c:v>
                </c:pt>
              </c:strCache>
            </c:strRef>
          </c:cat>
          <c:val>
            <c:numRef>
              <c:f>'ENV + mod'!$E$17:$E$25</c:f>
              <c:numCache>
                <c:formatCode>General</c:formatCode>
                <c:ptCount val="9"/>
                <c:pt idx="0">
                  <c:v>0</c:v>
                </c:pt>
                <c:pt idx="1">
                  <c:v>17.63</c:v>
                </c:pt>
                <c:pt idx="2">
                  <c:v>78.674999999999983</c:v>
                </c:pt>
                <c:pt idx="3">
                  <c:v>100</c:v>
                </c:pt>
                <c:pt idx="4">
                  <c:v>57.35</c:v>
                </c:pt>
                <c:pt idx="5">
                  <c:v>49.265000000000001</c:v>
                </c:pt>
                <c:pt idx="6">
                  <c:v>69.12</c:v>
                </c:pt>
                <c:pt idx="7">
                  <c:v>29.41</c:v>
                </c:pt>
                <c:pt idx="8">
                  <c:v>47.06</c:v>
                </c:pt>
              </c:numCache>
            </c:numRef>
          </c:val>
        </c:ser>
        <c:ser>
          <c:idx val="0"/>
          <c:order val="2"/>
          <c:tx>
            <c:strRef>
              <c:f>'ENV + mod'!$C$16</c:f>
              <c:strCache>
                <c:ptCount val="1"/>
                <c:pt idx="0">
                  <c:v>OO2.2</c:v>
                </c:pt>
              </c:strCache>
            </c:strRef>
          </c:tx>
          <c:spPr>
            <a:solidFill>
              <a:schemeClr val="tx1"/>
            </a:solidFill>
          </c:spPr>
          <c:invertIfNegative val="0"/>
          <c:cat>
            <c:strRef>
              <c:f>'ENV + mod'!$B$17:$B$25</c:f>
              <c:strCache>
                <c:ptCount val="9"/>
                <c:pt idx="0">
                  <c:v>BAS</c:v>
                </c:pt>
                <c:pt idx="1">
                  <c:v>1</c:v>
                </c:pt>
                <c:pt idx="2">
                  <c:v>3</c:v>
                </c:pt>
                <c:pt idx="3">
                  <c:v>3a</c:v>
                </c:pt>
                <c:pt idx="4">
                  <c:v>3b</c:v>
                </c:pt>
                <c:pt idx="5">
                  <c:v>4</c:v>
                </c:pt>
                <c:pt idx="6">
                  <c:v>4a</c:v>
                </c:pt>
                <c:pt idx="7">
                  <c:v>4b</c:v>
                </c:pt>
                <c:pt idx="8">
                  <c:v>5</c:v>
                </c:pt>
              </c:strCache>
            </c:strRef>
          </c:cat>
          <c:val>
            <c:numRef>
              <c:f>'ENV + mod'!$C$17:$C$25</c:f>
              <c:numCache>
                <c:formatCode>General</c:formatCode>
                <c:ptCount val="9"/>
                <c:pt idx="0">
                  <c:v>11.54</c:v>
                </c:pt>
                <c:pt idx="1">
                  <c:v>8.8149999999999995</c:v>
                </c:pt>
                <c:pt idx="2">
                  <c:v>73.952500000000001</c:v>
                </c:pt>
                <c:pt idx="3">
                  <c:v>100</c:v>
                </c:pt>
                <c:pt idx="4">
                  <c:v>47.905000000000001</c:v>
                </c:pt>
                <c:pt idx="5">
                  <c:v>59.25</c:v>
                </c:pt>
                <c:pt idx="6">
                  <c:v>76.87</c:v>
                </c:pt>
                <c:pt idx="7">
                  <c:v>41.63</c:v>
                </c:pt>
                <c:pt idx="8">
                  <c:v>58.145000000000003</c:v>
                </c:pt>
              </c:numCache>
            </c:numRef>
          </c:val>
        </c:ser>
        <c:dLbls>
          <c:showLegendKey val="0"/>
          <c:showVal val="0"/>
          <c:showCatName val="0"/>
          <c:showSerName val="0"/>
          <c:showPercent val="0"/>
          <c:showBubbleSize val="0"/>
        </c:dLbls>
        <c:gapWidth val="150"/>
        <c:axId val="156729344"/>
        <c:axId val="156730880"/>
      </c:barChart>
      <c:catAx>
        <c:axId val="156729344"/>
        <c:scaling>
          <c:orientation val="minMax"/>
        </c:scaling>
        <c:delete val="0"/>
        <c:axPos val="b"/>
        <c:numFmt formatCode="General" sourceLinked="0"/>
        <c:majorTickMark val="out"/>
        <c:minorTickMark val="none"/>
        <c:tickLblPos val="nextTo"/>
        <c:crossAx val="156730880"/>
        <c:crosses val="autoZero"/>
        <c:auto val="1"/>
        <c:lblAlgn val="ctr"/>
        <c:lblOffset val="100"/>
        <c:noMultiLvlLbl val="0"/>
      </c:catAx>
      <c:valAx>
        <c:axId val="156730880"/>
        <c:scaling>
          <c:orientation val="minMax"/>
          <c:max val="100"/>
        </c:scaling>
        <c:delete val="0"/>
        <c:axPos val="l"/>
        <c:title>
          <c:tx>
            <c:rich>
              <a:bodyPr rot="-5400000" vert="horz"/>
              <a:lstStyle/>
              <a:p>
                <a:pPr>
                  <a:defRPr/>
                </a:pPr>
                <a:r>
                  <a:rPr lang="en-US"/>
                  <a:t>Option score (max=100)</a:t>
                </a:r>
              </a:p>
            </c:rich>
          </c:tx>
          <c:layout/>
          <c:overlay val="0"/>
        </c:title>
        <c:numFmt formatCode="General" sourceLinked="1"/>
        <c:majorTickMark val="out"/>
        <c:minorTickMark val="none"/>
        <c:tickLblPos val="nextTo"/>
        <c:crossAx val="156729344"/>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'ENV + mod'!$D$28</c:f>
              <c:strCache>
                <c:ptCount val="1"/>
                <c:pt idx="0">
                  <c:v>Expert judgement</c:v>
                </c:pt>
              </c:strCache>
            </c:strRef>
          </c:tx>
          <c:spPr>
            <a:solidFill>
              <a:schemeClr val="accent2"/>
            </a:solidFill>
          </c:spPr>
          <c:invertIfNegative val="0"/>
          <c:cat>
            <c:strRef>
              <c:f>'ENV + mod'!$B$29:$B$37</c:f>
              <c:strCache>
                <c:ptCount val="9"/>
                <c:pt idx="0">
                  <c:v>BAS</c:v>
                </c:pt>
                <c:pt idx="1">
                  <c:v>1</c:v>
                </c:pt>
                <c:pt idx="2">
                  <c:v>3</c:v>
                </c:pt>
                <c:pt idx="3">
                  <c:v>3a</c:v>
                </c:pt>
                <c:pt idx="4">
                  <c:v>3b</c:v>
                </c:pt>
                <c:pt idx="5">
                  <c:v>4</c:v>
                </c:pt>
                <c:pt idx="6">
                  <c:v>4a</c:v>
                </c:pt>
                <c:pt idx="7">
                  <c:v>4b</c:v>
                </c:pt>
                <c:pt idx="8">
                  <c:v>5</c:v>
                </c:pt>
              </c:strCache>
            </c:strRef>
          </c:cat>
          <c:val>
            <c:numRef>
              <c:f>'ENV + mod'!$D$29:$D$37</c:f>
              <c:numCache>
                <c:formatCode>General</c:formatCode>
                <c:ptCount val="9"/>
                <c:pt idx="0">
                  <c:v>27.27</c:v>
                </c:pt>
                <c:pt idx="1">
                  <c:v>0</c:v>
                </c:pt>
                <c:pt idx="2">
                  <c:v>72.724999999999994</c:v>
                </c:pt>
                <c:pt idx="3">
                  <c:v>100</c:v>
                </c:pt>
                <c:pt idx="4">
                  <c:v>45.45</c:v>
                </c:pt>
                <c:pt idx="5">
                  <c:v>63.634999999999998</c:v>
                </c:pt>
                <c:pt idx="6">
                  <c:v>81.819999999999993</c:v>
                </c:pt>
                <c:pt idx="7">
                  <c:v>45.45</c:v>
                </c:pt>
                <c:pt idx="8">
                  <c:v>63.64</c:v>
                </c:pt>
              </c:numCache>
            </c:numRef>
          </c:val>
        </c:ser>
        <c:ser>
          <c:idx val="0"/>
          <c:order val="1"/>
          <c:tx>
            <c:strRef>
              <c:f>'ENV + mod'!$E$28</c:f>
              <c:strCache>
                <c:ptCount val="1"/>
                <c:pt idx="0">
                  <c:v>Modelling (nitrate leaching)</c:v>
                </c:pt>
              </c:strCache>
            </c:strRef>
          </c:tx>
          <c:spPr>
            <a:solidFill>
              <a:schemeClr val="accent3"/>
            </a:solidFill>
          </c:spPr>
          <c:invertIfNegative val="0"/>
          <c:cat>
            <c:strRef>
              <c:f>'ENV + mod'!$B$29:$B$37</c:f>
              <c:strCache>
                <c:ptCount val="9"/>
                <c:pt idx="0">
                  <c:v>BAS</c:v>
                </c:pt>
                <c:pt idx="1">
                  <c:v>1</c:v>
                </c:pt>
                <c:pt idx="2">
                  <c:v>3</c:v>
                </c:pt>
                <c:pt idx="3">
                  <c:v>3a</c:v>
                </c:pt>
                <c:pt idx="4">
                  <c:v>3b</c:v>
                </c:pt>
                <c:pt idx="5">
                  <c:v>4</c:v>
                </c:pt>
                <c:pt idx="6">
                  <c:v>4a</c:v>
                </c:pt>
                <c:pt idx="7">
                  <c:v>4b</c:v>
                </c:pt>
                <c:pt idx="8">
                  <c:v>5</c:v>
                </c:pt>
              </c:strCache>
            </c:strRef>
          </c:cat>
          <c:val>
            <c:numRef>
              <c:f>'ENV + mod'!$E$29:$E$37</c:f>
              <c:numCache>
                <c:formatCode>General</c:formatCode>
                <c:ptCount val="9"/>
                <c:pt idx="0">
                  <c:v>0</c:v>
                </c:pt>
                <c:pt idx="1">
                  <c:v>0.9</c:v>
                </c:pt>
                <c:pt idx="2">
                  <c:v>68.805000000000007</c:v>
                </c:pt>
                <c:pt idx="3">
                  <c:v>100</c:v>
                </c:pt>
                <c:pt idx="4">
                  <c:v>37.61</c:v>
                </c:pt>
                <c:pt idx="5">
                  <c:v>64.974999999999994</c:v>
                </c:pt>
                <c:pt idx="6">
                  <c:v>99.77</c:v>
                </c:pt>
                <c:pt idx="7">
                  <c:v>30.18</c:v>
                </c:pt>
                <c:pt idx="8">
                  <c:v>34.46</c:v>
                </c:pt>
              </c:numCache>
            </c:numRef>
          </c:val>
        </c:ser>
        <c:ser>
          <c:idx val="1"/>
          <c:order val="2"/>
          <c:tx>
            <c:strRef>
              <c:f>'ENV + mod'!$C$28</c:f>
              <c:strCache>
                <c:ptCount val="1"/>
                <c:pt idx="0">
                  <c:v>OO2.3</c:v>
                </c:pt>
              </c:strCache>
            </c:strRef>
          </c:tx>
          <c:spPr>
            <a:solidFill>
              <a:schemeClr val="tx1"/>
            </a:solidFill>
          </c:spPr>
          <c:invertIfNegative val="0"/>
          <c:cat>
            <c:strRef>
              <c:f>'ENV + mod'!$B$29:$B$37</c:f>
              <c:strCache>
                <c:ptCount val="9"/>
                <c:pt idx="0">
                  <c:v>BAS</c:v>
                </c:pt>
                <c:pt idx="1">
                  <c:v>1</c:v>
                </c:pt>
                <c:pt idx="2">
                  <c:v>3</c:v>
                </c:pt>
                <c:pt idx="3">
                  <c:v>3a</c:v>
                </c:pt>
                <c:pt idx="4">
                  <c:v>3b</c:v>
                </c:pt>
                <c:pt idx="5">
                  <c:v>4</c:v>
                </c:pt>
                <c:pt idx="6">
                  <c:v>4a</c:v>
                </c:pt>
                <c:pt idx="7">
                  <c:v>4b</c:v>
                </c:pt>
                <c:pt idx="8">
                  <c:v>5</c:v>
                </c:pt>
              </c:strCache>
            </c:strRef>
          </c:cat>
          <c:val>
            <c:numRef>
              <c:f>'ENV + mod'!$C$29:$C$37</c:f>
              <c:numCache>
                <c:formatCode>General</c:formatCode>
                <c:ptCount val="9"/>
                <c:pt idx="0">
                  <c:v>13.635</c:v>
                </c:pt>
                <c:pt idx="1">
                  <c:v>0.45</c:v>
                </c:pt>
                <c:pt idx="2">
                  <c:v>70.765000000000001</c:v>
                </c:pt>
                <c:pt idx="3">
                  <c:v>100</c:v>
                </c:pt>
                <c:pt idx="4">
                  <c:v>41.53</c:v>
                </c:pt>
                <c:pt idx="5">
                  <c:v>64.305000000000007</c:v>
                </c:pt>
                <c:pt idx="6">
                  <c:v>90.795000000000002</c:v>
                </c:pt>
                <c:pt idx="7">
                  <c:v>37.814999999999998</c:v>
                </c:pt>
                <c:pt idx="8">
                  <c:v>49.05</c:v>
                </c:pt>
              </c:numCache>
            </c:numRef>
          </c:val>
        </c:ser>
        <c:dLbls>
          <c:showLegendKey val="0"/>
          <c:showVal val="0"/>
          <c:showCatName val="0"/>
          <c:showSerName val="0"/>
          <c:showPercent val="0"/>
          <c:showBubbleSize val="0"/>
        </c:dLbls>
        <c:gapWidth val="150"/>
        <c:axId val="156761088"/>
        <c:axId val="156631808"/>
      </c:barChart>
      <c:catAx>
        <c:axId val="156761088"/>
        <c:scaling>
          <c:orientation val="minMax"/>
        </c:scaling>
        <c:delete val="0"/>
        <c:axPos val="b"/>
        <c:numFmt formatCode="General" sourceLinked="0"/>
        <c:majorTickMark val="out"/>
        <c:minorTickMark val="none"/>
        <c:tickLblPos val="nextTo"/>
        <c:crossAx val="156631808"/>
        <c:crosses val="autoZero"/>
        <c:auto val="1"/>
        <c:lblAlgn val="ctr"/>
        <c:lblOffset val="100"/>
        <c:noMultiLvlLbl val="0"/>
      </c:catAx>
      <c:valAx>
        <c:axId val="156631808"/>
        <c:scaling>
          <c:orientation val="minMax"/>
          <c:max val="100"/>
        </c:scaling>
        <c:delete val="0"/>
        <c:axPos val="l"/>
        <c:title>
          <c:tx>
            <c:rich>
              <a:bodyPr rot="-5400000" vert="horz"/>
              <a:lstStyle/>
              <a:p>
                <a:pPr>
                  <a:defRPr/>
                </a:pPr>
                <a:r>
                  <a:rPr lang="en-US"/>
                  <a:t>Option score (max=100)</a:t>
                </a:r>
              </a:p>
            </c:rich>
          </c:tx>
          <c:layout/>
          <c:overlay val="0"/>
        </c:title>
        <c:numFmt formatCode="General" sourceLinked="1"/>
        <c:majorTickMark val="out"/>
        <c:minorTickMark val="none"/>
        <c:tickLblPos val="nextTo"/>
        <c:crossAx val="156761088"/>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'ENV + mod'!$AE$61</c:f>
              <c:strCache>
                <c:ptCount val="1"/>
                <c:pt idx="0">
                  <c:v>SO3</c:v>
                </c:pt>
              </c:strCache>
            </c:strRef>
          </c:tx>
          <c:invertIfNegative val="0"/>
          <c:dPt>
            <c:idx val="0"/>
            <c:invertIfNegative val="0"/>
            <c:bubble3D val="0"/>
            <c:spPr>
              <a:solidFill>
                <a:srgbClr val="9BBB59"/>
              </a:solidFill>
            </c:spPr>
          </c:dPt>
          <c:dPt>
            <c:idx val="1"/>
            <c:invertIfNegative val="0"/>
            <c:bubble3D val="0"/>
            <c:spPr>
              <a:solidFill>
                <a:srgbClr val="9BBB59">
                  <a:lumMod val="75000"/>
                </a:srgbClr>
              </a:solidFill>
            </c:spPr>
          </c:dPt>
          <c:dPt>
            <c:idx val="2"/>
            <c:invertIfNegative val="0"/>
            <c:bubble3D val="0"/>
            <c:spPr>
              <a:solidFill>
                <a:srgbClr val="C0504D">
                  <a:lumMod val="60000"/>
                  <a:lumOff val="40000"/>
                </a:srgbClr>
              </a:solidFill>
            </c:spPr>
          </c:dPt>
          <c:dPt>
            <c:idx val="3"/>
            <c:invertIfNegative val="0"/>
            <c:bubble3D val="0"/>
            <c:spPr>
              <a:solidFill>
                <a:srgbClr val="F79646"/>
              </a:solidFill>
            </c:spPr>
          </c:dPt>
          <c:dPt>
            <c:idx val="4"/>
            <c:invertIfNegative val="0"/>
            <c:bubble3D val="0"/>
            <c:spPr>
              <a:solidFill>
                <a:srgbClr val="F79646">
                  <a:lumMod val="75000"/>
                </a:srgbClr>
              </a:solidFill>
            </c:spPr>
          </c:dPt>
          <c:dPt>
            <c:idx val="5"/>
            <c:invertIfNegative val="0"/>
            <c:bubble3D val="0"/>
            <c:spPr>
              <a:solidFill>
                <a:srgbClr val="C0504D">
                  <a:lumMod val="75000"/>
                </a:srgbClr>
              </a:solidFill>
            </c:spPr>
          </c:dPt>
          <c:dPt>
            <c:idx val="6"/>
            <c:invertIfNegative val="0"/>
            <c:bubble3D val="0"/>
            <c:spPr>
              <a:solidFill>
                <a:srgbClr val="F79646"/>
              </a:solidFill>
            </c:spPr>
          </c:dPt>
          <c:dPt>
            <c:idx val="7"/>
            <c:invertIfNegative val="0"/>
            <c:bubble3D val="0"/>
            <c:spPr>
              <a:solidFill>
                <a:srgbClr val="4F81BD"/>
              </a:solidFill>
            </c:spPr>
          </c:dPt>
          <c:dPt>
            <c:idx val="8"/>
            <c:invertIfNegative val="0"/>
            <c:bubble3D val="0"/>
            <c:spPr>
              <a:solidFill>
                <a:srgbClr val="C0504D">
                  <a:lumMod val="60000"/>
                  <a:lumOff val="40000"/>
                </a:srgbClr>
              </a:solidFill>
            </c:spPr>
          </c:dPt>
          <c:cat>
            <c:strRef>
              <c:f>'ENV + mod'!$AD$62:$AD$70</c:f>
              <c:strCache>
                <c:ptCount val="9"/>
                <c:pt idx="0">
                  <c:v>1</c:v>
                </c:pt>
                <c:pt idx="1">
                  <c:v>BAS</c:v>
                </c:pt>
                <c:pt idx="2">
                  <c:v>3b</c:v>
                </c:pt>
                <c:pt idx="3">
                  <c:v>4b</c:v>
                </c:pt>
                <c:pt idx="4">
                  <c:v>4</c:v>
                </c:pt>
                <c:pt idx="5">
                  <c:v>3</c:v>
                </c:pt>
                <c:pt idx="6">
                  <c:v>4a</c:v>
                </c:pt>
                <c:pt idx="7">
                  <c:v>5</c:v>
                </c:pt>
                <c:pt idx="8">
                  <c:v>3a</c:v>
                </c:pt>
              </c:strCache>
            </c:strRef>
          </c:cat>
          <c:val>
            <c:numRef>
              <c:f>'ENV + mod'!$AE$62:$AE$70</c:f>
              <c:numCache>
                <c:formatCode>General</c:formatCode>
                <c:ptCount val="9"/>
                <c:pt idx="0">
                  <c:v>0</c:v>
                </c:pt>
                <c:pt idx="1">
                  <c:v>23.08</c:v>
                </c:pt>
                <c:pt idx="2">
                  <c:v>38.46</c:v>
                </c:pt>
                <c:pt idx="3">
                  <c:v>53.85</c:v>
                </c:pt>
                <c:pt idx="4">
                  <c:v>64.545714572460824</c:v>
                </c:pt>
                <c:pt idx="5">
                  <c:v>69.23</c:v>
                </c:pt>
                <c:pt idx="6">
                  <c:v>75.241429144921725</c:v>
                </c:pt>
                <c:pt idx="7">
                  <c:v>78.608570855078256</c:v>
                </c:pt>
                <c:pt idx="8">
                  <c:v>100</c:v>
                </c:pt>
              </c:numCache>
            </c:numRef>
          </c:val>
        </c:ser>
        <c:dLbls>
          <c:showLegendKey val="0"/>
          <c:showVal val="0"/>
          <c:showCatName val="0"/>
          <c:showSerName val="0"/>
          <c:showPercent val="0"/>
          <c:showBubbleSize val="0"/>
        </c:dLbls>
        <c:gapWidth val="150"/>
        <c:axId val="156668288"/>
        <c:axId val="156669824"/>
      </c:barChart>
      <c:catAx>
        <c:axId val="156668288"/>
        <c:scaling>
          <c:orientation val="minMax"/>
        </c:scaling>
        <c:delete val="0"/>
        <c:axPos val="l"/>
        <c:numFmt formatCode="General" sourceLinked="1"/>
        <c:majorTickMark val="out"/>
        <c:minorTickMark val="none"/>
        <c:tickLblPos val="nextTo"/>
        <c:crossAx val="156669824"/>
        <c:crosses val="autoZero"/>
        <c:auto val="1"/>
        <c:lblAlgn val="ctr"/>
        <c:lblOffset val="100"/>
        <c:noMultiLvlLbl val="0"/>
      </c:catAx>
      <c:valAx>
        <c:axId val="156669824"/>
        <c:scaling>
          <c:orientation val="minMax"/>
          <c:max val="100"/>
        </c:scaling>
        <c:delete val="0"/>
        <c:axPos val="b"/>
        <c:majorGridlines/>
        <c:numFmt formatCode="General" sourceLinked="1"/>
        <c:majorTickMark val="out"/>
        <c:minorTickMark val="none"/>
        <c:tickLblPos val="nextTo"/>
        <c:crossAx val="15666828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Simpl!$L$2</c:f>
              <c:strCache>
                <c:ptCount val="1"/>
                <c:pt idx="0">
                  <c:v>Overall</c:v>
                </c:pt>
              </c:strCache>
            </c:strRef>
          </c:tx>
          <c:invertIfNegative val="0"/>
          <c:dPt>
            <c:idx val="0"/>
            <c:invertIfNegative val="0"/>
            <c:bubble3D val="0"/>
            <c:spPr>
              <a:solidFill>
                <a:srgbClr val="9BBB59"/>
              </a:solidFill>
            </c:spPr>
          </c:dPt>
          <c:dPt>
            <c:idx val="1"/>
            <c:invertIfNegative val="0"/>
            <c:bubble3D val="0"/>
            <c:spPr>
              <a:solidFill>
                <a:srgbClr val="9BBB59">
                  <a:lumMod val="75000"/>
                </a:srgbClr>
              </a:solidFill>
            </c:spPr>
          </c:dPt>
          <c:dPt>
            <c:idx val="2"/>
            <c:invertIfNegative val="0"/>
            <c:bubble3D val="0"/>
            <c:spPr>
              <a:solidFill>
                <a:srgbClr val="C0504D">
                  <a:lumMod val="60000"/>
                  <a:lumOff val="40000"/>
                </a:srgbClr>
              </a:solidFill>
            </c:spPr>
          </c:dPt>
          <c:dPt>
            <c:idx val="3"/>
            <c:invertIfNegative val="0"/>
            <c:bubble3D val="0"/>
            <c:spPr>
              <a:solidFill>
                <a:srgbClr val="4F81BD"/>
              </a:solidFill>
            </c:spPr>
          </c:dPt>
          <c:dPt>
            <c:idx val="4"/>
            <c:invertIfNegative val="0"/>
            <c:bubble3D val="0"/>
            <c:spPr>
              <a:solidFill>
                <a:srgbClr val="C0504D"/>
              </a:solidFill>
            </c:spPr>
          </c:dPt>
          <c:dPt>
            <c:idx val="5"/>
            <c:invertIfNegative val="0"/>
            <c:bubble3D val="0"/>
            <c:spPr>
              <a:solidFill>
                <a:srgbClr val="C0504D">
                  <a:lumMod val="60000"/>
                  <a:lumOff val="40000"/>
                </a:srgbClr>
              </a:solidFill>
            </c:spPr>
          </c:dPt>
          <c:dPt>
            <c:idx val="6"/>
            <c:invertIfNegative val="0"/>
            <c:bubble3D val="0"/>
            <c:spPr>
              <a:solidFill>
                <a:srgbClr val="F79646"/>
              </a:solidFill>
            </c:spPr>
          </c:dPt>
          <c:dPt>
            <c:idx val="7"/>
            <c:invertIfNegative val="0"/>
            <c:bubble3D val="0"/>
            <c:spPr>
              <a:solidFill>
                <a:srgbClr val="F79646">
                  <a:lumMod val="75000"/>
                </a:srgbClr>
              </a:solidFill>
            </c:spPr>
          </c:dPt>
          <c:dPt>
            <c:idx val="8"/>
            <c:invertIfNegative val="0"/>
            <c:bubble3D val="0"/>
            <c:spPr>
              <a:solidFill>
                <a:srgbClr val="F79646"/>
              </a:solidFill>
            </c:spPr>
          </c:dPt>
          <c:cat>
            <c:strRef>
              <c:f>Simpl!$K$3:$K$11</c:f>
              <c:strCache>
                <c:ptCount val="9"/>
                <c:pt idx="0">
                  <c:v>1</c:v>
                </c:pt>
                <c:pt idx="1">
                  <c:v>BAS</c:v>
                </c:pt>
                <c:pt idx="2">
                  <c:v>3b</c:v>
                </c:pt>
                <c:pt idx="3">
                  <c:v>5</c:v>
                </c:pt>
                <c:pt idx="4">
                  <c:v>3</c:v>
                </c:pt>
                <c:pt idx="5">
                  <c:v>3a</c:v>
                </c:pt>
                <c:pt idx="6">
                  <c:v>4a</c:v>
                </c:pt>
                <c:pt idx="7">
                  <c:v>4</c:v>
                </c:pt>
                <c:pt idx="8">
                  <c:v>4b</c:v>
                </c:pt>
              </c:strCache>
            </c:strRef>
          </c:cat>
          <c:val>
            <c:numRef>
              <c:f>Simpl!$L$3:$L$11</c:f>
              <c:numCache>
                <c:formatCode>General</c:formatCode>
                <c:ptCount val="9"/>
                <c:pt idx="0">
                  <c:v>0</c:v>
                </c:pt>
                <c:pt idx="1">
                  <c:v>19.25</c:v>
                </c:pt>
                <c:pt idx="2">
                  <c:v>50.01</c:v>
                </c:pt>
                <c:pt idx="3">
                  <c:v>57.81</c:v>
                </c:pt>
                <c:pt idx="4">
                  <c:v>66.894999999999996</c:v>
                </c:pt>
                <c:pt idx="5">
                  <c:v>83.78</c:v>
                </c:pt>
                <c:pt idx="6">
                  <c:v>89.21</c:v>
                </c:pt>
                <c:pt idx="7">
                  <c:v>93.94</c:v>
                </c:pt>
                <c:pt idx="8">
                  <c:v>98.669999999999973</c:v>
                </c:pt>
              </c:numCache>
            </c:numRef>
          </c:val>
        </c:ser>
        <c:dLbls>
          <c:showLegendKey val="0"/>
          <c:showVal val="0"/>
          <c:showCatName val="0"/>
          <c:showSerName val="0"/>
          <c:showPercent val="0"/>
          <c:showBubbleSize val="0"/>
        </c:dLbls>
        <c:gapWidth val="150"/>
        <c:axId val="136209536"/>
        <c:axId val="136211072"/>
      </c:barChart>
      <c:catAx>
        <c:axId val="136209536"/>
        <c:scaling>
          <c:orientation val="minMax"/>
        </c:scaling>
        <c:delete val="0"/>
        <c:axPos val="l"/>
        <c:numFmt formatCode="General" sourceLinked="1"/>
        <c:majorTickMark val="out"/>
        <c:minorTickMark val="none"/>
        <c:tickLblPos val="nextTo"/>
        <c:crossAx val="136211072"/>
        <c:crosses val="autoZero"/>
        <c:auto val="1"/>
        <c:lblAlgn val="ctr"/>
        <c:lblOffset val="100"/>
        <c:noMultiLvlLbl val="0"/>
      </c:catAx>
      <c:valAx>
        <c:axId val="136211072"/>
        <c:scaling>
          <c:orientation val="minMax"/>
          <c:max val="100"/>
        </c:scaling>
        <c:delete val="0"/>
        <c:axPos val="b"/>
        <c:majorGridlines/>
        <c:numFmt formatCode="General" sourceLinked="1"/>
        <c:majorTickMark val="out"/>
        <c:minorTickMark val="none"/>
        <c:tickLblPos val="nextTo"/>
        <c:crossAx val="13620953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02405949256402E-2"/>
          <c:y val="5.0925925925925902E-2"/>
          <c:w val="0.87581714785651799"/>
          <c:h val="0.80994604841061502"/>
        </c:manualLayout>
      </c:layout>
      <c:barChart>
        <c:barDir val="bar"/>
        <c:grouping val="clustered"/>
        <c:varyColors val="0"/>
        <c:ser>
          <c:idx val="0"/>
          <c:order val="0"/>
          <c:tx>
            <c:strRef>
              <c:f>Modernization!$N$2</c:f>
              <c:strCache>
                <c:ptCount val="1"/>
                <c:pt idx="0">
                  <c:v>Overall</c:v>
                </c:pt>
              </c:strCache>
            </c:strRef>
          </c:tx>
          <c:invertIfNegative val="0"/>
          <c:dPt>
            <c:idx val="0"/>
            <c:invertIfNegative val="0"/>
            <c:bubble3D val="0"/>
            <c:spPr>
              <a:solidFill>
                <a:srgbClr val="9BBB59"/>
              </a:solidFill>
            </c:spPr>
          </c:dPt>
          <c:dPt>
            <c:idx val="1"/>
            <c:invertIfNegative val="0"/>
            <c:bubble3D val="0"/>
            <c:spPr>
              <a:solidFill>
                <a:srgbClr val="9BBB59">
                  <a:lumMod val="75000"/>
                </a:srgbClr>
              </a:solidFill>
            </c:spPr>
          </c:dPt>
          <c:dPt>
            <c:idx val="2"/>
            <c:invertIfNegative val="0"/>
            <c:bubble3D val="0"/>
            <c:spPr>
              <a:solidFill>
                <a:srgbClr val="C0504D">
                  <a:lumMod val="60000"/>
                  <a:lumOff val="40000"/>
                </a:srgbClr>
              </a:solidFill>
            </c:spPr>
          </c:dPt>
          <c:dPt>
            <c:idx val="3"/>
            <c:invertIfNegative val="0"/>
            <c:bubble3D val="0"/>
            <c:spPr>
              <a:solidFill>
                <a:srgbClr val="C0504D"/>
              </a:solidFill>
            </c:spPr>
          </c:dPt>
          <c:dPt>
            <c:idx val="4"/>
            <c:invertIfNegative val="0"/>
            <c:bubble3D val="0"/>
            <c:spPr>
              <a:solidFill>
                <a:srgbClr val="F79646">
                  <a:lumMod val="75000"/>
                </a:srgbClr>
              </a:solidFill>
            </c:spPr>
          </c:dPt>
          <c:dPt>
            <c:idx val="5"/>
            <c:invertIfNegative val="0"/>
            <c:bubble3D val="0"/>
            <c:spPr>
              <a:solidFill>
                <a:srgbClr val="F79646"/>
              </a:solidFill>
            </c:spPr>
          </c:dPt>
          <c:dPt>
            <c:idx val="6"/>
            <c:invertIfNegative val="0"/>
            <c:bubble3D val="0"/>
            <c:spPr>
              <a:solidFill>
                <a:srgbClr val="F79646"/>
              </a:solidFill>
            </c:spPr>
          </c:dPt>
          <c:dPt>
            <c:idx val="7"/>
            <c:invertIfNegative val="0"/>
            <c:bubble3D val="0"/>
            <c:spPr>
              <a:solidFill>
                <a:srgbClr val="4F81BD"/>
              </a:solidFill>
            </c:spPr>
          </c:dPt>
          <c:dPt>
            <c:idx val="8"/>
            <c:invertIfNegative val="0"/>
            <c:bubble3D val="0"/>
            <c:spPr>
              <a:solidFill>
                <a:srgbClr val="C0504D">
                  <a:lumMod val="60000"/>
                  <a:lumOff val="40000"/>
                </a:srgbClr>
              </a:solidFill>
            </c:spPr>
          </c:dPt>
          <c:cat>
            <c:strRef>
              <c:f>Modernization!$M$3:$M$11</c:f>
              <c:strCache>
                <c:ptCount val="9"/>
                <c:pt idx="0">
                  <c:v>1</c:v>
                </c:pt>
                <c:pt idx="1">
                  <c:v>BAS</c:v>
                </c:pt>
                <c:pt idx="2">
                  <c:v>3b</c:v>
                </c:pt>
                <c:pt idx="3">
                  <c:v>3</c:v>
                </c:pt>
                <c:pt idx="4">
                  <c:v>4</c:v>
                </c:pt>
                <c:pt idx="5">
                  <c:v>4a</c:v>
                </c:pt>
                <c:pt idx="6">
                  <c:v>4b</c:v>
                </c:pt>
                <c:pt idx="7">
                  <c:v>5</c:v>
                </c:pt>
                <c:pt idx="8">
                  <c:v>3a</c:v>
                </c:pt>
              </c:strCache>
            </c:strRef>
          </c:cat>
          <c:val>
            <c:numRef>
              <c:f>Modernization!$N$3:$N$11</c:f>
              <c:numCache>
                <c:formatCode>General</c:formatCode>
                <c:ptCount val="9"/>
                <c:pt idx="0">
                  <c:v>0</c:v>
                </c:pt>
                <c:pt idx="1">
                  <c:v>32.869999999999997</c:v>
                </c:pt>
                <c:pt idx="2">
                  <c:v>55.63</c:v>
                </c:pt>
                <c:pt idx="3">
                  <c:v>77.815000000000012</c:v>
                </c:pt>
                <c:pt idx="4">
                  <c:v>90.6</c:v>
                </c:pt>
                <c:pt idx="5">
                  <c:v>90.6</c:v>
                </c:pt>
                <c:pt idx="6">
                  <c:v>90.6</c:v>
                </c:pt>
                <c:pt idx="7">
                  <c:v>97.77</c:v>
                </c:pt>
                <c:pt idx="8">
                  <c:v>100</c:v>
                </c:pt>
              </c:numCache>
            </c:numRef>
          </c:val>
        </c:ser>
        <c:dLbls>
          <c:showLegendKey val="0"/>
          <c:showVal val="0"/>
          <c:showCatName val="0"/>
          <c:showSerName val="0"/>
          <c:showPercent val="0"/>
          <c:showBubbleSize val="0"/>
        </c:dLbls>
        <c:gapWidth val="150"/>
        <c:axId val="136246400"/>
        <c:axId val="136247936"/>
      </c:barChart>
      <c:catAx>
        <c:axId val="136246400"/>
        <c:scaling>
          <c:orientation val="minMax"/>
        </c:scaling>
        <c:delete val="0"/>
        <c:axPos val="l"/>
        <c:numFmt formatCode="General" sourceLinked="1"/>
        <c:majorTickMark val="out"/>
        <c:minorTickMark val="none"/>
        <c:tickLblPos val="nextTo"/>
        <c:crossAx val="136247936"/>
        <c:crosses val="autoZero"/>
        <c:auto val="1"/>
        <c:lblAlgn val="ctr"/>
        <c:lblOffset val="100"/>
        <c:noMultiLvlLbl val="0"/>
      </c:catAx>
      <c:valAx>
        <c:axId val="136247936"/>
        <c:scaling>
          <c:orientation val="minMax"/>
          <c:max val="100"/>
        </c:scaling>
        <c:delete val="0"/>
        <c:axPos val="b"/>
        <c:majorGridlines/>
        <c:numFmt formatCode="General" sourceLinked="1"/>
        <c:majorTickMark val="out"/>
        <c:minorTickMark val="none"/>
        <c:tickLblPos val="nextTo"/>
        <c:crossAx val="13624640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'Food &amp; health'!$B$29</c:f>
              <c:strCache>
                <c:ptCount val="1"/>
                <c:pt idx="0">
                  <c:v>BAS</c:v>
                </c:pt>
              </c:strCache>
            </c:strRef>
          </c:tx>
          <c:spPr>
            <a:ln>
              <a:solidFill>
                <a:schemeClr val="accent3">
                  <a:lumMod val="75000"/>
                </a:schemeClr>
              </a:solidFill>
            </a:ln>
          </c:spPr>
          <c:marker>
            <c:symbol val="none"/>
          </c:marker>
          <c:cat>
            <c:multiLvlStrRef>
              <c:f>'Food &amp; health'!$C$27:$I$28</c:f>
              <c:multiLvlStrCache>
                <c:ptCount val="7"/>
                <c:lvl>
                  <c:pt idx="0">
                    <c:v>Efficiency gains</c:v>
                  </c:pt>
                  <c:pt idx="1">
                    <c:v>Demand driven production models</c:v>
                  </c:pt>
                  <c:pt idx="2">
                    <c:v>Adding value</c:v>
                  </c:pt>
                  <c:pt idx="3">
                    <c:v>Synergies along the chain</c:v>
                  </c:pt>
                  <c:pt idx="4">
                    <c:v>Alternative value chains</c:v>
                  </c:pt>
                  <c:pt idx="5">
                    <c:v>Healthier lifestyles</c:v>
                  </c:pt>
                  <c:pt idx="6">
                    <c:v>Sustainable use of pesticides &amp; antibiotics</c:v>
                  </c:pt>
                </c:lvl>
                <c:lvl>
                  <c:pt idx="0">
                    <c:v>ECO</c:v>
                  </c:pt>
                  <c:pt idx="5">
                    <c:v>SOC</c:v>
                  </c:pt>
                  <c:pt idx="6">
                    <c:v>ENV</c:v>
                  </c:pt>
                </c:lvl>
              </c:multiLvlStrCache>
            </c:multiLvlStrRef>
          </c:cat>
          <c:val>
            <c:numRef>
              <c:f>'Food &amp; health'!$C$29:$I$29</c:f>
              <c:numCache>
                <c:formatCode>General</c:formatCode>
                <c:ptCount val="7"/>
                <c:pt idx="0">
                  <c:v>35.71</c:v>
                </c:pt>
                <c:pt idx="1">
                  <c:v>65.385000000000005</c:v>
                </c:pt>
                <c:pt idx="2">
                  <c:v>15.38</c:v>
                </c:pt>
                <c:pt idx="3">
                  <c:v>23.08</c:v>
                </c:pt>
                <c:pt idx="4">
                  <c:v>22.22</c:v>
                </c:pt>
                <c:pt idx="5">
                  <c:v>27.27</c:v>
                </c:pt>
                <c:pt idx="6">
                  <c:v>27.27</c:v>
                </c:pt>
              </c:numCache>
            </c:numRef>
          </c:val>
        </c:ser>
        <c:ser>
          <c:idx val="1"/>
          <c:order val="1"/>
          <c:tx>
            <c:strRef>
              <c:f>'Food &amp; health'!$B$30</c:f>
              <c:strCache>
                <c:ptCount val="1"/>
                <c:pt idx="0">
                  <c:v>1</c:v>
                </c:pt>
              </c:strCache>
            </c:strRef>
          </c:tx>
          <c:spPr>
            <a:ln>
              <a:solidFill>
                <a:schemeClr val="accent3">
                  <a:lumMod val="60000"/>
                  <a:lumOff val="40000"/>
                </a:schemeClr>
              </a:solidFill>
            </a:ln>
          </c:spPr>
          <c:marker>
            <c:symbol val="none"/>
          </c:marker>
          <c:cat>
            <c:multiLvlStrRef>
              <c:f>'Food &amp; health'!$C$27:$I$28</c:f>
              <c:multiLvlStrCache>
                <c:ptCount val="7"/>
                <c:lvl>
                  <c:pt idx="0">
                    <c:v>Efficiency gains</c:v>
                  </c:pt>
                  <c:pt idx="1">
                    <c:v>Demand driven production models</c:v>
                  </c:pt>
                  <c:pt idx="2">
                    <c:v>Adding value</c:v>
                  </c:pt>
                  <c:pt idx="3">
                    <c:v>Synergies along the chain</c:v>
                  </c:pt>
                  <c:pt idx="4">
                    <c:v>Alternative value chains</c:v>
                  </c:pt>
                  <c:pt idx="5">
                    <c:v>Healthier lifestyles</c:v>
                  </c:pt>
                  <c:pt idx="6">
                    <c:v>Sustainable use of pesticides &amp; antibiotics</c:v>
                  </c:pt>
                </c:lvl>
                <c:lvl>
                  <c:pt idx="0">
                    <c:v>ECO</c:v>
                  </c:pt>
                  <c:pt idx="5">
                    <c:v>SOC</c:v>
                  </c:pt>
                  <c:pt idx="6">
                    <c:v>ENV</c:v>
                  </c:pt>
                </c:lvl>
              </c:multiLvlStrCache>
            </c:multiLvlStrRef>
          </c:cat>
          <c:val>
            <c:numRef>
              <c:f>'Food &amp; health'!$C$30:$I$30</c:f>
              <c:numCache>
                <c:formatCode>General</c:formatCode>
                <c:ptCount val="7"/>
                <c:pt idx="0">
                  <c:v>14.29</c:v>
                </c:pt>
                <c:pt idx="1">
                  <c:v>67.169999999999973</c:v>
                </c:pt>
                <c:pt idx="2">
                  <c:v>0</c:v>
                </c:pt>
                <c:pt idx="3">
                  <c:v>0</c:v>
                </c:pt>
                <c:pt idx="4">
                  <c:v>0</c:v>
                </c:pt>
                <c:pt idx="5">
                  <c:v>0</c:v>
                </c:pt>
                <c:pt idx="6">
                  <c:v>0</c:v>
                </c:pt>
              </c:numCache>
            </c:numRef>
          </c:val>
        </c:ser>
        <c:ser>
          <c:idx val="2"/>
          <c:order val="2"/>
          <c:tx>
            <c:strRef>
              <c:f>'Food &amp; health'!$B$31</c:f>
              <c:strCache>
                <c:ptCount val="1"/>
                <c:pt idx="0">
                  <c:v>3</c:v>
                </c:pt>
              </c:strCache>
            </c:strRef>
          </c:tx>
          <c:spPr>
            <a:ln>
              <a:solidFill>
                <a:schemeClr val="accent2">
                  <a:lumMod val="75000"/>
                </a:schemeClr>
              </a:solidFill>
            </a:ln>
          </c:spPr>
          <c:marker>
            <c:symbol val="none"/>
          </c:marker>
          <c:cat>
            <c:multiLvlStrRef>
              <c:f>'Food &amp; health'!$C$27:$I$28</c:f>
              <c:multiLvlStrCache>
                <c:ptCount val="7"/>
                <c:lvl>
                  <c:pt idx="0">
                    <c:v>Efficiency gains</c:v>
                  </c:pt>
                  <c:pt idx="1">
                    <c:v>Demand driven production models</c:v>
                  </c:pt>
                  <c:pt idx="2">
                    <c:v>Adding value</c:v>
                  </c:pt>
                  <c:pt idx="3">
                    <c:v>Synergies along the chain</c:v>
                  </c:pt>
                  <c:pt idx="4">
                    <c:v>Alternative value chains</c:v>
                  </c:pt>
                  <c:pt idx="5">
                    <c:v>Healthier lifestyles</c:v>
                  </c:pt>
                  <c:pt idx="6">
                    <c:v>Sustainable use of pesticides &amp; antibiotics</c:v>
                  </c:pt>
                </c:lvl>
                <c:lvl>
                  <c:pt idx="0">
                    <c:v>ECO</c:v>
                  </c:pt>
                  <c:pt idx="5">
                    <c:v>SOC</c:v>
                  </c:pt>
                  <c:pt idx="6">
                    <c:v>ENV</c:v>
                  </c:pt>
                </c:lvl>
              </c:multiLvlStrCache>
            </c:multiLvlStrRef>
          </c:cat>
          <c:val>
            <c:numRef>
              <c:f>'Food &amp; health'!$C$31:$I$31</c:f>
              <c:numCache>
                <c:formatCode>General</c:formatCode>
                <c:ptCount val="7"/>
                <c:pt idx="0">
                  <c:v>57.145000000000003</c:v>
                </c:pt>
                <c:pt idx="1">
                  <c:v>35.900000000000013</c:v>
                </c:pt>
                <c:pt idx="2">
                  <c:v>59.615000000000002</c:v>
                </c:pt>
                <c:pt idx="3">
                  <c:v>80.77</c:v>
                </c:pt>
                <c:pt idx="4">
                  <c:v>66.669999999999973</c:v>
                </c:pt>
                <c:pt idx="5">
                  <c:v>81.819999999999993</c:v>
                </c:pt>
                <c:pt idx="6">
                  <c:v>72.724999999999994</c:v>
                </c:pt>
              </c:numCache>
            </c:numRef>
          </c:val>
        </c:ser>
        <c:ser>
          <c:idx val="3"/>
          <c:order val="3"/>
          <c:tx>
            <c:strRef>
              <c:f>'Food &amp; health'!$B$32</c:f>
              <c:strCache>
                <c:ptCount val="1"/>
                <c:pt idx="0">
                  <c:v>4</c:v>
                </c:pt>
              </c:strCache>
            </c:strRef>
          </c:tx>
          <c:spPr>
            <a:ln>
              <a:solidFill>
                <a:schemeClr val="accent6">
                  <a:lumMod val="75000"/>
                </a:schemeClr>
              </a:solidFill>
            </a:ln>
          </c:spPr>
          <c:marker>
            <c:symbol val="none"/>
          </c:marker>
          <c:cat>
            <c:multiLvlStrRef>
              <c:f>'Food &amp; health'!$C$27:$I$28</c:f>
              <c:multiLvlStrCache>
                <c:ptCount val="7"/>
                <c:lvl>
                  <c:pt idx="0">
                    <c:v>Efficiency gains</c:v>
                  </c:pt>
                  <c:pt idx="1">
                    <c:v>Demand driven production models</c:v>
                  </c:pt>
                  <c:pt idx="2">
                    <c:v>Adding value</c:v>
                  </c:pt>
                  <c:pt idx="3">
                    <c:v>Synergies along the chain</c:v>
                  </c:pt>
                  <c:pt idx="4">
                    <c:v>Alternative value chains</c:v>
                  </c:pt>
                  <c:pt idx="5">
                    <c:v>Healthier lifestyles</c:v>
                  </c:pt>
                  <c:pt idx="6">
                    <c:v>Sustainable use of pesticides &amp; antibiotics</c:v>
                  </c:pt>
                </c:lvl>
                <c:lvl>
                  <c:pt idx="0">
                    <c:v>ECO</c:v>
                  </c:pt>
                  <c:pt idx="5">
                    <c:v>SOC</c:v>
                  </c:pt>
                  <c:pt idx="6">
                    <c:v>ENV</c:v>
                  </c:pt>
                </c:lvl>
              </c:multiLvlStrCache>
            </c:multiLvlStrRef>
          </c:cat>
          <c:val>
            <c:numRef>
              <c:f>'Food &amp; health'!$C$32:$I$32</c:f>
              <c:numCache>
                <c:formatCode>General</c:formatCode>
                <c:ptCount val="7"/>
                <c:pt idx="0">
                  <c:v>92.854999999999976</c:v>
                </c:pt>
                <c:pt idx="1">
                  <c:v>55.69</c:v>
                </c:pt>
                <c:pt idx="2">
                  <c:v>30.77</c:v>
                </c:pt>
                <c:pt idx="3">
                  <c:v>84.62</c:v>
                </c:pt>
                <c:pt idx="4">
                  <c:v>44.44</c:v>
                </c:pt>
                <c:pt idx="5">
                  <c:v>54.545000000000002</c:v>
                </c:pt>
                <c:pt idx="6">
                  <c:v>72.729999999999976</c:v>
                </c:pt>
              </c:numCache>
            </c:numRef>
          </c:val>
        </c:ser>
        <c:ser>
          <c:idx val="4"/>
          <c:order val="4"/>
          <c:tx>
            <c:strRef>
              <c:f>'Food &amp; health'!$B$33</c:f>
              <c:strCache>
                <c:ptCount val="1"/>
                <c:pt idx="0">
                  <c:v>5</c:v>
                </c:pt>
              </c:strCache>
            </c:strRef>
          </c:tx>
          <c:spPr>
            <a:ln>
              <a:solidFill>
                <a:schemeClr val="accent1"/>
              </a:solidFill>
            </a:ln>
          </c:spPr>
          <c:marker>
            <c:symbol val="none"/>
          </c:marker>
          <c:cat>
            <c:multiLvlStrRef>
              <c:f>'Food &amp; health'!$C$27:$I$28</c:f>
              <c:multiLvlStrCache>
                <c:ptCount val="7"/>
                <c:lvl>
                  <c:pt idx="0">
                    <c:v>Efficiency gains</c:v>
                  </c:pt>
                  <c:pt idx="1">
                    <c:v>Demand driven production models</c:v>
                  </c:pt>
                  <c:pt idx="2">
                    <c:v>Adding value</c:v>
                  </c:pt>
                  <c:pt idx="3">
                    <c:v>Synergies along the chain</c:v>
                  </c:pt>
                  <c:pt idx="4">
                    <c:v>Alternative value chains</c:v>
                  </c:pt>
                  <c:pt idx="5">
                    <c:v>Healthier lifestyles</c:v>
                  </c:pt>
                  <c:pt idx="6">
                    <c:v>Sustainable use of pesticides &amp; antibiotics</c:v>
                  </c:pt>
                </c:lvl>
                <c:lvl>
                  <c:pt idx="0">
                    <c:v>ECO</c:v>
                  </c:pt>
                  <c:pt idx="5">
                    <c:v>SOC</c:v>
                  </c:pt>
                  <c:pt idx="6">
                    <c:v>ENV</c:v>
                  </c:pt>
                </c:lvl>
              </c:multiLvlStrCache>
            </c:multiLvlStrRef>
          </c:cat>
          <c:val>
            <c:numRef>
              <c:f>'Food &amp; health'!$C$33:$I$33</c:f>
              <c:numCache>
                <c:formatCode>General</c:formatCode>
                <c:ptCount val="7"/>
                <c:pt idx="0">
                  <c:v>0</c:v>
                </c:pt>
                <c:pt idx="1">
                  <c:v>26.574999999999999</c:v>
                </c:pt>
                <c:pt idx="2">
                  <c:v>100</c:v>
                </c:pt>
                <c:pt idx="3">
                  <c:v>38.46</c:v>
                </c:pt>
                <c:pt idx="4">
                  <c:v>100</c:v>
                </c:pt>
                <c:pt idx="5">
                  <c:v>100</c:v>
                </c:pt>
                <c:pt idx="6">
                  <c:v>100</c:v>
                </c:pt>
              </c:numCache>
            </c:numRef>
          </c:val>
        </c:ser>
        <c:dLbls>
          <c:showLegendKey val="0"/>
          <c:showVal val="0"/>
          <c:showCatName val="0"/>
          <c:showSerName val="0"/>
          <c:showPercent val="0"/>
          <c:showBubbleSize val="0"/>
        </c:dLbls>
        <c:axId val="156898816"/>
        <c:axId val="156900352"/>
      </c:radarChart>
      <c:catAx>
        <c:axId val="156898816"/>
        <c:scaling>
          <c:orientation val="minMax"/>
        </c:scaling>
        <c:delete val="0"/>
        <c:axPos val="b"/>
        <c:majorGridlines/>
        <c:numFmt formatCode="General" sourceLinked="0"/>
        <c:majorTickMark val="out"/>
        <c:minorTickMark val="none"/>
        <c:tickLblPos val="nextTo"/>
        <c:crossAx val="156900352"/>
        <c:crosses val="autoZero"/>
        <c:auto val="1"/>
        <c:lblAlgn val="ctr"/>
        <c:lblOffset val="100"/>
        <c:noMultiLvlLbl val="0"/>
      </c:catAx>
      <c:valAx>
        <c:axId val="156900352"/>
        <c:scaling>
          <c:orientation val="minMax"/>
        </c:scaling>
        <c:delete val="0"/>
        <c:axPos val="l"/>
        <c:majorGridlines/>
        <c:numFmt formatCode="General" sourceLinked="1"/>
        <c:majorTickMark val="cross"/>
        <c:minorTickMark val="none"/>
        <c:tickLblPos val="nextTo"/>
        <c:crossAx val="156898816"/>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'Food &amp; health'!$B$39</c:f>
              <c:strCache>
                <c:ptCount val="1"/>
                <c:pt idx="0">
                  <c:v>3a</c:v>
                </c:pt>
              </c:strCache>
            </c:strRef>
          </c:tx>
          <c:spPr>
            <a:ln>
              <a:solidFill>
                <a:schemeClr val="accent2">
                  <a:lumMod val="75000"/>
                </a:schemeClr>
              </a:solidFill>
            </a:ln>
          </c:spPr>
          <c:marker>
            <c:symbol val="none"/>
          </c:marker>
          <c:cat>
            <c:multiLvlStrRef>
              <c:f>'Food &amp; health'!$C$27:$I$28</c:f>
              <c:multiLvlStrCache>
                <c:ptCount val="7"/>
                <c:lvl>
                  <c:pt idx="0">
                    <c:v>Efficiency gains</c:v>
                  </c:pt>
                  <c:pt idx="1">
                    <c:v>Demand driven production models</c:v>
                  </c:pt>
                  <c:pt idx="2">
                    <c:v>Adding value</c:v>
                  </c:pt>
                  <c:pt idx="3">
                    <c:v>Synergies along the chain</c:v>
                  </c:pt>
                  <c:pt idx="4">
                    <c:v>Alternative value chains</c:v>
                  </c:pt>
                  <c:pt idx="5">
                    <c:v>Healthier lifestyles</c:v>
                  </c:pt>
                  <c:pt idx="6">
                    <c:v>Sustainable use of pesticides &amp; antibiotics</c:v>
                  </c:pt>
                </c:lvl>
                <c:lvl>
                  <c:pt idx="0">
                    <c:v>ECO</c:v>
                  </c:pt>
                  <c:pt idx="5">
                    <c:v>SOC</c:v>
                  </c:pt>
                  <c:pt idx="6">
                    <c:v>ENV</c:v>
                  </c:pt>
                </c:lvl>
              </c:multiLvlStrCache>
            </c:multiLvlStrRef>
          </c:cat>
          <c:val>
            <c:numRef>
              <c:f>'Food &amp; health'!$C$39:$I$39</c:f>
              <c:numCache>
                <c:formatCode>General</c:formatCode>
                <c:ptCount val="7"/>
                <c:pt idx="0">
                  <c:v>64.290000000000006</c:v>
                </c:pt>
                <c:pt idx="1">
                  <c:v>47.400000000000013</c:v>
                </c:pt>
                <c:pt idx="2">
                  <c:v>73.08</c:v>
                </c:pt>
                <c:pt idx="3">
                  <c:v>100</c:v>
                </c:pt>
                <c:pt idx="4">
                  <c:v>66.669999999999973</c:v>
                </c:pt>
                <c:pt idx="5">
                  <c:v>81.819999999999993</c:v>
                </c:pt>
                <c:pt idx="6">
                  <c:v>100</c:v>
                </c:pt>
              </c:numCache>
            </c:numRef>
          </c:val>
        </c:ser>
        <c:ser>
          <c:idx val="1"/>
          <c:order val="1"/>
          <c:tx>
            <c:strRef>
              <c:f>'Food &amp; health'!$B$40</c:f>
              <c:strCache>
                <c:ptCount val="1"/>
                <c:pt idx="0">
                  <c:v>3b</c:v>
                </c:pt>
              </c:strCache>
            </c:strRef>
          </c:tx>
          <c:spPr>
            <a:ln>
              <a:solidFill>
                <a:schemeClr val="accent2">
                  <a:lumMod val="40000"/>
                  <a:lumOff val="60000"/>
                </a:schemeClr>
              </a:solidFill>
            </a:ln>
          </c:spPr>
          <c:marker>
            <c:symbol val="none"/>
          </c:marker>
          <c:cat>
            <c:multiLvlStrRef>
              <c:f>'Food &amp; health'!$C$27:$I$28</c:f>
              <c:multiLvlStrCache>
                <c:ptCount val="7"/>
                <c:lvl>
                  <c:pt idx="0">
                    <c:v>Efficiency gains</c:v>
                  </c:pt>
                  <c:pt idx="1">
                    <c:v>Demand driven production models</c:v>
                  </c:pt>
                  <c:pt idx="2">
                    <c:v>Adding value</c:v>
                  </c:pt>
                  <c:pt idx="3">
                    <c:v>Synergies along the chain</c:v>
                  </c:pt>
                  <c:pt idx="4">
                    <c:v>Alternative value chains</c:v>
                  </c:pt>
                  <c:pt idx="5">
                    <c:v>Healthier lifestyles</c:v>
                  </c:pt>
                  <c:pt idx="6">
                    <c:v>Sustainable use of pesticides &amp; antibiotics</c:v>
                  </c:pt>
                </c:lvl>
                <c:lvl>
                  <c:pt idx="0">
                    <c:v>ECO</c:v>
                  </c:pt>
                  <c:pt idx="5">
                    <c:v>SOC</c:v>
                  </c:pt>
                  <c:pt idx="6">
                    <c:v>ENV</c:v>
                  </c:pt>
                </c:lvl>
              </c:multiLvlStrCache>
            </c:multiLvlStrRef>
          </c:cat>
          <c:val>
            <c:numRef>
              <c:f>'Food &amp; health'!$C$40:$I$40</c:f>
              <c:numCache>
                <c:formatCode>General</c:formatCode>
                <c:ptCount val="7"/>
                <c:pt idx="0">
                  <c:v>50</c:v>
                </c:pt>
                <c:pt idx="1">
                  <c:v>24.4</c:v>
                </c:pt>
                <c:pt idx="2">
                  <c:v>46.15</c:v>
                </c:pt>
                <c:pt idx="3">
                  <c:v>61.54</c:v>
                </c:pt>
                <c:pt idx="4">
                  <c:v>66.669999999999973</c:v>
                </c:pt>
                <c:pt idx="5">
                  <c:v>81.819999999999993</c:v>
                </c:pt>
                <c:pt idx="6">
                  <c:v>45.45</c:v>
                </c:pt>
              </c:numCache>
            </c:numRef>
          </c:val>
        </c:ser>
        <c:ser>
          <c:idx val="2"/>
          <c:order val="2"/>
          <c:tx>
            <c:strRef>
              <c:f>'Food &amp; health'!$B$41</c:f>
              <c:strCache>
                <c:ptCount val="1"/>
                <c:pt idx="0">
                  <c:v>4a</c:v>
                </c:pt>
              </c:strCache>
            </c:strRef>
          </c:tx>
          <c:spPr>
            <a:ln>
              <a:solidFill>
                <a:schemeClr val="accent6">
                  <a:lumMod val="75000"/>
                </a:schemeClr>
              </a:solidFill>
            </a:ln>
          </c:spPr>
          <c:marker>
            <c:symbol val="none"/>
          </c:marker>
          <c:cat>
            <c:multiLvlStrRef>
              <c:f>'Food &amp; health'!$C$27:$I$28</c:f>
              <c:multiLvlStrCache>
                <c:ptCount val="7"/>
                <c:lvl>
                  <c:pt idx="0">
                    <c:v>Efficiency gains</c:v>
                  </c:pt>
                  <c:pt idx="1">
                    <c:v>Demand driven production models</c:v>
                  </c:pt>
                  <c:pt idx="2">
                    <c:v>Adding value</c:v>
                  </c:pt>
                  <c:pt idx="3">
                    <c:v>Synergies along the chain</c:v>
                  </c:pt>
                  <c:pt idx="4">
                    <c:v>Alternative value chains</c:v>
                  </c:pt>
                  <c:pt idx="5">
                    <c:v>Healthier lifestyles</c:v>
                  </c:pt>
                  <c:pt idx="6">
                    <c:v>Sustainable use of pesticides &amp; antibiotics</c:v>
                  </c:pt>
                </c:lvl>
                <c:lvl>
                  <c:pt idx="0">
                    <c:v>ECO</c:v>
                  </c:pt>
                  <c:pt idx="5">
                    <c:v>SOC</c:v>
                  </c:pt>
                  <c:pt idx="6">
                    <c:v>ENV</c:v>
                  </c:pt>
                </c:lvl>
              </c:multiLvlStrCache>
            </c:multiLvlStrRef>
          </c:cat>
          <c:val>
            <c:numRef>
              <c:f>'Food &amp; health'!$C$41:$I$41</c:f>
              <c:numCache>
                <c:formatCode>General</c:formatCode>
                <c:ptCount val="7"/>
                <c:pt idx="0">
                  <c:v>85.71</c:v>
                </c:pt>
                <c:pt idx="1">
                  <c:v>34.615000000000002</c:v>
                </c:pt>
                <c:pt idx="2">
                  <c:v>30.77</c:v>
                </c:pt>
                <c:pt idx="3">
                  <c:v>84.62</c:v>
                </c:pt>
                <c:pt idx="4">
                  <c:v>44.44</c:v>
                </c:pt>
                <c:pt idx="5">
                  <c:v>63.64</c:v>
                </c:pt>
                <c:pt idx="6">
                  <c:v>81.819999999999993</c:v>
                </c:pt>
              </c:numCache>
            </c:numRef>
          </c:val>
        </c:ser>
        <c:ser>
          <c:idx val="3"/>
          <c:order val="3"/>
          <c:tx>
            <c:strRef>
              <c:f>'Food &amp; health'!$B$42</c:f>
              <c:strCache>
                <c:ptCount val="1"/>
                <c:pt idx="0">
                  <c:v>4b</c:v>
                </c:pt>
              </c:strCache>
            </c:strRef>
          </c:tx>
          <c:spPr>
            <a:ln>
              <a:solidFill>
                <a:schemeClr val="accent6">
                  <a:lumMod val="60000"/>
                  <a:lumOff val="40000"/>
                </a:schemeClr>
              </a:solidFill>
            </a:ln>
          </c:spPr>
          <c:marker>
            <c:symbol val="none"/>
          </c:marker>
          <c:cat>
            <c:multiLvlStrRef>
              <c:f>'Food &amp; health'!$C$27:$I$28</c:f>
              <c:multiLvlStrCache>
                <c:ptCount val="7"/>
                <c:lvl>
                  <c:pt idx="0">
                    <c:v>Efficiency gains</c:v>
                  </c:pt>
                  <c:pt idx="1">
                    <c:v>Demand driven production models</c:v>
                  </c:pt>
                  <c:pt idx="2">
                    <c:v>Adding value</c:v>
                  </c:pt>
                  <c:pt idx="3">
                    <c:v>Synergies along the chain</c:v>
                  </c:pt>
                  <c:pt idx="4">
                    <c:v>Alternative value chains</c:v>
                  </c:pt>
                  <c:pt idx="5">
                    <c:v>Healthier lifestyles</c:v>
                  </c:pt>
                  <c:pt idx="6">
                    <c:v>Sustainable use of pesticides &amp; antibiotics</c:v>
                  </c:pt>
                </c:lvl>
                <c:lvl>
                  <c:pt idx="0">
                    <c:v>ECO</c:v>
                  </c:pt>
                  <c:pt idx="5">
                    <c:v>SOC</c:v>
                  </c:pt>
                  <c:pt idx="6">
                    <c:v>ENV</c:v>
                  </c:pt>
                </c:lvl>
              </c:multiLvlStrCache>
            </c:multiLvlStrRef>
          </c:cat>
          <c:val>
            <c:numRef>
              <c:f>'Food &amp; health'!$C$42:$I$42</c:f>
              <c:numCache>
                <c:formatCode>General</c:formatCode>
                <c:ptCount val="7"/>
                <c:pt idx="0">
                  <c:v>100</c:v>
                </c:pt>
                <c:pt idx="1">
                  <c:v>76.765000000000001</c:v>
                </c:pt>
                <c:pt idx="2">
                  <c:v>30.77</c:v>
                </c:pt>
                <c:pt idx="3">
                  <c:v>84.62</c:v>
                </c:pt>
                <c:pt idx="4">
                  <c:v>44.44</c:v>
                </c:pt>
                <c:pt idx="5">
                  <c:v>45.45</c:v>
                </c:pt>
                <c:pt idx="6">
                  <c:v>63.64</c:v>
                </c:pt>
              </c:numCache>
            </c:numRef>
          </c:val>
        </c:ser>
        <c:dLbls>
          <c:showLegendKey val="0"/>
          <c:showVal val="0"/>
          <c:showCatName val="0"/>
          <c:showSerName val="0"/>
          <c:showPercent val="0"/>
          <c:showBubbleSize val="0"/>
        </c:dLbls>
        <c:axId val="156927488"/>
        <c:axId val="156929024"/>
      </c:radarChart>
      <c:catAx>
        <c:axId val="156927488"/>
        <c:scaling>
          <c:orientation val="minMax"/>
        </c:scaling>
        <c:delete val="0"/>
        <c:axPos val="b"/>
        <c:majorGridlines/>
        <c:numFmt formatCode="General" sourceLinked="0"/>
        <c:majorTickMark val="out"/>
        <c:minorTickMark val="none"/>
        <c:tickLblPos val="nextTo"/>
        <c:crossAx val="156929024"/>
        <c:crosses val="autoZero"/>
        <c:auto val="1"/>
        <c:lblAlgn val="ctr"/>
        <c:lblOffset val="100"/>
        <c:noMultiLvlLbl val="0"/>
      </c:catAx>
      <c:valAx>
        <c:axId val="156929024"/>
        <c:scaling>
          <c:orientation val="minMax"/>
        </c:scaling>
        <c:delete val="0"/>
        <c:axPos val="l"/>
        <c:majorGridlines/>
        <c:numFmt formatCode="General" sourceLinked="1"/>
        <c:majorTickMark val="cross"/>
        <c:minorTickMark val="none"/>
        <c:tickLblPos val="nextTo"/>
        <c:crossAx val="15692748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'share of farms by year'!$E$40</c:f>
              <c:strCache>
                <c:ptCount val="1"/>
              </c:strCache>
            </c:strRef>
          </c:tx>
          <c:invertIfNegative val="0"/>
          <c:dLbls>
            <c:showLegendKey val="0"/>
            <c:showVal val="1"/>
            <c:showCatName val="0"/>
            <c:showSerName val="0"/>
            <c:showPercent val="0"/>
            <c:showBubbleSize val="0"/>
            <c:showLeaderLines val="0"/>
          </c:dLbls>
          <c:cat>
            <c:strRef>
              <c:f>'share of farms by year'!$A$41:$A$49</c:f>
              <c:strCache>
                <c:ptCount val="9"/>
                <c:pt idx="0">
                  <c:v>2007</c:v>
                </c:pt>
                <c:pt idx="1">
                  <c:v>2008</c:v>
                </c:pt>
                <c:pt idx="2">
                  <c:v>2009</c:v>
                </c:pt>
                <c:pt idx="3">
                  <c:v>2010</c:v>
                </c:pt>
                <c:pt idx="4">
                  <c:v>2011</c:v>
                </c:pt>
                <c:pt idx="5">
                  <c:v>2012</c:v>
                </c:pt>
                <c:pt idx="6">
                  <c:v>2013</c:v>
                </c:pt>
                <c:pt idx="7">
                  <c:v>2014</c:v>
                </c:pt>
                <c:pt idx="8">
                  <c:v>2015</c:v>
                </c:pt>
              </c:strCache>
            </c:strRef>
          </c:cat>
          <c:val>
            <c:numRef>
              <c:f>'share of farms by year'!$E$41:$E$49</c:f>
              <c:numCache>
                <c:formatCode>0%</c:formatCode>
                <c:ptCount val="9"/>
                <c:pt idx="0">
                  <c:v>0.24778749608697201</c:v>
                </c:pt>
                <c:pt idx="1">
                  <c:v>0.313338346689016</c:v>
                </c:pt>
                <c:pt idx="2">
                  <c:v>0.48574654298970299</c:v>
                </c:pt>
                <c:pt idx="3">
                  <c:v>0.29054530658026201</c:v>
                </c:pt>
                <c:pt idx="4">
                  <c:v>0.222216095711016</c:v>
                </c:pt>
                <c:pt idx="5">
                  <c:v>0.24482466315412399</c:v>
                </c:pt>
                <c:pt idx="6">
                  <c:v>0.30053125149026</c:v>
                </c:pt>
                <c:pt idx="7">
                  <c:v>0.37529241799982599</c:v>
                </c:pt>
                <c:pt idx="8">
                  <c:v>0.35641918461200101</c:v>
                </c:pt>
              </c:numCache>
            </c:numRef>
          </c:val>
        </c:ser>
        <c:dLbls>
          <c:showLegendKey val="0"/>
          <c:showVal val="0"/>
          <c:showCatName val="0"/>
          <c:showSerName val="0"/>
          <c:showPercent val="0"/>
          <c:showBubbleSize val="0"/>
        </c:dLbls>
        <c:gapWidth val="150"/>
        <c:axId val="156949504"/>
        <c:axId val="156967680"/>
      </c:barChart>
      <c:catAx>
        <c:axId val="156949504"/>
        <c:scaling>
          <c:orientation val="minMax"/>
        </c:scaling>
        <c:delete val="0"/>
        <c:axPos val="b"/>
        <c:majorTickMark val="out"/>
        <c:minorTickMark val="none"/>
        <c:tickLblPos val="nextTo"/>
        <c:crossAx val="156967680"/>
        <c:crosses val="autoZero"/>
        <c:auto val="1"/>
        <c:lblAlgn val="ctr"/>
        <c:lblOffset val="100"/>
        <c:noMultiLvlLbl val="0"/>
      </c:catAx>
      <c:valAx>
        <c:axId val="156967680"/>
        <c:scaling>
          <c:orientation val="minMax"/>
        </c:scaling>
        <c:delete val="1"/>
        <c:axPos val="l"/>
        <c:numFmt formatCode="0%" sourceLinked="1"/>
        <c:majorTickMark val="out"/>
        <c:minorTickMark val="none"/>
        <c:tickLblPos val="nextTo"/>
        <c:crossAx val="156949504"/>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22575773918699"/>
          <c:y val="7.69230769230769E-2"/>
          <c:w val="0.60306331571567195"/>
          <c:h val="0.65153473419372898"/>
        </c:manualLayout>
      </c:layout>
      <c:barChart>
        <c:barDir val="col"/>
        <c:grouping val="clustered"/>
        <c:varyColors val="0"/>
        <c:ser>
          <c:idx val="0"/>
          <c:order val="0"/>
          <c:tx>
            <c:strRef>
              <c:f>'DP distribution'!$AC$41</c:f>
              <c:strCache>
                <c:ptCount val="1"/>
                <c:pt idx="0">
                  <c:v>3a</c:v>
                </c:pt>
              </c:strCache>
            </c:strRef>
          </c:tx>
          <c:spPr>
            <a:solidFill>
              <a:srgbClr val="FF6600"/>
            </a:solidFill>
          </c:spPr>
          <c:invertIfNegative val="0"/>
          <c:cat>
            <c:strRef>
              <c:f>'Support distribution'!$Q$42:$Q$46</c:f>
              <c:strCache>
                <c:ptCount val="5"/>
                <c:pt idx="0">
                  <c:v>&lt; 8</c:v>
                </c:pt>
                <c:pt idx="1">
                  <c:v>8 - 25</c:v>
                </c:pt>
                <c:pt idx="2">
                  <c:v>25 - 100</c:v>
                </c:pt>
                <c:pt idx="3">
                  <c:v>100 - 500</c:v>
                </c:pt>
                <c:pt idx="4">
                  <c:v>&gt;= 500</c:v>
                </c:pt>
              </c:strCache>
            </c:strRef>
          </c:cat>
          <c:val>
            <c:numRef>
              <c:f>'Support distribution'!$Y$42:$Y$46</c:f>
              <c:numCache>
                <c:formatCode>0%</c:formatCode>
                <c:ptCount val="5"/>
                <c:pt idx="0">
                  <c:v>-0.15190237961691899</c:v>
                </c:pt>
                <c:pt idx="1">
                  <c:v>-9.7535104900418099E-2</c:v>
                </c:pt>
                <c:pt idx="2">
                  <c:v>-0.113319325784507</c:v>
                </c:pt>
                <c:pt idx="3">
                  <c:v>-0.11962288716581999</c:v>
                </c:pt>
                <c:pt idx="4">
                  <c:v>-0.14738283949772199</c:v>
                </c:pt>
              </c:numCache>
            </c:numRef>
          </c:val>
        </c:ser>
        <c:ser>
          <c:idx val="1"/>
          <c:order val="1"/>
          <c:tx>
            <c:strRef>
              <c:f>'DP distribution'!$Y$50</c:f>
              <c:strCache>
                <c:ptCount val="1"/>
                <c:pt idx="0">
                  <c:v>3b</c:v>
                </c:pt>
              </c:strCache>
            </c:strRef>
          </c:tx>
          <c:spPr>
            <a:solidFill>
              <a:srgbClr val="FFC000"/>
            </a:solidFill>
          </c:spPr>
          <c:invertIfNegative val="0"/>
          <c:cat>
            <c:strRef>
              <c:f>'Support distribution'!$Q$42:$Q$46</c:f>
              <c:strCache>
                <c:ptCount val="5"/>
                <c:pt idx="0">
                  <c:v>&lt; 8</c:v>
                </c:pt>
                <c:pt idx="1">
                  <c:v>8 - 25</c:v>
                </c:pt>
                <c:pt idx="2">
                  <c:v>25 - 100</c:v>
                </c:pt>
                <c:pt idx="3">
                  <c:v>100 - 500</c:v>
                </c:pt>
                <c:pt idx="4">
                  <c:v>&gt;= 500</c:v>
                </c:pt>
              </c:strCache>
            </c:strRef>
          </c:cat>
          <c:val>
            <c:numRef>
              <c:f>'Support distribution'!$Z$42:$Z$46</c:f>
              <c:numCache>
                <c:formatCode>0%</c:formatCode>
                <c:ptCount val="5"/>
                <c:pt idx="0">
                  <c:v>-0.10367419506174599</c:v>
                </c:pt>
                <c:pt idx="1">
                  <c:v>-1.85775026173782E-2</c:v>
                </c:pt>
                <c:pt idx="2">
                  <c:v>-4.2862086122439802E-2</c:v>
                </c:pt>
                <c:pt idx="3">
                  <c:v>-0.100727266434515</c:v>
                </c:pt>
                <c:pt idx="4">
                  <c:v>-0.16516051288535</c:v>
                </c:pt>
              </c:numCache>
            </c:numRef>
          </c:val>
        </c:ser>
        <c:ser>
          <c:idx val="2"/>
          <c:order val="2"/>
          <c:tx>
            <c:strRef>
              <c:f>'DP distribution'!$Z$41</c:f>
              <c:strCache>
                <c:ptCount val="1"/>
                <c:pt idx="0">
                  <c:v>4a</c:v>
                </c:pt>
              </c:strCache>
            </c:strRef>
          </c:tx>
          <c:spPr>
            <a:solidFill>
              <a:srgbClr val="0070C0"/>
            </a:solidFill>
          </c:spPr>
          <c:invertIfNegative val="0"/>
          <c:cat>
            <c:strRef>
              <c:f>'Support distribution'!$Q$42:$Q$46</c:f>
              <c:strCache>
                <c:ptCount val="5"/>
                <c:pt idx="0">
                  <c:v>&lt; 8</c:v>
                </c:pt>
                <c:pt idx="1">
                  <c:v>8 - 25</c:v>
                </c:pt>
                <c:pt idx="2">
                  <c:v>25 - 100</c:v>
                </c:pt>
                <c:pt idx="3">
                  <c:v>100 - 500</c:v>
                </c:pt>
                <c:pt idx="4">
                  <c:v>&gt;= 500</c:v>
                </c:pt>
              </c:strCache>
            </c:strRef>
          </c:cat>
          <c:val>
            <c:numRef>
              <c:f>'Support distribution'!$AA$42:$AA$46</c:f>
              <c:numCache>
                <c:formatCode>0%</c:formatCode>
                <c:ptCount val="5"/>
                <c:pt idx="0">
                  <c:v>-5.7182320852482198E-2</c:v>
                </c:pt>
                <c:pt idx="1">
                  <c:v>-4.1938234132897399E-2</c:v>
                </c:pt>
                <c:pt idx="2">
                  <c:v>-1.90221751320316E-2</c:v>
                </c:pt>
                <c:pt idx="3">
                  <c:v>-4.1629562635762E-2</c:v>
                </c:pt>
                <c:pt idx="4">
                  <c:v>-0.103240160205454</c:v>
                </c:pt>
              </c:numCache>
            </c:numRef>
          </c:val>
        </c:ser>
        <c:ser>
          <c:idx val="3"/>
          <c:order val="3"/>
          <c:tx>
            <c:strRef>
              <c:f>'DP distribution'!$AA$41</c:f>
              <c:strCache>
                <c:ptCount val="1"/>
                <c:pt idx="0">
                  <c:v>4b</c:v>
                </c:pt>
              </c:strCache>
            </c:strRef>
          </c:tx>
          <c:spPr>
            <a:solidFill>
              <a:srgbClr val="00B0F0"/>
            </a:solidFill>
          </c:spPr>
          <c:invertIfNegative val="0"/>
          <c:cat>
            <c:strRef>
              <c:f>'Support distribution'!$Q$42:$Q$46</c:f>
              <c:strCache>
                <c:ptCount val="5"/>
                <c:pt idx="0">
                  <c:v>&lt; 8</c:v>
                </c:pt>
                <c:pt idx="1">
                  <c:v>8 - 25</c:v>
                </c:pt>
                <c:pt idx="2">
                  <c:v>25 - 100</c:v>
                </c:pt>
                <c:pt idx="3">
                  <c:v>100 - 500</c:v>
                </c:pt>
                <c:pt idx="4">
                  <c:v>&gt;= 500</c:v>
                </c:pt>
              </c:strCache>
            </c:strRef>
          </c:cat>
          <c:val>
            <c:numRef>
              <c:f>'Support distribution'!$AB$42:$AB$46</c:f>
              <c:numCache>
                <c:formatCode>0%</c:formatCode>
                <c:ptCount val="5"/>
                <c:pt idx="0">
                  <c:v>-5.7206908156274897E-2</c:v>
                </c:pt>
                <c:pt idx="1">
                  <c:v>-4.2014848177542703E-2</c:v>
                </c:pt>
                <c:pt idx="2">
                  <c:v>-1.9162909562428599E-2</c:v>
                </c:pt>
                <c:pt idx="3">
                  <c:v>-4.1624484749021702E-2</c:v>
                </c:pt>
                <c:pt idx="4">
                  <c:v>-0.103285245068776</c:v>
                </c:pt>
              </c:numCache>
            </c:numRef>
          </c:val>
        </c:ser>
        <c:ser>
          <c:idx val="4"/>
          <c:order val="4"/>
          <c:tx>
            <c:strRef>
              <c:f>'DP distribution'!$AB$41</c:f>
              <c:strCache>
                <c:ptCount val="1"/>
                <c:pt idx="0">
                  <c:v>5</c:v>
                </c:pt>
              </c:strCache>
            </c:strRef>
          </c:tx>
          <c:spPr>
            <a:solidFill>
              <a:srgbClr val="FF99FF"/>
            </a:solidFill>
          </c:spPr>
          <c:invertIfNegative val="0"/>
          <c:cat>
            <c:strRef>
              <c:f>'Support distribution'!$Q$42:$Q$46</c:f>
              <c:strCache>
                <c:ptCount val="5"/>
                <c:pt idx="0">
                  <c:v>&lt; 8</c:v>
                </c:pt>
                <c:pt idx="1">
                  <c:v>8 - 25</c:v>
                </c:pt>
                <c:pt idx="2">
                  <c:v>25 - 100</c:v>
                </c:pt>
                <c:pt idx="3">
                  <c:v>100 - 500</c:v>
                </c:pt>
                <c:pt idx="4">
                  <c:v>&gt;= 500</c:v>
                </c:pt>
              </c:strCache>
            </c:strRef>
          </c:cat>
          <c:val>
            <c:numRef>
              <c:f>'Support distribution'!$AC$42:$AC$46</c:f>
              <c:numCache>
                <c:formatCode>0%</c:formatCode>
                <c:ptCount val="5"/>
                <c:pt idx="0">
                  <c:v>0.24840238955340199</c:v>
                </c:pt>
                <c:pt idx="1">
                  <c:v>0.12735085886762901</c:v>
                </c:pt>
                <c:pt idx="2">
                  <c:v>-4.9499707300237905E-4</c:v>
                </c:pt>
                <c:pt idx="3">
                  <c:v>-0.14237053825054199</c:v>
                </c:pt>
                <c:pt idx="4">
                  <c:v>-0.36362301931595098</c:v>
                </c:pt>
              </c:numCache>
            </c:numRef>
          </c:val>
        </c:ser>
        <c:dLbls>
          <c:showLegendKey val="0"/>
          <c:showVal val="0"/>
          <c:showCatName val="0"/>
          <c:showSerName val="0"/>
          <c:showPercent val="0"/>
          <c:showBubbleSize val="0"/>
        </c:dLbls>
        <c:gapWidth val="150"/>
        <c:axId val="136176384"/>
        <c:axId val="136177920"/>
      </c:barChart>
      <c:catAx>
        <c:axId val="136176384"/>
        <c:scaling>
          <c:orientation val="minMax"/>
        </c:scaling>
        <c:delete val="0"/>
        <c:axPos val="b"/>
        <c:majorTickMark val="out"/>
        <c:minorTickMark val="none"/>
        <c:tickLblPos val="low"/>
        <c:crossAx val="136177920"/>
        <c:crosses val="autoZero"/>
        <c:auto val="1"/>
        <c:lblAlgn val="ctr"/>
        <c:lblOffset val="100"/>
        <c:noMultiLvlLbl val="0"/>
      </c:catAx>
      <c:valAx>
        <c:axId val="136177920"/>
        <c:scaling>
          <c:orientation val="minMax"/>
        </c:scaling>
        <c:delete val="0"/>
        <c:axPos val="l"/>
        <c:majorGridlines/>
        <c:numFmt formatCode="0%" sourceLinked="1"/>
        <c:majorTickMark val="out"/>
        <c:minorTickMark val="none"/>
        <c:tickLblPos val="nextTo"/>
        <c:crossAx val="136176384"/>
        <c:crosses val="autoZero"/>
        <c:crossBetween val="between"/>
        <c:majorUnit val="0.2"/>
      </c:valAx>
    </c:plotArea>
    <c:legend>
      <c:legendPos val="r"/>
      <c:layout>
        <c:manualLayout>
          <c:xMode val="edge"/>
          <c:yMode val="edge"/>
          <c:x val="0.82051738395714202"/>
          <c:y val="6.6820574942924996E-2"/>
          <c:w val="0.133820515586237"/>
          <c:h val="0.59416903508363195"/>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5"/>
          <c:order val="0"/>
          <c:tx>
            <c:strRef>
              <c:f>'Support_Income class'!$A$3</c:f>
              <c:strCache>
                <c:ptCount val="1"/>
                <c:pt idx="0">
                  <c:v>Baseline</c:v>
                </c:pt>
              </c:strCache>
            </c:strRef>
          </c:tx>
          <c:spPr>
            <a:solidFill>
              <a:schemeClr val="tx1"/>
            </a:solidFill>
          </c:spPr>
          <c:invertIfNegative val="0"/>
          <c:val>
            <c:numRef>
              <c:f>'Support_Income class'!$E$5:$E$14</c:f>
              <c:numCache>
                <c:formatCode>#,##0.00</c:formatCode>
                <c:ptCount val="10"/>
                <c:pt idx="0">
                  <c:v>7902.0806938505702</c:v>
                </c:pt>
                <c:pt idx="1">
                  <c:v>2298.1083933939126</c:v>
                </c:pt>
                <c:pt idx="2">
                  <c:v>2659.0744429061042</c:v>
                </c:pt>
                <c:pt idx="3">
                  <c:v>4019.5286917042654</c:v>
                </c:pt>
                <c:pt idx="4">
                  <c:v>5594.796746973052</c:v>
                </c:pt>
                <c:pt idx="5">
                  <c:v>7593.2763906883683</c:v>
                </c:pt>
                <c:pt idx="6">
                  <c:v>9753.2460555162052</c:v>
                </c:pt>
                <c:pt idx="7">
                  <c:v>12474.849676889429</c:v>
                </c:pt>
                <c:pt idx="8">
                  <c:v>14429.478320051758</c:v>
                </c:pt>
                <c:pt idx="9">
                  <c:v>15431.469870257688</c:v>
                </c:pt>
              </c:numCache>
            </c:numRef>
          </c:val>
        </c:ser>
        <c:ser>
          <c:idx val="3"/>
          <c:order val="1"/>
          <c:tx>
            <c:v>1</c:v>
          </c:tx>
          <c:spPr>
            <a:solidFill>
              <a:schemeClr val="tx1">
                <a:lumMod val="50000"/>
                <a:lumOff val="50000"/>
              </a:schemeClr>
            </a:solidFill>
          </c:spPr>
          <c:invertIfNegative val="0"/>
          <c:val>
            <c:numRef>
              <c:f>'Support_Income class'!$E$19:$E$28</c:f>
              <c:numCache>
                <c:formatCode>#,##0.00</c:formatCode>
                <c:ptCount val="10"/>
                <c:pt idx="0">
                  <c:v>7588.872471860439</c:v>
                </c:pt>
                <c:pt idx="1">
                  <c:v>2307.2650948167829</c:v>
                </c:pt>
                <c:pt idx="2">
                  <c:v>2313.0731137687312</c:v>
                </c:pt>
                <c:pt idx="3">
                  <c:v>3597.8677945241334</c:v>
                </c:pt>
                <c:pt idx="4">
                  <c:v>4729.5783117674619</c:v>
                </c:pt>
                <c:pt idx="5">
                  <c:v>6602.9107449937856</c:v>
                </c:pt>
                <c:pt idx="6">
                  <c:v>8501.6358848619002</c:v>
                </c:pt>
                <c:pt idx="7">
                  <c:v>10767.962596479245</c:v>
                </c:pt>
                <c:pt idx="8">
                  <c:v>12572.938137351532</c:v>
                </c:pt>
                <c:pt idx="9">
                  <c:v>13678.517668086668</c:v>
                </c:pt>
              </c:numCache>
            </c:numRef>
          </c:val>
        </c:ser>
        <c:ser>
          <c:idx val="0"/>
          <c:order val="2"/>
          <c:tx>
            <c:v>3a</c:v>
          </c:tx>
          <c:spPr>
            <a:solidFill>
              <a:srgbClr val="FF6600"/>
            </a:solidFill>
          </c:spPr>
          <c:invertIfNegative val="0"/>
          <c:cat>
            <c:strRef>
              <c:f>'Support_Income class'!$A$89:$A$98</c:f>
              <c:strCache>
                <c:ptCount val="10"/>
                <c:pt idx="0">
                  <c:v>Q1</c:v>
                </c:pt>
                <c:pt idx="1">
                  <c:v>Q2</c:v>
                </c:pt>
                <c:pt idx="2">
                  <c:v>Q3</c:v>
                </c:pt>
                <c:pt idx="3">
                  <c:v>Q4</c:v>
                </c:pt>
                <c:pt idx="4">
                  <c:v>Q5</c:v>
                </c:pt>
                <c:pt idx="5">
                  <c:v>Q6</c:v>
                </c:pt>
                <c:pt idx="6">
                  <c:v>Q7</c:v>
                </c:pt>
                <c:pt idx="7">
                  <c:v>Q8</c:v>
                </c:pt>
                <c:pt idx="8">
                  <c:v>Q9</c:v>
                </c:pt>
                <c:pt idx="9">
                  <c:v>Q10</c:v>
                </c:pt>
              </c:strCache>
            </c:strRef>
          </c:cat>
          <c:val>
            <c:numRef>
              <c:f>'Support_Income class'!$E$33:$E$42</c:f>
              <c:numCache>
                <c:formatCode>#,##0.00</c:formatCode>
                <c:ptCount val="10"/>
                <c:pt idx="0">
                  <c:v>7330.7798192270875</c:v>
                </c:pt>
                <c:pt idx="1">
                  <c:v>2421.8817845979975</c:v>
                </c:pt>
                <c:pt idx="2">
                  <c:v>2086.8819194962366</c:v>
                </c:pt>
                <c:pt idx="3">
                  <c:v>3020.7110162354602</c:v>
                </c:pt>
                <c:pt idx="4">
                  <c:v>4329.4936487135337</c:v>
                </c:pt>
                <c:pt idx="5">
                  <c:v>6124.7999532310214</c:v>
                </c:pt>
                <c:pt idx="6">
                  <c:v>7999.0954876599299</c:v>
                </c:pt>
                <c:pt idx="7">
                  <c:v>10310.808052082306</c:v>
                </c:pt>
                <c:pt idx="8">
                  <c:v>11549.106845742986</c:v>
                </c:pt>
                <c:pt idx="9">
                  <c:v>12084.359737010464</c:v>
                </c:pt>
              </c:numCache>
            </c:numRef>
          </c:val>
        </c:ser>
        <c:ser>
          <c:idx val="1"/>
          <c:order val="3"/>
          <c:tx>
            <c:v>3b</c:v>
          </c:tx>
          <c:spPr>
            <a:solidFill>
              <a:srgbClr val="FFC000"/>
            </a:solidFill>
          </c:spPr>
          <c:invertIfNegative val="0"/>
          <c:cat>
            <c:strRef>
              <c:f>'Support_Income class'!$A$89:$A$98</c:f>
              <c:strCache>
                <c:ptCount val="10"/>
                <c:pt idx="0">
                  <c:v>Q1</c:v>
                </c:pt>
                <c:pt idx="1">
                  <c:v>Q2</c:v>
                </c:pt>
                <c:pt idx="2">
                  <c:v>Q3</c:v>
                </c:pt>
                <c:pt idx="3">
                  <c:v>Q4</c:v>
                </c:pt>
                <c:pt idx="4">
                  <c:v>Q5</c:v>
                </c:pt>
                <c:pt idx="5">
                  <c:v>Q6</c:v>
                </c:pt>
                <c:pt idx="6">
                  <c:v>Q7</c:v>
                </c:pt>
                <c:pt idx="7">
                  <c:v>Q8</c:v>
                </c:pt>
                <c:pt idx="8">
                  <c:v>Q9</c:v>
                </c:pt>
                <c:pt idx="9">
                  <c:v>Q10</c:v>
                </c:pt>
              </c:strCache>
            </c:strRef>
          </c:cat>
          <c:val>
            <c:numRef>
              <c:f>'Support_Income class'!$E$47:$E$56</c:f>
              <c:numCache>
                <c:formatCode>#,##0.00</c:formatCode>
                <c:ptCount val="10"/>
                <c:pt idx="0">
                  <c:v>7334.9298641038777</c:v>
                </c:pt>
                <c:pt idx="1">
                  <c:v>2279.7921756670753</c:v>
                </c:pt>
                <c:pt idx="2">
                  <c:v>2246.3572545783013</c:v>
                </c:pt>
                <c:pt idx="3">
                  <c:v>3452.7806346338002</c:v>
                </c:pt>
                <c:pt idx="4">
                  <c:v>4650.4487301178524</c:v>
                </c:pt>
                <c:pt idx="5">
                  <c:v>6433.342748764142</c:v>
                </c:pt>
                <c:pt idx="6">
                  <c:v>8407.840330326324</c:v>
                </c:pt>
                <c:pt idx="7">
                  <c:v>10800.318668449068</c:v>
                </c:pt>
                <c:pt idx="8">
                  <c:v>12143.953031672403</c:v>
                </c:pt>
                <c:pt idx="9">
                  <c:v>12807.630488952169</c:v>
                </c:pt>
              </c:numCache>
            </c:numRef>
          </c:val>
        </c:ser>
        <c:ser>
          <c:idx val="2"/>
          <c:order val="4"/>
          <c:tx>
            <c:v>4</c:v>
          </c:tx>
          <c:spPr>
            <a:solidFill>
              <a:srgbClr val="0070C0"/>
            </a:solidFill>
          </c:spPr>
          <c:invertIfNegative val="0"/>
          <c:cat>
            <c:strRef>
              <c:f>'Support_Income class'!$A$89:$A$98</c:f>
              <c:strCache>
                <c:ptCount val="10"/>
                <c:pt idx="0">
                  <c:v>Q1</c:v>
                </c:pt>
                <c:pt idx="1">
                  <c:v>Q2</c:v>
                </c:pt>
                <c:pt idx="2">
                  <c:v>Q3</c:v>
                </c:pt>
                <c:pt idx="3">
                  <c:v>Q4</c:v>
                </c:pt>
                <c:pt idx="4">
                  <c:v>Q5</c:v>
                </c:pt>
                <c:pt idx="5">
                  <c:v>Q6</c:v>
                </c:pt>
                <c:pt idx="6">
                  <c:v>Q7</c:v>
                </c:pt>
                <c:pt idx="7">
                  <c:v>Q8</c:v>
                </c:pt>
                <c:pt idx="8">
                  <c:v>Q9</c:v>
                </c:pt>
                <c:pt idx="9">
                  <c:v>Q10</c:v>
                </c:pt>
              </c:strCache>
            </c:strRef>
          </c:cat>
          <c:val>
            <c:numRef>
              <c:f>'Support_Income class'!$E$61:$E$70</c:f>
              <c:numCache>
                <c:formatCode>#,##0.00</c:formatCode>
                <c:ptCount val="10"/>
                <c:pt idx="0">
                  <c:v>7513.0433336929382</c:v>
                </c:pt>
                <c:pt idx="1">
                  <c:v>2443.0888753703452</c:v>
                </c:pt>
                <c:pt idx="2">
                  <c:v>2263.2666258893169</c:v>
                </c:pt>
                <c:pt idx="3">
                  <c:v>3204.5126456508001</c:v>
                </c:pt>
                <c:pt idx="4">
                  <c:v>4674.3484436211211</c:v>
                </c:pt>
                <c:pt idx="5">
                  <c:v>6522.4008951129254</c:v>
                </c:pt>
                <c:pt idx="6">
                  <c:v>8627.159211402688</c:v>
                </c:pt>
                <c:pt idx="7">
                  <c:v>11249.911927287134</c:v>
                </c:pt>
                <c:pt idx="8">
                  <c:v>12824.963129868569</c:v>
                </c:pt>
                <c:pt idx="9">
                  <c:v>13311.770780277575</c:v>
                </c:pt>
              </c:numCache>
            </c:numRef>
          </c:val>
        </c:ser>
        <c:ser>
          <c:idx val="4"/>
          <c:order val="5"/>
          <c:tx>
            <c:v>5</c:v>
          </c:tx>
          <c:spPr>
            <a:solidFill>
              <a:srgbClr val="FF99FF"/>
            </a:solidFill>
          </c:spPr>
          <c:invertIfNegative val="0"/>
          <c:cat>
            <c:strRef>
              <c:f>'Support_Income class'!$A$89:$A$98</c:f>
              <c:strCache>
                <c:ptCount val="10"/>
                <c:pt idx="0">
                  <c:v>Q1</c:v>
                </c:pt>
                <c:pt idx="1">
                  <c:v>Q2</c:v>
                </c:pt>
                <c:pt idx="2">
                  <c:v>Q3</c:v>
                </c:pt>
                <c:pt idx="3">
                  <c:v>Q4</c:v>
                </c:pt>
                <c:pt idx="4">
                  <c:v>Q5</c:v>
                </c:pt>
                <c:pt idx="5">
                  <c:v>Q6</c:v>
                </c:pt>
                <c:pt idx="6">
                  <c:v>Q7</c:v>
                </c:pt>
                <c:pt idx="7">
                  <c:v>Q8</c:v>
                </c:pt>
                <c:pt idx="8">
                  <c:v>Q9</c:v>
                </c:pt>
                <c:pt idx="9">
                  <c:v>Q10</c:v>
                </c:pt>
              </c:strCache>
            </c:strRef>
          </c:cat>
          <c:val>
            <c:numRef>
              <c:f>'Support_Income class'!$E$89:$E$98</c:f>
              <c:numCache>
                <c:formatCode>#,##0.00</c:formatCode>
                <c:ptCount val="10"/>
                <c:pt idx="0">
                  <c:v>7377.812249128754</c:v>
                </c:pt>
                <c:pt idx="1">
                  <c:v>2573.376643643895</c:v>
                </c:pt>
                <c:pt idx="2">
                  <c:v>2478.2975341423876</c:v>
                </c:pt>
                <c:pt idx="3">
                  <c:v>3490.1063540765531</c:v>
                </c:pt>
                <c:pt idx="4">
                  <c:v>4582.1342623420296</c:v>
                </c:pt>
                <c:pt idx="5">
                  <c:v>6465.6008552254671</c:v>
                </c:pt>
                <c:pt idx="6">
                  <c:v>8035.0606223583209</c:v>
                </c:pt>
                <c:pt idx="7">
                  <c:v>10160.062649861329</c:v>
                </c:pt>
                <c:pt idx="8">
                  <c:v>11884.717416326905</c:v>
                </c:pt>
                <c:pt idx="9">
                  <c:v>12877.863924235891</c:v>
                </c:pt>
              </c:numCache>
            </c:numRef>
          </c:val>
        </c:ser>
        <c:dLbls>
          <c:showLegendKey val="0"/>
          <c:showVal val="0"/>
          <c:showCatName val="0"/>
          <c:showSerName val="0"/>
          <c:showPercent val="0"/>
          <c:showBubbleSize val="0"/>
        </c:dLbls>
        <c:gapWidth val="150"/>
        <c:axId val="64923904"/>
        <c:axId val="64933888"/>
      </c:barChart>
      <c:catAx>
        <c:axId val="64923904"/>
        <c:scaling>
          <c:orientation val="minMax"/>
        </c:scaling>
        <c:delete val="0"/>
        <c:axPos val="b"/>
        <c:majorTickMark val="out"/>
        <c:minorTickMark val="none"/>
        <c:tickLblPos val="low"/>
        <c:crossAx val="64933888"/>
        <c:crosses val="autoZero"/>
        <c:auto val="1"/>
        <c:lblAlgn val="ctr"/>
        <c:lblOffset val="100"/>
        <c:noMultiLvlLbl val="0"/>
      </c:catAx>
      <c:valAx>
        <c:axId val="64933888"/>
        <c:scaling>
          <c:orientation val="minMax"/>
        </c:scaling>
        <c:delete val="0"/>
        <c:axPos val="l"/>
        <c:majorGridlines/>
        <c:numFmt formatCode="#,##0" sourceLinked="0"/>
        <c:majorTickMark val="out"/>
        <c:minorTickMark val="none"/>
        <c:tickLblPos val="nextTo"/>
        <c:crossAx val="64923904"/>
        <c:crosses val="autoZero"/>
        <c:crossBetween val="between"/>
      </c:valAx>
    </c:plotArea>
    <c:legend>
      <c:legendPos val="b"/>
      <c:layout>
        <c:manualLayout>
          <c:xMode val="edge"/>
          <c:yMode val="edge"/>
          <c:x val="0.18245049857549858"/>
          <c:y val="0.87085879629629637"/>
          <c:w val="0.62846652421652427"/>
          <c:h val="9.3282407407407411E-2"/>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'Support distribution'!$Y$20</c:f>
              <c:strCache>
                <c:ptCount val="1"/>
                <c:pt idx="0">
                  <c:v>3a</c:v>
                </c:pt>
              </c:strCache>
            </c:strRef>
          </c:tx>
          <c:spPr>
            <a:solidFill>
              <a:srgbClr val="FF6600"/>
            </a:solidFill>
          </c:spPr>
          <c:invertIfNegative val="0"/>
          <c:cat>
            <c:strRef>
              <c:f>'Support distribution'!$AD$21:$AD$30</c:f>
              <c:strCache>
                <c:ptCount val="10"/>
                <c:pt idx="0">
                  <c:v>Q1</c:v>
                </c:pt>
                <c:pt idx="1">
                  <c:v>Q2</c:v>
                </c:pt>
                <c:pt idx="2">
                  <c:v>Q3</c:v>
                </c:pt>
                <c:pt idx="3">
                  <c:v>Q4</c:v>
                </c:pt>
                <c:pt idx="4">
                  <c:v>Q5</c:v>
                </c:pt>
                <c:pt idx="5">
                  <c:v>Q6</c:v>
                </c:pt>
                <c:pt idx="6">
                  <c:v>Q7</c:v>
                </c:pt>
                <c:pt idx="7">
                  <c:v>Q8</c:v>
                </c:pt>
                <c:pt idx="8">
                  <c:v>Q9</c:v>
                </c:pt>
                <c:pt idx="9">
                  <c:v>Q10</c:v>
                </c:pt>
              </c:strCache>
            </c:strRef>
          </c:cat>
          <c:val>
            <c:numRef>
              <c:f>'Support distribution'!$Y$21:$Y$30</c:f>
              <c:numCache>
                <c:formatCode>0%</c:formatCode>
                <c:ptCount val="10"/>
                <c:pt idx="0">
                  <c:v>1.8013402813205698E-2</c:v>
                </c:pt>
                <c:pt idx="1">
                  <c:v>-6.8045119822249802E-3</c:v>
                </c:pt>
                <c:pt idx="2">
                  <c:v>-6.5320621906119605E-2</c:v>
                </c:pt>
                <c:pt idx="3">
                  <c:v>-9.3613726652354803E-2</c:v>
                </c:pt>
                <c:pt idx="4">
                  <c:v>-0.110457945450791</c:v>
                </c:pt>
                <c:pt idx="5">
                  <c:v>-0.13946501147186399</c:v>
                </c:pt>
                <c:pt idx="6">
                  <c:v>-0.15994810456601899</c:v>
                </c:pt>
                <c:pt idx="7">
                  <c:v>-0.20459391079463099</c:v>
                </c:pt>
                <c:pt idx="8">
                  <c:v>-0.24627538158925999</c:v>
                </c:pt>
                <c:pt idx="9">
                  <c:v>-0.22882953294334701</c:v>
                </c:pt>
              </c:numCache>
            </c:numRef>
          </c:val>
        </c:ser>
        <c:ser>
          <c:idx val="1"/>
          <c:order val="1"/>
          <c:tx>
            <c:strRef>
              <c:f>'Support distribution'!$Z$20</c:f>
              <c:strCache>
                <c:ptCount val="1"/>
                <c:pt idx="0">
                  <c:v>3b</c:v>
                </c:pt>
              </c:strCache>
            </c:strRef>
          </c:tx>
          <c:spPr>
            <a:solidFill>
              <a:srgbClr val="FFC000"/>
            </a:solidFill>
          </c:spPr>
          <c:invertIfNegative val="0"/>
          <c:cat>
            <c:strRef>
              <c:f>'Support distribution'!$AD$21:$AD$30</c:f>
              <c:strCache>
                <c:ptCount val="10"/>
                <c:pt idx="0">
                  <c:v>Q1</c:v>
                </c:pt>
                <c:pt idx="1">
                  <c:v>Q2</c:v>
                </c:pt>
                <c:pt idx="2">
                  <c:v>Q3</c:v>
                </c:pt>
                <c:pt idx="3">
                  <c:v>Q4</c:v>
                </c:pt>
                <c:pt idx="4">
                  <c:v>Q5</c:v>
                </c:pt>
                <c:pt idx="5">
                  <c:v>Q6</c:v>
                </c:pt>
                <c:pt idx="6">
                  <c:v>Q7</c:v>
                </c:pt>
                <c:pt idx="7">
                  <c:v>Q8</c:v>
                </c:pt>
                <c:pt idx="8">
                  <c:v>Q9</c:v>
                </c:pt>
                <c:pt idx="9">
                  <c:v>Q10</c:v>
                </c:pt>
              </c:strCache>
            </c:strRef>
          </c:cat>
          <c:val>
            <c:numRef>
              <c:f>'Support distribution'!$Z$21:$Z$30</c:f>
              <c:numCache>
                <c:formatCode>0%</c:formatCode>
                <c:ptCount val="10"/>
                <c:pt idx="0">
                  <c:v>-9.3393128161533001E-3</c:v>
                </c:pt>
                <c:pt idx="1">
                  <c:v>-1.2686504321358E-2</c:v>
                </c:pt>
                <c:pt idx="2">
                  <c:v>-3.5106621343107498E-2</c:v>
                </c:pt>
                <c:pt idx="3">
                  <c:v>-3.65694473336814E-2</c:v>
                </c:pt>
                <c:pt idx="4">
                  <c:v>-5.5787018551693199E-2</c:v>
                </c:pt>
                <c:pt idx="5">
                  <c:v>-7.0876510287836994E-2</c:v>
                </c:pt>
                <c:pt idx="6">
                  <c:v>-9.1059100569225407E-2</c:v>
                </c:pt>
                <c:pt idx="7">
                  <c:v>-0.11732846033050599</c:v>
                </c:pt>
                <c:pt idx="8">
                  <c:v>-0.17139075845559301</c:v>
                </c:pt>
                <c:pt idx="9">
                  <c:v>-0.226656700972695</c:v>
                </c:pt>
              </c:numCache>
            </c:numRef>
          </c:val>
        </c:ser>
        <c:ser>
          <c:idx val="2"/>
          <c:order val="2"/>
          <c:tx>
            <c:strRef>
              <c:f>'Support distribution'!$AA$20</c:f>
              <c:strCache>
                <c:ptCount val="1"/>
                <c:pt idx="0">
                  <c:v>4a</c:v>
                </c:pt>
              </c:strCache>
            </c:strRef>
          </c:tx>
          <c:spPr>
            <a:solidFill>
              <a:srgbClr val="0070C0"/>
            </a:solidFill>
          </c:spPr>
          <c:invertIfNegative val="0"/>
          <c:cat>
            <c:strRef>
              <c:f>'Support distribution'!$AD$21:$AD$30</c:f>
              <c:strCache>
                <c:ptCount val="10"/>
                <c:pt idx="0">
                  <c:v>Q1</c:v>
                </c:pt>
                <c:pt idx="1">
                  <c:v>Q2</c:v>
                </c:pt>
                <c:pt idx="2">
                  <c:v>Q3</c:v>
                </c:pt>
                <c:pt idx="3">
                  <c:v>Q4</c:v>
                </c:pt>
                <c:pt idx="4">
                  <c:v>Q5</c:v>
                </c:pt>
                <c:pt idx="5">
                  <c:v>Q6</c:v>
                </c:pt>
                <c:pt idx="6">
                  <c:v>Q7</c:v>
                </c:pt>
                <c:pt idx="7">
                  <c:v>Q8</c:v>
                </c:pt>
                <c:pt idx="8">
                  <c:v>Q9</c:v>
                </c:pt>
                <c:pt idx="9">
                  <c:v>Q10</c:v>
                </c:pt>
              </c:strCache>
            </c:strRef>
          </c:cat>
          <c:val>
            <c:numRef>
              <c:f>'Support distribution'!$AA$21:$AA$30</c:f>
              <c:numCache>
                <c:formatCode>0%</c:formatCode>
                <c:ptCount val="10"/>
                <c:pt idx="0">
                  <c:v>7.9332909031079493E-2</c:v>
                </c:pt>
                <c:pt idx="1">
                  <c:v>7.4556836830666606E-2</c:v>
                </c:pt>
                <c:pt idx="2">
                  <c:v>3.2498303421552702E-2</c:v>
                </c:pt>
                <c:pt idx="3">
                  <c:v>1.56296212442446E-2</c:v>
                </c:pt>
                <c:pt idx="4">
                  <c:v>-1.5681783480089199E-2</c:v>
                </c:pt>
                <c:pt idx="5">
                  <c:v>-5.6499281070006999E-2</c:v>
                </c:pt>
                <c:pt idx="6">
                  <c:v>-9.1711994158354002E-2</c:v>
                </c:pt>
                <c:pt idx="7">
                  <c:v>-0.14734363418659599</c:v>
                </c:pt>
                <c:pt idx="8">
                  <c:v>-0.21097257311246201</c:v>
                </c:pt>
                <c:pt idx="9">
                  <c:v>-0.20968417242696399</c:v>
                </c:pt>
              </c:numCache>
            </c:numRef>
          </c:val>
        </c:ser>
        <c:ser>
          <c:idx val="3"/>
          <c:order val="3"/>
          <c:tx>
            <c:strRef>
              <c:f>'Support distribution'!$AB$20</c:f>
              <c:strCache>
                <c:ptCount val="1"/>
                <c:pt idx="0">
                  <c:v>4b</c:v>
                </c:pt>
              </c:strCache>
            </c:strRef>
          </c:tx>
          <c:spPr>
            <a:solidFill>
              <a:srgbClr val="00B0F0"/>
            </a:solidFill>
          </c:spPr>
          <c:invertIfNegative val="0"/>
          <c:cat>
            <c:strRef>
              <c:f>'Support distribution'!$AD$21:$AD$30</c:f>
              <c:strCache>
                <c:ptCount val="10"/>
                <c:pt idx="0">
                  <c:v>Q1</c:v>
                </c:pt>
                <c:pt idx="1">
                  <c:v>Q2</c:v>
                </c:pt>
                <c:pt idx="2">
                  <c:v>Q3</c:v>
                </c:pt>
                <c:pt idx="3">
                  <c:v>Q4</c:v>
                </c:pt>
                <c:pt idx="4">
                  <c:v>Q5</c:v>
                </c:pt>
                <c:pt idx="5">
                  <c:v>Q6</c:v>
                </c:pt>
                <c:pt idx="6">
                  <c:v>Q7</c:v>
                </c:pt>
                <c:pt idx="7">
                  <c:v>Q8</c:v>
                </c:pt>
                <c:pt idx="8">
                  <c:v>Q9</c:v>
                </c:pt>
                <c:pt idx="9">
                  <c:v>Q10</c:v>
                </c:pt>
              </c:strCache>
            </c:strRef>
          </c:cat>
          <c:val>
            <c:numRef>
              <c:f>'Support distribution'!$AB$21:$AB$30</c:f>
              <c:numCache>
                <c:formatCode>0%</c:formatCode>
                <c:ptCount val="10"/>
                <c:pt idx="0">
                  <c:v>7.9081163167106394E-2</c:v>
                </c:pt>
                <c:pt idx="1">
                  <c:v>7.4617626205667198E-2</c:v>
                </c:pt>
                <c:pt idx="2">
                  <c:v>3.2549845862804003E-2</c:v>
                </c:pt>
                <c:pt idx="3">
                  <c:v>1.53489634672266E-2</c:v>
                </c:pt>
                <c:pt idx="4">
                  <c:v>-1.5786758382846901E-2</c:v>
                </c:pt>
                <c:pt idx="5">
                  <c:v>-5.6449910852488301E-2</c:v>
                </c:pt>
                <c:pt idx="6">
                  <c:v>-9.1392584186362202E-2</c:v>
                </c:pt>
                <c:pt idx="7">
                  <c:v>-0.14756637017480201</c:v>
                </c:pt>
                <c:pt idx="8">
                  <c:v>-0.211047539382236</c:v>
                </c:pt>
                <c:pt idx="9">
                  <c:v>-0.21029834381413701</c:v>
                </c:pt>
              </c:numCache>
            </c:numRef>
          </c:val>
        </c:ser>
        <c:ser>
          <c:idx val="4"/>
          <c:order val="4"/>
          <c:tx>
            <c:strRef>
              <c:f>'Support distribution'!$AC$20</c:f>
              <c:strCache>
                <c:ptCount val="1"/>
                <c:pt idx="0">
                  <c:v>5</c:v>
                </c:pt>
              </c:strCache>
            </c:strRef>
          </c:tx>
          <c:spPr>
            <a:solidFill>
              <a:srgbClr val="FF99FF"/>
            </a:solidFill>
          </c:spPr>
          <c:invertIfNegative val="0"/>
          <c:cat>
            <c:strRef>
              <c:f>'Support distribution'!$AD$21:$AD$30</c:f>
              <c:strCache>
                <c:ptCount val="10"/>
                <c:pt idx="0">
                  <c:v>Q1</c:v>
                </c:pt>
                <c:pt idx="1">
                  <c:v>Q2</c:v>
                </c:pt>
                <c:pt idx="2">
                  <c:v>Q3</c:v>
                </c:pt>
                <c:pt idx="3">
                  <c:v>Q4</c:v>
                </c:pt>
                <c:pt idx="4">
                  <c:v>Q5</c:v>
                </c:pt>
                <c:pt idx="5">
                  <c:v>Q6</c:v>
                </c:pt>
                <c:pt idx="6">
                  <c:v>Q7</c:v>
                </c:pt>
                <c:pt idx="7">
                  <c:v>Q8</c:v>
                </c:pt>
                <c:pt idx="8">
                  <c:v>Q9</c:v>
                </c:pt>
                <c:pt idx="9">
                  <c:v>Q10</c:v>
                </c:pt>
              </c:strCache>
            </c:strRef>
          </c:cat>
          <c:val>
            <c:numRef>
              <c:f>'Support distribution'!$AC$21:$AC$30</c:f>
              <c:numCache>
                <c:formatCode>0%</c:formatCode>
                <c:ptCount val="10"/>
                <c:pt idx="0">
                  <c:v>0.25457119922207899</c:v>
                </c:pt>
                <c:pt idx="1">
                  <c:v>0.109228876537647</c:v>
                </c:pt>
                <c:pt idx="2">
                  <c:v>-1.4774781140019001E-3</c:v>
                </c:pt>
                <c:pt idx="3">
                  <c:v>-3.8225936374446698E-2</c:v>
                </c:pt>
                <c:pt idx="4">
                  <c:v>-7.3389169391672504E-2</c:v>
                </c:pt>
                <c:pt idx="5">
                  <c:v>-0.123047125525353</c:v>
                </c:pt>
                <c:pt idx="6">
                  <c:v>-0.16883898300811701</c:v>
                </c:pt>
                <c:pt idx="7">
                  <c:v>-0.23000188324700499</c:v>
                </c:pt>
                <c:pt idx="8">
                  <c:v>-0.25258785831883601</c:v>
                </c:pt>
                <c:pt idx="9">
                  <c:v>-0.17066500034700599</c:v>
                </c:pt>
              </c:numCache>
            </c:numRef>
          </c:val>
        </c:ser>
        <c:dLbls>
          <c:showLegendKey val="0"/>
          <c:showVal val="0"/>
          <c:showCatName val="0"/>
          <c:showSerName val="0"/>
          <c:showPercent val="0"/>
          <c:showBubbleSize val="0"/>
        </c:dLbls>
        <c:gapWidth val="150"/>
        <c:axId val="139405568"/>
        <c:axId val="139411456"/>
      </c:barChart>
      <c:catAx>
        <c:axId val="139405568"/>
        <c:scaling>
          <c:orientation val="minMax"/>
        </c:scaling>
        <c:delete val="0"/>
        <c:axPos val="b"/>
        <c:majorTickMark val="out"/>
        <c:minorTickMark val="none"/>
        <c:tickLblPos val="low"/>
        <c:crossAx val="139411456"/>
        <c:crosses val="autoZero"/>
        <c:auto val="1"/>
        <c:lblAlgn val="ctr"/>
        <c:lblOffset val="100"/>
        <c:noMultiLvlLbl val="0"/>
      </c:catAx>
      <c:valAx>
        <c:axId val="139411456"/>
        <c:scaling>
          <c:orientation val="minMax"/>
        </c:scaling>
        <c:delete val="0"/>
        <c:axPos val="l"/>
        <c:majorGridlines/>
        <c:numFmt formatCode="0%" sourceLinked="1"/>
        <c:majorTickMark val="out"/>
        <c:minorTickMark val="none"/>
        <c:tickLblPos val="nextTo"/>
        <c:crossAx val="13940556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EU!$A$43</c:f>
              <c:strCache>
                <c:ptCount val="1"/>
                <c:pt idx="0">
                  <c:v>Baseline</c:v>
                </c:pt>
              </c:strCache>
            </c:strRef>
          </c:tx>
          <c:spPr>
            <a:solidFill>
              <a:schemeClr val="tx1">
                <a:lumMod val="75000"/>
                <a:lumOff val="25000"/>
              </a:schemeClr>
            </a:solidFill>
          </c:spPr>
          <c:invertIfNegative val="0"/>
          <c:cat>
            <c:strRef>
              <c:f>EU!$B$42:$E$42</c:f>
              <c:strCache>
                <c:ptCount val="4"/>
                <c:pt idx="0">
                  <c:v>20% of biggest beneficiaries</c:v>
                </c:pt>
                <c:pt idx="1">
                  <c:v>20% biggest farms in terms of area</c:v>
                </c:pt>
                <c:pt idx="2">
                  <c:v>20% biggest farms in terms of AWU</c:v>
                </c:pt>
                <c:pt idx="3">
                  <c:v>20% of farm labour (AWU)</c:v>
                </c:pt>
              </c:strCache>
            </c:strRef>
          </c:cat>
          <c:val>
            <c:numRef>
              <c:f>EU!$B$43:$E$43</c:f>
              <c:numCache>
                <c:formatCode>0.00</c:formatCode>
                <c:ptCount val="4"/>
                <c:pt idx="0">
                  <c:v>73.337735875121638</c:v>
                </c:pt>
                <c:pt idx="1">
                  <c:v>70.348203755219402</c:v>
                </c:pt>
                <c:pt idx="2">
                  <c:v>45.868313916840201</c:v>
                </c:pt>
                <c:pt idx="3">
                  <c:v>65.799622811911831</c:v>
                </c:pt>
              </c:numCache>
            </c:numRef>
          </c:val>
        </c:ser>
        <c:ser>
          <c:idx val="1"/>
          <c:order val="1"/>
          <c:tx>
            <c:strRef>
              <c:f>EU!$A$44</c:f>
              <c:strCache>
                <c:ptCount val="1"/>
                <c:pt idx="0">
                  <c:v>3a</c:v>
                </c:pt>
              </c:strCache>
            </c:strRef>
          </c:tx>
          <c:spPr>
            <a:solidFill>
              <a:srgbClr val="F47710"/>
            </a:solidFill>
          </c:spPr>
          <c:invertIfNegative val="0"/>
          <c:cat>
            <c:strRef>
              <c:f>EU!$B$42:$E$42</c:f>
              <c:strCache>
                <c:ptCount val="4"/>
                <c:pt idx="0">
                  <c:v>20% of biggest beneficiaries</c:v>
                </c:pt>
                <c:pt idx="1">
                  <c:v>20% biggest farms in terms of area</c:v>
                </c:pt>
                <c:pt idx="2">
                  <c:v>20% biggest farms in terms of AWU</c:v>
                </c:pt>
                <c:pt idx="3">
                  <c:v>20% of farm labour (AWU)</c:v>
                </c:pt>
              </c:strCache>
            </c:strRef>
          </c:cat>
          <c:val>
            <c:numRef>
              <c:f>EU!$B$44:$E$44</c:f>
              <c:numCache>
                <c:formatCode>0.00</c:formatCode>
                <c:ptCount val="4"/>
                <c:pt idx="0">
                  <c:v>75.736980447013906</c:v>
                </c:pt>
                <c:pt idx="1">
                  <c:v>71.739421491916175</c:v>
                </c:pt>
                <c:pt idx="2">
                  <c:v>44.666306135121282</c:v>
                </c:pt>
                <c:pt idx="3">
                  <c:v>69.381293429079065</c:v>
                </c:pt>
              </c:numCache>
            </c:numRef>
          </c:val>
        </c:ser>
        <c:ser>
          <c:idx val="2"/>
          <c:order val="2"/>
          <c:tx>
            <c:strRef>
              <c:f>EU!$A$45</c:f>
              <c:strCache>
                <c:ptCount val="1"/>
                <c:pt idx="0">
                  <c:v>3b</c:v>
                </c:pt>
              </c:strCache>
            </c:strRef>
          </c:tx>
          <c:spPr>
            <a:solidFill>
              <a:srgbClr val="FFCC00"/>
            </a:solidFill>
          </c:spPr>
          <c:invertIfNegative val="0"/>
          <c:cat>
            <c:strRef>
              <c:f>EU!$B$42:$E$42</c:f>
              <c:strCache>
                <c:ptCount val="4"/>
                <c:pt idx="0">
                  <c:v>20% of biggest beneficiaries</c:v>
                </c:pt>
                <c:pt idx="1">
                  <c:v>20% biggest farms in terms of area</c:v>
                </c:pt>
                <c:pt idx="2">
                  <c:v>20% biggest farms in terms of AWU</c:v>
                </c:pt>
                <c:pt idx="3">
                  <c:v>20% of farm labour (AWU)</c:v>
                </c:pt>
              </c:strCache>
            </c:strRef>
          </c:cat>
          <c:val>
            <c:numRef>
              <c:f>EU!$B$45:$E$45</c:f>
              <c:numCache>
                <c:formatCode>0.00</c:formatCode>
                <c:ptCount val="4"/>
                <c:pt idx="0">
                  <c:v>71.578730142850489</c:v>
                </c:pt>
                <c:pt idx="1">
                  <c:v>68.286485330895573</c:v>
                </c:pt>
                <c:pt idx="2">
                  <c:v>43.820662094042667</c:v>
                </c:pt>
                <c:pt idx="3">
                  <c:v>65.378357951362403</c:v>
                </c:pt>
              </c:numCache>
            </c:numRef>
          </c:val>
        </c:ser>
        <c:ser>
          <c:idx val="3"/>
          <c:order val="3"/>
          <c:tx>
            <c:strRef>
              <c:f>EU!$A$46</c:f>
              <c:strCache>
                <c:ptCount val="1"/>
                <c:pt idx="0">
                  <c:v>4</c:v>
                </c:pt>
              </c:strCache>
            </c:strRef>
          </c:tx>
          <c:spPr>
            <a:solidFill>
              <a:srgbClr val="00B0F0"/>
            </a:solidFill>
          </c:spPr>
          <c:invertIfNegative val="0"/>
          <c:cat>
            <c:strRef>
              <c:f>EU!$B$42:$E$42</c:f>
              <c:strCache>
                <c:ptCount val="4"/>
                <c:pt idx="0">
                  <c:v>20% of biggest beneficiaries</c:v>
                </c:pt>
                <c:pt idx="1">
                  <c:v>20% biggest farms in terms of area</c:v>
                </c:pt>
                <c:pt idx="2">
                  <c:v>20% biggest farms in terms of AWU</c:v>
                </c:pt>
                <c:pt idx="3">
                  <c:v>20% of farm labour (AWU)</c:v>
                </c:pt>
              </c:strCache>
            </c:strRef>
          </c:cat>
          <c:val>
            <c:numRef>
              <c:f>EU!$B$46:$E$46</c:f>
              <c:numCache>
                <c:formatCode>0.00</c:formatCode>
                <c:ptCount val="4"/>
                <c:pt idx="0">
                  <c:v>74.128891595817052</c:v>
                </c:pt>
                <c:pt idx="1">
                  <c:v>72.585491440464168</c:v>
                </c:pt>
                <c:pt idx="2">
                  <c:v>45.462117576995396</c:v>
                </c:pt>
                <c:pt idx="3">
                  <c:v>67.149083644674036</c:v>
                </c:pt>
              </c:numCache>
            </c:numRef>
          </c:val>
        </c:ser>
        <c:ser>
          <c:idx val="4"/>
          <c:order val="4"/>
          <c:tx>
            <c:strRef>
              <c:f>EU!$A$47</c:f>
              <c:strCache>
                <c:ptCount val="1"/>
                <c:pt idx="0">
                  <c:v>5</c:v>
                </c:pt>
              </c:strCache>
            </c:strRef>
          </c:tx>
          <c:spPr>
            <a:solidFill>
              <a:srgbClr val="FF66FF"/>
            </a:solidFill>
          </c:spPr>
          <c:invertIfNegative val="0"/>
          <c:cat>
            <c:strRef>
              <c:f>EU!$B$42:$E$42</c:f>
              <c:strCache>
                <c:ptCount val="4"/>
                <c:pt idx="0">
                  <c:v>20% of biggest beneficiaries</c:v>
                </c:pt>
                <c:pt idx="1">
                  <c:v>20% biggest farms in terms of area</c:v>
                </c:pt>
                <c:pt idx="2">
                  <c:v>20% biggest farms in terms of AWU</c:v>
                </c:pt>
                <c:pt idx="3">
                  <c:v>20% of farm labour (AWU)</c:v>
                </c:pt>
              </c:strCache>
            </c:strRef>
          </c:cat>
          <c:val>
            <c:numRef>
              <c:f>EU!$B$47:$E$47</c:f>
              <c:numCache>
                <c:formatCode>0.00</c:formatCode>
                <c:ptCount val="4"/>
                <c:pt idx="0">
                  <c:v>67.065000601359642</c:v>
                </c:pt>
                <c:pt idx="1">
                  <c:v>65.074287285912902</c:v>
                </c:pt>
                <c:pt idx="2">
                  <c:v>39.538984181678842</c:v>
                </c:pt>
                <c:pt idx="3">
                  <c:v>62.34724867923449</c:v>
                </c:pt>
              </c:numCache>
            </c:numRef>
          </c:val>
        </c:ser>
        <c:dLbls>
          <c:showLegendKey val="0"/>
          <c:showVal val="0"/>
          <c:showCatName val="0"/>
          <c:showSerName val="0"/>
          <c:showPercent val="0"/>
          <c:showBubbleSize val="0"/>
        </c:dLbls>
        <c:gapWidth val="150"/>
        <c:axId val="139438720"/>
        <c:axId val="139456896"/>
      </c:barChart>
      <c:catAx>
        <c:axId val="139438720"/>
        <c:scaling>
          <c:orientation val="minMax"/>
        </c:scaling>
        <c:delete val="0"/>
        <c:axPos val="b"/>
        <c:majorTickMark val="out"/>
        <c:minorTickMark val="none"/>
        <c:tickLblPos val="nextTo"/>
        <c:txPr>
          <a:bodyPr rot="0" vert="horz"/>
          <a:lstStyle/>
          <a:p>
            <a:pPr>
              <a:defRPr/>
            </a:pPr>
            <a:endParaRPr lang="en-US"/>
          </a:p>
        </c:txPr>
        <c:crossAx val="139456896"/>
        <c:crosses val="autoZero"/>
        <c:auto val="1"/>
        <c:lblAlgn val="ctr"/>
        <c:lblOffset val="100"/>
        <c:noMultiLvlLbl val="0"/>
      </c:catAx>
      <c:valAx>
        <c:axId val="139456896"/>
        <c:scaling>
          <c:orientation val="minMax"/>
          <c:max val="80"/>
          <c:min val="0"/>
        </c:scaling>
        <c:delete val="0"/>
        <c:axPos val="l"/>
        <c:numFmt formatCode="0" sourceLinked="0"/>
        <c:majorTickMark val="out"/>
        <c:minorTickMark val="none"/>
        <c:tickLblPos val="nextTo"/>
        <c:crossAx val="139438720"/>
        <c:crosses val="autoZero"/>
        <c:crossBetween val="between"/>
        <c:majorUnit val="10"/>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'Support distribution'!$Y$34</c:f>
              <c:strCache>
                <c:ptCount val="1"/>
                <c:pt idx="0">
                  <c:v>3a</c:v>
                </c:pt>
              </c:strCache>
            </c:strRef>
          </c:tx>
          <c:spPr>
            <a:solidFill>
              <a:srgbClr val="FF6600"/>
            </a:solidFill>
          </c:spPr>
          <c:invertIfNegative val="0"/>
          <c:cat>
            <c:strRef>
              <c:f>'Support distribution'!$Q$35:$Q$37</c:f>
              <c:strCache>
                <c:ptCount val="3"/>
                <c:pt idx="0">
                  <c:v>No ANC</c:v>
                </c:pt>
                <c:pt idx="1">
                  <c:v>Other ANC</c:v>
                </c:pt>
                <c:pt idx="2">
                  <c:v>ANC mountain</c:v>
                </c:pt>
              </c:strCache>
            </c:strRef>
          </c:cat>
          <c:val>
            <c:numRef>
              <c:f>'Support distribution'!$Y$35:$Y$37</c:f>
              <c:numCache>
                <c:formatCode>0%</c:formatCode>
                <c:ptCount val="3"/>
                <c:pt idx="0">
                  <c:v>-0.16890479999798999</c:v>
                </c:pt>
                <c:pt idx="1">
                  <c:v>-9.2282074309675097E-2</c:v>
                </c:pt>
                <c:pt idx="2">
                  <c:v>-2.7065414607260901E-2</c:v>
                </c:pt>
              </c:numCache>
            </c:numRef>
          </c:val>
        </c:ser>
        <c:ser>
          <c:idx val="2"/>
          <c:order val="1"/>
          <c:tx>
            <c:strRef>
              <c:f>'Support distribution'!$Z$34</c:f>
              <c:strCache>
                <c:ptCount val="1"/>
                <c:pt idx="0">
                  <c:v>3b</c:v>
                </c:pt>
              </c:strCache>
            </c:strRef>
          </c:tx>
          <c:spPr>
            <a:solidFill>
              <a:srgbClr val="FFC000"/>
            </a:solidFill>
          </c:spPr>
          <c:invertIfNegative val="0"/>
          <c:cat>
            <c:strRef>
              <c:f>'Support distribution'!$Q$35:$Q$37</c:f>
              <c:strCache>
                <c:ptCount val="3"/>
                <c:pt idx="0">
                  <c:v>No ANC</c:v>
                </c:pt>
                <c:pt idx="1">
                  <c:v>Other ANC</c:v>
                </c:pt>
                <c:pt idx="2">
                  <c:v>ANC mountain</c:v>
                </c:pt>
              </c:strCache>
            </c:strRef>
          </c:cat>
          <c:val>
            <c:numRef>
              <c:f>'Support distribution'!$Z$35:$Z$37</c:f>
              <c:numCache>
                <c:formatCode>0%</c:formatCode>
                <c:ptCount val="3"/>
                <c:pt idx="0">
                  <c:v>-0.128316059266913</c:v>
                </c:pt>
                <c:pt idx="1">
                  <c:v>-4.6946590637460303E-2</c:v>
                </c:pt>
                <c:pt idx="2">
                  <c:v>1.0160997176778701E-2</c:v>
                </c:pt>
              </c:numCache>
            </c:numRef>
          </c:val>
        </c:ser>
        <c:ser>
          <c:idx val="3"/>
          <c:order val="2"/>
          <c:tx>
            <c:strRef>
              <c:f>'Support distribution'!$AA$34</c:f>
              <c:strCache>
                <c:ptCount val="1"/>
                <c:pt idx="0">
                  <c:v>4a</c:v>
                </c:pt>
              </c:strCache>
            </c:strRef>
          </c:tx>
          <c:spPr>
            <a:solidFill>
              <a:srgbClr val="0070C0"/>
            </a:solidFill>
          </c:spPr>
          <c:invertIfNegative val="0"/>
          <c:cat>
            <c:strRef>
              <c:f>'Support distribution'!$Q$35:$Q$37</c:f>
              <c:strCache>
                <c:ptCount val="3"/>
                <c:pt idx="0">
                  <c:v>No ANC</c:v>
                </c:pt>
                <c:pt idx="1">
                  <c:v>Other ANC</c:v>
                </c:pt>
                <c:pt idx="2">
                  <c:v>ANC mountain</c:v>
                </c:pt>
              </c:strCache>
            </c:strRef>
          </c:cat>
          <c:val>
            <c:numRef>
              <c:f>'Support distribution'!$AA$35:$AA$37</c:f>
              <c:numCache>
                <c:formatCode>0%</c:formatCode>
                <c:ptCount val="3"/>
                <c:pt idx="0">
                  <c:v>-0.107864265909347</c:v>
                </c:pt>
                <c:pt idx="1">
                  <c:v>3.8055125078877402E-3</c:v>
                </c:pt>
                <c:pt idx="2">
                  <c:v>4.7656145241630601E-2</c:v>
                </c:pt>
              </c:numCache>
            </c:numRef>
          </c:val>
        </c:ser>
        <c:ser>
          <c:idx val="0"/>
          <c:order val="3"/>
          <c:tx>
            <c:strRef>
              <c:f>'Support distribution'!$AB$34</c:f>
              <c:strCache>
                <c:ptCount val="1"/>
                <c:pt idx="0">
                  <c:v>4b</c:v>
                </c:pt>
              </c:strCache>
            </c:strRef>
          </c:tx>
          <c:spPr>
            <a:solidFill>
              <a:srgbClr val="00B0F0"/>
            </a:solidFill>
          </c:spPr>
          <c:invertIfNegative val="0"/>
          <c:cat>
            <c:strRef>
              <c:f>'Support distribution'!$Q$35:$Q$37</c:f>
              <c:strCache>
                <c:ptCount val="3"/>
                <c:pt idx="0">
                  <c:v>No ANC</c:v>
                </c:pt>
                <c:pt idx="1">
                  <c:v>Other ANC</c:v>
                </c:pt>
                <c:pt idx="2">
                  <c:v>ANC mountain</c:v>
                </c:pt>
              </c:strCache>
            </c:strRef>
          </c:cat>
          <c:val>
            <c:numRef>
              <c:f>'Support distribution'!$AB$35:$AB$37</c:f>
              <c:numCache>
                <c:formatCode>0%</c:formatCode>
                <c:ptCount val="3"/>
                <c:pt idx="0">
                  <c:v>-0.10800433605199999</c:v>
                </c:pt>
                <c:pt idx="1">
                  <c:v>3.8426512049958301E-3</c:v>
                </c:pt>
                <c:pt idx="2">
                  <c:v>4.7590905882538802E-2</c:v>
                </c:pt>
              </c:numCache>
            </c:numRef>
          </c:val>
        </c:ser>
        <c:ser>
          <c:idx val="4"/>
          <c:order val="4"/>
          <c:tx>
            <c:strRef>
              <c:f>'Support distribution'!$AC$34</c:f>
              <c:strCache>
                <c:ptCount val="1"/>
                <c:pt idx="0">
                  <c:v>5</c:v>
                </c:pt>
              </c:strCache>
            </c:strRef>
          </c:tx>
          <c:spPr>
            <a:solidFill>
              <a:srgbClr val="FF99FF"/>
            </a:solidFill>
          </c:spPr>
          <c:invertIfNegative val="0"/>
          <c:cat>
            <c:strRef>
              <c:f>'Support distribution'!$Q$35:$Q$37</c:f>
              <c:strCache>
                <c:ptCount val="3"/>
                <c:pt idx="0">
                  <c:v>No ANC</c:v>
                </c:pt>
                <c:pt idx="1">
                  <c:v>Other ANC</c:v>
                </c:pt>
                <c:pt idx="2">
                  <c:v>ANC mountain</c:v>
                </c:pt>
              </c:strCache>
            </c:strRef>
          </c:cat>
          <c:val>
            <c:numRef>
              <c:f>'Support distribution'!$AC$35:$AC$37</c:f>
              <c:numCache>
                <c:formatCode>0%</c:formatCode>
                <c:ptCount val="3"/>
                <c:pt idx="0">
                  <c:v>-0.225189333361906</c:v>
                </c:pt>
                <c:pt idx="1">
                  <c:v>1.21179662005835E-2</c:v>
                </c:pt>
                <c:pt idx="2">
                  <c:v>0.215443179024323</c:v>
                </c:pt>
              </c:numCache>
            </c:numRef>
          </c:val>
        </c:ser>
        <c:dLbls>
          <c:showLegendKey val="0"/>
          <c:showVal val="0"/>
          <c:showCatName val="0"/>
          <c:showSerName val="0"/>
          <c:showPercent val="0"/>
          <c:showBubbleSize val="0"/>
        </c:dLbls>
        <c:gapWidth val="150"/>
        <c:axId val="131283968"/>
        <c:axId val="131289856"/>
      </c:barChart>
      <c:catAx>
        <c:axId val="131283968"/>
        <c:scaling>
          <c:orientation val="minMax"/>
        </c:scaling>
        <c:delete val="0"/>
        <c:axPos val="b"/>
        <c:majorTickMark val="out"/>
        <c:minorTickMark val="none"/>
        <c:tickLblPos val="low"/>
        <c:crossAx val="131289856"/>
        <c:crosses val="autoZero"/>
        <c:auto val="1"/>
        <c:lblAlgn val="ctr"/>
        <c:lblOffset val="100"/>
        <c:noMultiLvlLbl val="0"/>
      </c:catAx>
      <c:valAx>
        <c:axId val="131289856"/>
        <c:scaling>
          <c:orientation val="minMax"/>
        </c:scaling>
        <c:delete val="0"/>
        <c:axPos val="l"/>
        <c:majorGridlines/>
        <c:numFmt formatCode="0%" sourceLinked="1"/>
        <c:majorTickMark val="out"/>
        <c:minorTickMark val="none"/>
        <c:tickLblPos val="nextTo"/>
        <c:crossAx val="131283968"/>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5"/>
          <c:order val="0"/>
          <c:tx>
            <c:strRef>
              <c:f>FNVA_absolute!$C$49</c:f>
              <c:strCache>
                <c:ptCount val="1"/>
                <c:pt idx="0">
                  <c:v>Baseline</c:v>
                </c:pt>
              </c:strCache>
            </c:strRef>
          </c:tx>
          <c:spPr>
            <a:solidFill>
              <a:schemeClr val="tx1"/>
            </a:solidFill>
          </c:spPr>
          <c:invertIfNegative val="0"/>
          <c:cat>
            <c:strRef>
              <c:f>FNVA_absolute!$A$50:$B$53</c:f>
              <c:strCache>
                <c:ptCount val="4"/>
                <c:pt idx="0">
                  <c:v>EU</c:v>
                </c:pt>
                <c:pt idx="1">
                  <c:v>ANC mountain</c:v>
                </c:pt>
                <c:pt idx="2">
                  <c:v>Other ANC</c:v>
                </c:pt>
                <c:pt idx="3">
                  <c:v>No ANC</c:v>
                </c:pt>
              </c:strCache>
            </c:strRef>
          </c:cat>
          <c:val>
            <c:numRef>
              <c:f>FNVA_absolute!$C$50:$C$53</c:f>
              <c:numCache>
                <c:formatCode>#,##0.0</c:formatCode>
                <c:ptCount val="4"/>
                <c:pt idx="0">
                  <c:v>28671.114001111629</c:v>
                </c:pt>
                <c:pt idx="1">
                  <c:v>21236.295869991842</c:v>
                </c:pt>
                <c:pt idx="2">
                  <c:v>22831.376570251919</c:v>
                </c:pt>
                <c:pt idx="3">
                  <c:v>34632.169313396997</c:v>
                </c:pt>
              </c:numCache>
            </c:numRef>
          </c:val>
        </c:ser>
        <c:ser>
          <c:idx val="3"/>
          <c:order val="1"/>
          <c:tx>
            <c:v>1</c:v>
          </c:tx>
          <c:spPr>
            <a:solidFill>
              <a:schemeClr val="tx1">
                <a:lumMod val="50000"/>
                <a:lumOff val="50000"/>
              </a:schemeClr>
            </a:solidFill>
          </c:spPr>
          <c:invertIfNegative val="0"/>
          <c:cat>
            <c:strRef>
              <c:f>FNVA_absolute!$A$50:$B$53</c:f>
              <c:strCache>
                <c:ptCount val="4"/>
                <c:pt idx="0">
                  <c:v>EU</c:v>
                </c:pt>
                <c:pt idx="1">
                  <c:v>ANC mountain</c:v>
                </c:pt>
                <c:pt idx="2">
                  <c:v>Other ANC</c:v>
                </c:pt>
                <c:pt idx="3">
                  <c:v>No ANC</c:v>
                </c:pt>
              </c:strCache>
            </c:strRef>
          </c:cat>
          <c:val>
            <c:numRef>
              <c:f>FNVA_absolute!$D$50:$D$53</c:f>
              <c:numCache>
                <c:formatCode>#,##0.0</c:formatCode>
                <c:ptCount val="4"/>
                <c:pt idx="0">
                  <c:v>28037.878594347989</c:v>
                </c:pt>
                <c:pt idx="1">
                  <c:v>20471.12121477957</c:v>
                </c:pt>
                <c:pt idx="2">
                  <c:v>22108.063581780811</c:v>
                </c:pt>
                <c:pt idx="3">
                  <c:v>34093.2571552671</c:v>
                </c:pt>
              </c:numCache>
            </c:numRef>
          </c:val>
        </c:ser>
        <c:ser>
          <c:idx val="0"/>
          <c:order val="2"/>
          <c:tx>
            <c:v>3a</c:v>
          </c:tx>
          <c:spPr>
            <a:solidFill>
              <a:srgbClr val="FF6600"/>
            </a:solidFill>
          </c:spPr>
          <c:invertIfNegative val="0"/>
          <c:cat>
            <c:strRef>
              <c:f>FNVA_absolute!$A$50:$B$53</c:f>
              <c:strCache>
                <c:ptCount val="4"/>
                <c:pt idx="0">
                  <c:v>EU</c:v>
                </c:pt>
                <c:pt idx="1">
                  <c:v>ANC mountain</c:v>
                </c:pt>
                <c:pt idx="2">
                  <c:v>Other ANC</c:v>
                </c:pt>
                <c:pt idx="3">
                  <c:v>No ANC</c:v>
                </c:pt>
              </c:strCache>
            </c:strRef>
          </c:cat>
          <c:val>
            <c:numRef>
              <c:f>FNVA_absolute!$F$50:$F$53</c:f>
              <c:numCache>
                <c:formatCode>#,##0.0</c:formatCode>
                <c:ptCount val="4"/>
                <c:pt idx="0">
                  <c:v>25345.995985435369</c:v>
                </c:pt>
                <c:pt idx="1">
                  <c:v>19190.15383572815</c:v>
                </c:pt>
                <c:pt idx="2">
                  <c:v>20294.819850264099</c:v>
                </c:pt>
                <c:pt idx="3">
                  <c:v>30419.579853828251</c:v>
                </c:pt>
              </c:numCache>
            </c:numRef>
          </c:val>
        </c:ser>
        <c:ser>
          <c:idx val="1"/>
          <c:order val="3"/>
          <c:tx>
            <c:v>3b</c:v>
          </c:tx>
          <c:spPr>
            <a:solidFill>
              <a:srgbClr val="FFC000"/>
            </a:solidFill>
          </c:spPr>
          <c:invertIfNegative val="0"/>
          <c:cat>
            <c:strRef>
              <c:f>FNVA_absolute!$A$50:$B$53</c:f>
              <c:strCache>
                <c:ptCount val="4"/>
                <c:pt idx="0">
                  <c:v>EU</c:v>
                </c:pt>
                <c:pt idx="1">
                  <c:v>ANC mountain</c:v>
                </c:pt>
                <c:pt idx="2">
                  <c:v>Other ANC</c:v>
                </c:pt>
                <c:pt idx="3">
                  <c:v>No ANC</c:v>
                </c:pt>
              </c:strCache>
            </c:strRef>
          </c:cat>
          <c:val>
            <c:numRef>
              <c:f>FNVA_absolute!$G$50:$G$53</c:f>
              <c:numCache>
                <c:formatCode>#,##0.0</c:formatCode>
                <c:ptCount val="4"/>
                <c:pt idx="0">
                  <c:v>26718.885352317699</c:v>
                </c:pt>
                <c:pt idx="1">
                  <c:v>20190.5330935036</c:v>
                </c:pt>
                <c:pt idx="2">
                  <c:v>21398.986198476399</c:v>
                </c:pt>
                <c:pt idx="3">
                  <c:v>32076.643460434439</c:v>
                </c:pt>
              </c:numCache>
            </c:numRef>
          </c:val>
        </c:ser>
        <c:ser>
          <c:idx val="2"/>
          <c:order val="4"/>
          <c:tx>
            <c:v>4a</c:v>
          </c:tx>
          <c:spPr>
            <a:solidFill>
              <a:srgbClr val="0070C0"/>
            </a:solidFill>
          </c:spPr>
          <c:invertIfNegative val="0"/>
          <c:cat>
            <c:strRef>
              <c:f>FNVA_absolute!$A$50:$B$53</c:f>
              <c:strCache>
                <c:ptCount val="4"/>
                <c:pt idx="0">
                  <c:v>EU</c:v>
                </c:pt>
                <c:pt idx="1">
                  <c:v>ANC mountain</c:v>
                </c:pt>
                <c:pt idx="2">
                  <c:v>Other ANC</c:v>
                </c:pt>
                <c:pt idx="3">
                  <c:v>No ANC</c:v>
                </c:pt>
              </c:strCache>
            </c:strRef>
          </c:cat>
          <c:val>
            <c:numRef>
              <c:f>FNVA_absolute!$H$50:$H$53</c:f>
              <c:numCache>
                <c:formatCode>#,##0.0</c:formatCode>
                <c:ptCount val="4"/>
                <c:pt idx="0">
                  <c:v>25861.86721621317</c:v>
                </c:pt>
                <c:pt idx="1">
                  <c:v>19938.256764501639</c:v>
                </c:pt>
                <c:pt idx="2">
                  <c:v>21062.7004607622</c:v>
                </c:pt>
                <c:pt idx="3">
                  <c:v>30710.025637711449</c:v>
                </c:pt>
              </c:numCache>
            </c:numRef>
          </c:val>
        </c:ser>
        <c:ser>
          <c:idx val="6"/>
          <c:order val="5"/>
          <c:tx>
            <c:v>4b</c:v>
          </c:tx>
          <c:spPr>
            <a:solidFill>
              <a:srgbClr val="00B0F0"/>
            </a:solidFill>
          </c:spPr>
          <c:invertIfNegative val="0"/>
          <c:cat>
            <c:strRef>
              <c:f>FNVA_absolute!$A$50:$B$53</c:f>
              <c:strCache>
                <c:ptCount val="4"/>
                <c:pt idx="0">
                  <c:v>EU</c:v>
                </c:pt>
                <c:pt idx="1">
                  <c:v>ANC mountain</c:v>
                </c:pt>
                <c:pt idx="2">
                  <c:v>Other ANC</c:v>
                </c:pt>
                <c:pt idx="3">
                  <c:v>No ANC</c:v>
                </c:pt>
              </c:strCache>
            </c:strRef>
          </c:cat>
          <c:val>
            <c:numRef>
              <c:f>FNVA_absolute!$I$50:$I$53</c:f>
              <c:numCache>
                <c:formatCode>#,##0.0</c:formatCode>
                <c:ptCount val="4"/>
                <c:pt idx="0">
                  <c:v>26729.246156090601</c:v>
                </c:pt>
                <c:pt idx="1">
                  <c:v>20203.732425347898</c:v>
                </c:pt>
                <c:pt idx="2">
                  <c:v>21516.016499294161</c:v>
                </c:pt>
                <c:pt idx="3">
                  <c:v>32020.017648174409</c:v>
                </c:pt>
              </c:numCache>
            </c:numRef>
          </c:val>
        </c:ser>
        <c:ser>
          <c:idx val="4"/>
          <c:order val="6"/>
          <c:tx>
            <c:v>5</c:v>
          </c:tx>
          <c:spPr>
            <a:solidFill>
              <a:srgbClr val="FF99FF"/>
            </a:solidFill>
          </c:spPr>
          <c:invertIfNegative val="0"/>
          <c:cat>
            <c:strRef>
              <c:f>FNVA_absolute!$A$50:$B$53</c:f>
              <c:strCache>
                <c:ptCount val="4"/>
                <c:pt idx="0">
                  <c:v>EU</c:v>
                </c:pt>
                <c:pt idx="1">
                  <c:v>ANC mountain</c:v>
                </c:pt>
                <c:pt idx="2">
                  <c:v>Other ANC</c:v>
                </c:pt>
                <c:pt idx="3">
                  <c:v>No ANC</c:v>
                </c:pt>
              </c:strCache>
            </c:strRef>
          </c:cat>
          <c:val>
            <c:numRef>
              <c:f>FNVA_absolute!$J$50:$J$53</c:f>
              <c:numCache>
                <c:formatCode>#,##0.0</c:formatCode>
                <c:ptCount val="4"/>
                <c:pt idx="0">
                  <c:v>26582.385854626751</c:v>
                </c:pt>
                <c:pt idx="1">
                  <c:v>21400.594770637319</c:v>
                </c:pt>
                <c:pt idx="2">
                  <c:v>21489.025078987019</c:v>
                </c:pt>
                <c:pt idx="3">
                  <c:v>31387.657901494909</c:v>
                </c:pt>
              </c:numCache>
            </c:numRef>
          </c:val>
        </c:ser>
        <c:dLbls>
          <c:showLegendKey val="0"/>
          <c:showVal val="0"/>
          <c:showCatName val="0"/>
          <c:showSerName val="0"/>
          <c:showPercent val="0"/>
          <c:showBubbleSize val="0"/>
        </c:dLbls>
        <c:gapWidth val="150"/>
        <c:axId val="131327488"/>
        <c:axId val="131329024"/>
      </c:barChart>
      <c:catAx>
        <c:axId val="131327488"/>
        <c:scaling>
          <c:orientation val="minMax"/>
        </c:scaling>
        <c:delete val="0"/>
        <c:axPos val="b"/>
        <c:majorTickMark val="out"/>
        <c:minorTickMark val="none"/>
        <c:tickLblPos val="low"/>
        <c:crossAx val="131329024"/>
        <c:crosses val="autoZero"/>
        <c:auto val="1"/>
        <c:lblAlgn val="ctr"/>
        <c:lblOffset val="100"/>
        <c:noMultiLvlLbl val="0"/>
      </c:catAx>
      <c:valAx>
        <c:axId val="131329024"/>
        <c:scaling>
          <c:orientation val="minMax"/>
          <c:max val="35000"/>
        </c:scaling>
        <c:delete val="0"/>
        <c:axPos val="l"/>
        <c:majorGridlines/>
        <c:numFmt formatCode="#,##0" sourceLinked="0"/>
        <c:majorTickMark val="out"/>
        <c:minorTickMark val="none"/>
        <c:tickLblPos val="nextTo"/>
        <c:crossAx val="131327488"/>
        <c:crosses val="autoZero"/>
        <c:crossBetween val="between"/>
      </c:valAx>
    </c:plotArea>
    <c:legend>
      <c:legendPos val="b"/>
      <c:layout>
        <c:manualLayout>
          <c:xMode val="edge"/>
          <c:yMode val="edge"/>
          <c:x val="0.182450498575499"/>
          <c:y val="0.87085879629629703"/>
          <c:w val="0.74767022792022797"/>
          <c:h val="9.3282407407407397E-2"/>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F0F2C-B9DE-4CAC-AA5D-AF00E4AF8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181</Pages>
  <Words>72298</Words>
  <Characters>391857</Characters>
  <Application>Microsoft Office Word</Application>
  <DocSecurity>0</DocSecurity>
  <Lines>11195</Lines>
  <Paragraphs>6188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WADHWANIA Nadia (MARE-EXT)</cp:lastModifiedBy>
  <cp:revision>20</cp:revision>
  <cp:lastPrinted>2018-05-25T10:06:00Z</cp:lastPrinted>
  <dcterms:created xsi:type="dcterms:W3CDTF">2018-05-25T10:06:00Z</dcterms:created>
  <dcterms:modified xsi:type="dcterms:W3CDTF">2018-05-30T13:49:00Z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3</vt:lpwstr>
  </property>
  <property fmtid="{D5CDD505-2E9C-101B-9397-08002B2CF9AE}" pid="4" name="Level of sensitivity">
    <vt:lpwstr>Standard treatment</vt:lpwstr>
  </property>
  <property fmtid="{D5CDD505-2E9C-101B-9397-08002B2CF9AE}" pid="5" name="DocStatus">
    <vt:lpwstr>Green</vt:lpwstr>
  </property>
</Properties>
</file>