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E00E0A6-86C2-4714-AF17-FFD9B5B2973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Споразумението за партньорство в областта на рибарството между Република Кот д’Ивоар и Европейската общност влезе в сила на 18 април 2008 г. Последният протокол към споразумението влезе в сила на 1 юли 2013 г. и неговият срок изтече на 30 юни 2018 г. </w:t>
      </w:r>
    </w:p>
    <w:p>
      <w:pPr>
        <w:pBdr>
          <w:top w:val="nil"/>
          <w:left w:val="nil"/>
          <w:bottom w:val="nil"/>
          <w:right w:val="nil"/>
          <w:between w:val="nil"/>
          <w:bar w:val="nil"/>
        </w:pBdr>
        <w:spacing w:before="0" w:after="240"/>
        <w:rPr>
          <w:rFonts w:eastAsia="Arial Unicode MS"/>
          <w:noProof/>
        </w:rPr>
      </w:pPr>
      <w:r>
        <w:rPr>
          <w:noProof/>
        </w:rPr>
        <w:t>Въз основа на 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Кот д’Ивоар с оглед на сключването на нов протокол към Споразумението за партньорство в областта на рибарството между Европейския съюз и Република Кот д’Ивоар</w:t>
      </w:r>
      <w:r>
        <w:rPr>
          <w:rStyle w:val="FootnoteReference"/>
          <w:noProof/>
        </w:rPr>
        <w:footnoteReference w:id="2"/>
      </w:r>
      <w:r>
        <w:rPr>
          <w:noProof/>
        </w:rPr>
        <w:t>. След приключването на тези преговори, на 16 март 2018 г. бе парафиран нов протокол. Протоколът обхваща период от шест години, считано от датата на започване на временното му прилагане, т.е. датата на подписването му, както е посочено в член 13 от него.</w:t>
      </w:r>
    </w:p>
    <w:p>
      <w:pPr>
        <w:pStyle w:val="ManualHeading2"/>
        <w:rPr>
          <w:rFonts w:eastAsia="Arial Unicode MS"/>
          <w:noProof/>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Основната цел на новия протокол е да се предоставят възможности за риболов на корабите на Съюза във водите на Кот д’Ивоар въз основа на най-добрите налични научни становища и при спазване на препоръките на Международната комисия за опазване на рибата тон в Атлантическия океан (ICCAT). С новия протокол се вземат предвид резултатите от оценката на предишния протокол (2013—2018 г.) и на прогнозна оценка на възможността да се сключи нов протокол. И двете оценки са извършени от външни експерти. Протоколът също така ще позволи на Европейския съюз и на Република Кот д’Ивоар да работят в по-тясно сътрудничество, за да насърчават отговорното използване на рибните ресурси във водите на Кот д’Ивоар и да подкрепят усилията на тази държава за развитието на нейната синя икономика в интерес и на двете страни. </w:t>
      </w:r>
    </w:p>
    <w:p>
      <w:pPr>
        <w:pBdr>
          <w:top w:val="nil"/>
          <w:left w:val="nil"/>
          <w:bottom w:val="nil"/>
          <w:right w:val="nil"/>
          <w:between w:val="nil"/>
          <w:bar w:val="nil"/>
        </w:pBdr>
        <w:spacing w:before="0" w:after="240"/>
        <w:rPr>
          <w:noProof/>
        </w:rPr>
      </w:pPr>
      <w:r>
        <w:rPr>
          <w:noProof/>
        </w:rPr>
        <w:t>Протоколът предвижда възможности за риболов в следните категории:</w:t>
      </w:r>
    </w:p>
    <w:p>
      <w:pPr>
        <w:pBdr>
          <w:top w:val="nil"/>
          <w:left w:val="nil"/>
          <w:bottom w:val="nil"/>
          <w:right w:val="nil"/>
          <w:between w:val="nil"/>
          <w:bar w:val="nil"/>
        </w:pBdr>
        <w:spacing w:before="0" w:after="240"/>
        <w:rPr>
          <w:noProof/>
        </w:rPr>
      </w:pPr>
      <w:r>
        <w:rPr>
          <w:noProof/>
        </w:rPr>
        <w:t>–</w:t>
      </w:r>
      <w:r>
        <w:rPr>
          <w:noProof/>
        </w:rPr>
        <w:tab/>
        <w:t>28 кораба с мрежи гъргър за улов на риба тон с оборудване за дълбоко замразяване;</w:t>
      </w:r>
    </w:p>
    <w:p>
      <w:pPr>
        <w:pBdr>
          <w:top w:val="nil"/>
          <w:left w:val="nil"/>
          <w:bottom w:val="nil"/>
          <w:right w:val="nil"/>
          <w:between w:val="nil"/>
          <w:bar w:val="nil"/>
        </w:pBdr>
        <w:spacing w:before="0" w:after="240"/>
        <w:rPr>
          <w:rFonts w:eastAsia="Arial Unicode MS"/>
          <w:noProof/>
        </w:rPr>
      </w:pPr>
      <w:r>
        <w:rPr>
          <w:noProof/>
        </w:rPr>
        <w:t>–</w:t>
      </w:r>
      <w:r>
        <w:rPr>
          <w:noProof/>
        </w:rPr>
        <w:tab/>
        <w:t>8 кораба с парагади за улов на повърхността.</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Преговорите за нов протокол към Споразумението за партньорство в областта на рибарството с Кот д’Ивоар се вписват в рамките на външната дейност на Съюза по отношение на страните от АКТБ и с тях се вземат предвид по-специално целите на ЕС в областта на спазването на демократичните принципи и правата на човека.</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2.</w:t>
      </w:r>
      <w:r>
        <w:rPr>
          <w:noProof/>
        </w:rPr>
        <w:tab/>
        <w:t>РЕЗУЛТАТИ ОТ ПОСЛЕДВАЩИТЕ ОЦЕНКИ, КОНСУЛТАЦИИТЕ СЪС ЗАИНТЕРЕСОВАНИТЕ СТРАНИ И ОЦЕНКИТЕ НА ВЪЗДЕЙСТВИЕТО</w:t>
      </w:r>
    </w:p>
    <w:p>
      <w:pPr>
        <w:rPr>
          <w:noProof/>
        </w:rPr>
      </w:pPr>
      <w:r>
        <w:rPr>
          <w:noProof/>
        </w:rPr>
        <w:t>През 2017 г. Комисията извърши последваща оценка на сега действащия протокол към Споразумението за партньорство в областта на рибарството между Европейския съюз и Кот д’Ивоар, както и предварителна оценка на евентуалното подновяване на протокола. Заключенията от оценката са изложени в отделен работен документ</w:t>
      </w:r>
      <w:r>
        <w:rPr>
          <w:rStyle w:val="FootnoteReference"/>
          <w:noProof/>
        </w:rPr>
        <w:footnoteReference w:id="3"/>
      </w:r>
      <w:r>
        <w:rPr>
          <w:noProof/>
        </w:rPr>
        <w:t>.</w:t>
      </w:r>
    </w:p>
    <w:p>
      <w:pPr>
        <w:rPr>
          <w:noProof/>
        </w:rPr>
      </w:pPr>
      <w:r>
        <w:rPr>
          <w:noProof/>
        </w:rPr>
        <w:t>В заключенията от оценката се посочва, че секторите на ЕС за улов на риба тон проявяват силен интерес към извършването на риболов в Кот д’Ивоар и че подновяването на протокола ще допринесе за засилване на мониторинга, контрола и надзора, както и за по-доброто управление на рибарството в региона. Значението на Абиджан като едно от основните пристанища за разтоварване и места за преработка в Западна Африка допринася за важността на предвидения нов протокол както за сектора за улов на риба тон на Съюза, така и за държавата партньор.</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представители на органа за управление на рибарството и на гражданското общество на Кот д’Ивоар. Бяха проведени също така консултации в рамките на Консултативния съвет по далечно плаване.</w:t>
      </w:r>
    </w:p>
    <w:p>
      <w:pPr>
        <w:pStyle w:val="ManualHeading1"/>
        <w:rPr>
          <w:noProof/>
        </w:rPr>
      </w:pPr>
      <w:r>
        <w:rPr>
          <w:noProof/>
        </w:rPr>
        <w:t>3.</w:t>
      </w:r>
      <w:r>
        <w:rPr>
          <w:noProof/>
        </w:rPr>
        <w:tab/>
        <w:t>ОТРАЖЕНИЕ ВЪРХУ БЮДЖЕТА</w:t>
      </w:r>
    </w:p>
    <w:p>
      <w:pPr>
        <w:rPr>
          <w:noProof/>
        </w:rPr>
      </w:pPr>
      <w:r>
        <w:rPr>
          <w:noProof/>
        </w:rPr>
        <w:t>Годишното финансово участие възлиза на 682 000 EUR и е въз основа на:</w:t>
      </w:r>
    </w:p>
    <w:p>
      <w:pPr>
        <w:rPr>
          <w:noProof/>
        </w:rPr>
      </w:pPr>
      <w:r>
        <w:rPr>
          <w:noProof/>
        </w:rPr>
        <w:t xml:space="preserve">а) референтен тонаж от 5 500 тона, за който е определена годишна сума за достъп в размер на 330 000 EUR за първите две години от прилагането на протокола и 275 000 EUR за оставащите години (от третата до шестата); </w:t>
      </w:r>
    </w:p>
    <w:p>
      <w:pPr>
        <w:rPr>
          <w:noProof/>
        </w:rPr>
      </w:pPr>
      <w:r>
        <w:rPr>
          <w:noProof/>
        </w:rPr>
        <w:t>б) подкрепа за развитието на секторната политика на Република Кот д’Ивоар в областта на рибарството в размер на 352 000 EUR годишно за първите две години от прилагането на протокола и 407 000 EUR за оставащите години (от третата до шестата). Тази подкрепа отговаря на целите на националната политика в областта на устойчивото управление на сладководните и морските рибни ресурси на Кот д’Ивоар.</w:t>
      </w:r>
    </w:p>
    <w:p>
      <w:pPr>
        <w:rPr>
          <w:noProof/>
        </w:rPr>
        <w:sectPr>
          <w:footerReference w:type="default" r:id="rId16"/>
          <w:footerReference w:type="first" r:id="rId17"/>
          <w:footnotePr>
            <w:numRestart w:val="eachPage"/>
          </w:footnotePr>
          <w:pgSz w:w="11907" w:h="16839"/>
          <w:pgMar w:top="1134" w:right="1417" w:bottom="1134" w:left="1417" w:header="709" w:footer="709" w:gutter="0"/>
          <w:cols w:space="708"/>
          <w:docGrid w:linePitch="360"/>
        </w:sectPr>
      </w:pPr>
    </w:p>
    <w:p>
      <w:pPr>
        <w:pStyle w:val="Rfrenceinterinstitutionnelle"/>
        <w:rPr>
          <w:noProof/>
        </w:rPr>
      </w:pPr>
      <w:r>
        <w:rPr>
          <w:noProof/>
        </w:rPr>
        <w:t>2018/0267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Протокола за прилагане на Споразумението за партньорство в областта на рибарството между Република Кот д’Ивоар и Европейската общност (2018—2024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6, буква а), подточка v) и член 218,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4"/>
      </w:r>
      <w:r>
        <w:rPr>
          <w:noProof/>
        </w:rPr>
        <w:t>,</w:t>
      </w:r>
    </w:p>
    <w:p>
      <w:pPr>
        <w:rPr>
          <w:noProof/>
        </w:rPr>
      </w:pPr>
      <w:r>
        <w:rPr>
          <w:noProof/>
        </w:rPr>
        <w:t>като има предвид, че:</w:t>
      </w:r>
    </w:p>
    <w:p>
      <w:pPr>
        <w:pStyle w:val="ManualConsidrant"/>
        <w:rPr>
          <w:noProof/>
        </w:rPr>
      </w:pPr>
      <w:r>
        <w:t>(1)</w:t>
      </w:r>
      <w:r>
        <w:tab/>
      </w:r>
      <w:r>
        <w:rPr>
          <w:noProof/>
        </w:rPr>
        <w:t>На 17 март 2008 г. Съветът прие Регламент (ЕО) № 242/2008</w:t>
      </w:r>
      <w:r>
        <w:rPr>
          <w:rStyle w:val="FootnoteReference"/>
          <w:noProof/>
        </w:rPr>
        <w:footnoteReference w:id="5"/>
      </w:r>
      <w:r>
        <w:rPr>
          <w:noProof/>
        </w:rPr>
        <w:t xml:space="preserve"> за сключване на Споразумение за партньорство в областта на рибарството между Европейския съюз и Република Кот д’Ивоар (наричано по-долу „споразумението“)</w:t>
      </w:r>
      <w:r>
        <w:rPr>
          <w:rStyle w:val="FootnoteReference"/>
          <w:noProof/>
        </w:rPr>
        <w:footnoteReference w:id="6"/>
      </w:r>
      <w:r>
        <w:rPr>
          <w:noProof/>
        </w:rPr>
        <w:t>, което споразумение бе подновено с мълчаливо съгласие и все още е в сила.</w:t>
      </w:r>
      <w:r>
        <w:rPr>
          <w:noProof/>
        </w:rPr>
        <w:tab/>
      </w:r>
    </w:p>
    <w:p>
      <w:pPr>
        <w:pStyle w:val="ManualConsidrant"/>
        <w:rPr>
          <w:noProof/>
        </w:rPr>
      </w:pPr>
      <w:r>
        <w:t>(2)</w:t>
      </w:r>
      <w:r>
        <w:tab/>
      </w:r>
      <w:r>
        <w:rPr>
          <w:noProof/>
        </w:rPr>
        <w:t>Срокът на последния протокол към това споразумение изтече на 30 юни 2018 г.</w:t>
      </w:r>
    </w:p>
    <w:p>
      <w:pPr>
        <w:pStyle w:val="ManualConsidrant"/>
        <w:rPr>
          <w:noProof/>
        </w:rPr>
      </w:pPr>
      <w:r>
        <w:t>(3)</w:t>
      </w:r>
      <w:r>
        <w:tab/>
      </w:r>
      <w:r>
        <w:rPr>
          <w:noProof/>
        </w:rPr>
        <w:t>Комисията проведе преговори от името на Европейския съюз за нов протокол за прилагане на споразумението (наричан по-долу „протоколът“). След приключването на преговорите, на 16 март 2018 г. бе парафиран проект на нов протокол.</w:t>
      </w:r>
    </w:p>
    <w:p>
      <w:pPr>
        <w:pStyle w:val="ManualConsidrant"/>
        <w:rPr>
          <w:noProof/>
        </w:rPr>
      </w:pPr>
      <w:r>
        <w:t>(4)</w:t>
      </w:r>
      <w:r>
        <w:tab/>
      </w:r>
      <w:r>
        <w:rPr>
          <w:noProof/>
        </w:rPr>
        <w:t>В съответствие с Решение 2018/.../ЕС на Съвета</w:t>
      </w:r>
      <w:r>
        <w:rPr>
          <w:rStyle w:val="FootnoteReference"/>
          <w:noProof/>
        </w:rPr>
        <w:footnoteReference w:id="7"/>
      </w:r>
      <w:r>
        <w:rPr>
          <w:noProof/>
        </w:rPr>
        <w:t xml:space="preserve"> протоколът бе подписан на [да се впише датата на подписване].</w:t>
      </w:r>
    </w:p>
    <w:p>
      <w:pPr>
        <w:pStyle w:val="ManualConsidrant"/>
        <w:rPr>
          <w:noProof/>
        </w:rPr>
      </w:pPr>
      <w:r>
        <w:rPr>
          <w:noProof/>
        </w:rPr>
        <w:t>(5)</w:t>
      </w:r>
      <w:r>
        <w:rPr>
          <w:noProof/>
        </w:rPr>
        <w:tab/>
        <w:t>Протоколът се прилага временно от датата на подписването му.</w:t>
      </w:r>
    </w:p>
    <w:p>
      <w:pPr>
        <w:pStyle w:val="ManualConsidrant"/>
        <w:rPr>
          <w:noProof/>
        </w:rPr>
      </w:pPr>
      <w:r>
        <w:rPr>
          <w:noProof/>
        </w:rPr>
        <w:t>(6)</w:t>
      </w:r>
      <w:r>
        <w:rPr>
          <w:noProof/>
        </w:rPr>
        <w:tab/>
        <w:t xml:space="preserve">Целта на протокола е да се създаде възможност за Европейския съюз и Република Кот д’Ивоар да си сътрудничат по-тясно при насърчаването на политика на устойчиво рибарство и отговорното използване на рибните ресурси във водите на Кот д’Ивоар и да се подкрепят усилията на тази държава за развитие на нейната синя икономика. </w:t>
      </w:r>
    </w:p>
    <w:p>
      <w:pPr>
        <w:pStyle w:val="ManualConsidrant"/>
        <w:rPr>
          <w:noProof/>
        </w:rPr>
      </w:pPr>
      <w:r>
        <w:rPr>
          <w:noProof/>
        </w:rPr>
        <w:t>(7)</w:t>
      </w:r>
      <w:r>
        <w:rPr>
          <w:noProof/>
        </w:rPr>
        <w:tab/>
        <w:t>Протоколът следва да бъде одобрен от името на Съюза.</w:t>
      </w:r>
    </w:p>
    <w:p>
      <w:pPr>
        <w:pStyle w:val="ManualConsidrant"/>
        <w:rPr>
          <w:noProof/>
        </w:rPr>
      </w:pPr>
      <w:r>
        <w:rPr>
          <w:noProof/>
        </w:rPr>
        <w:t>(8)</w:t>
      </w:r>
      <w:r>
        <w:rPr>
          <w:noProof/>
        </w:rPr>
        <w:tab/>
        <w:t>По силата на член 9 от споразумението се създава съвместен комитет, натоварен с контрола по прилагането на споразумението. Освен това в съответствие с член 5, параграф 4 и членове 6 и 7 от протокола съвместният комитет може да одобрява някои изменения в протокола. За да се улесни одобряването на такива изменения, е целесъобразно на Комисията да се предоставят правомощия, при спазване на определени условия, да одобрява измененията по опростена процедура,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Протоколът за прилагане на Споразумението за партньорство в областта на рибарството между Европейската общност и Република Кот д’Ивоар (2018—2024 г.) се одобрява от името на Съюза.</w:t>
      </w:r>
    </w:p>
    <w:p>
      <w:pPr>
        <w:rPr>
          <w:noProof/>
        </w:rPr>
      </w:pPr>
      <w:r>
        <w:rPr>
          <w:noProof/>
        </w:rPr>
        <w:t>Текстът на протокола е приложен към настоящото решение като приложение І.</w:t>
      </w:r>
    </w:p>
    <w:p>
      <w:pPr>
        <w:pStyle w:val="Titrearticle"/>
        <w:rPr>
          <w:noProof/>
        </w:rPr>
      </w:pPr>
      <w:r>
        <w:rPr>
          <w:noProof/>
        </w:rPr>
        <w:t>Член 2</w:t>
      </w:r>
    </w:p>
    <w:p>
      <w:pPr>
        <w:pStyle w:val="Normal1"/>
        <w:rPr>
          <w:noProof/>
          <w:color w:val="000000"/>
        </w:rPr>
      </w:pPr>
      <w:r>
        <w:rPr>
          <w:noProof/>
          <w:color w:val="000000"/>
        </w:rPr>
        <w:t>Генералният секретариат на Съвета изготвя актовете за предоставяне на пълни правомощия за подписване на протокола от името на Съюза на лицето(ата), посочено(и) от преговарящия по протокола, под условие на неговото сключване.</w:t>
      </w:r>
    </w:p>
    <w:p>
      <w:pPr>
        <w:pStyle w:val="Titrearticle"/>
        <w:rPr>
          <w:noProof/>
        </w:rPr>
      </w:pPr>
      <w:r>
        <w:rPr>
          <w:noProof/>
        </w:rPr>
        <w:t>Член 3</w:t>
      </w:r>
    </w:p>
    <w:p>
      <w:pPr>
        <w:rPr>
          <w:noProof/>
        </w:rPr>
      </w:pPr>
      <w:r>
        <w:rPr>
          <w:noProof/>
        </w:rPr>
        <w:t>В съответствие с разпоредбите и условията, посочени в приложение ІІ към настоящото решение, Комисията е оправомощена да одобрява от името на Съюза измененията на протокола, които са приети от съвместния комитет, създаден по силата на член 9 от споразумението.</w:t>
      </w:r>
    </w:p>
    <w:p>
      <w:pPr>
        <w:pStyle w:val="Titrearticle"/>
        <w:rPr>
          <w:noProof/>
        </w:rPr>
      </w:pPr>
      <w:r>
        <w:rPr>
          <w:noProof/>
        </w:rPr>
        <w:t>Член 4</w:t>
      </w:r>
    </w:p>
    <w:p>
      <w:pPr>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Titrearticle"/>
        <w:pageBreakBefore/>
        <w:rPr>
          <w:noProof/>
        </w:rPr>
      </w:pPr>
      <w:r>
        <w:rPr>
          <w:noProof/>
        </w:rPr>
        <w:t>Член 5</w:t>
      </w:r>
    </w:p>
    <w:p>
      <w:pPr>
        <w:keepNext/>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Приети на 3595-ото заседание на Съвета по образование, младеж, култура и спорт на 15 февруари 2018 г.</w:t>
      </w:r>
    </w:p>
  </w:footnote>
  <w:footnote w:id="2">
    <w:p>
      <w:pPr>
        <w:pStyle w:val="FootnoteText"/>
        <w:rPr>
          <w:lang w:val="fr-BE"/>
        </w:rPr>
      </w:pPr>
      <w:r>
        <w:rPr>
          <w:rStyle w:val="FootnoteReference"/>
        </w:rPr>
        <w:footnoteRef/>
      </w:r>
      <w:r>
        <w:tab/>
        <w:t>ОВ L 170, 22.6.2013 г., стр. 2.</w:t>
      </w:r>
    </w:p>
  </w:footnote>
  <w:footnote w:id="3">
    <w:p>
      <w:pPr>
        <w:pStyle w:val="FootnoteText"/>
        <w:rPr>
          <w:lang w:val="fr-BE"/>
        </w:rPr>
      </w:pPr>
      <w:r>
        <w:rPr>
          <w:rStyle w:val="FootnoteReference"/>
        </w:rPr>
        <w:footnoteRef/>
      </w:r>
      <w:r>
        <w:tab/>
        <w:t>SWD(2017) 446 final, 12.12.2017 г.</w:t>
      </w:r>
    </w:p>
  </w:footnote>
  <w:footnote w:id="4">
    <w:p>
      <w:pPr>
        <w:pStyle w:val="FootnoteText"/>
        <w:rPr>
          <w:lang w:val="fr-BE"/>
        </w:rPr>
      </w:pPr>
      <w:r>
        <w:rPr>
          <w:rStyle w:val="FootnoteReference"/>
        </w:rPr>
        <w:footnoteRef/>
      </w:r>
      <w:r>
        <w:tab/>
      </w:r>
    </w:p>
  </w:footnote>
  <w:footnote w:id="5">
    <w:p>
      <w:pPr>
        <w:pStyle w:val="FootnoteText"/>
        <w:ind w:left="0" w:firstLine="0"/>
        <w:rPr>
          <w:lang w:val="fr-BE"/>
        </w:rPr>
      </w:pPr>
      <w:r>
        <w:rPr>
          <w:rStyle w:val="FootnoteReference"/>
        </w:rPr>
        <w:footnoteRef/>
      </w:r>
      <w:r>
        <w:tab/>
        <w:t>ОВ L 75, 18.3.2008 г.</w:t>
      </w:r>
    </w:p>
  </w:footnote>
  <w:footnote w:id="6">
    <w:p>
      <w:pPr>
        <w:pStyle w:val="FootnoteText"/>
        <w:rPr>
          <w:lang w:val="fr-BE"/>
        </w:rPr>
      </w:pPr>
      <w:r>
        <w:rPr>
          <w:rStyle w:val="FootnoteReference"/>
        </w:rPr>
        <w:footnoteRef/>
      </w:r>
      <w:r>
        <w:tab/>
        <w:t>ОВ L 48, 22.2.2008 г.</w:t>
      </w:r>
    </w:p>
  </w:footnote>
  <w:footnote w:id="7">
    <w:p>
      <w:pPr>
        <w:pStyle w:val="FootnoteText"/>
        <w:ind w:left="0" w:firstLine="0"/>
      </w:pPr>
      <w:r>
        <w:rPr>
          <w:rStyle w:val="FootnoteReference"/>
        </w:rPr>
        <w:footnoteRef/>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0E0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D662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608D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D82A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E403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A848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CE2BB2"/>
    <w:lvl w:ilvl="0">
      <w:start w:val="1"/>
      <w:numFmt w:val="decimal"/>
      <w:pStyle w:val="ListNumber"/>
      <w:lvlText w:val="%1."/>
      <w:lvlJc w:val="left"/>
      <w:pPr>
        <w:tabs>
          <w:tab w:val="num" w:pos="360"/>
        </w:tabs>
        <w:ind w:left="360" w:hanging="360"/>
      </w:pPr>
    </w:lvl>
  </w:abstractNum>
  <w:abstractNum w:abstractNumId="7">
    <w:nsid w:val="FFFFFF89"/>
    <w:multiLevelType w:val="singleLevel"/>
    <w:tmpl w:val="563EF5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7-04 16:39: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E00E0A6-86C2-4714-AF17-FFD9B5B29735"/>
    <w:docVar w:name="LW_COVERPAGE_TYPE" w:val="1"/>
    <w:docVar w:name="LW_CROSSREFERENCE" w:val="&lt;UNUSED&gt;"/>
    <w:docVar w:name="LW_DocType" w:val="COM"/>
    <w:docVar w:name="LW_EMISSION" w:val="2.7.2018"/>
    <w:docVar w:name="LW_EMISSION_ISODATE" w:val="2018-07-02"/>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7"/>
    <w:docVar w:name="LW_REF.II.NEW.CP_YEAR" w:val="2018"/>
    <w:docVar w:name="LW_REF.INST.NEW" w:val="COM"/>
    <w:docVar w:name="LW_REF.INST.NEW_ADOPTED" w:val="final"/>
    <w:docVar w:name="LW_REF.INST.NEW_TEXT" w:val="(2018)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55?\u1088?\u1086?\u1090?\u1086?\u1082?\u1086?\u1083?\u1072? \u1079?\u1072? \u1087?\u1088?\u1080?\u1083?\u1072?\u1075?\u1072?\u1085?\u1077? \u1085?\u1072?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56?\u1077?\u1087?\u1091?\u1073?\u1083?\u1080?\u1082?\u1072? \u1050?\u1086?\u1090? \u1076?\u8217?\u1048?\u1074?\u1086?\u1072?\u1088? \u1080? \u1045?\u1074?\u1088?\u1086?\u1087?\u1077?\u1081?\u1089?\u1082?\u1072?\u1090?\u1072? \u1086?\u1073?\u1097?\u1085?\u1086?\u1089?\u1090? (2018\u8212?2024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1">
    <w:name w:val="Normal1"/>
    <w:basedOn w:val="Normal"/>
    <w:pPr>
      <w:spacing w:after="0"/>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1">
    <w:name w:val="Normal1"/>
    <w:basedOn w:val="Normal"/>
    <w:pPr>
      <w:spacing w:after="0"/>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CD1F86-1CE5-43E1-86FE-80C3B4A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1178</Words>
  <Characters>6387</Characters>
  <Application>Microsoft Office Word</Application>
  <DocSecurity>0</DocSecurity>
  <Lines>130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2018-06-28T13:52:00Z</cp:lastPrinted>
  <dcterms:created xsi:type="dcterms:W3CDTF">2018-07-04T09:31:00Z</dcterms:created>
  <dcterms:modified xsi:type="dcterms:W3CDTF">2018-07-04T14:39:00Z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