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D5636E3-1299-42C0-B60B-3193E5DA42CA" style="width:450.8pt;height:393.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98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w:t>
      </w:r>
    </w:p>
    <w:p>
      <w:pPr>
        <w:pBdr>
          <w:top w:val="nil"/>
          <w:left w:val="nil"/>
          <w:bottom w:val="nil"/>
          <w:right w:val="nil"/>
          <w:between w:val="nil"/>
          <w:bar w:val="nil"/>
        </w:pBdr>
        <w:spacing w:before="0" w:after="240"/>
        <w:rPr>
          <w:rFonts w:eastAsia="Arial Unicode MS"/>
          <w:bCs/>
          <w:noProof/>
        </w:rPr>
      </w:pPr>
      <w:r>
        <w:rPr>
          <w:noProof/>
        </w:rPr>
        <w:t>Доминиканската република депозира инструмента за присъединяване към Конвенцията от 1980 г. на 11 август 2004 г. Конвенцията влезе в сила за Доминиканската република на 1 ноември 2004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Доминиканската република и 20 държави — членки на ЕС. Австрия, Дания, Кипър, Люксембург, Обединеното кралство, Португалия, Румъния и Хърватия все още не са приели присъединяването на Доминиканската република към Конвенцията.</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noProof/>
        </w:rPr>
      </w:pPr>
      <w:r>
        <w:rPr>
          <w:noProof/>
        </w:rPr>
        <w:t xml:space="preserve">На 14 октомври 2014 г. в Становище 1/13 Съдът на Европейския съюз прие, че 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 </w:t>
      </w:r>
    </w:p>
    <w:p>
      <w:pPr>
        <w:pBdr>
          <w:top w:val="nil"/>
          <w:left w:val="nil"/>
          <w:bottom w:val="nil"/>
          <w:right w:val="nil"/>
          <w:between w:val="nil"/>
          <w:bar w:val="nil"/>
        </w:pBdr>
        <w:spacing w:before="0" w:after="240"/>
        <w:rPr>
          <w:rFonts w:eastAsia="Arial Unicode MS"/>
          <w:noProof/>
        </w:rPr>
      </w:pPr>
      <w:r>
        <w:rPr>
          <w:noProof/>
        </w:rPr>
        <w:t xml:space="preserve">Съдът наблегна на необходимостта от единност по въпроса на равнището на ЕС, като се избягва променлива геометрия сред държавите членки. </w:t>
      </w:r>
    </w:p>
    <w:p>
      <w:pPr>
        <w:pBdr>
          <w:top w:val="nil"/>
          <w:left w:val="nil"/>
          <w:bottom w:val="nil"/>
          <w:right w:val="nil"/>
          <w:between w:val="nil"/>
          <w:bar w:val="nil"/>
        </w:pBdr>
        <w:spacing w:before="0" w:after="240"/>
        <w:rPr>
          <w:rFonts w:eastAsia="Arial Unicode MS"/>
          <w:noProof/>
        </w:rPr>
      </w:pPr>
      <w:r>
        <w:rPr>
          <w:noProof/>
        </w:rPr>
        <w:t>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Доминиканската република трябва да бъде взето посредством решение на Съвета. Австрия, Дания, Кипър, Люксембург, Обединеното кралство, Португалия, Румъния и Хърватия следва да направят декларацията за приемане във връзка с присъединяването на Доминиканската република в интерес на Европейския съюз.</w:t>
      </w:r>
    </w:p>
    <w:p>
      <w:pPr>
        <w:pBdr>
          <w:top w:val="nil"/>
          <w:left w:val="nil"/>
          <w:bottom w:val="nil"/>
          <w:right w:val="nil"/>
          <w:between w:val="nil"/>
          <w:bar w:val="nil"/>
        </w:pBdr>
        <w:spacing w:before="0" w:after="240"/>
        <w:rPr>
          <w:rFonts w:eastAsia="Arial Unicode MS"/>
          <w:noProof/>
        </w:rPr>
      </w:pPr>
      <w:r>
        <w:rPr>
          <w:noProof/>
        </w:rPr>
        <w:t>Приемането от страна на Австрия, Дания, Кипър, Люксембург, Обединеното кралство, Португалия, Румъния и Хърватия ще доведе до прилагане на Конвенцията от 1980 г. между Доминиканската република и всички държави — членки на ЕС, с изключение на Дания.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 </w:t>
      </w:r>
    </w:p>
    <w:p>
      <w:pPr>
        <w:pBdr>
          <w:top w:val="nil"/>
          <w:left w:val="nil"/>
          <w:bottom w:val="nil"/>
          <w:right w:val="nil"/>
          <w:between w:val="nil"/>
          <w:bar w:val="nil"/>
        </w:pBdr>
        <w:spacing w:before="0" w:after="240"/>
        <w:rPr>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noProof/>
        </w:rPr>
      </w:pPr>
      <w:r>
        <w:rPr>
          <w:noProof/>
        </w:rPr>
        <w:t>Между юни 2015 г. и декември 2017 г. вече бяха приети 14 решения на Съвета с цел да се приеме присъединяването на 20 трети държави (Мароко, Сингапур, Руска федерация, Албания, Андора, Сейшелски острови, Армения, Република Корея, Казахстан, Перу,</w:t>
      </w:r>
      <w:r>
        <w:rPr>
          <w:b/>
          <w:noProof/>
        </w:rPr>
        <w:t xml:space="preserve"> </w:t>
      </w:r>
      <w:r>
        <w:rPr>
          <w:noProof/>
        </w:rPr>
        <w:t>Грузия, Южна Африка, Чили, Исландия, Бахамски острови, Панама, Уругвай, Колумбия, Ел Салвадор и Сан Марино)</w:t>
      </w:r>
      <w:r>
        <w:rPr>
          <w:rStyle w:val="FootnoteReference"/>
          <w:noProof/>
        </w:rPr>
        <w:footnoteReference w:id="1"/>
      </w:r>
      <w:r>
        <w:rPr>
          <w:noProof/>
        </w:rPr>
        <w:t xml:space="preserve"> към Хагската конвенция от 1980 г. за международното отвличане на деца.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Заслужава си да се спомене и връзката с насърчаването на използването на медиация при уреждането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2"/>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разрешаването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необходимото за постигането на целта за съгласувано действие на ЕС в областта на международното отвличане на деца, като гарантира, че Австрия, Кипър, Люксембург, Обединеното кралство, Португалия, Румъния и Хърватия ще приемат присъединяването на Доминиканската република към Хагската конвенция от 1980 г. в рамките на определен срок.</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се консултира с Австрия, Кипър, Люксембург, Обединеното кралство, Португалия, Румъния и Хърватия относно желанието им да приемат присъединяването на Доминиканската република към Конвенцията от 1980 г., като те дадоха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18 април 2018 г., показаха, че на настоящия етап държавите членки нямат възражения Австрия, Кипър, Люксембург, Обединеното кралство, Португалия, Румъния и Хърватия да приемат присъединяването на Доминиканската република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Конвенцията вече е в сила в отношенията между Доминиканската република и 20 държави членки, Комисията и експертите на държавите членки изразиха мнение, че в подобни случаи не е необходимо да се извършва конкретна преценка на положението в съответната трета държава.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14-те решения на Съвета, които вече бяха приети между 2015 г. и 2017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Доминиканската република беше счетено за ненужно, като се имат предвид както фактът, че Конвенцията вече е в сила с 20 държави — членки на ЕС, така и желанието на Австрия, Кипър, Люксембург, Обединеното кралство, Португалия, Румъния и Хърватия да приемат присъединяването на Доминиканската република.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Тъй като предложението се отнася само до даването на разрешение на Австрия, Кипър, Люксембург, Обединеното кралство, Португалия, Румъния и Хърватия да приемат присъединяването на Доминиканската република към Конвенцията от 1980 г., мониторингът за изпълнението му се ограничава до спазването от Австрия, Кипър, Люксембург, Обединеното кралство, Португалия, Румъния и Хърватия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2018/0276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Австрия, Кипър, Люксембург, Обединеното кралство, Португалия, Румъния и Хърватия да приемат, в интерес на Европейския съюз, присъединяването на Доминиканската република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параграф 6, буква б)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4"/>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w:t>
      </w:r>
      <w:r>
        <w:rPr>
          <w:rStyle w:val="FootnoteReference"/>
          <w:noProof/>
        </w:rPr>
        <w:footnoteReference w:id="5"/>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допуска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 xml:space="preserve">Доминиканската република депозира своя документ за присъединяване към Конвенцията от 1980 г. на 11 август 2004 г. Конвенцията влезе в сила за Доминиканската република на 1 ноември 2004 г. </w:t>
      </w:r>
    </w:p>
    <w:p>
      <w:pPr>
        <w:pStyle w:val="ManualConsidrant"/>
        <w:rPr>
          <w:noProof/>
        </w:rPr>
      </w:pPr>
      <w:r>
        <w:t>(11)</w:t>
      </w:r>
      <w:r>
        <w:tab/>
      </w:r>
      <w:r>
        <w:rPr>
          <w:noProof/>
        </w:rPr>
        <w:t>Всички държави членки, с изключение на Австрия, Дания, Кипър, Люксембург, Обединеното кралство, Португалия, Румъния и Хърватия, вече са приели присъединяването на Доминиканската република към Хагската конвенция от 1980 г. Оценката на положението в Доминиканската република доведе до заключението, че Австрия, Кипър, Люксембург, Обединеното кралство, Португалия, Румъния и Хърватия могат да приемат, в интерес на Съюза, присъединяването на Доминиканската република при условията на Хагската конвенция от 1980 г.</w:t>
      </w:r>
    </w:p>
    <w:p>
      <w:pPr>
        <w:pStyle w:val="ManualConsidrant"/>
        <w:rPr>
          <w:noProof/>
        </w:rPr>
      </w:pPr>
      <w:r>
        <w:t>(12)</w:t>
      </w:r>
      <w:r>
        <w:tab/>
      </w:r>
      <w:r>
        <w:rPr>
          <w:noProof/>
        </w:rPr>
        <w:t>Поради това на Австрия, Кипър, Люксембург, Обединеното кралство, Португалия, Румъния и Хърватия следва да бъде разрешено да депозират своите декларации за приемане, в интерес на Съюза, на присъединяването на Доминиканската република в съответствие с условията, изложени в настоящото решение. Другите държави — членки на Съюза, които вече са приели присъединяването на Доминиканската република към Хагската конвенция от 1980 г., не следва да депозират нови декларации за приемане, тъй като съществуващите декларации остават валидни съгласно международното публично право.</w:t>
      </w:r>
    </w:p>
    <w:p>
      <w:pPr>
        <w:pStyle w:val="ManualConsidrant"/>
        <w:rPr>
          <w:noProof/>
        </w:rPr>
      </w:pPr>
      <w:r>
        <w:t>(13)</w:t>
      </w:r>
      <w:r>
        <w:tab/>
      </w:r>
      <w:r>
        <w:rPr>
          <w:noProof/>
        </w:rPr>
        <w:t>Обединеното кралство и Ирландия са обвързани от Регламента „Брюксел IIа“ и поради това участват в приемането и прилагането на настоящото решение.</w:t>
      </w:r>
    </w:p>
    <w:p>
      <w:pPr>
        <w:pStyle w:val="ManualConsidrant"/>
        <w:rPr>
          <w:noProof/>
        </w:rPr>
      </w:pPr>
      <w:r>
        <w:t>(14)</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Австрия, Кипър, Люксембург, Обединеното кралство, Португалия, Румъния и Хърватия се разрешава да приемат, в интерес на Съюза, присъединяването на Доминиканската република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Австрия, Кипър, Люксембург, Обединеното кралство, Португалия, Румъния и Хърватия депозират не по-късно от ... г. [дванадесет месеца след датата на приемане на настоящото решение] декларация за приемане, в интерес на Съюза, на присъединяването на Доминиканската република към Хагската конвенция от 1980 г., формулирана, както следва:</w:t>
      </w:r>
    </w:p>
    <w:p>
      <w:pPr>
        <w:rPr>
          <w:noProof/>
        </w:rPr>
      </w:pPr>
      <w:r>
        <w:rPr>
          <w:noProof/>
        </w:rPr>
        <w:t>„[Пълно наименование на ДЪРЖАВАТА ЧЛЕНКА] декларира, че приема присъединяването на Доминиканската република към Хагската конвенция от 25 октомври 1980 г. за гражданските аспекти на международното отвличане на деца в съответствие с Решение (ЕС) 2018/... на Съвета“.</w:t>
      </w:r>
    </w:p>
    <w:p>
      <w:pPr>
        <w:rPr>
          <w:bCs/>
          <w:noProof/>
        </w:rPr>
      </w:pPr>
      <w:r>
        <w:rPr>
          <w:noProof/>
        </w:rPr>
        <w:t>3.</w:t>
      </w:r>
      <w:r>
        <w:rPr>
          <w:noProof/>
        </w:rPr>
        <w:tab/>
        <w:t>Австрия, Кипър, Люксембург, Обединеното кралство, Португалия, Румъния и Хърватия информират Съвета и Комисията за депозирането на своите декларации за приемане на присъединяването на Доминиканската република и съобщават на Комисията текста на декларациите в двумесечен срок от депозирането им.</w:t>
      </w:r>
    </w:p>
    <w:p>
      <w:pPr>
        <w:pStyle w:val="Titrearticle"/>
        <w:keepNext w:val="0"/>
        <w:rPr>
          <w:noProof/>
        </w:rPr>
      </w:pPr>
      <w:r>
        <w:rPr>
          <w:noProof/>
        </w:rPr>
        <w:t>Член 2</w:t>
      </w:r>
    </w:p>
    <w:p>
      <w:pPr>
        <w:keepLines/>
        <w:rPr>
          <w:noProof/>
        </w:rPr>
      </w:pPr>
      <w:r>
        <w:rPr>
          <w:noProof/>
        </w:rPr>
        <w:t>Настоящото решение поражда действие в деня на нотифицирането му.</w:t>
      </w:r>
    </w:p>
    <w:p>
      <w:pPr>
        <w:pStyle w:val="Titrearticle"/>
        <w:rPr>
          <w:noProof/>
        </w:rPr>
      </w:pPr>
      <w:r>
        <w:rPr>
          <w:noProof/>
        </w:rPr>
        <w:t>Член 3</w:t>
      </w:r>
    </w:p>
    <w:p>
      <w:pPr>
        <w:keepNext/>
        <w:keepLines/>
        <w:rPr>
          <w:noProof/>
        </w:rPr>
      </w:pPr>
      <w:r>
        <w:rPr>
          <w:noProof/>
          <w:color w:val="000000"/>
        </w:rPr>
        <w:t>Адресати на настоящото решение са Австрия, Кипър, Люксембург, Обединеното кралство, Португалия, Румъния и Хърватия.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Приети са вече 14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(ЕС) 2015/1023 на Съвета, прието на 15 юни 2015 г.); </w:t>
      </w:r>
      <w:r>
        <w:rPr>
          <w:b/>
        </w:rPr>
        <w:t>Сейшелските острови</w:t>
      </w:r>
      <w:r>
        <w:t xml:space="preserve"> (Решение (ЕС) 2015/2354 на Съвета, прието на 10 декември 2015 г.); </w:t>
      </w:r>
      <w:r>
        <w:rPr>
          <w:b/>
        </w:rPr>
        <w:t>Русия</w:t>
      </w:r>
      <w:r>
        <w:t xml:space="preserve"> (Решение (ЕС) 2015/2355 на Съвета, прието на 10 декември 2015 г.); </w:t>
      </w:r>
      <w:r>
        <w:rPr>
          <w:b/>
        </w:rPr>
        <w:t>Албания</w:t>
      </w:r>
      <w:r>
        <w:t xml:space="preserve"> (Решение (ЕС) 2015/2356 на Съвета, прието на 10 декември 2015 г.); </w:t>
      </w:r>
      <w:r>
        <w:rPr>
          <w:b/>
        </w:rPr>
        <w:t>Сингапур</w:t>
      </w:r>
      <w:r>
        <w:t xml:space="preserve"> (Решение (ЕС) 2015/1024 на Съвета, прието на 15 юни 2015 г.); </w:t>
      </w:r>
      <w:r>
        <w:rPr>
          <w:b/>
        </w:rPr>
        <w:t>Мароко</w:t>
      </w:r>
      <w:r>
        <w:t xml:space="preserve"> (Решение (ЕС) 2015/2357 на Съвета, прието на 10 декември 2015 г.); </w:t>
      </w:r>
      <w:r>
        <w:rPr>
          <w:b/>
        </w:rPr>
        <w:t>Армения</w:t>
      </w:r>
      <w:r>
        <w:t xml:space="preserve"> (Решение (ЕС) 2015/2358 на Съвета, прието на 10 декември 2015 г.); </w:t>
      </w:r>
      <w:r>
        <w:rPr>
          <w:b/>
        </w:rPr>
        <w:t>Република Корея</w:t>
      </w:r>
      <w:r>
        <w:t xml:space="preserve"> (Решение (ЕС) 2016/2313 на Съвета, прието на 8 декември 2016 г.), </w:t>
      </w:r>
      <w:r>
        <w:rPr>
          <w:b/>
        </w:rPr>
        <w:t>Казахстан</w:t>
      </w:r>
      <w:r>
        <w:t xml:space="preserve"> (Решение (ЕС) 2016/2311 на Съвета, прието на 8 декември 2016 г.), и </w:t>
      </w:r>
      <w:r>
        <w:rPr>
          <w:b/>
        </w:rPr>
        <w:t>Перу</w:t>
      </w:r>
      <w:r>
        <w:t xml:space="preserve"> (Решение (ЕС) 2016/2312 на Съвета, прието на 8 декември 2016 г.);</w:t>
      </w:r>
      <w:r>
        <w:rPr>
          <w:b/>
        </w:rPr>
        <w:t xml:space="preserve"> Грузия </w:t>
      </w:r>
      <w:r>
        <w:t xml:space="preserve">и </w:t>
      </w:r>
      <w:r>
        <w:rPr>
          <w:b/>
        </w:rPr>
        <w:t xml:space="preserve">Южна Африка </w:t>
      </w:r>
      <w:r>
        <w:t>(Решение (ЕС) 2017/2462 на Съвета от 18 декември 2017 г.);</w:t>
      </w:r>
      <w:r>
        <w:rPr>
          <w:b/>
        </w:rPr>
        <w:t xml:space="preserve"> Чили, Исландия</w:t>
      </w:r>
      <w:r>
        <w:t xml:space="preserve"> и </w:t>
      </w:r>
      <w:r>
        <w:rPr>
          <w:b/>
        </w:rPr>
        <w:t xml:space="preserve">Бахамските острови </w:t>
      </w:r>
      <w:r>
        <w:t>(Решение (ЕС) 2017/2424 на Съвета от 18 декември 2017 г.);</w:t>
      </w:r>
      <w:r>
        <w:rPr>
          <w:b/>
          <w:sz w:val="24"/>
        </w:rPr>
        <w:t xml:space="preserve"> </w:t>
      </w:r>
      <w:r>
        <w:rPr>
          <w:b/>
        </w:rPr>
        <w:t>Панама, Уругвай, Колумбия</w:t>
      </w:r>
      <w:r>
        <w:t xml:space="preserve"> и </w:t>
      </w:r>
      <w:r>
        <w:rPr>
          <w:b/>
        </w:rPr>
        <w:t xml:space="preserve">Ел Салвадор </w:t>
      </w:r>
      <w:r>
        <w:t>(Решение (ЕС) 2017/2464 на Съвета от 18 декември 2017 г.);</w:t>
      </w:r>
      <w:r>
        <w:rPr>
          <w:b/>
          <w:sz w:val="24"/>
        </w:rPr>
        <w:t xml:space="preserve"> </w:t>
      </w:r>
      <w:r>
        <w:rPr>
          <w:b/>
        </w:rPr>
        <w:t>Сан Марино</w:t>
      </w:r>
      <w:r>
        <w:t xml:space="preserve"> (Решение (ЕС) 2017/2463 на Съвета от 18 декември 2017 г.).</w:t>
      </w:r>
    </w:p>
  </w:footnote>
  <w:footnote w:id="2">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3">
    <w:p>
      <w:pPr>
        <w:pStyle w:val="FootnoteText"/>
      </w:pPr>
      <w:r>
        <w:rPr>
          <w:rStyle w:val="FootnoteReference"/>
        </w:rPr>
        <w:footnoteRef/>
      </w:r>
      <w:r>
        <w:tab/>
      </w:r>
      <w:hyperlink r:id="rId1">
        <w:r>
          <w:rPr>
            <w:rStyle w:val="Hyperlink"/>
          </w:rPr>
          <w:t>https://www.hcch.net/en/publications-and-studies/details4/?pid=5568&amp;dtid=3</w:t>
        </w:r>
      </w:hyperlink>
    </w:p>
  </w:footnote>
  <w:footnote w:id="4">
    <w:p>
      <w:pPr>
        <w:pStyle w:val="FootnoteText"/>
      </w:pPr>
      <w:r>
        <w:rPr>
          <w:rStyle w:val="FootnoteReference"/>
        </w:rPr>
        <w:footnoteRef/>
      </w:r>
      <w:r>
        <w:tab/>
        <w:t>OВ C ,  г., стp. .</w:t>
      </w:r>
    </w:p>
  </w:footnote>
  <w:footnote w:id="5">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0:38: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5636E3-1299-42C0-B60B-3193E5DA42CA"/>
    <w:docVar w:name="LW_COVERPAGE_TYPE" w:val="1"/>
    <w:docVar w:name="LW_CROSSREFERENCE" w:val="&lt;UNUSED&gt;"/>
    <w:docVar w:name="LW_DocType" w:val="COM"/>
    <w:docVar w:name="LW_EMISSION" w:val="6.7.2018"/>
    <w:docVar w:name="LW_EMISSION_ISODATE" w:val="2018-07-06"/>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6"/>
    <w:docVar w:name="LW_REF.II.NEW.CP_YEAR" w:val="2018"/>
    <w:docVar w:name="LW_REF.INST.NEW" w:val="COM"/>
    <w:docVar w:name="LW_REF.INST.NEW_ADOPTED" w:val="final"/>
    <w:docVar w:name="LW_REF.INST.NEW_TEXT" w:val="(2018)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40?\u1074?\u1089?\u1090?\u1088?\u1080?\u1103?, \u1050?\u1080?\u1087?\u1098?\u1088?, \u1051?\u1102?\u1082?\u1089?\u1077?\u1084?\u1073?\u1091?\u1088?\u1075?, \u1054?\u1073?\u1077?\u1076?\u1080?\u1085?\u1077?\u1085?\u1086?\u1090?\u1086? \u1082?\u1088?\u1072?\u1083?\u1089?\u1090?\u1074?\u1086?, \u1055?\u1086?\u1088?\u1090?\u1091?\u1075?\u1072?\u1083?\u1080?\u1103?, \u1056?\u1091?\u1084?\u1098?\u1085?\u1080?\u1103? \u1080? \u1061?\u1098?\u1088?\u1074?\u1072?\u1090?\u1080?\u1103? \u1076?\u1072? \u1087?\u1088?\u1080?\u1077?\u1084?\u1072?\u1090?, \u1074? \u1080?\u1085?\u1090?\u1077?\u1088?\u1077?\u1089? \u1085?\u1072? \u1045?\u1074?\u1088?\u1086?\u1087?\u1077?\u1081?\u1089?\u1082?\u1080?\u1103? \u1089?\u1098?\u1102?\u1079?, \u1087?\u1088?\u1080?\u1089?\u1098?\u1077?\u1076?\u1080?\u1085?\u1103?\u1074?\u1072?\u1085?\u1077?\u1090?\u1086? \u1085?\u1072? \u1044?\u1086?\u1084?\u1080?\u1085?\u1080?\u1082?\u1072?\u1085?\u1089?\u1082?\u1072?\u1090?\u1072? \u1088?\u1077?\u1087?\u1091?\u1073?\u1083?\u1080?\u1082?\u1072?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E349-FC12-4A95-90EE-B80F5489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2327</Words>
  <Characters>13736</Characters>
  <Application>Microsoft Office Word</Application>
  <DocSecurity>0</DocSecurity>
  <Lines>249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2018-07-05T08:36:00Z</dcterms:created>
  <dcterms:modified xsi:type="dcterms:W3CDTF">2018-07-06T08:38:00Z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