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C74B0F-BB46-42FE-8930-56285375EEF9" style="width:450.75pt;height:379.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98 countries, including all EU Member States, is to restore the status quo by mean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As the prevention of child abduction is an essential part of the EU policy to promote the rights of the child, the European Union is active at international level to improve the application of the 1980 Convention and encourages third States to accede it.</w:t>
      </w:r>
    </w:p>
    <w:p>
      <w:pPr>
        <w:pBdr>
          <w:top w:val="nil"/>
          <w:left w:val="nil"/>
          <w:bottom w:val="nil"/>
          <w:right w:val="nil"/>
          <w:between w:val="nil"/>
          <w:bar w:val="nil"/>
        </w:pBdr>
        <w:spacing w:before="0" w:after="240"/>
        <w:rPr>
          <w:rFonts w:eastAsia="Arial Unicode MS"/>
          <w:bCs/>
          <w:noProof/>
        </w:rPr>
      </w:pPr>
      <w:r>
        <w:rPr>
          <w:rFonts w:eastAsia="Arial Unicode MS"/>
          <w:bCs/>
          <w:noProof/>
        </w:rPr>
        <w:t>Belarus deposited the accession instrument to the 1980 Convention on 12 January 1998. The Convention entered into force in Belarus on 1 April 1998.</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Belarus and 24 EU Member States. Only Austria, Denmark, Luxembourg and Romania have not yet accepted the accession of Belarus to the Convention.</w:t>
      </w:r>
    </w:p>
    <w:p>
      <w:pPr>
        <w:pBdr>
          <w:top w:val="nil"/>
          <w:left w:val="nil"/>
          <w:bottom w:val="nil"/>
          <w:right w:val="nil"/>
          <w:between w:val="nil"/>
          <w:bar w:val="nil"/>
        </w:pBdr>
        <w:spacing w:before="0" w:after="240"/>
        <w:rPr>
          <w:rFonts w:eastAsia="Arial Unicode MS"/>
          <w:noProof/>
        </w:rPr>
      </w:pPr>
      <w:r>
        <w:rPr>
          <w:rFonts w:eastAsia="Arial Unicode MS"/>
          <w:noProof/>
        </w:rPr>
        <w:t>Uzbekistan deposited the accession instrument to the 1980 Convention on 31 May 1999. The Convention entered into force in Uzbekistan on 1 August 1999.</w:t>
      </w:r>
    </w:p>
    <w:p>
      <w:pPr>
        <w:pBdr>
          <w:top w:val="nil"/>
          <w:left w:val="nil"/>
          <w:bottom w:val="nil"/>
          <w:right w:val="nil"/>
          <w:between w:val="nil"/>
          <w:bar w:val="nil"/>
        </w:pBdr>
        <w:spacing w:before="0" w:after="240"/>
        <w:rPr>
          <w:rFonts w:eastAsia="Arial Unicode MS"/>
          <w:bCs/>
          <w:noProof/>
        </w:rPr>
      </w:pPr>
      <w:r>
        <w:rPr>
          <w:rFonts w:eastAsia="Arial Unicode MS"/>
          <w:bCs/>
          <w:noProof/>
        </w:rPr>
        <w:t>The 1980 Convention is already into force between Uzbekistan and 24 EU Member States. Only Austria, Denmark, Luxembourg and Romania have not yet accepted the accession of Uzbekistan to the Convention.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14 October 2014, Opinion 1/13 of the Court of Justice of the European Union stated that the exclusive competence of the European Union encompasses the acceptance of the accession of a third state to the 1980 Hague Convention on the Civil Aspects of International Child Abduction.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Court insisted on the need for uniformity on the matter at EU level, avoiding a géométrie variable among Member States.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matter of international child abduction falls within the exclusive external competence of the European Union, the decision whether to accept the accession of Belarus and Uzbekistan has to be taken at EU level by means of a Council Decision. Austria, </w:t>
      </w:r>
      <w:r>
        <w:rPr>
          <w:rFonts w:eastAsia="Arial Unicode MS"/>
          <w:bCs/>
          <w:noProof/>
        </w:rPr>
        <w:t xml:space="preserve">Luxembourg and Romania </w:t>
      </w:r>
      <w:r>
        <w:rPr>
          <w:rFonts w:eastAsia="Arial Unicode MS"/>
          <w:noProof/>
        </w:rPr>
        <w:t>should thus make the declaration of acceptance concerning the accession of Belarus and Uzbekistan in the interest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acceptance of Austria, </w:t>
      </w:r>
      <w:r>
        <w:rPr>
          <w:rFonts w:eastAsia="Arial Unicode MS"/>
          <w:bCs/>
          <w:noProof/>
        </w:rPr>
        <w:t xml:space="preserve">Luxembourg and Romania </w:t>
      </w:r>
      <w:r>
        <w:rPr>
          <w:rFonts w:eastAsia="Arial Unicode MS"/>
          <w:noProof/>
        </w:rPr>
        <w:t>would render the 1980 Convention applicable between Belarus, Uzbekistan and all EU Member States except Denmark.</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 </w:t>
      </w:r>
    </w:p>
    <w:p>
      <w:pPr>
        <w:pBdr>
          <w:top w:val="nil"/>
          <w:left w:val="nil"/>
          <w:bottom w:val="nil"/>
          <w:right w:val="nil"/>
          <w:between w:val="nil"/>
          <w:bar w:val="nil"/>
        </w:pBdr>
        <w:spacing w:before="0" w:after="240"/>
        <w:rPr>
          <w:noProof/>
        </w:rPr>
      </w:pPr>
      <w:r>
        <w:rPr>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noProof/>
        </w:rPr>
      </w:pPr>
      <w:r>
        <w:rPr>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noProof/>
        </w:rPr>
      </w:pPr>
      <w:r>
        <w:rPr>
          <w:noProof/>
        </w:rPr>
        <w:t>14 Council Decisions have been already adopted between June 2015 and December 2017 in order to accept the accession to the 1980 Hague Convention on International Child Abduction of 20 third countries (Morocco, Singapore, the Russian Federation, Albania, Andorra, the Seychelles, Armenia, the Republic of Korea, Kazakhstan, Peru,</w:t>
      </w:r>
      <w:r>
        <w:rPr>
          <w:rFonts w:eastAsia="Arial Unicode MS"/>
          <w:b/>
          <w:bCs/>
          <w:noProof/>
        </w:rPr>
        <w:t xml:space="preserve"> </w:t>
      </w:r>
      <w:r>
        <w:rPr>
          <w:rFonts w:eastAsia="Arial Unicode MS"/>
          <w:bCs/>
          <w:noProof/>
        </w:rPr>
        <w:t>Georgia, South Africa, Chile, Iceland, the Bahamas, Panama, Uruguay, Colombia, El Salvador and San Marino</w:t>
      </w:r>
      <w:r>
        <w:rPr>
          <w:noProof/>
        </w:rPr>
        <w:t>)</w:t>
      </w:r>
      <w:r>
        <w:rPr>
          <w:rStyle w:val="FootnoteReference"/>
          <w:noProof/>
        </w:rPr>
        <w:footnoteReference w:id="1"/>
      </w:r>
      <w:r>
        <w:rPr>
          <w:noProof/>
        </w:rPr>
        <w:t xml:space="preserv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rFonts w:eastAsia="Arial Unicode MS"/>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2"/>
      </w:r>
      <w:r>
        <w:rPr>
          <w:rFonts w:eastAsia="Arial Unicode MS"/>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3"/>
      </w:r>
      <w:r>
        <w:rPr>
          <w:rFonts w:eastAsia="Arial Unicode MS"/>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drafted along the lines of the already adopted Council Decisions on the same subject matter and does not go beyond what is necessary to achieve the objective of a coherent EU action in the matter of international child abduction by ensuring that Austria, Luxembourg and Romania accept the accession of Belarus and Uzbekistan</w:t>
      </w:r>
      <w:r>
        <w:rPr>
          <w:rFonts w:eastAsia="Arial Unicode MS"/>
          <w:bCs/>
          <w:noProof/>
        </w:rPr>
        <w:t xml:space="preserve"> </w:t>
      </w:r>
      <w:r>
        <w:rPr>
          <w:rFonts w:eastAsia="Arial Unicode MS"/>
          <w:noProof/>
        </w:rPr>
        <w:t>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Austria, Luxembourg and Romania consulted by the Commission on their willingness to accept the accession of Belarus and Uzbekistan</w:t>
      </w:r>
      <w:r>
        <w:rPr>
          <w:rFonts w:eastAsia="Arial Unicode MS"/>
          <w:bCs/>
          <w:noProof/>
        </w:rPr>
        <w:t xml:space="preserve"> </w:t>
      </w:r>
      <w:r>
        <w:rPr>
          <w:rFonts w:eastAsia="Arial Unicode MS"/>
          <w:noProof/>
        </w:rPr>
        <w:t xml:space="preserve">to the 1980 Convention, gave a favourable opinion. </w:t>
      </w:r>
    </w:p>
    <w:p>
      <w:pPr>
        <w:pBdr>
          <w:top w:val="nil"/>
          <w:left w:val="nil"/>
          <w:bottom w:val="nil"/>
          <w:right w:val="nil"/>
          <w:between w:val="nil"/>
          <w:bar w:val="nil"/>
        </w:pBdr>
        <w:spacing w:before="0" w:after="240"/>
        <w:rPr>
          <w:rFonts w:eastAsia="Arial Unicode MS"/>
          <w:noProof/>
        </w:rPr>
      </w:pPr>
      <w:r>
        <w:rPr>
          <w:rFonts w:eastAsia="Arial Unicode MS"/>
          <w:noProof/>
        </w:rPr>
        <w:t>The discussions held at the expert meeting of 18 April 2018 showed that -at this stage- there are no objections from the Member States to the acceptance by Austria, Luxembourg and Romania of the accession of Belarus and Uzbekistan</w:t>
      </w:r>
      <w:r>
        <w:rPr>
          <w:rFonts w:eastAsia="Arial Unicode MS"/>
          <w:bCs/>
          <w:noProof/>
        </w:rPr>
        <w:t xml:space="preserve"> </w:t>
      </w:r>
      <w:r>
        <w:rPr>
          <w:rFonts w:eastAsia="Arial Unicode MS"/>
          <w:noProof/>
        </w:rPr>
        <w:t>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that the Convention is already into force between with 24 Member States for both Belarus and Uzbekistan, it was the opinion of the Commission and of the Member States' experts that, in such cases, there is no need of a specific assessment of the situation of the third countries concerned.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As for the 14 Council Decisions already adopted between 2015 and 2017 concerning the acceptance of the accession of several third States to the 1980 Hague Convention, no specific impact assessment has been carried out given the nature of this legislative act. In any case, a specific assessment of the situation of Belarus and Uzbekistan</w:t>
      </w:r>
      <w:r>
        <w:rPr>
          <w:rFonts w:eastAsia="Arial Unicode MS"/>
          <w:bCs/>
          <w:noProof/>
        </w:rPr>
        <w:t xml:space="preserve"> </w:t>
      </w:r>
      <w:r>
        <w:rPr>
          <w:rFonts w:eastAsia="Arial Unicode MS"/>
          <w:noProof/>
        </w:rPr>
        <w:t>was deemed superfluous taking into account both the fact that the Convention is already into force with 24 EU Member States and the willingness of Austria, Luxembourg and Romania to accept Belarus and Uzbekistan.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proposal concerns only the authorization to Austria, Luxembourg and Romania to accept the accession of Belarus and Uzbekistan </w:t>
      </w:r>
      <w:r>
        <w:rPr>
          <w:rFonts w:eastAsia="Arial Unicode MS"/>
          <w:bCs/>
          <w:noProof/>
        </w:rPr>
        <w:t>t</w:t>
      </w:r>
      <w:r>
        <w:rPr>
          <w:rFonts w:eastAsia="Arial Unicode MS"/>
          <w:noProof/>
        </w:rPr>
        <w:t>o the 1980 Convention, the monitoring of its implementation is limited to the respect by Austria, Luxembourg and Romania of the wording of the declaration and the timeframe to deposit it and communicate its deposit to the Commission as established in the Council Decision.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2018/0279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Austria, Luxembourg and Romania to accept, in the interest of the European Union, the accession of Belarus and Uzbekistan to the 1980 Hague Convention on the Civil Aspects of International Child Abduction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218(6)(b)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w:t>
      </w:r>
      <w:r>
        <w:rPr>
          <w:rStyle w:val="FootnoteReference"/>
          <w:noProof/>
        </w:rPr>
        <w:footnoteReference w:id="5"/>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t>(7)</w:t>
      </w:r>
      <w:r>
        <w:tab/>
      </w:r>
      <w:r>
        <w:rPr>
          <w:noProof/>
        </w:rPr>
        <w:t>The 1980 Hague Convention stipulates that it applies between the acceding state and contracting states that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Belarus deposited its instrument of accession to the 1980 Convention on 12 January 1998. The Convention entered into force for Belarus on 1 April 1998.</w:t>
      </w:r>
    </w:p>
    <w:p>
      <w:pPr>
        <w:pStyle w:val="ManualConsidrant"/>
        <w:rPr>
          <w:noProof/>
        </w:rPr>
      </w:pPr>
      <w:r>
        <w:t>(11)</w:t>
      </w:r>
      <w:r>
        <w:tab/>
      </w:r>
      <w:r>
        <w:rPr>
          <w:noProof/>
        </w:rPr>
        <w:t>All concerned Member States, with the exception of Austria, Denmark, Luxembourg and Romania have already accepted the accession of Belarus to the 1980 Hague Convention. Belarus has accepted the accession of Bulgaria, Estonia, Latvia, Lithuania and Malta to the 1980 Hague Convention. An assessment of the situation in Belarus has led to the conclusion that Austria, Luxembourg and Romania are in a position to accept, in the interest of the Union, the accession of Belarus under the terms of the 1980 Hague Convention.</w:t>
      </w:r>
    </w:p>
    <w:p>
      <w:pPr>
        <w:pStyle w:val="ManualConsidrant"/>
        <w:rPr>
          <w:noProof/>
        </w:rPr>
      </w:pPr>
      <w:r>
        <w:t>(12)</w:t>
      </w:r>
      <w:r>
        <w:tab/>
      </w:r>
      <w:r>
        <w:rPr>
          <w:noProof/>
        </w:rPr>
        <w:t xml:space="preserve">Uzbekistan deposited its instrument of accession to the 1980 Convention on 31 May 1999. The Convention entered into force for Uzbekistan on 1 August 1999. </w:t>
      </w:r>
    </w:p>
    <w:p>
      <w:pPr>
        <w:pStyle w:val="ManualConsidrant"/>
        <w:rPr>
          <w:noProof/>
        </w:rPr>
      </w:pPr>
      <w:r>
        <w:t>(13)</w:t>
      </w:r>
      <w:r>
        <w:tab/>
      </w:r>
      <w:r>
        <w:rPr>
          <w:noProof/>
        </w:rPr>
        <w:t xml:space="preserve">All Member States, with the exception of Austria, Denmark, </w:t>
      </w:r>
      <w:r>
        <w:rPr>
          <w:bCs/>
          <w:noProof/>
        </w:rPr>
        <w:t xml:space="preserve">Luxembourg and Romania </w:t>
      </w:r>
      <w:r>
        <w:rPr>
          <w:noProof/>
        </w:rPr>
        <w:t xml:space="preserve">have already accepted the accession of Uzbekistan to the 1980 Hague Convention. Uzbekistan has accepted the accession of </w:t>
      </w:r>
      <w:r>
        <w:rPr>
          <w:bCs/>
          <w:noProof/>
        </w:rPr>
        <w:t>Bulgaria, Estonia, Latvia, Lithuania and Malta</w:t>
      </w:r>
      <w:r>
        <w:rPr>
          <w:noProof/>
        </w:rPr>
        <w:t xml:space="preserve"> </w:t>
      </w:r>
      <w:r>
        <w:rPr>
          <w:bCs/>
          <w:noProof/>
        </w:rPr>
        <w:t>to the 1980 Hague Convention</w:t>
      </w:r>
      <w:r>
        <w:rPr>
          <w:noProof/>
        </w:rPr>
        <w:t>. An assessment of the situation in Uzbekistan has led to the conclusion that Austria, Luxembourg and Romania are in a position to accept, in the interest of the Union, the accession of Uzbekistan under the terms of the 1980 Hague Convention.</w:t>
      </w:r>
    </w:p>
    <w:p>
      <w:pPr>
        <w:pStyle w:val="ManualConsidrant"/>
        <w:rPr>
          <w:noProof/>
        </w:rPr>
      </w:pPr>
      <w:r>
        <w:t>(14)</w:t>
      </w:r>
      <w:r>
        <w:tab/>
      </w:r>
      <w:r>
        <w:rPr>
          <w:noProof/>
        </w:rPr>
        <w:t>Austria, Luxembourg and Romania should therefore be authorised to deposit their declaration of acceptance of the accession of Belarus and Uzbekistan to the 1980 Hague Convention in the interest of the Union in accordance with the terms set out in this Decision. The other Member States of the Union which have already accepted the accession of Belarus and Uzbekistan to the 1980 Hague Convention should not deposit new declarations of acceptance as the existing declarations remain valid under public international law.</w:t>
      </w:r>
    </w:p>
    <w:p>
      <w:pPr>
        <w:pStyle w:val="ManualConsidrant"/>
        <w:rPr>
          <w:noProof/>
        </w:rPr>
      </w:pPr>
      <w:r>
        <w:t>(15)</w:t>
      </w:r>
      <w:r>
        <w:tab/>
      </w:r>
      <w:r>
        <w:rPr>
          <w:noProof/>
        </w:rPr>
        <w:t>The United Kingdom and Ireland are bound by the Brussels IIa Regulation and are therefore taking part in the adoption and application of this Decision.</w:t>
      </w:r>
    </w:p>
    <w:p>
      <w:pPr>
        <w:pStyle w:val="ManualConsidrant"/>
        <w:rPr>
          <w:noProof/>
        </w:rPr>
      </w:pPr>
      <w:r>
        <w:t>(16)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rPr>
        <w:tab/>
        <w:t>Austria, Luxembourg and Romania are hereby authorised to accept the accession of Belarus and Uzbekistan to the Hague Convention of 25 October 1980 on the Civil Aspects of International Child Abduction (‘the 1980 Hague Convention’) in the interest of the Union.</w:t>
      </w:r>
    </w:p>
    <w:p>
      <w:pPr>
        <w:rPr>
          <w:noProof/>
        </w:rPr>
      </w:pPr>
      <w:r>
        <w:rPr>
          <w:noProof/>
        </w:rPr>
        <w:t>2.</w:t>
      </w:r>
      <w:r>
        <w:rPr>
          <w:noProof/>
        </w:rPr>
        <w:tab/>
        <w:t>Austria, Luxembourg and Romania shall, no later than … [twelve months after the date of adoption of this Decision], deposit a declaration of acceptance of the accession of Belarus and Uzbekistan to the 1980 Hague Convention in the interest of the Union worded as follows:</w:t>
      </w:r>
    </w:p>
    <w:p>
      <w:pPr>
        <w:rPr>
          <w:noProof/>
        </w:rPr>
      </w:pPr>
      <w:r>
        <w:rPr>
          <w:noProof/>
        </w:rPr>
        <w:t>‘[Full name of MEMBER STATE] declares that it accepts the accession of Belarus and Uzbekistan to the Hague Convention of 25 October 1980 on the Civil Aspects of International Child Abduction, in accordance with Council Decision (EU) 2018/…’.</w:t>
      </w:r>
    </w:p>
    <w:p>
      <w:pPr>
        <w:rPr>
          <w:noProof/>
        </w:rPr>
      </w:pPr>
      <w:r>
        <w:rPr>
          <w:noProof/>
        </w:rPr>
        <w:t>3.</w:t>
      </w:r>
      <w:r>
        <w:rPr>
          <w:noProof/>
        </w:rPr>
        <w:tab/>
        <w:t xml:space="preserve">Austria, Luxembourg and Romania shall inform the Council and the Commission of the deposit of their declarations of acceptance of the accession of Belarus and Uzbekistan to </w:t>
      </w:r>
      <w:r>
        <w:rPr>
          <w:bCs/>
          <w:noProof/>
        </w:rPr>
        <w:t xml:space="preserve">the 1980 Hague Convention </w:t>
      </w:r>
      <w:r>
        <w:rPr>
          <w:noProof/>
        </w:rPr>
        <w:t xml:space="preserve">and shall communicate the text of those declarations to the Commission within two months of their deposit. </w:t>
      </w:r>
    </w:p>
    <w:p>
      <w:pPr>
        <w:pStyle w:val="Titrearticle"/>
        <w:keepNext w:val="0"/>
        <w:rPr>
          <w:noProof/>
        </w:rPr>
      </w:pPr>
      <w:r>
        <w:rPr>
          <w:noProof/>
        </w:rPr>
        <w:t>Article 2</w:t>
      </w:r>
    </w:p>
    <w:p>
      <w:pPr>
        <w:keepLines/>
        <w:rPr>
          <w:noProof/>
        </w:rPr>
      </w:pPr>
      <w:r>
        <w:rPr>
          <w:noProof/>
        </w:rPr>
        <w:t>This Decision shall take effect on the date of its notification.</w:t>
      </w:r>
    </w:p>
    <w:p>
      <w:pPr>
        <w:pStyle w:val="Titrearticle"/>
        <w:rPr>
          <w:noProof/>
        </w:rPr>
      </w:pPr>
      <w:r>
        <w:rPr>
          <w:noProof/>
        </w:rPr>
        <w:t>Article 3</w:t>
      </w:r>
    </w:p>
    <w:p>
      <w:pPr>
        <w:keepNext/>
        <w:keepLines/>
        <w:rPr>
          <w:noProof/>
        </w:rPr>
      </w:pPr>
      <w:r>
        <w:rPr>
          <w:noProof/>
          <w:color w:val="000000"/>
        </w:rPr>
        <w:t>This Decision is addressed to Austria,</w:t>
      </w:r>
      <w:r>
        <w:rPr>
          <w:noProof/>
        </w:rPr>
        <w:t xml:space="preserve"> </w:t>
      </w:r>
      <w:r>
        <w:rPr>
          <w:noProof/>
          <w:color w:val="000000"/>
        </w:rPr>
        <w:t>Luxembourg and Romania.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14 Council Decisions have been already adopted, authorizing Member States to accept the accession to the 1980 Convention of </w:t>
      </w:r>
      <w:r>
        <w:rPr>
          <w:b/>
        </w:rPr>
        <w:t>Andorra</w:t>
      </w:r>
      <w:r>
        <w:t xml:space="preserve"> (Council Decision (EU) 2015/1023 adopted on 15 June 2015); </w:t>
      </w:r>
      <w:r>
        <w:rPr>
          <w:b/>
        </w:rPr>
        <w:t>Seychelles</w:t>
      </w:r>
      <w:r>
        <w:t xml:space="preserve"> (Council Decision (EU) 2015/2354 adopted on 10 December 2015); </w:t>
      </w:r>
      <w:r>
        <w:rPr>
          <w:b/>
        </w:rPr>
        <w:t>Russia</w:t>
      </w:r>
      <w:r>
        <w:t xml:space="preserve"> (Council Decision (EU) 2015/2355 adopted on 10 December 2015); </w:t>
      </w:r>
      <w:r>
        <w:rPr>
          <w:b/>
        </w:rPr>
        <w:t>Albania</w:t>
      </w:r>
      <w:r>
        <w:t xml:space="preserve"> (Council Decision (EU) 2015/2356 adopted on 10 December 2015); </w:t>
      </w:r>
      <w:r>
        <w:rPr>
          <w:b/>
        </w:rPr>
        <w:t>Singapore</w:t>
      </w:r>
      <w:r>
        <w:t xml:space="preserve"> (Council Decision (EU) 2015/1024  adopted on 15 June 2015); </w:t>
      </w:r>
      <w:r>
        <w:rPr>
          <w:b/>
        </w:rPr>
        <w:t xml:space="preserve">Morocco </w:t>
      </w:r>
      <w:r>
        <w:t xml:space="preserve">(Council Decision (EU) 2015/2357 adopted on 10 December 2015); </w:t>
      </w:r>
      <w:r>
        <w:rPr>
          <w:b/>
        </w:rPr>
        <w:t>Armenia</w:t>
      </w:r>
      <w:r>
        <w:t xml:space="preserve"> (Council Decision (EU) 2015/2358 adopted on 10 December 2015); </w:t>
      </w:r>
      <w:r>
        <w:rPr>
          <w:b/>
        </w:rPr>
        <w:t>Republic of Korea (</w:t>
      </w:r>
      <w:r>
        <w:t>Council Decision (EU) 2016/2313</w:t>
      </w:r>
      <w:r>
        <w:rPr>
          <w:b/>
        </w:rPr>
        <w:t xml:space="preserve"> </w:t>
      </w:r>
      <w:r>
        <w:t>adopted on 8 December 2016</w:t>
      </w:r>
      <w:r>
        <w:rPr>
          <w:b/>
        </w:rPr>
        <w:t xml:space="preserve">) </w:t>
      </w:r>
      <w:r>
        <w:t xml:space="preserve">, </w:t>
      </w:r>
      <w:r>
        <w:rPr>
          <w:b/>
        </w:rPr>
        <w:t>Kazakhstan (</w:t>
      </w:r>
      <w:r>
        <w:t>Council Decision</w:t>
      </w:r>
      <w:r>
        <w:rPr>
          <w:b/>
        </w:rPr>
        <w:t xml:space="preserve"> (EU) </w:t>
      </w:r>
      <w:r>
        <w:t>2016/2311</w:t>
      </w:r>
      <w:r>
        <w:rPr>
          <w:b/>
        </w:rPr>
        <w:t xml:space="preserve"> </w:t>
      </w:r>
      <w:r>
        <w:t>adopted on 8.12.2016</w:t>
      </w:r>
      <w:r>
        <w:rPr>
          <w:b/>
        </w:rPr>
        <w:t>),</w:t>
      </w:r>
      <w:r>
        <w:t xml:space="preserve"> </w:t>
      </w:r>
      <w:r>
        <w:rPr>
          <w:b/>
        </w:rPr>
        <w:t>Peru (</w:t>
      </w:r>
      <w:r>
        <w:t>Council Decision (EU) 2016/2312 adopted on 8.12.2016</w:t>
      </w:r>
      <w:r>
        <w:rPr>
          <w:b/>
        </w:rPr>
        <w:t>);</w:t>
      </w:r>
      <w:r>
        <w:rPr>
          <w:rFonts w:eastAsia="Calibri"/>
          <w:b/>
          <w:lang w:eastAsia="en-GB"/>
        </w:rPr>
        <w:t xml:space="preserve"> </w:t>
      </w:r>
      <w:r>
        <w:rPr>
          <w:b/>
        </w:rPr>
        <w:t xml:space="preserve">Georgia </w:t>
      </w:r>
      <w:r>
        <w:t xml:space="preserve">and </w:t>
      </w:r>
      <w:r>
        <w:rPr>
          <w:b/>
        </w:rPr>
        <w:t xml:space="preserve">South Africa </w:t>
      </w:r>
      <w:r>
        <w:t>(C</w:t>
      </w:r>
      <w:r>
        <w:rPr>
          <w:bCs/>
        </w:rPr>
        <w:t>ouncil Decision (EU) 2017/2462 of 18 December 2017</w:t>
      </w:r>
      <w:r>
        <w:rPr>
          <w:b/>
          <w:bCs/>
        </w:rPr>
        <w:t>);</w:t>
      </w:r>
      <w:r>
        <w:rPr>
          <w:b/>
        </w:rPr>
        <w:t xml:space="preserve"> Chile, Iceland </w:t>
      </w:r>
      <w:r>
        <w:t>and</w:t>
      </w:r>
      <w:r>
        <w:rPr>
          <w:b/>
        </w:rPr>
        <w:t xml:space="preserve"> the Bahamas </w:t>
      </w:r>
      <w:r>
        <w:t>(</w:t>
      </w:r>
      <w:r>
        <w:rPr>
          <w:bCs/>
        </w:rPr>
        <w:t>Council Decision (EU) 2017/2424 of 18 December 2017);</w:t>
      </w:r>
      <w:r>
        <w:rPr>
          <w:rFonts w:eastAsia="Times New Roman"/>
          <w:b/>
          <w:sz w:val="24"/>
          <w:szCs w:val="24"/>
          <w:lang w:eastAsia="en-GB"/>
        </w:rPr>
        <w:t xml:space="preserve"> </w:t>
      </w:r>
      <w:r>
        <w:rPr>
          <w:b/>
          <w:bCs/>
        </w:rPr>
        <w:t xml:space="preserve">Panama, Uruguay, Colombia </w:t>
      </w:r>
      <w:r>
        <w:rPr>
          <w:bCs/>
        </w:rPr>
        <w:t>and</w:t>
      </w:r>
      <w:r>
        <w:rPr>
          <w:b/>
          <w:bCs/>
        </w:rPr>
        <w:t xml:space="preserve"> El Salvador </w:t>
      </w:r>
      <w:r>
        <w:rPr>
          <w:bCs/>
        </w:rPr>
        <w:t>(Council Decision (EU) 2017/2464 of 18 December 2017);</w:t>
      </w:r>
      <w:r>
        <w:rPr>
          <w:rFonts w:eastAsia="Times New Roman"/>
          <w:b/>
          <w:bCs/>
          <w:sz w:val="24"/>
          <w:szCs w:val="24"/>
          <w:lang w:eastAsia="en-GB"/>
        </w:rPr>
        <w:t xml:space="preserve"> </w:t>
      </w:r>
      <w:r>
        <w:rPr>
          <w:b/>
          <w:bCs/>
        </w:rPr>
        <w:t>San Marino (</w:t>
      </w:r>
      <w:r>
        <w:rPr>
          <w:bCs/>
        </w:rPr>
        <w:t>Council Decision (EU) 2017/2463 of 18 December 2017).</w:t>
      </w:r>
    </w:p>
  </w:footnote>
  <w:footnote w:id="2">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 p. 3);</w:t>
      </w:r>
    </w:p>
  </w:footnote>
  <w:footnote w:id="3">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5 12:13: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C74B0F-BB46-42FE-8930-56285375EEF9"/>
    <w:docVar w:name="LW_COVERPAGE_TYPE" w:val="1"/>
    <w:docVar w:name="LW_CROSSREFERENCE" w:val="&lt;UNUSED&gt;"/>
    <w:docVar w:name="LW_DocType" w:val="COM"/>
    <w:docVar w:name="LW_EMISSION" w:val="6.7.2018"/>
    <w:docVar w:name="LW_EMISSION_ISODATE" w:val="2018-07-06"/>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9"/>
    <w:docVar w:name="LW_REF.II.NEW.CP_YEAR" w:val="2018"/>
    <w:docVar w:name="LW_REF.INST.NEW" w:val="COM"/>
    <w:docVar w:name="LW_REF.INST.NEW_ADOPTED" w:val="final"/>
    <w:docVar w:name="LW_REF.INST.NEW_TEXT" w:val="(2018)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Austria, Luxembourg and Romania to accept, in the interest of the European Union, the accession of Belarus and Uzbekistan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2506</Words>
  <Characters>13237</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2018-06-29T10:56:00Z</dcterms:created>
  <dcterms:modified xsi:type="dcterms:W3CDTF">2018-07-05T10:13:00Z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