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761D1A0-D43B-4A9A-BBFB-D95C30D603D9"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Въведение</w:t>
      </w:r>
    </w:p>
    <w:p>
      <w:pPr>
        <w:pStyle w:val="Heading2"/>
        <w:numPr>
          <w:ilvl w:val="1"/>
          <w:numId w:val="4"/>
        </w:numPr>
        <w:rPr>
          <w:noProof/>
        </w:rPr>
      </w:pPr>
      <w:r>
        <w:rPr>
          <w:noProof/>
        </w:rPr>
        <w:t>Регламент (ЕО) № 223/2009 относно европейската статистика</w:t>
      </w:r>
    </w:p>
    <w:p>
      <w:pPr>
        <w:rPr>
          <w:noProof/>
        </w:rPr>
      </w:pPr>
      <w:r>
        <w:rPr>
          <w:noProof/>
          <w:color w:val="000000"/>
        </w:rPr>
        <w:t xml:space="preserve">Правното основание за настоящия доклад е Регламент (ЕО) </w:t>
      </w:r>
      <w:r>
        <w:rPr>
          <w:noProof/>
        </w:rPr>
        <w:t>№ 223/2009 относно европейската статистика</w:t>
      </w:r>
      <w:r>
        <w:rPr>
          <w:rStyle w:val="FootnoteReference"/>
          <w:noProof/>
        </w:rPr>
        <w:footnoteReference w:id="1"/>
      </w:r>
      <w:r>
        <w:rPr>
          <w:noProof/>
        </w:rPr>
        <w:t xml:space="preserve">, и по-специално член 11, параграф 4, в който се определя, че: </w:t>
      </w:r>
    </w:p>
    <w:p>
      <w:pPr>
        <w:rPr>
          <w:i/>
          <w:noProof/>
        </w:rPr>
      </w:pPr>
      <w:r>
        <w:rPr>
          <w:i/>
          <w:noProof/>
        </w:rPr>
        <w:t>„Ангажиментите на държавите членки са обект на редовно наблюдение от страна на Комисията въз основа на годишните доклади, изпращани от държавите членки, и при необходимост се актуализират.</w:t>
      </w:r>
    </w:p>
    <w:p>
      <w:pPr>
        <w:rPr>
          <w:i/>
          <w:noProof/>
        </w:rPr>
      </w:pPr>
      <w:r>
        <w:rPr>
          <w:i/>
          <w:noProof/>
        </w:rPr>
        <w:t>Ако до 9 юни 2017 г. не е публикуван ангажимент, държавата членка представя на Комисията и оповестява публично доклад за напредъка относно прилагането на Кодекса на практиката и ако е приложимо, относно положените усилия за поемане на ангажимент. Тези доклади за напредъка се актуализират периодично, най-малко на всеки две години след първоначалното им публикуване.</w:t>
      </w:r>
    </w:p>
    <w:p>
      <w:pPr>
        <w:rPr>
          <w:i/>
          <w:noProof/>
        </w:rPr>
      </w:pPr>
      <w:r>
        <w:rPr>
          <w:i/>
          <w:noProof/>
        </w:rPr>
        <w:t>Комисията докладва на Европейския парламент и на Съвета относно публикуваните ангажименти и когато е целесъобразно, относно докладите за напредъка до 9 юни 2018 г. и на всеки две години след това“.</w:t>
      </w:r>
    </w:p>
    <w:p>
      <w:pPr>
        <w:rPr>
          <w:noProof/>
        </w:rPr>
      </w:pPr>
      <w:r>
        <w:rPr>
          <w:noProof/>
        </w:rPr>
        <w:t>Настоящият доклад е първият изготвен в съответствие с посочената разпоредба.</w:t>
      </w:r>
    </w:p>
    <w:p>
      <w:pPr>
        <w:pStyle w:val="Heading2"/>
        <w:numPr>
          <w:ilvl w:val="1"/>
          <w:numId w:val="4"/>
        </w:numPr>
        <w:rPr>
          <w:noProof/>
        </w:rPr>
      </w:pPr>
      <w:r>
        <w:rPr>
          <w:noProof/>
        </w:rPr>
        <w:t>Исторически контекст</w:t>
      </w:r>
    </w:p>
    <w:p>
      <w:pPr>
        <w:pStyle w:val="ListNumberLevel2"/>
        <w:rPr>
          <w:noProof/>
        </w:rPr>
      </w:pPr>
      <w:r>
        <w:rPr>
          <w:noProof/>
        </w:rPr>
        <w:t>Кодекс на европейската статистическа практика</w:t>
      </w:r>
    </w:p>
    <w:p>
      <w:pPr>
        <w:rPr>
          <w:noProof/>
          <w:color w:val="000000"/>
        </w:rPr>
      </w:pPr>
      <w:r>
        <w:rPr>
          <w:noProof/>
          <w:color w:val="000000"/>
        </w:rPr>
        <w:t>С Кодекса на европейската статистическа практика</w:t>
      </w:r>
      <w:r>
        <w:rPr>
          <w:rStyle w:val="FootnoteReference"/>
          <w:noProof/>
          <w:color w:val="000000"/>
        </w:rPr>
        <w:footnoteReference w:id="2"/>
      </w:r>
      <w:r>
        <w:rPr>
          <w:noProof/>
          <w:color w:val="000000"/>
        </w:rPr>
        <w:t xml:space="preserve"> се определя стандартът за разработването, изготвянето и разпространението на европейска статистика. В основата на кодекса е общо определение за качеството в статистиката, формулирано в рамките на Европейската статистическа система (ЕСС). Кодексът обхваща всички важни области на институционалната среда, процесите на изготвяне на статистиката и продукта от европейската официална статистика. Институционалната среда е областта с най-голямо значение в контекста на ангажимента, тъй като институционалните и организационните фактори засягат в значителна степен ефективността на даден статистически орган и доверието в него при разработването, изготвянето и разпространението на европейска статистика.</w:t>
      </w:r>
    </w:p>
    <w:p>
      <w:pPr>
        <w:rPr>
          <w:noProof/>
          <w:color w:val="000000"/>
        </w:rPr>
      </w:pPr>
      <w:r>
        <w:rPr>
          <w:noProof/>
          <w:color w:val="000000"/>
        </w:rPr>
        <w:t>Кодексът на европейската статистическа практика е одобрен на 24 февруари 2005 г. от Статистическия програмен комитет. Преразгледан е от Комитета на Европейската статистическа система (К</w:t>
      </w:r>
      <w:r>
        <w:rPr>
          <w:noProof/>
        </w:rPr>
        <w:t>омитета на ЕСС) на 28 септември 2011 г. и още веднъж на 16 ноември 2017 г. Заедно с новата версия на Кодекса на практиката през 2011 г. Комитетът на ЕСС одобри и рамката за осигуряване на качеството. Чрез нея се предоставят насоки относно начините за прилагане на Кодекса на европейската статистическа практика.</w:t>
      </w:r>
    </w:p>
    <w:p>
      <w:pPr>
        <w:rPr>
          <w:noProof/>
          <w:color w:val="000000"/>
        </w:rPr>
      </w:pPr>
      <w:r>
        <w:rPr>
          <w:noProof/>
          <w:color w:val="000000"/>
        </w:rPr>
        <w:t>Кодексът е гръбнакът на общата рамка за качество на ЕСС и статистическите органи от ЕСС се ангажираха с неговото съблюдаване. Бяха въведени системни партньорски проверки с цел преглед на спазването му, като наблюдение на напредъка се извършва въз основа на годишни доклади до К</w:t>
      </w:r>
      <w:r>
        <w:rPr>
          <w:noProof/>
        </w:rPr>
        <w:t>омитета на ЕСС. Значението на спазването на Кодекса на практиката бе подчертано още повече, когато през септември 2016 г. Комитетът на ЕСС прие Декларацията за качество.</w:t>
      </w:r>
    </w:p>
    <w:p>
      <w:pPr>
        <w:rPr>
          <w:noProof/>
        </w:rPr>
      </w:pPr>
      <w:r>
        <w:rPr>
          <w:noProof/>
        </w:rPr>
        <w:t>Евростат следи за спазването на Кодекса на европейската статистическа практика чрез партньорски проверки. Първи кръг такива проверки бе проведен между 2006 и 2008 г., като бе оценено спазването от националните статистически институти (НСИ) на принципи 1 — 6 и 15 от кодекса. Последва втори кръг партньорски проверки между 2013 и 2015 г., които обхванаха всички 15 принципа от кодекса, НСИ, но освен това и други национални статистически органи. Евростат ще продължи да наблюдава мерките за подобряване — резултат от този втори кръг, ежегодно до края на 2019 г., докогато всички съответни мерки следва да бъдат изпълнени. Евростат, успоредно наблюдение на който осъществява Европейският консултативен съвет за статистическо управление (ESGAB), също бе обект на проверки в рамките и на двата кръга.</w:t>
      </w:r>
    </w:p>
    <w:p>
      <w:pPr>
        <w:rPr>
          <w:noProof/>
        </w:rPr>
      </w:pPr>
      <w:r>
        <w:rPr>
          <w:noProof/>
        </w:rPr>
        <w:t>Комисията (Евростат) изготвя годишни доклади за наблюдение относно спазването от НСИ на Кодекса на практиката. Годишният доклад на ESGAB обхваща напредъка в рамките на Европейската статистическа система като цяло, и по-специално в Евростат. Резултатите от годишното наблюдение са част от цялостната оценка на статистиката в ЕС, която се представя на Съвета по икономически и финансови въпроси (ECOFIN) през есента. През 2008 г.</w:t>
      </w:r>
      <w:r>
        <w:rPr>
          <w:rStyle w:val="FootnoteReference"/>
          <w:noProof/>
        </w:rPr>
        <w:footnoteReference w:id="3"/>
      </w:r>
      <w:r>
        <w:rPr>
          <w:noProof/>
        </w:rPr>
        <w:t xml:space="preserve"> и след това през 2016 г.</w:t>
      </w:r>
      <w:r>
        <w:rPr>
          <w:rStyle w:val="FootnoteReference"/>
          <w:noProof/>
        </w:rPr>
        <w:footnoteReference w:id="4"/>
      </w:r>
      <w:r>
        <w:rPr>
          <w:noProof/>
        </w:rPr>
        <w:t xml:space="preserve"> Комисията докладва на Европейския парламент и на Съвета относно прилагането на Кодекса на европейската статистическа практика и координацията в рамките на ЕСС.</w:t>
      </w:r>
    </w:p>
    <w:p>
      <w:pPr>
        <w:pStyle w:val="ListNumberLevel2"/>
        <w:rPr>
          <w:noProof/>
        </w:rPr>
      </w:pPr>
      <w:r>
        <w:rPr>
          <w:noProof/>
          <w:color w:val="000000"/>
        </w:rPr>
        <w:t>Ангажимент във връзка с доверието в статистиката</w:t>
      </w:r>
    </w:p>
    <w:p>
      <w:pPr>
        <w:rPr>
          <w:noProof/>
          <w:color w:val="000000"/>
        </w:rPr>
      </w:pPr>
      <w:r>
        <w:rPr>
          <w:noProof/>
          <w:color w:val="000000"/>
        </w:rPr>
        <w:t>За първи път Комисията представи концепцията за ангажимент във връзка с доверието в статистиката („ангажимент</w:t>
      </w:r>
      <w:r>
        <w:rPr>
          <w:noProof/>
        </w:rPr>
        <w:t>а“) в съобщение до Европейския парламент и до Съвета от 15 април 2011 г., озаглавено „Към стабилно управление на качеството на европейската статистика“</w:t>
      </w:r>
      <w:r>
        <w:rPr>
          <w:rStyle w:val="FootnoteReference"/>
          <w:noProof/>
          <w:color w:val="000000"/>
        </w:rPr>
        <w:footnoteReference w:id="5"/>
      </w:r>
      <w:r>
        <w:rPr>
          <w:noProof/>
        </w:rPr>
        <w:t>. Ангажиментите бяха предвидени като начин за привличане на националните правителства към отговорност по отношение на степента, до която дадена държава спазва Кодекса на европейската статистическа практика, като по този начин се установява връзка между кодекса и правителствата, която преди това липсваше. Добавената стойност на ангажиментите е в гарантирането на връзка с правителството и по този начин, по правило, на институционалните аспекти на статистическите принципи в Кодекса на практиката, попадащи извън контрола на самите статистически органи. В същото съобщение Комисията предложи още правната рамка — Регламент (ЕО) № 223/2009, да бъде преразгледана и концепцията за ангажиментите да бъде въведена в нея като една от поредица мерки за укрепване на общественото доверие в европейската статистика. Съветът подкрепи намерението за въвеждане на ангажиментите и за преразглеждане на Регламент (ЕО) № 223/2009.</w:t>
      </w:r>
    </w:p>
    <w:p>
      <w:pPr>
        <w:rPr>
          <w:noProof/>
          <w:color w:val="000000"/>
        </w:rPr>
      </w:pPr>
      <w:r>
        <w:rPr>
          <w:noProof/>
          <w:color w:val="000000"/>
        </w:rPr>
        <w:t>Преди да приеме предложението за изменение на Регламент (ЕО) № 223/2009, Комисията осигури широко участие на държавите членки в дискусиите относно възможната форма на ангажиментите. В обяснителния меморандум към предложението се прави препратка към съобщението от 2011 г. и се предлага да се установят ангажименти</w:t>
      </w:r>
      <w:r>
        <w:rPr>
          <w:noProof/>
        </w:rPr>
        <w:t>, „за да се повиши информираността на националните правителства за ролята им в осигуряването на доверие към официалната статистика чрез зачитане на независимостта на НСИ, както и за споделяната от тях отговорност за това“.</w:t>
      </w:r>
    </w:p>
    <w:p>
      <w:pPr>
        <w:rPr>
          <w:noProof/>
        </w:rPr>
      </w:pPr>
      <w:r>
        <w:rPr>
          <w:noProof/>
        </w:rPr>
        <w:t xml:space="preserve">През 2015 г. Комисията (Евростат) и държавите членки продължиха дискусиите в рамките на ЕСС с цел да се гарантират ефективността и ефикасността на инструментите и на факторите, посочени в </w:t>
      </w:r>
      <w:r>
        <w:rPr>
          <w:noProof/>
          <w:color w:val="000000"/>
        </w:rPr>
        <w:t>Регламент (ЕО) № 223/2009</w:t>
      </w:r>
      <w:r>
        <w:rPr>
          <w:noProof/>
        </w:rPr>
        <w:t>, като например ангажиментите във връзка с доверието в статистиката.</w:t>
      </w:r>
    </w:p>
    <w:p>
      <w:pPr>
        <w:rPr>
          <w:noProof/>
        </w:rPr>
      </w:pPr>
      <w:r>
        <w:rPr>
          <w:noProof/>
        </w:rPr>
        <w:t>Съгласно член 11, параграф 3 от Регламент (ЕО) № 223/2009 ангажиментите са инструменти, които „имат за цел и гарантиране на общественото доверие в европейската статистика и напредъка при спазването на статистическите принципи, които се съдържат в Кодекса на практиката“. Те трябва да бъдат поети както от държавите членки, така и от Комисията.  В съображение 17 от Регламент за изменение (ЕС) 2015/759</w:t>
      </w:r>
      <w:r>
        <w:rPr>
          <w:rStyle w:val="FootnoteReference"/>
          <w:noProof/>
        </w:rPr>
        <w:footnoteReference w:id="6"/>
      </w:r>
      <w:r>
        <w:rPr>
          <w:noProof/>
        </w:rPr>
        <w:t xml:space="preserve"> се посочва също така, че ангажиментите следва да включват „поемането на конкретни задължения от правителството на държавата членка за подобряване или запазване на условията за прилагане на Кодекса на практиката“.</w:t>
      </w:r>
    </w:p>
    <w:p>
      <w:pPr>
        <w:pStyle w:val="Heading1"/>
        <w:numPr>
          <w:ilvl w:val="0"/>
          <w:numId w:val="4"/>
        </w:numPr>
        <w:rPr>
          <w:noProof/>
        </w:rPr>
      </w:pPr>
      <w:r>
        <w:rPr>
          <w:noProof/>
        </w:rPr>
        <w:t>Преглед на ангажиментите във връзка с доверието и доклади по държави членки</w:t>
      </w:r>
    </w:p>
    <w:p>
      <w:pPr>
        <w:pStyle w:val="Heading2"/>
        <w:numPr>
          <w:ilvl w:val="1"/>
          <w:numId w:val="4"/>
        </w:numPr>
        <w:rPr>
          <w:noProof/>
        </w:rPr>
      </w:pPr>
      <w:r>
        <w:rPr>
          <w:noProof/>
        </w:rPr>
        <w:t>Форма на ангажимента</w:t>
      </w:r>
    </w:p>
    <w:p>
      <w:pPr>
        <w:rPr>
          <w:noProof/>
        </w:rPr>
      </w:pPr>
      <w:r>
        <w:rPr>
          <w:noProof/>
          <w:color w:val="000000"/>
        </w:rPr>
        <w:t xml:space="preserve">Съгласно член 11 от Регламент (ЕО) </w:t>
      </w:r>
      <w:r>
        <w:rPr>
          <w:noProof/>
        </w:rPr>
        <w:t>№ 223/2009 държавите членки трябва да поемат и публикуват ангажимент във връзка с доверието в статистиката или поне да изпратят на Комисията и да публикуват доклад за напредъка по прилагането на Кодекса на практиката и за положените усилия за поемане на ангажимент. Тъй като в регламента не се съдържат правила за формата на ангажимента, държавите членки могат свободно да избират между различни варианти, стига да бъде постигната целта за повишаване на общественото доверие чрез ангажимент на правителствата да осигурят условия за висококачествена статистика.</w:t>
      </w:r>
    </w:p>
    <w:p>
      <w:pPr>
        <w:rPr>
          <w:noProof/>
        </w:rPr>
      </w:pPr>
      <w:r>
        <w:rPr>
          <w:noProof/>
        </w:rPr>
        <w:t xml:space="preserve">Ако се изпълни това условие, концепцията за ангажиментите във връзка с доверието в статистиката може да бъде много полезен инструмент, независимо от това дали дадена държава членка ще избере да поеме самостоятелен ангажимент, да поясни къде в националното законодателство може да се открие ангажиментът или да изпрати доклад за напредъка. Всеки от тези варианти може да отговаря на целта за повишаване на осведомеността на правителството относно Кодекса на практиката и на значението на независимата статистика. </w:t>
      </w:r>
    </w:p>
    <w:p>
      <w:pPr>
        <w:rPr>
          <w:noProof/>
        </w:rPr>
      </w:pPr>
      <w:r>
        <w:rPr>
          <w:noProof/>
        </w:rPr>
        <w:t>Що се отнася до подхода на държавите членки по отношение на формата на ангажимента, те се делят на две основни групи: такива, които са поели самостоятелни ангажименти, и такива, които са заявили, че определени</w:t>
      </w:r>
      <w:r>
        <w:rPr>
          <w:noProof/>
          <w:color w:val="000000"/>
        </w:rPr>
        <w:t xml:space="preserve"> техни законодателни актове</w:t>
      </w:r>
      <w:r>
        <w:rPr>
          <w:noProof/>
        </w:rPr>
        <w:t xml:space="preserve"> съставляват ангажимента. Някои държави от втората група са заявили, че не възнамеряват да поемат самостоятелен ангажимент, докато други са посочили, че все още смятат да го направят.</w:t>
      </w:r>
    </w:p>
    <w:p>
      <w:pPr>
        <w:pStyle w:val="Heading2"/>
        <w:numPr>
          <w:ilvl w:val="1"/>
          <w:numId w:val="4"/>
        </w:numPr>
        <w:rPr>
          <w:noProof/>
        </w:rPr>
      </w:pPr>
      <w:r>
        <w:rPr>
          <w:noProof/>
        </w:rPr>
        <w:t>Самостоятелни ангажименти във връзка с доверието</w:t>
      </w:r>
    </w:p>
    <w:p>
      <w:pPr>
        <w:rPr>
          <w:noProof/>
        </w:rPr>
      </w:pPr>
      <w:r>
        <w:rPr>
          <w:noProof/>
        </w:rPr>
        <w:t>Към днешна дата в следните държави членки са публикувани следните самостоятелни ангажименти във връзка с доверието, посочени в хронологичен ред:</w:t>
      </w:r>
    </w:p>
    <w:p>
      <w:pPr>
        <w:rPr>
          <w:noProof/>
          <w:color w:val="000000"/>
        </w:rPr>
      </w:pPr>
      <w:r>
        <w:rPr>
          <w:b/>
          <w:noProof/>
        </w:rPr>
        <w:t>Гърция:</w:t>
      </w:r>
      <w:r>
        <w:rPr>
          <w:noProof/>
        </w:rPr>
        <w:t xml:space="preserve"> </w:t>
      </w:r>
      <w:r>
        <w:rPr>
          <w:noProof/>
          <w:color w:val="000000"/>
        </w:rPr>
        <w:t>Гръцкият ангажимент във връзка с доверието в статистиката</w:t>
      </w:r>
      <w:r>
        <w:rPr>
          <w:rStyle w:val="FootnoteReference"/>
          <w:noProof/>
          <w:color w:val="000000"/>
        </w:rPr>
        <w:footnoteReference w:id="7"/>
      </w:r>
      <w:r>
        <w:rPr>
          <w:noProof/>
          <w:color w:val="000000"/>
        </w:rPr>
        <w:t xml:space="preserve"> бе подписан на 29 февруари 2012 г. от гръцкия министър-председател и от члена на Европейската комисия, отговарящ за въпросите на данъчното облагане и митническия съюз, одита и борбата с измамите. Това е първият ангажимент, публикуван преди още Комисията да приеме предложението си за изменение на Регламент (ЕО) № 223/2009. Гръцкият ангажимент е специален и с това, че е заверен и с подписа на член на Европейската комисия. В него се съдържат тържествени ангажименти от страна на правителството, съчетани с конкретни мерки, особено във връзка с изменения на Закона за статистиката, включени в приложение. Гръцкото правителство докладва на Комисията (Евростат) относно изпълнението на тези мерки.</w:t>
      </w:r>
    </w:p>
    <w:p>
      <w:pPr>
        <w:rPr>
          <w:noProof/>
          <w:color w:val="000000"/>
        </w:rPr>
      </w:pPr>
      <w:r>
        <w:rPr>
          <w:b/>
          <w:noProof/>
        </w:rPr>
        <w:t>Швеция</w:t>
      </w:r>
      <w:r>
        <w:rPr>
          <w:noProof/>
        </w:rPr>
        <w:t xml:space="preserve">: </w:t>
      </w:r>
      <w:r>
        <w:rPr>
          <w:noProof/>
          <w:color w:val="000000"/>
        </w:rPr>
        <w:t>Ангажиментът във връзка с доверието в статистиката</w:t>
      </w:r>
      <w:r>
        <w:rPr>
          <w:rStyle w:val="FootnoteReference"/>
          <w:noProof/>
          <w:color w:val="000000"/>
        </w:rPr>
        <w:footnoteReference w:id="8"/>
      </w:r>
      <w:r>
        <w:rPr>
          <w:noProof/>
          <w:color w:val="000000"/>
        </w:rPr>
        <w:t xml:space="preserve"> бе представен в рамките на законопроект за бюджета за 2017 г. на шведското правителство. Впоследствие бе публикуван и на уебсайта на шведския статистически институт. В проектозакона правителството описва своя ангажимент за изграждане на доверие в статистиката и изброява мерките, които предприема за подобряване на координирането на статистическата система и последващите действия, свързани с качеството. В проектозакона е изяснена и отговорността на </w:t>
      </w:r>
      <w:r>
        <w:rPr>
          <w:noProof/>
        </w:rPr>
        <w:t>Статистическата служба на Швеция за координацията; с него се въвеждат и мерките за контрол на качеството, които трябва да бъдат изпълнени.</w:t>
      </w:r>
    </w:p>
    <w:p>
      <w:pPr>
        <w:rPr>
          <w:noProof/>
          <w:color w:val="000000"/>
        </w:rPr>
      </w:pPr>
      <w:r>
        <w:rPr>
          <w:b/>
          <w:noProof/>
        </w:rPr>
        <w:t>Словения:</w:t>
      </w:r>
      <w:r>
        <w:rPr>
          <w:noProof/>
        </w:rPr>
        <w:t xml:space="preserve"> </w:t>
      </w:r>
      <w:r>
        <w:rPr>
          <w:noProof/>
          <w:color w:val="000000"/>
        </w:rPr>
        <w:t>Правителството на Словения прие ангажимента във връзка с доверието в статистиката</w:t>
      </w:r>
      <w:r>
        <w:rPr>
          <w:rStyle w:val="FootnoteReference"/>
          <w:noProof/>
          <w:color w:val="000000"/>
        </w:rPr>
        <w:footnoteReference w:id="9"/>
      </w:r>
      <w:r>
        <w:rPr>
          <w:noProof/>
          <w:color w:val="000000"/>
        </w:rPr>
        <w:t xml:space="preserve"> на 5 януари 2017 г. Впоследствие той бе публикуван на уебсайта на словенския статистически институт заедно със съответното обобщение за гражданите. Ангажиментът се основава на факта, че в Словения подходящата институционална среда за воденето на официална статистика се осигурява чрез изпълнение на принципите на професионална независимост, адекватност на ресурсите, мандат за събиране на данни, статистическа поверителност, безпристрастност и обективност, определени в Закона за държавната статистика. </w:t>
      </w:r>
    </w:p>
    <w:p>
      <w:pPr>
        <w:rPr>
          <w:noProof/>
          <w:color w:val="000000"/>
        </w:rPr>
      </w:pPr>
      <w:r>
        <w:rPr>
          <w:b/>
          <w:noProof/>
        </w:rPr>
        <w:t>Ирландия:</w:t>
      </w:r>
      <w:r>
        <w:rPr>
          <w:noProof/>
        </w:rPr>
        <w:t xml:space="preserve"> </w:t>
      </w:r>
      <w:r>
        <w:rPr>
          <w:noProof/>
          <w:color w:val="000000"/>
        </w:rPr>
        <w:t>Ирландският ангажимент във връзка с доверието в статистиката</w:t>
      </w:r>
      <w:r>
        <w:rPr>
          <w:rStyle w:val="FootnoteReference"/>
          <w:noProof/>
          <w:color w:val="000000"/>
        </w:rPr>
        <w:footnoteReference w:id="10"/>
      </w:r>
      <w:r>
        <w:rPr>
          <w:noProof/>
          <w:color w:val="000000"/>
        </w:rPr>
        <w:t xml:space="preserve"> бе приет от правителството на Ирландия на 30 май 2017 г. и впоследствие публикуван на уебсайта на ирландския статистически институт. Като се позовава на Регламент (ЕО) № 223/2009 и на националния закон за статистиката, правителството на Ирландия потвърждава значението на независимата, обективна и надеждна статистика като обществено благо, признава ролята на официалната статистика за налагането на ефективен дебат и ефективно вземане на решения в рамките на правителството, стопанската дейност и обществото и оценява ролята на Националния статистически съвет за даването на стратегически насоки на ирландската статистическа система.</w:t>
      </w:r>
    </w:p>
    <w:p>
      <w:pPr>
        <w:rPr>
          <w:noProof/>
          <w:color w:val="000000"/>
        </w:rPr>
      </w:pPr>
      <w:r>
        <w:rPr>
          <w:b/>
          <w:noProof/>
          <w:color w:val="000000"/>
        </w:rPr>
        <w:t>Белгия</w:t>
      </w:r>
      <w:r>
        <w:rPr>
          <w:noProof/>
          <w:color w:val="000000"/>
        </w:rPr>
        <w:t>: На 31 май 2017 г. белгийският ангажимент във връзка с доверието</w:t>
      </w:r>
      <w:r>
        <w:rPr>
          <w:rStyle w:val="FootnoteReference"/>
          <w:noProof/>
          <w:color w:val="000000"/>
        </w:rPr>
        <w:footnoteReference w:id="11"/>
      </w:r>
      <w:r>
        <w:rPr>
          <w:noProof/>
          <w:color w:val="000000"/>
        </w:rPr>
        <w:t xml:space="preserve"> бе одобрен от Консултативния комитет и впоследствие публикуван на уебсайта на белгийския федерален статистически институт. С ангажимента си във връзка с доверието в статистиката федералното правителство и </w:t>
      </w:r>
      <w:r>
        <w:rPr>
          <w:noProof/>
        </w:rPr>
        <w:t>правителствата на регионите и общностите се ангажират да направят всичко в рамките на своите правомощия, за да гарантират основополагащите принципи и високото качество на публичната статистика.</w:t>
      </w:r>
    </w:p>
    <w:p>
      <w:pPr>
        <w:rPr>
          <w:noProof/>
          <w:szCs w:val="24"/>
        </w:rPr>
      </w:pPr>
      <w:r>
        <w:rPr>
          <w:b/>
          <w:noProof/>
        </w:rPr>
        <w:t>Румъния</w:t>
      </w:r>
      <w:r>
        <w:rPr>
          <w:noProof/>
        </w:rPr>
        <w:t xml:space="preserve">: </w:t>
      </w:r>
      <w:r>
        <w:rPr>
          <w:noProof/>
          <w:color w:val="000000"/>
        </w:rPr>
        <w:t>Румънският ангажимент във връзка с доверието бе приет от румънското правителство на заседанието му от 9 юни 2017 г.</w:t>
      </w:r>
      <w:r>
        <w:rPr>
          <w:rStyle w:val="FootnoteReference"/>
          <w:noProof/>
          <w:color w:val="000000"/>
        </w:rPr>
        <w:footnoteReference w:id="12"/>
      </w:r>
      <w:r>
        <w:rPr>
          <w:noProof/>
          <w:color w:val="000000"/>
        </w:rPr>
        <w:t xml:space="preserve"> Той включва твърд ангажимент на </w:t>
      </w:r>
      <w:r>
        <w:rPr>
          <w:noProof/>
        </w:rPr>
        <w:t>румънското правителство за</w:t>
      </w:r>
      <w:r>
        <w:rPr>
          <w:rFonts w:ascii="Source Sans Pro" w:hAnsi="Source Sans Pro"/>
          <w:noProof/>
          <w:color w:val="000000"/>
        </w:rPr>
        <w:t xml:space="preserve"> </w:t>
      </w:r>
      <w:r>
        <w:rPr>
          <w:noProof/>
        </w:rPr>
        <w:t xml:space="preserve">гарантиране и защита на професионалната независимост на националния статистически институт и на други официални субекти, изготвящи статистика, както и за гарантиране на правото и задължението на председателя на Националния институт по статистика да изпълнява професионалните и управленските </w:t>
      </w:r>
      <w:r>
        <w:rPr>
          <w:noProof/>
          <w:szCs w:val="24"/>
        </w:rPr>
        <w:t>задачи, свързани с изготвянето на официална национална статистика.</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cs="Times New Roman"/>
          <w:noProof/>
          <w:sz w:val="24"/>
          <w:szCs w:val="24"/>
        </w:rPr>
        <w:t>Малта:</w:t>
      </w:r>
      <w:r>
        <w:rPr>
          <w:rFonts w:ascii="Times New Roman" w:hAnsi="Times New Roman" w:cs="Times New Roman"/>
          <w:b w:val="0"/>
          <w:noProof/>
          <w:sz w:val="24"/>
          <w:szCs w:val="24"/>
        </w:rPr>
        <w:t xml:space="preserve"> Ангажиментът във връзка с доверието в статистиката бе подписан от министър-председателя на 17 май 2018 г.</w:t>
      </w:r>
      <w:r>
        <w:rPr>
          <w:rStyle w:val="FootnoteReference"/>
          <w:rFonts w:ascii="Times New Roman" w:hAnsi="Times New Roman" w:cs="Times New Roman"/>
          <w:b w:val="0"/>
          <w:noProof/>
          <w:sz w:val="24"/>
          <w:szCs w:val="24"/>
        </w:rPr>
        <w:footnoteReference w:id="13"/>
      </w:r>
      <w:r>
        <w:rPr>
          <w:rFonts w:ascii="Times New Roman" w:hAnsi="Times New Roman" w:cs="Times New Roman"/>
          <w:b w:val="0"/>
          <w:noProof/>
          <w:sz w:val="24"/>
          <w:szCs w:val="24"/>
        </w:rPr>
        <w:t xml:space="preserve"> от името на малтийското правителство. Правителството на Малта признава, че европейската статистика се разработва, изготвя и разпространява в съответствие с принципите, предвидени в член 338 от Договора за функционирането на Европейския съюз и в Регламент (ЕО) № 223/2009, и оценява ролята на съвета на Органа по статистика на Малта и тази на Националната статистическа служба за предоставянето на стратегически насоки и осигуряването на по-нататъшното развитие на малтийската статистическа система. Освен това правителството се ангажира да продължи да гарантира професионалната независимост на Националната статистическа служба на Малта, да ѝ оказва подкрепа в запазването или подобряването на условията за прилагането на кодекса и да осигурява условия за достъпа на Националната статистическа служба до данни от административни и други източници с цел разработване и изготвяне на висококачествена статистика във всички области, като в същото време се намалява тежестта върху лицата, домакинствата и предприятията респонденти.</w:t>
      </w:r>
    </w:p>
    <w:p>
      <w:pPr>
        <w:spacing w:before="0" w:after="0"/>
        <w:rPr>
          <w:noProof/>
        </w:rPr>
      </w:pPr>
      <w:r>
        <w:rPr>
          <w:noProof/>
          <w:szCs w:val="24"/>
        </w:rPr>
        <w:t>Поетите самостоятелни ангажименти се различават в значителна степен по форма, съдържание и продължителност. Това е в пълно съответствие</w:t>
      </w:r>
      <w:r>
        <w:rPr>
          <w:noProof/>
        </w:rPr>
        <w:t xml:space="preserve"> с целта да се отчитат специфичните особености на националните статистически системи. Наблюдава се също така, че въпреки разнообразието си, съществуващите ангажименти са вдъхновени от предишните, а така също и от двата възможни образеца, които Комисията (Евростат) предложи през 2012 г.</w:t>
      </w:r>
    </w:p>
    <w:p>
      <w:pPr>
        <w:rPr>
          <w:noProof/>
        </w:rPr>
      </w:pPr>
      <w:r>
        <w:rPr>
          <w:noProof/>
        </w:rPr>
        <w:t>Един от елементите в образците е задължение за поемане отново на  „ангажимента във връзка с доверието в статистиката“, ако бъдат установени съответни нужди от подобрение.</w:t>
      </w:r>
    </w:p>
    <w:p>
      <w:pPr>
        <w:rPr>
          <w:noProof/>
        </w:rPr>
      </w:pPr>
      <w:r>
        <w:rPr>
          <w:noProof/>
        </w:rPr>
        <w:t>В този контекст заслужава да се отбележи, че две държави кандидатки — Албания и Черна гора, наскоро поеха самостоятелни ангажименти</w:t>
      </w:r>
      <w:r>
        <w:rPr>
          <w:rFonts w:ascii="Source Sans Pro" w:hAnsi="Source Sans Pro"/>
          <w:noProof/>
          <w:color w:val="000000"/>
        </w:rPr>
        <w:t xml:space="preserve"> </w:t>
      </w:r>
      <w:r>
        <w:rPr>
          <w:noProof/>
          <w:color w:val="000000"/>
        </w:rPr>
        <w:t>във връзка с доверието, което показва, че подобни ангажименти се признават като най-добра практика извън настоящите граници на Европейския съюз.</w:t>
      </w:r>
    </w:p>
    <w:p>
      <w:pPr>
        <w:pStyle w:val="Heading2"/>
        <w:numPr>
          <w:ilvl w:val="1"/>
          <w:numId w:val="4"/>
        </w:numPr>
        <w:rPr>
          <w:noProof/>
        </w:rPr>
      </w:pPr>
      <w:r>
        <w:rPr>
          <w:noProof/>
        </w:rPr>
        <w:t>Национално законодателство, съставляващо ангажимента</w:t>
      </w:r>
    </w:p>
    <w:p>
      <w:pPr>
        <w:rPr>
          <w:noProof/>
        </w:rPr>
      </w:pPr>
      <w:r>
        <w:rPr>
          <w:noProof/>
        </w:rPr>
        <w:t>Петнадесет държави членки заявяват в своите доклади, че някои</w:t>
      </w:r>
      <w:r>
        <w:rPr>
          <w:noProof/>
          <w:color w:val="000000"/>
        </w:rPr>
        <w:t xml:space="preserve"> техни законодателни актове</w:t>
      </w:r>
      <w:r>
        <w:rPr>
          <w:noProof/>
        </w:rPr>
        <w:t xml:space="preserve"> сами по себе си съставляват ангажимент във връзка с доверието в статистиката. Поради това те обявяват, че няма да поемат самостоятелен ангажимент. По-голямата част от тези петнадесет държави членки ясно посочват конкретните членове, които съставляват техния ангажимент, и предоставят допълнителни обяснения.</w:t>
      </w:r>
    </w:p>
    <w:p>
      <w:pPr>
        <w:rPr>
          <w:noProof/>
        </w:rPr>
      </w:pPr>
      <w:r>
        <w:rPr>
          <w:noProof/>
        </w:rPr>
        <w:t>Този вариант за поемане на задължение също е приложим, при условие че са изпълнени някои условия. Най-важното е въпросното законодателство да обхваща политическия елемент на ангажимента, най-добре описан в съображение 17 от Регламент за изменение (ЕС) 2015/759.</w:t>
      </w:r>
    </w:p>
    <w:p>
      <w:pPr>
        <w:rPr>
          <w:noProof/>
        </w:rPr>
      </w:pPr>
      <w:r>
        <w:rPr>
          <w:noProof/>
        </w:rPr>
        <w:t xml:space="preserve">В съображение 17 се обясняват същностните основания за въвеждането на ангажиментите в Регламент (ЕО) № 223/2009 и се предлагат допълнителни насоки относно поемането им и тяхното съдържание. В съображението се посочва необходимостта от включване в ангажимента на политически елемент („...конкретни задължения от правителството на държавата членка...“). Приет от правителството декрет-закон може сам по себе си да осигури достатъчен политически елемент, докато национален закон за статистиката, приет от парламента, може и да не бъде достатъчен. </w:t>
      </w:r>
    </w:p>
    <w:p>
      <w:pPr>
        <w:rPr>
          <w:noProof/>
        </w:rPr>
      </w:pPr>
      <w:r>
        <w:rPr>
          <w:noProof/>
        </w:rPr>
        <w:t>В диалога си с държавите членки, спрели се на този вариант, Комисията отбелязва, че след въвеждането на правно задължение за поемане на ангажимент във връзка с доверието правителствата осъзнават в значително по-голяма степен отговорността, която носят за качеството на статистиката. Такова заключение може да бъде изведено от докладваните дискусии относно ангажимента, проведени между националните статистически институти и правителствата в съответните държави членки.</w:t>
      </w:r>
    </w:p>
    <w:p>
      <w:pPr>
        <w:rPr>
          <w:noProof/>
        </w:rPr>
      </w:pPr>
      <w:r>
        <w:rPr>
          <w:noProof/>
        </w:rPr>
        <w:t xml:space="preserve">Продължавайки диалога, Комисията ще оцени дали съответните правни разпоредби са подходящи за подобряване или запазване на условията за прилагането на Кодекса на практиката. Аспектите, които трябва да се вземат предвид в този контекст, са дали в разпоредбите е ясно посочено, че следва да се създадат рамки за осигуряване на високо качество или рамки за наблюдение, и дали те се допълват ефективно от мерки за подобрение и самооценки. Процедурата по приемане на съответното законодателство също може да изиграе роля, особено ако показва по очевиден начин подкрепата на националното правителство.  </w:t>
      </w:r>
    </w:p>
    <w:p>
      <w:pPr>
        <w:rPr>
          <w:noProof/>
        </w:rPr>
      </w:pPr>
      <w:r>
        <w:rPr>
          <w:noProof/>
        </w:rPr>
        <w:t>Друг важен аспект е, че ангажимент, залегнал в законодателството, следва да има добавена стойност свръх и извън самото законодателство. Ангажиментите нямат за цел да бъдат просто обещания за съблюдаване на закона — подобни обещания няма да имат желания ефект за запазване на общественото доверие в европейската статистика.</w:t>
      </w:r>
    </w:p>
    <w:p>
      <w:pPr>
        <w:pStyle w:val="Heading2"/>
        <w:numPr>
          <w:ilvl w:val="1"/>
          <w:numId w:val="4"/>
        </w:numPr>
        <w:rPr>
          <w:noProof/>
        </w:rPr>
      </w:pPr>
      <w:r>
        <w:rPr>
          <w:noProof/>
        </w:rPr>
        <w:t xml:space="preserve">Доклади на държавите членки  </w:t>
      </w:r>
    </w:p>
    <w:p>
      <w:pPr>
        <w:rPr>
          <w:noProof/>
          <w:color w:val="000000"/>
        </w:rPr>
      </w:pPr>
      <w:r>
        <w:rPr>
          <w:noProof/>
          <w:color w:val="000000"/>
        </w:rPr>
        <w:t>В член 11, параграф 4 от Регламент (ЕО) № 223/2009 се посочва, че Комисията трябва да наблюдава редовно ангажиментите на държавите членки въз основа на годишните доклади, изпращани от тях и актуализирани при необходимост. Ако до 9 юни 2017 г. не е поет и публикуван никакъв ангажимент, съответната държава членка трябва да изпрати на Комисията доклад за напредъка относно прилагането на Кодекса на практиката и ако е приложимо, относно положените усилия за поемане на ангажимент. Тези доклади за напредъка трябва да бъдат публикувани и актуализирани на всеки две години.</w:t>
      </w:r>
    </w:p>
    <w:p>
      <w:pPr>
        <w:rPr>
          <w:noProof/>
        </w:rPr>
      </w:pPr>
      <w:r>
        <w:rPr>
          <w:noProof/>
        </w:rPr>
        <w:t xml:space="preserve">Всички държави членки са докладвали на Комисията (Евростат) относно ангажимента си в съответствие с член 11, параграф 4 от </w:t>
      </w:r>
      <w:r>
        <w:rPr>
          <w:noProof/>
          <w:color w:val="000000"/>
        </w:rPr>
        <w:t>Регламент (ЕО) № 223/2009</w:t>
      </w:r>
      <w:r>
        <w:rPr>
          <w:noProof/>
        </w:rPr>
        <w:t>.</w:t>
      </w:r>
      <w:r>
        <w:rPr>
          <w:noProof/>
          <w:color w:val="000000"/>
        </w:rPr>
        <w:t xml:space="preserve"> Докладите на шестте</w:t>
      </w:r>
      <w:r>
        <w:rPr>
          <w:noProof/>
        </w:rPr>
        <w:t xml:space="preserve"> държави членки, които нито са приели самостоятелен ангажимент, нито са включили такъв в законодателството си, в повечето случаи оставят отворена възможността за поемането на ангажимент в бъдеще. </w:t>
      </w:r>
    </w:p>
    <w:p>
      <w:pPr>
        <w:rPr>
          <w:noProof/>
        </w:rPr>
      </w:pPr>
      <w:r>
        <w:rPr>
          <w:noProof/>
        </w:rPr>
        <w:t xml:space="preserve">Успоредно с докладите си по </w:t>
      </w:r>
      <w:r>
        <w:rPr>
          <w:noProof/>
          <w:color w:val="000000"/>
        </w:rPr>
        <w:t xml:space="preserve">прилагането на Кодекса на европейската статистическа практика </w:t>
      </w:r>
      <w:r>
        <w:rPr>
          <w:noProof/>
        </w:rPr>
        <w:t xml:space="preserve">повечето държави членки са докладвали мерки за подобрение, съгласно които всяка година през месец януари държавите членки докладват на Комисията (Евростат) за всяко действие, което са предприели вследствие на процеса на партньорските проверки. Съответната част от доклада за партньорската проверка също трябва да бъде оповестена публично, за да служи като доклад за напредъка по ангажимента. </w:t>
      </w:r>
    </w:p>
    <w:p>
      <w:pPr>
        <w:pStyle w:val="ListNumberLevel2"/>
        <w:numPr>
          <w:ilvl w:val="1"/>
          <w:numId w:val="3"/>
        </w:numPr>
        <w:rPr>
          <w:noProof/>
        </w:rPr>
      </w:pPr>
      <w:r>
        <w:rPr>
          <w:noProof/>
        </w:rPr>
        <w:t>Развития, най-често докладвани от държавите членки</w:t>
      </w:r>
    </w:p>
    <w:p>
      <w:pPr>
        <w:autoSpaceDE w:val="0"/>
        <w:autoSpaceDN w:val="0"/>
        <w:rPr>
          <w:noProof/>
        </w:rPr>
      </w:pPr>
      <w:r>
        <w:rPr>
          <w:noProof/>
        </w:rPr>
        <w:t xml:space="preserve">Много държави членки докладват въвеждането в националното законодателство относно статистиката на специални членове относно или във връзка с ангажимента. Например те включват изрично правно задължение за изготвяне и разпространение на висококачествена официална статистика. Други докладват включването на специални разпоредби относно статута на националния статистик, статистическата независимост и координиращата роля на НСИ по отношение на официалната статистика. </w:t>
      </w:r>
    </w:p>
    <w:p>
      <w:pPr>
        <w:autoSpaceDE w:val="0"/>
        <w:autoSpaceDN w:val="0"/>
        <w:rPr>
          <w:noProof/>
        </w:rPr>
      </w:pPr>
      <w:r>
        <w:rPr>
          <w:noProof/>
        </w:rPr>
        <w:t xml:space="preserve">В докладите се посочва и включването в законодателството на ясна процедура за прилагане на Кодекса на практиката в системата на официалната статистика, както и на ангажимент изготвянето на официалната статистика да се развива в съответствие с Кодекса на европейската статистическа практика, за да се запазва доверието на обществото в официалната статистика. </w:t>
      </w:r>
    </w:p>
    <w:p>
      <w:pPr>
        <w:autoSpaceDE w:val="0"/>
        <w:autoSpaceDN w:val="0"/>
        <w:rPr>
          <w:noProof/>
        </w:rPr>
      </w:pPr>
      <w:r>
        <w:rPr>
          <w:noProof/>
        </w:rPr>
        <w:t>Някои държави членки докладват, че все още са в процес на преразглеждане на законодателството относно статистиката с цел включване на разпоредби, които да отразят промените, произтичащи от преразглеждането на Регламент (ЕО) № 223/2009, и по-специално ангажиментите.</w:t>
      </w:r>
    </w:p>
    <w:p>
      <w:pPr>
        <w:pStyle w:val="ListNumberLevel2"/>
        <w:numPr>
          <w:ilvl w:val="1"/>
          <w:numId w:val="3"/>
        </w:numPr>
        <w:rPr>
          <w:noProof/>
        </w:rPr>
      </w:pPr>
      <w:r>
        <w:rPr>
          <w:noProof/>
        </w:rPr>
        <w:t>Примери, илюстриращи значителни или типични развития</w:t>
      </w:r>
    </w:p>
    <w:p>
      <w:pPr>
        <w:autoSpaceDE w:val="0"/>
        <w:autoSpaceDN w:val="0"/>
        <w:rPr>
          <w:noProof/>
        </w:rPr>
      </w:pPr>
      <w:r>
        <w:rPr>
          <w:noProof/>
        </w:rPr>
        <w:t>Тъй като подробното описание на докладите на държавите членки е извън обхвата на настоящия доклад, следните примери може да послужат като илюстрация за значителните или типичните развития в резултат от ангажиментите (а евентуално и от други развития):</w:t>
      </w:r>
    </w:p>
    <w:p>
      <w:pPr>
        <w:autoSpaceDE w:val="0"/>
        <w:autoSpaceDN w:val="0"/>
        <w:rPr>
          <w:noProof/>
        </w:rPr>
      </w:pPr>
      <w:r>
        <w:rPr>
          <w:b/>
          <w:noProof/>
        </w:rPr>
        <w:t>Дания</w:t>
      </w:r>
      <w:r>
        <w:rPr>
          <w:noProof/>
        </w:rPr>
        <w:t>: На 1 юли 2018 г. предстои да влезе в сила преразгледан закон за статистиката. Той включва специални разпоредби относно статута на националния статистик, статистическата независимост и координиращата роля на НСИ по отношение на официалната статистика. Също така законът съдържа и ясна процедура за прилагане на Кодекса на практиката в системата на официалната статистика.</w:t>
      </w:r>
    </w:p>
    <w:p>
      <w:pPr>
        <w:autoSpaceDE w:val="0"/>
        <w:autoSpaceDN w:val="0"/>
        <w:rPr>
          <w:noProof/>
        </w:rPr>
      </w:pPr>
      <w:r>
        <w:rPr>
          <w:b/>
          <w:noProof/>
        </w:rPr>
        <w:t>Испания</w:t>
      </w:r>
      <w:r>
        <w:rPr>
          <w:noProof/>
        </w:rPr>
        <w:t>: Специален член за ангажимента е включен в закона относно статистическата програма за 2018 г., в който се прави изрична препратка към принципите за качество от Регламент (ЕО) № 223/2009 и Кодекса на европейската статистическа практика като необходими елементи за запазване на доверието на обществото в статистиката за държавни цели. Освен това е публикувано обобщение за гражданите на програмата за 2018 г., в което се прави позоваване на ангажимента.</w:t>
      </w:r>
    </w:p>
    <w:p>
      <w:pPr>
        <w:autoSpaceDE w:val="0"/>
        <w:autoSpaceDN w:val="0"/>
        <w:rPr>
          <w:noProof/>
        </w:rPr>
      </w:pPr>
      <w:r>
        <w:rPr>
          <w:b/>
          <w:noProof/>
        </w:rPr>
        <w:t>Латвия</w:t>
      </w:r>
      <w:r>
        <w:rPr>
          <w:noProof/>
        </w:rPr>
        <w:t>:</w:t>
      </w:r>
      <w:r>
        <w:rPr>
          <w:b/>
          <w:noProof/>
        </w:rPr>
        <w:t xml:space="preserve"> </w:t>
      </w:r>
      <w:r>
        <w:rPr>
          <w:noProof/>
        </w:rPr>
        <w:t>На 1 януари 2016 г. влезе в сила нов закон за статистиката, с който се разглеждат редица важни принципи от Кодекса на практиката. Например</w:t>
      </w:r>
      <w:r>
        <w:rPr>
          <w:b/>
          <w:noProof/>
        </w:rPr>
        <w:t xml:space="preserve"> </w:t>
      </w:r>
      <w:r>
        <w:rPr>
          <w:noProof/>
        </w:rPr>
        <w:t>с него се потвърждава отново и укрепва независимостта на НСИ, спазването на Кодекса на практиката се превръща в законово задължение и се правят промени в институционалната среда. В доклада се подчертава, че като е предложило закона въз основа на правото си на законодателна инициатива, правителството е изразило политическата си подкрепа за принципите в Кодекса на практиката.</w:t>
      </w:r>
    </w:p>
    <w:p>
      <w:pPr>
        <w:autoSpaceDE w:val="0"/>
        <w:autoSpaceDN w:val="0"/>
        <w:rPr>
          <w:noProof/>
        </w:rPr>
      </w:pPr>
      <w:r>
        <w:rPr>
          <w:b/>
          <w:noProof/>
        </w:rPr>
        <w:t>Литва</w:t>
      </w:r>
      <w:r>
        <w:rPr>
          <w:noProof/>
        </w:rPr>
        <w:t>: Със законопроект, изготвен и одобрен от правителството на 10 януари 2018 г., се уреждат принципите на официалната статистика като професионалната независимост, безпристрастността и обективността, статистическата поверителност и адекватността на ресурсите, като се прави пряко позоваване на Регламент (ЕО) № 223/2009 и на Кодекса на европейската статистическа практика. Също така в него много ясно се посочва, че генералният директор и НСИ като цяло трябва да се ползват от професионална независимост.</w:t>
      </w:r>
    </w:p>
    <w:p>
      <w:pPr>
        <w:autoSpaceDE w:val="0"/>
        <w:autoSpaceDN w:val="0"/>
        <w:rPr>
          <w:noProof/>
        </w:rPr>
      </w:pPr>
      <w:r>
        <w:rPr>
          <w:b/>
          <w:noProof/>
        </w:rPr>
        <w:t>Словакия</w:t>
      </w:r>
      <w:r>
        <w:rPr>
          <w:noProof/>
        </w:rPr>
        <w:t>: Текстът на самостоятелния ангажимент във връзка с доверието е финализиран за консултацията с правителството на Словакия.</w:t>
      </w:r>
    </w:p>
    <w:p>
      <w:pPr>
        <w:pStyle w:val="Heading1"/>
        <w:numPr>
          <w:ilvl w:val="0"/>
          <w:numId w:val="4"/>
        </w:numPr>
        <w:rPr>
          <w:noProof/>
        </w:rPr>
      </w:pPr>
      <w:r>
        <w:rPr>
          <w:noProof/>
        </w:rPr>
        <w:t xml:space="preserve">Обобщение и перспективи </w:t>
      </w:r>
    </w:p>
    <w:p>
      <w:pPr>
        <w:rPr>
          <w:noProof/>
        </w:rPr>
      </w:pPr>
      <w:r>
        <w:rPr>
          <w:noProof/>
        </w:rPr>
        <w:t>Въвеждането на ангажиментите във връзка с доверието като инструмент за гарантиране на общественото доверие в европейската статистика и в подкрепа на прилагането на статистическите принципи, определени в Кодекса на практиката, повиши осведомеността сред правителствата на държавите членки за значението на техния принос за запазването и подобряването на общественото доверие в официалната статистика.</w:t>
      </w:r>
    </w:p>
    <w:p>
      <w:pPr>
        <w:rPr>
          <w:noProof/>
        </w:rPr>
      </w:pPr>
      <w:r>
        <w:rPr>
          <w:noProof/>
        </w:rPr>
        <w:t>Всички държави членки надлежно докладваха на Комисията относно своите дейности и постижения във връзка с ангажиментите. Седем държави вече са поели самостоятелни ангажименти, петнадесет са заявили кои законодателни актове съставляват ангажимента на техните правителства, а седем са изпратили необходимия доклад. Комисията (Евростат) ще продължи да води диалог във връзка с необходимия политически елемент с държавите членки, докладвали, че техният ангажимент във връзка с доверието в статистиката е определен в националното законодателство . Няколко държави са докладвали освен това, че техните правителства са в процес на поемане на самостоятелен ангажимент.</w:t>
      </w:r>
    </w:p>
    <w:p>
      <w:pPr>
        <w:rPr>
          <w:noProof/>
        </w:rPr>
      </w:pPr>
      <w:r>
        <w:rPr>
          <w:noProof/>
        </w:rPr>
        <w:t>В обобщение, концепцията за ангажиментите във връзка с доверието получава широко признание от държавите членки, които предприемат необходимите стъпки за материализиране на добавената стойност на своя ангажимент, като установяват институционална връзка между своите правителства и Кодекса на европейската статистическа практика или като подобряват тази връзка. Може да се очаква произтичащите от това допълнителни гаранции за висококачествена официална статистика да постигнат желания ефект на засилване на общественото доверие.</w:t>
      </w:r>
    </w:p>
    <w:p>
      <w:pPr>
        <w:rPr>
          <w:noProof/>
        </w:rPr>
      </w:pPr>
      <w:r>
        <w:rPr>
          <w:noProof/>
        </w:rPr>
        <w:t>Мерките за запазване и укрепване на общественото доверие в европейската статистика ще имат все така съществено значение и в бъдеще. Членовете на ЕСС, в рамките на мисията си да предоставят независима висококачествена информация относно икономиката и обществото, която да е достъпна за всички, трябва да си взаимодействат с потребителите в съответствие с принципите на Кодекса на европейската статистическа практика. Инструментът на ангажиментите във връзка с доверието в статистиката, заедно с продължаващото наблюдение от страна на Комисията (Евростат), ще подпомогнат разнообразните усилия на членовете на ЕСС за запазване и подобряване на общественото доверие в официалната статистика. Очаква се ангажиментите да продължат да вдъхват увереност на широката общественост, че националните статистически институти се ползват с пълната подкрепа на своите правителства в усилията си да предоставят статистика с високо качество.</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PT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lang w:val="en-US"/>
      </w:rPr>
      <w:t>BG</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lang w:val="en-US"/>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color w:val="000000"/>
        </w:rPr>
        <w:t xml:space="preserve">Регламент (ЕО) </w:t>
      </w:r>
      <w:r>
        <w:t>№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2">
    <w:p>
      <w:pPr>
        <w:pStyle w:val="FootnoteText"/>
      </w:pPr>
      <w:r>
        <w:rPr>
          <w:rStyle w:val="FootnoteReference"/>
        </w:rPr>
        <w:footnoteRef/>
      </w:r>
      <w:r>
        <w:tab/>
      </w:r>
      <w:hyperlink r:id="rId1">
        <w:r>
          <w:rPr>
            <w:rStyle w:val="Hyperlink"/>
          </w:rPr>
          <w:t>http://ec.europa.eu/eurostat/documents/3859598/5921997/10425-BG-BG.PDF</w:t>
        </w:r>
      </w:hyperlink>
      <w:r>
        <w:t xml:space="preserve"> </w:t>
      </w:r>
    </w:p>
  </w:footnote>
  <w:footnote w:id="3">
    <w:p>
      <w:pPr>
        <w:pStyle w:val="FootnoteText"/>
      </w:pPr>
      <w:r>
        <w:rPr>
          <w:rStyle w:val="FootnoteReference"/>
        </w:rPr>
        <w:footnoteRef/>
      </w:r>
      <w:r>
        <w:tab/>
        <w:t xml:space="preserve">COM(2008) 621 окончателен от 7.10.2008 г.: Доклад на Комисията от 2008 г. до Европейския парламент и до Съвета относно прилагането на кодекса за дейността.   </w:t>
      </w:r>
    </w:p>
  </w:footnote>
  <w:footnote w:id="4">
    <w:p>
      <w:pPr>
        <w:pStyle w:val="FootnoteText"/>
      </w:pPr>
      <w:r>
        <w:rPr>
          <w:rStyle w:val="FootnoteReference"/>
        </w:rPr>
        <w:footnoteRef/>
      </w:r>
      <w:r>
        <w:tab/>
        <w:t>COM(2016) 114 final от 7.3.2016 г.: Доклад на Комисията до Европейския парламент и Съвета относно прилагането на Кодекса на европейската статистическа практика и координацията в рамките на Европейската статистическа система.</w:t>
      </w:r>
    </w:p>
  </w:footnote>
  <w:footnote w:id="5">
    <w:p>
      <w:pPr>
        <w:pStyle w:val="FootnoteText"/>
      </w:pPr>
      <w:r>
        <w:rPr>
          <w:rStyle w:val="FootnoteReference"/>
        </w:rPr>
        <w:footnoteRef/>
      </w:r>
      <w:r>
        <w:tab/>
      </w:r>
      <w:r>
        <w:rPr>
          <w:color w:val="000000"/>
        </w:rPr>
        <w:t>COM(2011) 211.</w:t>
      </w:r>
    </w:p>
  </w:footnote>
  <w:footnote w:id="6">
    <w:p>
      <w:pPr>
        <w:pStyle w:val="FootnoteText"/>
      </w:pPr>
      <w:r>
        <w:rPr>
          <w:rStyle w:val="FootnoteReference"/>
        </w:rPr>
        <w:footnoteRef/>
      </w:r>
      <w:r>
        <w:tab/>
        <w:t>Регламент (ЕС) 2015/759 на Европейския парламент и на Съвета от 29 април 2015 г. за изменение на Регламент (ЕО) № 223/2009 относно европейската статистика (ОВ L 123, 19.5.2015 г., стр. 90).</w:t>
      </w:r>
    </w:p>
  </w:footnote>
  <w:footnote w:id="7">
    <w:p>
      <w:pPr>
        <w:pStyle w:val="FootnoteText"/>
      </w:pPr>
      <w:r>
        <w:rPr>
          <w:rStyle w:val="FootnoteReference"/>
        </w:rPr>
        <w:footnoteRef/>
      </w:r>
      <w:r>
        <w:tab/>
      </w:r>
      <w:hyperlink r:id="rId2">
        <w:r>
          <w:rPr>
            <w:rStyle w:val="Hyperlink"/>
          </w:rPr>
          <w:t>http://www.statistics.gr/documents/20181/c5b9264e-815e-4f74-9955-467d14cad474</w:t>
        </w:r>
      </w:hyperlink>
      <w:r>
        <w:t xml:space="preserve"> (документ, наличен само на английски език).</w:t>
      </w:r>
    </w:p>
  </w:footnote>
  <w:footnote w:id="8">
    <w:p>
      <w:pPr>
        <w:spacing w:before="0" w:after="0"/>
        <w:ind w:left="709" w:hanging="709"/>
        <w:rPr>
          <w:sz w:val="18"/>
          <w:szCs w:val="18"/>
        </w:rPr>
      </w:pPr>
      <w:r>
        <w:rPr>
          <w:rStyle w:val="FootnoteReference"/>
        </w:rPr>
        <w:footnoteRef/>
      </w:r>
      <w:r>
        <w:tab/>
      </w:r>
      <w:hyperlink r:id="rId3" w:history="1">
        <w:r>
          <w:rPr>
            <w:rStyle w:val="Hyperlink"/>
            <w:sz w:val="18"/>
            <w:szCs w:val="18"/>
          </w:rPr>
          <w:t>http://www.scb.se/contentassets/bbe78b2a144143c7955b165f76fb4d52/regeringens-atagande-om-att-skapa-fortroende-for-statistiken.pdf</w:t>
        </w:r>
      </w:hyperlink>
      <w:r>
        <w:rPr>
          <w:sz w:val="18"/>
          <w:szCs w:val="18"/>
        </w:rPr>
        <w:t xml:space="preserve"> и </w:t>
      </w:r>
      <w:hyperlink r:id="rId4" w:history="1">
        <w:r>
          <w:rPr>
            <w:rStyle w:val="Hyperlink"/>
            <w:sz w:val="18"/>
            <w:szCs w:val="18"/>
          </w:rPr>
          <w:t>http://www.scb.se/om-scb/samordning-av-europeisk-statistik-i-sverige/regeringens-atagande-om-att-skapa-fortroende-for-statistiken/</w:t>
        </w:r>
      </w:hyperlink>
      <w:r>
        <w:rPr>
          <w:sz w:val="18"/>
          <w:szCs w:val="18"/>
        </w:rPr>
        <w:t xml:space="preserve"> (връзки, налични само на шведски език). </w:t>
      </w:r>
    </w:p>
    <w:p>
      <w:pPr>
        <w:pStyle w:val="FootnoteText"/>
        <w:ind w:hanging="11"/>
      </w:pPr>
      <w:r>
        <w:rPr>
          <w:sz w:val="18"/>
          <w:szCs w:val="18"/>
        </w:rPr>
        <w:t>Вж също стр. 28 и 29 от годишния доклад на Официалната статистика на Швеция,</w:t>
      </w:r>
      <w:r>
        <w:rPr>
          <w:rStyle w:val="A3"/>
          <w:rFonts w:cs="Times New Roman"/>
          <w:b w:val="0"/>
          <w:sz w:val="18"/>
          <w:szCs w:val="18"/>
        </w:rPr>
        <w:t xml:space="preserve"> 2017 г. </w:t>
      </w:r>
      <w:hyperlink r:id="rId5" w:history="1">
        <w:r>
          <w:rPr>
            <w:rStyle w:val="Hyperlink"/>
            <w:sz w:val="18"/>
            <w:szCs w:val="18"/>
          </w:rPr>
          <w:t>http://www.scb.se/contentassets/fd60f41a3abc4d2c8a791e425357ba5b/ov9999_2017a01_br_x43br1802.pdf</w:t>
        </w:r>
      </w:hyperlink>
      <w:r>
        <w:rPr>
          <w:sz w:val="18"/>
          <w:szCs w:val="18"/>
        </w:rPr>
        <w:t xml:space="preserve"> </w:t>
      </w:r>
      <w:r>
        <w:rPr>
          <w:rStyle w:val="A3"/>
          <w:rFonts w:cs="Times New Roman"/>
          <w:b w:val="0"/>
          <w:color w:val="auto"/>
          <w:sz w:val="18"/>
          <w:szCs w:val="18"/>
        </w:rPr>
        <w:t>(описание на ангажимента на английски език).</w:t>
      </w:r>
    </w:p>
  </w:footnote>
  <w:footnote w:id="9">
    <w:p>
      <w:pPr>
        <w:pStyle w:val="FootnoteText"/>
      </w:pPr>
      <w:r>
        <w:rPr>
          <w:rStyle w:val="FootnoteReference"/>
        </w:rPr>
        <w:footnoteRef/>
      </w:r>
      <w:r>
        <w:tab/>
      </w:r>
      <w:hyperlink r:id="rId6"/>
      <w:hyperlink r:id="rId7">
        <w:r>
          <w:rPr>
            <w:rStyle w:val="Hyperlink"/>
          </w:rPr>
          <w:t>http://www.stat.si/StatWeb/en/News/Index/6458</w:t>
        </w:r>
      </w:hyperlink>
      <w:r>
        <w:rPr>
          <w:rStyle w:val="Hyperlink"/>
        </w:rPr>
        <w:t xml:space="preserve"> </w:t>
      </w:r>
      <w:r>
        <w:t>(връзка, налична само на английски и словенски език).</w:t>
      </w:r>
    </w:p>
  </w:footnote>
  <w:footnote w:id="10">
    <w:p>
      <w:pPr>
        <w:pStyle w:val="FootnoteText"/>
        <w:rPr>
          <w:szCs w:val="24"/>
        </w:rPr>
      </w:pPr>
      <w:r>
        <w:rPr>
          <w:rStyle w:val="FootnoteReference"/>
        </w:rPr>
        <w:footnoteRef/>
      </w:r>
      <w:r>
        <w:tab/>
      </w:r>
      <w:hyperlink r:id="rId8">
        <w:r>
          <w:rPr>
            <w:rStyle w:val="Hyperlink"/>
          </w:rPr>
          <w:t>http://cso.ie/en/media/csoie/aboutus/documents/CoCS.pdf</w:t>
        </w:r>
      </w:hyperlink>
      <w:r>
        <w:rPr>
          <w:color w:val="000000"/>
        </w:rPr>
        <w:t xml:space="preserve"> </w:t>
      </w:r>
      <w:r>
        <w:t xml:space="preserve">(документ, наличен само на английски език). </w:t>
      </w:r>
    </w:p>
  </w:footnote>
  <w:footnote w:id="11">
    <w:p>
      <w:pPr>
        <w:pStyle w:val="FootnoteText"/>
      </w:pPr>
      <w:r>
        <w:rPr>
          <w:rStyle w:val="FootnoteReference"/>
        </w:rPr>
        <w:footnoteRef/>
      </w:r>
      <w:r>
        <w:tab/>
      </w:r>
      <w:hyperlink r:id="rId9">
        <w:r>
          <w:rPr>
            <w:rStyle w:val="Hyperlink"/>
          </w:rPr>
          <w:t>https://statbel.fgov.be/en/about-statbel/quality/commitment-confidence</w:t>
        </w:r>
      </w:hyperlink>
      <w:r>
        <w:t xml:space="preserve"> (връзка, налична само на английски, френски, немски и нидерландски език). </w:t>
      </w:r>
    </w:p>
  </w:footnote>
  <w:footnote w:id="12">
    <w:p>
      <w:pPr>
        <w:pStyle w:val="FootnoteText"/>
      </w:pPr>
      <w:r>
        <w:rPr>
          <w:rStyle w:val="FootnoteReference"/>
        </w:rPr>
        <w:footnoteRef/>
      </w:r>
      <w:r>
        <w:t xml:space="preserve"> </w:t>
      </w:r>
      <w:r>
        <w:tab/>
      </w:r>
      <w:hyperlink r:id="rId10" w:history="1">
        <w:r>
          <w:rPr>
            <w:rStyle w:val="Hyperlink"/>
            <w:color w:val="000000"/>
            <w:sz w:val="18"/>
            <w:szCs w:val="18"/>
          </w:rPr>
          <w:t>http://www.insse.ro/cms/files/eurostat/angajament_de_sprijinirea_credibilitatii_statisticii_oficiale_nationale.pdf</w:t>
        </w:r>
      </w:hyperlink>
      <w:r>
        <w:rPr>
          <w:rStyle w:val="Hyperlink"/>
          <w:color w:val="000000"/>
          <w:sz w:val="18"/>
          <w:szCs w:val="18"/>
        </w:rPr>
        <w:t xml:space="preserve"> (връзка, налична само на румънски език).</w:t>
      </w:r>
    </w:p>
  </w:footnote>
  <w:footnote w:id="13">
    <w:p>
      <w:pPr>
        <w:pStyle w:val="FootnoteText"/>
        <w:jc w:val="left"/>
        <w:rPr>
          <w:szCs w:val="24"/>
        </w:rPr>
      </w:pPr>
      <w:r>
        <w:rPr>
          <w:rStyle w:val="FootnoteReference"/>
        </w:rPr>
        <w:footnoteRef/>
      </w:r>
      <w:r>
        <w:t xml:space="preserve"> </w:t>
      </w:r>
      <w:r>
        <w:tab/>
      </w:r>
      <w:hyperlink r:id="rId11">
        <w:r>
          <w:rPr>
            <w:rStyle w:val="Hyperlink"/>
          </w:rPr>
          <w:t>https://nso.gov.mt/en/nso/Pages/Commitment-on-Confidence.aspx</w:t>
        </w:r>
      </w:hyperlink>
      <w:r>
        <w:t xml:space="preserve"> и </w:t>
      </w:r>
      <w:hyperlink r:id="rId12">
        <w:r>
          <w:rPr>
            <w:rStyle w:val="Hyperlink"/>
          </w:rPr>
          <w:t>https://msa.gov.mt/en/public_information/Pages/Commitment-on-Confidence.aspx</w:t>
        </w:r>
      </w:hyperlink>
      <w:r>
        <w:t xml:space="preserve"> (връзки, налични само на английски език). </w:t>
      </w:r>
    </w:p>
    <w:p>
      <w:pPr>
        <w:pStyle w:val="FootnoteText"/>
        <w:rPr>
          <w:szCs w:val="24"/>
        </w:rPr>
      </w:pP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33A8"/>
    <w:multiLevelType w:val="multilevel"/>
    <w:tmpl w:val="C360BC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C3B69"/>
    <w:multiLevelType w:val="multilevel"/>
    <w:tmpl w:val="C46E31BA"/>
    <w:lvl w:ilvl="0">
      <w:start w:val="1"/>
      <w:numFmt w:val="decimal"/>
      <w:lvlRestart w:val="0"/>
      <w:pStyle w:val="ListNumber"/>
      <w:lvlText w:val="(%1)"/>
      <w:lvlJc w:val="left"/>
      <w:pPr>
        <w:tabs>
          <w:tab w:val="num" w:pos="709"/>
        </w:tabs>
        <w:ind w:left="709" w:hanging="709"/>
      </w:pPr>
    </w:lvl>
    <w:lvl w:ilvl="1">
      <w:start w:val="1"/>
      <mc:AlternateContent>
        <mc:Choice Requires="w14">
          <w:numFmt w:val="custom" w:format="а, й, к, ..."/>
        </mc:Choice>
        <mc:Fallback>
          <w:numFmt w:val="decimal"/>
        </mc:Fallback>
      </mc:AlternateContent>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61D1A0-D43B-4A9A-BBFB-D95C30D603D9"/>
    <w:docVar w:name="LW_COVERPAGE_TYPE" w:val="1"/>
    <w:docVar w:name="LW_CROSSREFERENCE" w:val="&lt;UNUSED&gt;"/>
    <w:docVar w:name="LW_DocType" w:val="NORMAL"/>
    <w:docVar w:name="LW_EMISSION" w:val="5.7.2018"/>
    <w:docVar w:name="LW_EMISSION_ISODATE" w:val="2018-07-05"/>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86?\u1090?\u1085?\u1086?\u1089?\u1085?\u1086? \u8222?\u1072?\u1085?\u1075?\u1072?\u1078?\u1080?\u1084?\u1077?\u1085?\u1090?\u1080?\u1090?\u1077? \u1074?\u1098?\u1074? \u1074?\u1088?\u1098?\u1079?\u1082?\u1072? \u1089? \u1076?\u1086?\u1074?\u1077?\u1088?\u1080?\u1077?\u1090?\u1086? \u1074? \u1089?\u1090?\u1072?\u1090?\u1080?\u1089?\u1090?\u1080?\u1082?\u1072?\u1090?\u1072?\u8220?, \u1087?\u1086?\u1077?\u1090?\u1080? \u1086?\u1090? \u1076?\u1098?\u1088?\u1078?\u1072?\u1074?\u1080?\u1090?\u1077? \u1095?\u1083?\u1077?\u1085?\u1082?\u1080?&lt;/FMT&gt;&lt;FMT:Font=Calibri&gt; &lt;/FMT&gt;&lt;FMT:Font=Calibri Cyr&gt;\u1089?\u1098?\u1075?\u1083?\u1072?\u1089?\u1085?\u1086? \u1080?\u1079?\u1080?\u1089?\u1082?\u1074?\u1072?\u1085?\u1080?\u1103?\u1090?\u1072? \u1085?\u1072? \u1056?\u1077?\u1075?\u1083?\u1072?\u1084?\u1077?\u1085?\u1090? (\u1045?\u1054?) \u8470? 223/2009 \u1085?\u1072? \u1045?\u1074?\u1088?\u1086?\u1087?\u1077?\u1081?\u1089?\u1082?\u1080?\u1103? \u1087?\u1072?\u1088?\u1083?\u1072?\u1084?\u1077?\u1085?\u1090? \u1080? \u1085?\u1072? \u1057?\u1098?\u1074?\u1077?\u1090?\u1072? \u1086?\u1090? 11 \u1084?\u1072?\u1088?\u1090? 2009 \u1075?.&lt;/FMT&gt;_x000b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2"/>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2"/>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2"/>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bg-BG"/>
    </w:rPr>
  </w:style>
  <w:style w:type="character" w:styleId="Hyperlink">
    <w:name w:val="Hyperlink"/>
    <w:rPr>
      <w:color w:val="0000FF"/>
      <w:u w:val="single"/>
    </w:rPr>
  </w:style>
  <w:style w:type="paragraph" w:styleId="ListNumber">
    <w:name w:val="List Number"/>
    <w:basedOn w:val="Normal"/>
    <w:pPr>
      <w:numPr>
        <w:numId w:val="1"/>
      </w:numPr>
    </w:pPr>
  </w:style>
  <w:style w:type="paragraph" w:customStyle="1" w:styleId="ListNumberLevel2">
    <w:name w:val="List Number (Level 2)"/>
    <w:basedOn w:val="Normal"/>
    <w:pPr>
      <w:numPr>
        <w:ilvl w:val="1"/>
        <w:numId w:val="1"/>
      </w:numPr>
    </w:pPr>
  </w:style>
  <w:style w:type="paragraph" w:customStyle="1" w:styleId="ListNumberLevel3">
    <w:name w:val="List Number (Level 3)"/>
    <w:basedOn w:val="Normal"/>
    <w:pPr>
      <w:numPr>
        <w:ilvl w:val="2"/>
        <w:numId w:val="1"/>
      </w:numPr>
    </w:pPr>
  </w:style>
  <w:style w:type="paragraph" w:customStyle="1" w:styleId="ListNumberLevel4">
    <w:name w:val="List Number (Level 4)"/>
    <w:basedOn w:val="Normal"/>
    <w:pPr>
      <w:numPr>
        <w:ilvl w:val="3"/>
        <w:numId w:val="1"/>
      </w:numPr>
    </w:p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eastAsia="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bg-BG"/>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hAnsi="Times New Roman" w:cs="Times New Roman"/>
      <w:b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40" w:after="640" w:line="302" w:lineRule="exact"/>
      <w:ind w:hanging="340"/>
    </w:pPr>
    <w:rPr>
      <w:rFonts w:asciiTheme="minorHAnsi" w:hAnsiTheme="minorHAnsi" w:cstheme="minorBidi"/>
      <w:sz w:val="26"/>
      <w:szCs w:val="26"/>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jc w:val="left"/>
    </w:pPr>
    <w:rPr>
      <w:rFonts w:asciiTheme="minorHAnsi" w:hAnsiTheme="minorHAnsi" w:cstheme="minorBidi"/>
      <w:b/>
      <w:bCs/>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PT Serif"/>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2"/>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2"/>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2"/>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bg-BG"/>
    </w:rPr>
  </w:style>
  <w:style w:type="character" w:styleId="Hyperlink">
    <w:name w:val="Hyperlink"/>
    <w:rPr>
      <w:color w:val="0000FF"/>
      <w:u w:val="single"/>
    </w:rPr>
  </w:style>
  <w:style w:type="paragraph" w:styleId="ListNumber">
    <w:name w:val="List Number"/>
    <w:basedOn w:val="Normal"/>
    <w:pPr>
      <w:numPr>
        <w:numId w:val="1"/>
      </w:numPr>
    </w:pPr>
  </w:style>
  <w:style w:type="paragraph" w:customStyle="1" w:styleId="ListNumberLevel2">
    <w:name w:val="List Number (Level 2)"/>
    <w:basedOn w:val="Normal"/>
    <w:pPr>
      <w:numPr>
        <w:ilvl w:val="1"/>
        <w:numId w:val="1"/>
      </w:numPr>
    </w:pPr>
  </w:style>
  <w:style w:type="paragraph" w:customStyle="1" w:styleId="ListNumberLevel3">
    <w:name w:val="List Number (Level 3)"/>
    <w:basedOn w:val="Normal"/>
    <w:pPr>
      <w:numPr>
        <w:ilvl w:val="2"/>
        <w:numId w:val="1"/>
      </w:numPr>
    </w:pPr>
  </w:style>
  <w:style w:type="paragraph" w:customStyle="1" w:styleId="ListNumberLevel4">
    <w:name w:val="List Number (Level 4)"/>
    <w:basedOn w:val="Normal"/>
    <w:pPr>
      <w:numPr>
        <w:ilvl w:val="3"/>
        <w:numId w:val="1"/>
      </w:numPr>
    </w:p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eastAsia="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bg-BG"/>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hAnsi="Times New Roman" w:cs="Times New Roman"/>
      <w:b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40" w:after="640" w:line="302" w:lineRule="exact"/>
      <w:ind w:hanging="340"/>
    </w:pPr>
    <w:rPr>
      <w:rFonts w:asciiTheme="minorHAnsi" w:hAnsiTheme="minorHAnsi" w:cstheme="minorBidi"/>
      <w:sz w:val="26"/>
      <w:szCs w:val="26"/>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jc w:val="left"/>
    </w:pPr>
    <w:rPr>
      <w:rFonts w:asciiTheme="minorHAnsi" w:hAnsiTheme="minorHAnsi" w:cstheme="minorBidi"/>
      <w:b/>
      <w:bCs/>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PT Serif"/>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so.ie/en/media/csoie/aboutus/documents/CoCS.pdf" TargetMode="External"/><Relationship Id="rId3" Type="http://schemas.openxmlformats.org/officeDocument/2006/relationships/hyperlink" Target="http://www.scb.se/contentassets/bbe78b2a144143c7955b165f76fb4d52/regeringens-atagande-om-att-skapa-fortroende-for-statistiken.pdf" TargetMode="External"/><Relationship Id="rId7" Type="http://schemas.openxmlformats.org/officeDocument/2006/relationships/hyperlink" Target="http://www.stat.si/StatWeb/en/News/Index/6458" TargetMode="External"/><Relationship Id="rId12" Type="http://schemas.openxmlformats.org/officeDocument/2006/relationships/hyperlink" Target="https://msa.gov.mt/en/public_information/Pages/Commitment-on-Confidence.aspx" TargetMode="External"/><Relationship Id="rId2" Type="http://schemas.openxmlformats.org/officeDocument/2006/relationships/hyperlink" Target="http://www.statistics.gr/documents/20181/c5b9264e-815e-4f74-9955-467d14cad474" TargetMode="External"/><Relationship Id="rId1" Type="http://schemas.openxmlformats.org/officeDocument/2006/relationships/hyperlink" Target="http://ec.europa.eu/eurostat/documents/3859598/5921997/10425-BG-BG.PDF" TargetMode="External"/><Relationship Id="rId6" Type="http://schemas.openxmlformats.org/officeDocument/2006/relationships/hyperlink" Target="http://www.stat.si/StatWeb/en/show-news?id=6458&amp;idp=25&amp;headerbar=3" TargetMode="External"/><Relationship Id="rId11" Type="http://schemas.openxmlformats.org/officeDocument/2006/relationships/hyperlink" Target="https://nso.gov.mt/en/nso/Pages/Commitment-on-Confidence.aspx" TargetMode="External"/><Relationship Id="rId5" Type="http://schemas.openxmlformats.org/officeDocument/2006/relationships/hyperlink" Target="http://www.scb.se/contentassets/fd60f41a3abc4d2c8a791e425357ba5b/ov9999_2017a01_br_x43br1802.pdf" TargetMode="External"/><Relationship Id="rId10" Type="http://schemas.openxmlformats.org/officeDocument/2006/relationships/hyperlink" Target="http://www.insse.ro/cms/files/eurostat/angajament_de_sprijinirea_credibilitatii_statisticii_oficiale_nationale.pdf" TargetMode="External"/><Relationship Id="rId4" Type="http://schemas.openxmlformats.org/officeDocument/2006/relationships/hyperlink" Target="http://www.scb.se/om-scb/samordning-av-europeisk-statistik-i-sverige/regeringens-atagande-om-att-skapa-fortroende-for-statistiken/" TargetMode="External"/><Relationship Id="rId9" Type="http://schemas.openxmlformats.org/officeDocument/2006/relationships/hyperlink" Target="https://statbel.fgov.be/en/about-statbel/quality/commitment-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C0F3-CF86-4100-A097-F5526861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3462</Words>
  <Characters>21084</Characters>
  <Application>Microsoft Office Word</Application>
  <DocSecurity>0</DocSecurity>
  <Lines>340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2018-06-07T06:52:00Z</cp:lastPrinted>
  <dcterms:created xsi:type="dcterms:W3CDTF">2018-06-22T14:42:00Z</dcterms:created>
  <dcterms:modified xsi:type="dcterms:W3CDTF">2018-06-28T07:18:00Z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