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1D0098EB-67FF-4688-8200-217EE29D5ACD" style="width:450.35pt;height:451.7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r>
        <w:rPr>
          <w:noProof/>
        </w:rPr>
        <w:lastRenderedPageBreak/>
        <w:t>ПРИЛОЖЕНИЕ</w:t>
      </w:r>
    </w:p>
    <w:p>
      <w:pPr>
        <w:spacing w:before="0" w:after="0"/>
        <w:jc w:val="center"/>
        <w:rPr>
          <w:rFonts w:eastAsia="SimSun"/>
          <w:b/>
          <w:noProof/>
          <w:szCs w:val="24"/>
        </w:rPr>
      </w:pPr>
      <w:r>
        <w:rPr>
          <w:b/>
          <w:noProof/>
        </w:rPr>
        <w:t>СПОРАЗУМЕНИЕ ПОД ФОРМАТА НА РАЗМЯНА НА ПИСМА</w:t>
      </w:r>
    </w:p>
    <w:p>
      <w:pPr>
        <w:spacing w:before="0" w:after="0"/>
        <w:jc w:val="center"/>
        <w:rPr>
          <w:rFonts w:eastAsia="SimSun"/>
          <w:b/>
          <w:noProof/>
          <w:szCs w:val="24"/>
        </w:rPr>
      </w:pPr>
    </w:p>
    <w:p>
      <w:pPr>
        <w:spacing w:before="0" w:after="0"/>
        <w:rPr>
          <w:rFonts w:eastAsia="SimSun"/>
          <w:b/>
          <w:noProof/>
          <w:szCs w:val="24"/>
        </w:rPr>
      </w:pPr>
      <w:r>
        <w:rPr>
          <w:b/>
          <w:noProof/>
        </w:rPr>
        <w:t xml:space="preserve">Между Европейския съюз и Китайската народна република във връзка с DS492 „Европейски съюз — Мерки, засягащи тарифните отстъпки за някои продукти от птиче месо“ </w:t>
      </w:r>
    </w:p>
    <w:p>
      <w:pPr>
        <w:spacing w:before="0" w:after="0"/>
        <w:rPr>
          <w:rFonts w:eastAsia="SimSun"/>
          <w:b/>
          <w:noProof/>
          <w:szCs w:val="24"/>
        </w:rPr>
      </w:pPr>
    </w:p>
    <w:p>
      <w:pPr>
        <w:spacing w:before="0" w:after="0"/>
        <w:jc w:val="center"/>
        <w:rPr>
          <w:rFonts w:eastAsia="SimSun"/>
          <w:i/>
          <w:noProof/>
          <w:szCs w:val="24"/>
        </w:rPr>
      </w:pPr>
      <w:r>
        <w:rPr>
          <w:i/>
          <w:noProof/>
        </w:rPr>
        <w:t>А. Писмо от Европейския съюз</w:t>
      </w:r>
    </w:p>
    <w:p>
      <w:pPr>
        <w:spacing w:before="0" w:after="0"/>
        <w:jc w:val="left"/>
        <w:rPr>
          <w:rFonts w:eastAsia="SimSun"/>
          <w:noProof/>
          <w:szCs w:val="24"/>
        </w:rPr>
      </w:pPr>
    </w:p>
    <w:p>
      <w:pPr>
        <w:spacing w:before="0" w:after="0"/>
        <w:jc w:val="left"/>
        <w:rPr>
          <w:rFonts w:eastAsia="SimSun"/>
          <w:noProof/>
          <w:szCs w:val="24"/>
        </w:rPr>
      </w:pPr>
      <w:r>
        <w:rPr>
          <w:noProof/>
        </w:rPr>
        <w:t xml:space="preserve">Уважаема госпожо/Уважаеми господине, </w:t>
      </w:r>
    </w:p>
    <w:p>
      <w:pPr>
        <w:spacing w:before="0" w:after="0"/>
        <w:jc w:val="left"/>
        <w:rPr>
          <w:rFonts w:eastAsia="SimSun"/>
          <w:noProof/>
          <w:szCs w:val="24"/>
        </w:rPr>
      </w:pPr>
    </w:p>
    <w:p>
      <w:pPr>
        <w:autoSpaceDE w:val="0"/>
        <w:autoSpaceDN w:val="0"/>
        <w:adjustRightInd w:val="0"/>
        <w:spacing w:before="0" w:after="0"/>
        <w:rPr>
          <w:rFonts w:eastAsia="SimSun"/>
          <w:noProof/>
          <w:szCs w:val="24"/>
        </w:rPr>
      </w:pPr>
      <w:r>
        <w:rPr>
          <w:noProof/>
        </w:rPr>
        <w:t xml:space="preserve">Имам честта да се обърна към Вас във връзка с горепосочения спор в рамките на СТО и резултатите от водените между нас преговори за постигане на взаимно съгласувано решение. </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Европейският съюз ще открие следните тарифни квоти (ТК)</w:t>
      </w:r>
      <w:r>
        <w:rPr>
          <w:rStyle w:val="FootnoteReference"/>
          <w:noProof/>
        </w:rPr>
        <w:footnoteReference w:id="1"/>
      </w:r>
      <w:r>
        <w:rPr>
          <w:noProof/>
        </w:rPr>
        <w:t>:</w:t>
      </w:r>
    </w:p>
    <w:p>
      <w:pPr>
        <w:autoSpaceDE w:val="0"/>
        <w:autoSpaceDN w:val="0"/>
        <w:adjustRightInd w:val="0"/>
        <w:spacing w:before="0" w:after="0"/>
        <w:rPr>
          <w:rFonts w:eastAsia="SimSun"/>
          <w:noProof/>
          <w:szCs w:val="24"/>
        </w:rPr>
      </w:pPr>
    </w:p>
    <w:p>
      <w:pPr>
        <w:spacing w:before="0" w:after="0"/>
        <w:ind w:left="720"/>
        <w:rPr>
          <w:rFonts w:eastAsia="SimSun"/>
          <w:noProof/>
          <w:szCs w:val="24"/>
        </w:rPr>
      </w:pPr>
      <w:r>
        <w:rPr>
          <w:noProof/>
        </w:rPr>
        <w:t>ТК от 6060 тона за тарифна линия 1602.3929 (с конкретно разпределение по държави в размер на 6000 тона за Китай и 60 тона за всички останали държави) при 10,9 % ставка на митото в рамките на квотата;</w:t>
      </w:r>
    </w:p>
    <w:p>
      <w:pPr>
        <w:spacing w:before="0" w:after="0"/>
        <w:ind w:left="720"/>
        <w:rPr>
          <w:rFonts w:eastAsia="SimSun"/>
          <w:noProof/>
          <w:szCs w:val="24"/>
        </w:rPr>
      </w:pPr>
    </w:p>
    <w:p>
      <w:pPr>
        <w:spacing w:before="0" w:after="0"/>
        <w:ind w:left="720"/>
        <w:rPr>
          <w:rFonts w:eastAsia="SimSun"/>
          <w:noProof/>
          <w:szCs w:val="24"/>
        </w:rPr>
      </w:pPr>
      <w:r>
        <w:rPr>
          <w:noProof/>
        </w:rPr>
        <w:t>ТК от 660 тона за тарифна линия 1602.3985 (с конкретно разпределение по държави в размер на 600 тона за Китай и 60 тона за всички останали държави) при 10,9 % ставка на митото в рамките на квотата;</w:t>
      </w:r>
    </w:p>
    <w:p>
      <w:pPr>
        <w:spacing w:before="0" w:after="0"/>
        <w:ind w:left="720"/>
        <w:rPr>
          <w:rFonts w:eastAsia="SimSun"/>
          <w:noProof/>
          <w:szCs w:val="24"/>
        </w:rPr>
      </w:pPr>
    </w:p>
    <w:p>
      <w:pPr>
        <w:spacing w:before="0" w:after="0"/>
        <w:ind w:left="720"/>
        <w:rPr>
          <w:rFonts w:eastAsia="SimSun"/>
          <w:noProof/>
          <w:szCs w:val="24"/>
        </w:rPr>
      </w:pPr>
      <w:r>
        <w:rPr>
          <w:noProof/>
        </w:rPr>
        <w:t>ТК erga omnes от 5000 тона за тарифна линия 1602.3219 при 8 % ставка на митото в рамките на квотата.</w:t>
      </w:r>
    </w:p>
    <w:p>
      <w:pPr>
        <w:spacing w:before="0" w:after="0"/>
        <w:rPr>
          <w:rFonts w:eastAsia="SimSun"/>
          <w:noProof/>
          <w:szCs w:val="24"/>
        </w:rPr>
      </w:pPr>
    </w:p>
    <w:p>
      <w:pPr>
        <w:spacing w:before="0" w:after="0"/>
        <w:jc w:val="left"/>
        <w:rPr>
          <w:rFonts w:eastAsia="SimSun"/>
          <w:i/>
          <w:iCs/>
          <w:noProof/>
          <w:color w:val="1F497D"/>
          <w:szCs w:val="24"/>
        </w:rPr>
      </w:pPr>
      <w:r>
        <w:rPr>
          <w:noProof/>
        </w:rPr>
        <w:t>Европейският съюз и Китай ще се уведомят взаимно за приключването на вътрешните процедури, необходими за влизането в сила на настоящото споразумение. Споразумението влиза в сила 14 дни след датата на получаване на последното уведомление. Европейският съюз открива горепосочените ТК от датата на влизане в сила на настоящото споразумение.</w:t>
      </w:r>
      <w:r>
        <w:rPr>
          <w:i/>
          <w:noProof/>
          <w:color w:val="1F497D"/>
        </w:rPr>
        <w:t xml:space="preserve">  </w:t>
      </w:r>
    </w:p>
    <w:p>
      <w:pPr>
        <w:widowControl w:val="0"/>
        <w:autoSpaceDE w:val="0"/>
        <w:autoSpaceDN w:val="0"/>
        <w:adjustRightInd w:val="0"/>
        <w:spacing w:before="0" w:after="0"/>
        <w:rPr>
          <w:rFonts w:eastAsia="SimSun"/>
          <w:noProof/>
          <w:szCs w:val="24"/>
        </w:rPr>
      </w:pPr>
      <w:r>
        <w:rPr>
          <w:noProof/>
        </w:rPr>
        <w:t xml:space="preserve"> </w:t>
      </w:r>
    </w:p>
    <w:p>
      <w:pPr>
        <w:widowControl w:val="0"/>
        <w:autoSpaceDE w:val="0"/>
        <w:autoSpaceDN w:val="0"/>
        <w:adjustRightInd w:val="0"/>
        <w:spacing w:before="0" w:after="0"/>
        <w:rPr>
          <w:rFonts w:eastAsia="SimSun"/>
          <w:noProof/>
          <w:szCs w:val="24"/>
        </w:rPr>
      </w:pPr>
      <w:r>
        <w:rPr>
          <w:noProof/>
        </w:rPr>
        <w:t>След откриването на ТК Европейският съюз и Китай ще уведомят Органа за уреждане на спорове (DSB), че настоящото споразумение представлява взаимно съгласувано решение по член 3.6 от ДППУС по отношение на DS492 „Европейски съюз — Мерки, засягащи тарифните отстъпки за някои продукти от птиче месо“. Въз основа на това Китай потвърждава, че по отношение на DS492 няма да иска започване на процедури по член 21.5 от ДППУС, нито спиране на отстъпките или на други задължения по член 22.6 от ДППУС, стига Европейският съюз да изпълнява всички свои задължения по настоящото споразумение.</w:t>
      </w:r>
    </w:p>
    <w:p>
      <w:pPr>
        <w:spacing w:before="0" w:after="0"/>
        <w:rPr>
          <w:rFonts w:eastAsia="SimSun"/>
          <w:noProof/>
          <w:szCs w:val="24"/>
        </w:rPr>
      </w:pPr>
    </w:p>
    <w:p>
      <w:pPr>
        <w:spacing w:before="0" w:after="0"/>
        <w:rPr>
          <w:rFonts w:eastAsia="SimSun"/>
          <w:noProof/>
          <w:szCs w:val="24"/>
        </w:rPr>
      </w:pPr>
      <w:r>
        <w:rPr>
          <w:noProof/>
        </w:rPr>
        <w:t xml:space="preserve">Ще Ви бъда задължен, ако потвърдите дали Вашето правителство е съгласно с гореизложеното. </w:t>
      </w:r>
    </w:p>
    <w:p>
      <w:pPr>
        <w:spacing w:before="0" w:after="0"/>
        <w:rPr>
          <w:rFonts w:eastAsia="SimSun"/>
          <w:noProof/>
          <w:szCs w:val="24"/>
        </w:rPr>
      </w:pPr>
    </w:p>
    <w:p>
      <w:pPr>
        <w:spacing w:before="0" w:after="0"/>
        <w:rPr>
          <w:rFonts w:eastAsia="SimSun"/>
          <w:noProof/>
          <w:szCs w:val="24"/>
        </w:rPr>
      </w:pPr>
      <w:r>
        <w:rPr>
          <w:noProof/>
        </w:rPr>
        <w:t>Имам честта да предложа, ако гореизложеното е приемливо за Вашето правителство, настоящото писмо и Вашето потвърждение заедно да представляват споразумение под формата на размяна на писма между Европейския съюз и Китайската народна република.</w:t>
      </w:r>
    </w:p>
    <w:p>
      <w:pPr>
        <w:spacing w:before="0" w:after="0"/>
        <w:rPr>
          <w:rFonts w:eastAsia="SimSun"/>
          <w:noProof/>
          <w:szCs w:val="24"/>
        </w:rPr>
      </w:pPr>
    </w:p>
    <w:p>
      <w:pPr>
        <w:spacing w:before="0" w:after="0"/>
        <w:rPr>
          <w:rFonts w:eastAsia="SimSun"/>
          <w:noProof/>
          <w:szCs w:val="24"/>
        </w:rPr>
      </w:pPr>
      <w:r>
        <w:rPr>
          <w:noProof/>
        </w:rPr>
        <w:t>Моля, приемете, уважаеми господине/уважаема госпожо, моите най-дълбоки почитания.</w:t>
      </w:r>
    </w:p>
    <w:p>
      <w:pPr>
        <w:spacing w:before="0" w:after="0"/>
        <w:rPr>
          <w:rFonts w:eastAsia="SimSun"/>
          <w:noProof/>
          <w:szCs w:val="24"/>
        </w:rPr>
      </w:pPr>
    </w:p>
    <w:p>
      <w:pPr>
        <w:spacing w:before="0" w:after="0"/>
        <w:rPr>
          <w:rFonts w:eastAsia="SimSun"/>
          <w:noProof/>
          <w:szCs w:val="24"/>
        </w:rPr>
      </w:pPr>
      <w:r>
        <w:rPr>
          <w:noProof/>
        </w:rPr>
        <w:t>Копие: Тайланд</w:t>
      </w:r>
    </w:p>
    <w:p>
      <w:pPr>
        <w:spacing w:before="0" w:after="0"/>
        <w:jc w:val="right"/>
        <w:rPr>
          <w:rFonts w:eastAsia="SimSun"/>
          <w:noProof/>
          <w:szCs w:val="24"/>
        </w:rPr>
      </w:pPr>
    </w:p>
    <w:p>
      <w:pPr>
        <w:spacing w:before="0" w:after="0"/>
        <w:jc w:val="right"/>
        <w:rPr>
          <w:rFonts w:eastAsia="SimSun"/>
          <w:i/>
          <w:noProof/>
          <w:szCs w:val="24"/>
        </w:rPr>
      </w:pPr>
      <w:r>
        <w:rPr>
          <w:i/>
          <w:noProof/>
        </w:rPr>
        <w:t>От името на Европейския съюз</w:t>
      </w:r>
    </w:p>
    <w:p>
      <w:pPr>
        <w:spacing w:before="0" w:after="0"/>
        <w:jc w:val="left"/>
        <w:rPr>
          <w:rFonts w:eastAsia="SimSun"/>
          <w:noProof/>
          <w:szCs w:val="24"/>
        </w:rPr>
      </w:pPr>
    </w:p>
    <w:p>
      <w:pPr>
        <w:spacing w:before="0" w:after="0"/>
        <w:jc w:val="right"/>
        <w:rPr>
          <w:rFonts w:eastAsia="SimSun"/>
          <w:noProof/>
          <w:szCs w:val="24"/>
        </w:rPr>
      </w:pPr>
    </w:p>
    <w:p>
      <w:pPr>
        <w:spacing w:before="0" w:after="0"/>
        <w:jc w:val="center"/>
        <w:rPr>
          <w:rFonts w:eastAsia="SimSun"/>
          <w:i/>
          <w:noProof/>
          <w:szCs w:val="24"/>
        </w:rPr>
      </w:pPr>
      <w:r>
        <w:rPr>
          <w:noProof/>
        </w:rPr>
        <w:br w:type="page"/>
      </w:r>
      <w:r>
        <w:rPr>
          <w:i/>
          <w:noProof/>
        </w:rPr>
        <w:t>Б. Писмо от Китай</w:t>
      </w:r>
    </w:p>
    <w:p>
      <w:pPr>
        <w:spacing w:before="0" w:after="0"/>
        <w:jc w:val="right"/>
        <w:rPr>
          <w:rFonts w:eastAsia="SimSun"/>
          <w:noProof/>
          <w:szCs w:val="24"/>
        </w:rPr>
      </w:pPr>
    </w:p>
    <w:p>
      <w:pPr>
        <w:spacing w:before="0" w:after="0"/>
        <w:jc w:val="right"/>
        <w:rPr>
          <w:rFonts w:eastAsia="SimSun"/>
          <w:noProof/>
          <w:szCs w:val="24"/>
        </w:rPr>
      </w:pPr>
    </w:p>
    <w:p>
      <w:pPr>
        <w:spacing w:before="0" w:after="0"/>
        <w:jc w:val="left"/>
        <w:rPr>
          <w:rFonts w:eastAsia="SimSun"/>
          <w:noProof/>
          <w:szCs w:val="24"/>
        </w:rPr>
      </w:pPr>
      <w:r>
        <w:rPr>
          <w:noProof/>
        </w:rPr>
        <w:t xml:space="preserve">Уважаема госпожо/Уважаеми господине, </w:t>
      </w:r>
    </w:p>
    <w:p>
      <w:pPr>
        <w:spacing w:before="0" w:after="0"/>
        <w:jc w:val="left"/>
        <w:rPr>
          <w:rFonts w:eastAsia="SimSun"/>
          <w:noProof/>
          <w:szCs w:val="24"/>
        </w:rPr>
      </w:pPr>
    </w:p>
    <w:p>
      <w:pPr>
        <w:spacing w:before="0" w:after="0"/>
        <w:rPr>
          <w:rFonts w:eastAsia="SimSun"/>
          <w:noProof/>
          <w:szCs w:val="24"/>
        </w:rPr>
      </w:pPr>
      <w:r>
        <w:rPr>
          <w:noProof/>
        </w:rPr>
        <w:t>Имам честта да потвърдя получаването на Ваше писмо с днешна дата със следния текст:</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 xml:space="preserve">„Имам честта да се обърна към Вас във връзка с горепосочения спор в рамките на СТО и резултатите от водените от нас преговори за постигане на взаимно съгласувано решение. </w:t>
      </w:r>
    </w:p>
    <w:p>
      <w:pPr>
        <w:autoSpaceDE w:val="0"/>
        <w:autoSpaceDN w:val="0"/>
        <w:adjustRightInd w:val="0"/>
        <w:spacing w:before="0" w:after="0"/>
        <w:rPr>
          <w:rFonts w:eastAsia="SimSun"/>
          <w:noProof/>
          <w:szCs w:val="24"/>
        </w:rPr>
      </w:pPr>
    </w:p>
    <w:p>
      <w:pPr>
        <w:autoSpaceDE w:val="0"/>
        <w:autoSpaceDN w:val="0"/>
        <w:adjustRightInd w:val="0"/>
        <w:spacing w:before="0" w:after="0"/>
        <w:rPr>
          <w:rFonts w:eastAsia="SimSun"/>
          <w:noProof/>
          <w:szCs w:val="24"/>
        </w:rPr>
      </w:pPr>
      <w:r>
        <w:rPr>
          <w:noProof/>
        </w:rPr>
        <w:t>Европейският съюз ще открие следните тарифни квоти (ТК)</w:t>
      </w:r>
      <w:r>
        <w:rPr>
          <w:rStyle w:val="FootnoteReference"/>
          <w:noProof/>
        </w:rPr>
        <w:footnoteReference w:id="2"/>
      </w:r>
      <w:r>
        <w:rPr>
          <w:noProof/>
        </w:rPr>
        <w:t>:</w:t>
      </w:r>
    </w:p>
    <w:p>
      <w:pPr>
        <w:autoSpaceDE w:val="0"/>
        <w:autoSpaceDN w:val="0"/>
        <w:adjustRightInd w:val="0"/>
        <w:spacing w:before="0" w:after="0"/>
        <w:rPr>
          <w:rFonts w:eastAsia="SimSun"/>
          <w:noProof/>
          <w:szCs w:val="24"/>
        </w:rPr>
      </w:pPr>
    </w:p>
    <w:p>
      <w:pPr>
        <w:spacing w:before="0" w:after="0"/>
        <w:ind w:left="720"/>
        <w:rPr>
          <w:rFonts w:eastAsia="SimSun"/>
          <w:noProof/>
          <w:szCs w:val="24"/>
        </w:rPr>
      </w:pPr>
      <w:r>
        <w:rPr>
          <w:noProof/>
        </w:rPr>
        <w:t>ТК от 6060 тона за тарифна линия 1602.3929 (с конкретно разпределение по държави в размер на 6000 тона за Китай и 60 тона за всички останали държави) при 10,9 % ставка на митото в рамките на квотата;</w:t>
      </w:r>
    </w:p>
    <w:p>
      <w:pPr>
        <w:spacing w:before="0" w:after="0"/>
        <w:ind w:left="720"/>
        <w:rPr>
          <w:rFonts w:eastAsia="SimSun"/>
          <w:noProof/>
          <w:szCs w:val="24"/>
        </w:rPr>
      </w:pPr>
    </w:p>
    <w:p>
      <w:pPr>
        <w:spacing w:before="0" w:after="0"/>
        <w:ind w:left="720"/>
        <w:rPr>
          <w:rFonts w:eastAsia="SimSun"/>
          <w:noProof/>
          <w:szCs w:val="24"/>
        </w:rPr>
      </w:pPr>
      <w:r>
        <w:rPr>
          <w:noProof/>
        </w:rPr>
        <w:t>ТК от 660 тона за тарифна линия 1602.3985 (с конкретно разпределение по държави в размер на 600 тона за Китай и 60 тона за всички останали държави) при 10,9 % ставка на митото в рамките на квотата;</w:t>
      </w:r>
    </w:p>
    <w:p>
      <w:pPr>
        <w:spacing w:before="0" w:after="0"/>
        <w:ind w:left="720"/>
        <w:rPr>
          <w:rFonts w:eastAsia="SimSun"/>
          <w:noProof/>
          <w:szCs w:val="24"/>
        </w:rPr>
      </w:pPr>
    </w:p>
    <w:p>
      <w:pPr>
        <w:spacing w:before="0" w:after="0"/>
        <w:ind w:left="720"/>
        <w:rPr>
          <w:rFonts w:eastAsia="SimSun"/>
          <w:noProof/>
          <w:szCs w:val="24"/>
        </w:rPr>
      </w:pPr>
      <w:r>
        <w:rPr>
          <w:noProof/>
        </w:rPr>
        <w:t>ТК erga omnes от 5000 тона за тарифна линия 1602.3219 при 8 % ставка на митото в рамките на квотата.</w:t>
      </w:r>
    </w:p>
    <w:p>
      <w:pPr>
        <w:spacing w:before="0" w:after="0"/>
        <w:rPr>
          <w:rFonts w:eastAsia="SimSun"/>
          <w:noProof/>
          <w:szCs w:val="24"/>
        </w:rPr>
      </w:pPr>
    </w:p>
    <w:p>
      <w:pPr>
        <w:spacing w:before="0" w:after="0"/>
        <w:jc w:val="left"/>
        <w:rPr>
          <w:rFonts w:eastAsia="SimSun"/>
          <w:i/>
          <w:iCs/>
          <w:noProof/>
          <w:color w:val="1F497D"/>
          <w:szCs w:val="24"/>
        </w:rPr>
      </w:pPr>
      <w:r>
        <w:rPr>
          <w:noProof/>
        </w:rPr>
        <w:t>Европейският съюз и Китай ще се уведомят взаимно за приключването на вътрешните процедури, необходими за влизането в сила на настоящото споразумение. Споразумението влиза в сила 14 дни след датата на получаване на последното уведомление. Европейският съюз открива горепосочените ТК от датата на влизане в сила на настоящото споразумение.</w:t>
      </w:r>
      <w:r>
        <w:rPr>
          <w:i/>
          <w:noProof/>
          <w:color w:val="1F497D"/>
        </w:rPr>
        <w:t xml:space="preserve">  </w:t>
      </w:r>
    </w:p>
    <w:p>
      <w:pPr>
        <w:widowControl w:val="0"/>
        <w:autoSpaceDE w:val="0"/>
        <w:autoSpaceDN w:val="0"/>
        <w:adjustRightInd w:val="0"/>
        <w:spacing w:before="0" w:after="0"/>
        <w:rPr>
          <w:rFonts w:eastAsia="SimSun"/>
          <w:noProof/>
          <w:szCs w:val="24"/>
        </w:rPr>
      </w:pPr>
      <w:r>
        <w:rPr>
          <w:noProof/>
        </w:rPr>
        <w:t xml:space="preserve"> </w:t>
      </w:r>
    </w:p>
    <w:p>
      <w:pPr>
        <w:widowControl w:val="0"/>
        <w:autoSpaceDE w:val="0"/>
        <w:autoSpaceDN w:val="0"/>
        <w:adjustRightInd w:val="0"/>
        <w:spacing w:before="0" w:after="0"/>
        <w:rPr>
          <w:rFonts w:eastAsia="SimSun"/>
          <w:noProof/>
          <w:szCs w:val="24"/>
        </w:rPr>
      </w:pPr>
      <w:r>
        <w:rPr>
          <w:noProof/>
        </w:rPr>
        <w:t>След откриването на ТК Европейският съюз и Китай ще уведомят Органа за уреждане на спорове (DSB), че настоящото споразумение представлява взаимно съгласувано решение по член 3.6 от ДППУС по отношение на DS492 „Европейски съюз — Мерки, засягащи тарифните отстъпки за някои продукти от птиче месо“. Въз основа на това Китай потвърждава, че по отношение на DS492 няма да иска започване на процедури по член 21.5 от ДППУС, нито спиране на отстъпките или на други задължения по член 22.6 от ДППУС, стига Европейският съюз да изпълнява всички свои задължения по настоящото споразумение.“</w:t>
      </w:r>
    </w:p>
    <w:p>
      <w:pPr>
        <w:autoSpaceDE w:val="0"/>
        <w:autoSpaceDN w:val="0"/>
        <w:adjustRightInd w:val="0"/>
        <w:spacing w:before="0" w:after="0"/>
        <w:jc w:val="left"/>
        <w:rPr>
          <w:rFonts w:eastAsia="SimSun"/>
          <w:noProof/>
          <w:szCs w:val="24"/>
        </w:rPr>
      </w:pPr>
    </w:p>
    <w:p>
      <w:pPr>
        <w:spacing w:before="0" w:after="0"/>
        <w:jc w:val="left"/>
        <w:rPr>
          <w:rFonts w:eastAsia="SimSun"/>
          <w:noProof/>
          <w:szCs w:val="24"/>
        </w:rPr>
      </w:pPr>
      <w:r>
        <w:rPr>
          <w:noProof/>
        </w:rPr>
        <w:t>С настоящото имам честта да изразя съгласието на моето правителство с гореизложеното писмо.</w:t>
      </w:r>
    </w:p>
    <w:p>
      <w:pPr>
        <w:spacing w:before="0" w:after="0"/>
        <w:jc w:val="left"/>
        <w:rPr>
          <w:rFonts w:eastAsia="SimSun"/>
          <w:noProof/>
          <w:szCs w:val="24"/>
        </w:rPr>
      </w:pPr>
    </w:p>
    <w:p>
      <w:pPr>
        <w:spacing w:before="0" w:after="0"/>
        <w:jc w:val="right"/>
        <w:rPr>
          <w:rFonts w:eastAsia="SimSun"/>
          <w:noProof/>
          <w:szCs w:val="24"/>
        </w:rPr>
      </w:pPr>
    </w:p>
    <w:p>
      <w:pPr>
        <w:spacing w:before="0" w:after="0"/>
        <w:jc w:val="right"/>
        <w:rPr>
          <w:rFonts w:eastAsia="SimSun"/>
          <w:noProof/>
          <w:szCs w:val="24"/>
        </w:rPr>
      </w:pPr>
      <w:r>
        <w:rPr>
          <w:i/>
          <w:noProof/>
        </w:rPr>
        <w:t>От името на Китайската народна република</w:t>
      </w:r>
    </w:p>
    <w:p>
      <w:pPr>
        <w:spacing w:before="0" w:after="0"/>
        <w:jc w:val="left"/>
        <w:rPr>
          <w:rFonts w:eastAsia="SimSun"/>
          <w:noProof/>
          <w:szCs w:val="24"/>
        </w:rPr>
      </w:pPr>
    </w:p>
    <w:p>
      <w:pPr>
        <w:jc w:val="center"/>
        <w:rPr>
          <w:b/>
          <w:noProof/>
        </w:rPr>
      </w:pPr>
    </w:p>
    <w:p>
      <w:pPr>
        <w:rPr>
          <w:noProof/>
        </w:rPr>
      </w:pPr>
    </w:p>
    <w:p>
      <w:pPr>
        <w:rPr>
          <w:noProof/>
        </w:rPr>
      </w:pPr>
    </w:p>
    <w:p>
      <w:pPr>
        <w:rPr>
          <w:noProof/>
        </w:rPr>
      </w:pP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r>
        <w:rPr>
          <w:rStyle w:val="FootnoteReference"/>
        </w:rPr>
        <w:footnoteRef/>
      </w:r>
      <w:r>
        <w:tab/>
      </w:r>
      <w:r>
        <w:rPr>
          <w:i/>
          <w:sz w:val="22"/>
        </w:rPr>
        <w:t>Разпределеното за Китай количество по първите две тарифни квоти е съгласувано с Тайланд.</w:t>
      </w:r>
      <w:r>
        <w:t xml:space="preserve"> </w:t>
      </w:r>
    </w:p>
    <w:p>
      <w:pPr>
        <w:pStyle w:val="FootnoteText"/>
        <w:rPr>
          <w:lang w:eastAsia="zh-CN"/>
        </w:rPr>
      </w:pPr>
    </w:p>
  </w:footnote>
  <w:footnote w:id="2">
    <w:p>
      <w:r>
        <w:rPr>
          <w:rStyle w:val="FootnoteReference"/>
        </w:rPr>
        <w:footnoteRef/>
      </w:r>
      <w:r>
        <w:tab/>
      </w:r>
      <w:r>
        <w:rPr>
          <w:i/>
          <w:sz w:val="22"/>
        </w:rPr>
        <w:t>Разпределеното за Китай количество по първите две тарифни квоти е съгласувано с Тайланд.</w:t>
      </w:r>
      <w:r>
        <w:t xml:space="preserve"> </w:t>
      </w:r>
    </w:p>
    <w:p>
      <w:pPr>
        <w:pStyle w:val="FootnoteText"/>
        <w:rPr>
          <w:lang w:eastAsia="zh-CN"/>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1BB8BC2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7B0CA64"/>
    <w:lvl w:ilvl="0">
      <w:start w:val="1"/>
      <w:numFmt w:val="decimal"/>
      <w:pStyle w:val="ListNumber3"/>
      <w:lvlText w:val="%1."/>
      <w:lvlJc w:val="left"/>
      <w:pPr>
        <w:tabs>
          <w:tab w:val="num" w:pos="926"/>
        </w:tabs>
        <w:ind w:left="926" w:hanging="360"/>
      </w:pPr>
    </w:lvl>
  </w:abstractNum>
  <w:abstractNum w:abstractNumId="2">
    <w:nsid w:val="FFFFFF7F"/>
    <w:multiLevelType w:val="singleLevel"/>
    <w:tmpl w:val="3738C294"/>
    <w:lvl w:ilvl="0">
      <w:start w:val="1"/>
      <w:numFmt w:val="decimal"/>
      <w:pStyle w:val="ListNumber2"/>
      <w:lvlText w:val="%1."/>
      <w:lvlJc w:val="left"/>
      <w:pPr>
        <w:tabs>
          <w:tab w:val="num" w:pos="643"/>
        </w:tabs>
        <w:ind w:left="643" w:hanging="360"/>
      </w:pPr>
    </w:lvl>
  </w:abstractNum>
  <w:abstractNum w:abstractNumId="3">
    <w:nsid w:val="FFFFFF81"/>
    <w:multiLevelType w:val="singleLevel"/>
    <w:tmpl w:val="E06E9D6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F21A81E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90EA56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57969774"/>
    <w:lvl w:ilvl="0">
      <w:start w:val="1"/>
      <w:numFmt w:val="decimal"/>
      <w:pStyle w:val="ListNumber"/>
      <w:lvlText w:val="%1."/>
      <w:lvlJc w:val="left"/>
      <w:pPr>
        <w:tabs>
          <w:tab w:val="num" w:pos="360"/>
        </w:tabs>
        <w:ind w:left="360" w:hanging="360"/>
      </w:pPr>
    </w:lvl>
  </w:abstractNum>
  <w:abstractNum w:abstractNumId="7">
    <w:nsid w:val="FFFFFF89"/>
    <w:multiLevelType w:val="singleLevel"/>
    <w:tmpl w:val="7472992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 w:numId="23">
    <w:abstractNumId w:val="18"/>
  </w:num>
  <w:num w:numId="24">
    <w:abstractNumId w:val="12"/>
  </w:num>
  <w:num w:numId="25">
    <w:abstractNumId w:val="20"/>
  </w:num>
  <w:num w:numId="26">
    <w:abstractNumId w:val="11"/>
  </w:num>
  <w:num w:numId="27">
    <w:abstractNumId w:val="13"/>
  </w:num>
  <w:num w:numId="28">
    <w:abstractNumId w:val="9"/>
  </w:num>
  <w:num w:numId="29">
    <w:abstractNumId w:val="19"/>
  </w:num>
  <w:num w:numId="30">
    <w:abstractNumId w:val="8"/>
  </w:num>
  <w:num w:numId="31">
    <w:abstractNumId w:val="14"/>
  </w:num>
  <w:num w:numId="32">
    <w:abstractNumId w:val="16"/>
  </w:num>
  <w:num w:numId="33">
    <w:abstractNumId w:val="17"/>
  </w:num>
  <w:num w:numId="34">
    <w:abstractNumId w:val="10"/>
  </w:num>
  <w:num w:numId="35">
    <w:abstractNumId w:val="15"/>
  </w:num>
  <w:num w:numId="36">
    <w:abstractNumId w:val="21"/>
  </w:num>
  <w:num w:numId="37">
    <w:abstractNumId w:val="18"/>
  </w:num>
  <w:num w:numId="38">
    <w:abstractNumId w:val="12"/>
  </w:num>
  <w:num w:numId="39">
    <w:abstractNumId w:val="20"/>
  </w:num>
  <w:num w:numId="40">
    <w:abstractNumId w:val="11"/>
  </w:num>
  <w:num w:numId="41">
    <w:abstractNumId w:val="13"/>
  </w:num>
  <w:num w:numId="42">
    <w:abstractNumId w:val="9"/>
  </w:num>
  <w:num w:numId="43">
    <w:abstractNumId w:val="19"/>
  </w:num>
  <w:num w:numId="44">
    <w:abstractNumId w:val="8"/>
  </w:num>
  <w:num w:numId="45">
    <w:abstractNumId w:val="14"/>
  </w:num>
  <w:num w:numId="46">
    <w:abstractNumId w:val="16"/>
  </w:num>
  <w:num w:numId="47">
    <w:abstractNumId w:val="17"/>
  </w:num>
  <w:num w:numId="48">
    <w:abstractNumId w:val="10"/>
  </w:num>
  <w:num w:numId="49">
    <w:abstractNumId w:val="15"/>
  </w:num>
  <w:num w:numId="50">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7-03 16:38:5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39"/>
    <w:docVar w:name="DQCResult_UnknownFonts" w:val="0;0"/>
    <w:docVar w:name="DQCResult_UnknownStyles" w:val="0;2"/>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1D0098EB-67FF-4688-8200-217EE29D5ACD"/>
    <w:docVar w:name="LW_COVERPAGE_TYPE" w:val="1"/>
    <w:docVar w:name="LW_CROSSREFERENCE" w:val="&lt;UNUSED&gt;"/>
    <w:docVar w:name="LW_DocType" w:val="ANNEX"/>
    <w:docVar w:name="LW_EMISSION" w:val="5.7.2018"/>
    <w:docVar w:name="LW_EMISSION_ISODATE" w:val="2018-07-05"/>
    <w:docVar w:name="LW_EMISSION_LOCATION" w:val="BRX"/>
    <w:docVar w:name="LW_EMISSION_PREFIX" w:val="\u1041?\u1088?\u1102?\u1082?\u1089?\u1077?\u1083?,"/>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79?\u1072? \u1089?\u1082?\u1083?\u1102?\u1095?\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57?\u1098?\u1102?\u1079?\u1072? \u1080? \u1050?\u1080?\u1090?\u1072?\u1081?\u1089?\u1082?\u1072?\u1090?\u1072? \u1085?\u1072?\u1088?\u1086?\u1076?\u1085?\u1072? \u1088?\u1077?\u1087?\u1091?\u1073?\u1083?\u1080?\u1082?\u1072? \u1074?\u1098?\u1074? \u1074?\u1088?\u1098?\u1079?\u1082?\u1072? \u1089? \u1087?\u1088?\u1086?\u1094?\u1077?\u1076?\u1091?\u1088?\u1072? DS492 \u1085?\u1072? \u1057?\u1058?\u1054? \u1079?\u1072? \u1091?\u1088?\u1077?\u1078?\u1076?\u1072?\u1085?\u1077? \u1085?\u1072? \u1089?\u1087?\u1086?\u1088?\u1086?\u1074?\u1077? \u8212? \u8222?\u1052?\u1077?\u1088?\u1082?\u1080?, \u1079?\u1072?\u1089?\u1103?\u1075?\u1072?\u1097?\u1080? \u1090?\u1072?\u1088?\u1080?\u1092?\u1085?\u1080?\u1090?\u1077? \u1086?\u1090?\u1089?\u1090?\u1098?\u1087?\u1082?\u1080? \u1079?\u1072? \u1085?\u1103?\u1082?\u1086?\u1080? \u1087?\u1088?\u1086?\u1076?\u1091?\u1082?\u1090?\u1080? \u1086?\u1090? \u1087?\u1090?\u1080?\u1095?\u1077? \u1084?\u1077?\u1089?\u1086?\u8220?"/>
    <w:docVar w:name="LW_OBJETACTEPRINCIPAL.CP" w:val="\u1079?\u1072? \u1089?\u1082?\u1083?\u1102?\u1095?\u1074?\u1072?\u1085?\u1077?, \u1086?\u1090? \u1080?\u1084?\u1077?\u1090?\u1086? \u1085?\u1072? \u1045?\u1074?\u1088?\u1086?\u1087?\u1077?\u1081?\u1089?\u1082?\u1080?\u1103? \u1089?\u1098?\u1102?\u1079?, \u1085?\u1072? \u1057?\u1087?\u1086?\u1088?\u1072?\u1079?\u1091?\u1084?\u1077?\u1085?\u1080?\u1077?\u1090?\u1086? \u1087?\u1086?\u1076? \u1092?\u1086?\u1088?\u1084?\u1072?\u1090?\u1072? \u1085?\u1072? \u1088?\u1072?\u1079?\u1084?\u1103?\u1085?\u1072? \u1085?\u1072? \u1087?\u1080?\u1089?\u1084?\u1072? \u1084?\u1077?\u1078?\u1076?\u1091? \u1057?\u1098?\u1102?\u1079?\u1072? \u1080? \u1050?\u1080?\u1090?\u1072?\u1081?\u1089?\u1082?\u1072?\u1090?\u1072? \u1085?\u1072?\u1088?\u1086?\u1076?\u1085?\u1072? \u1088?\u1077?\u1087?\u1091?\u1073?\u1083?\u1080?\u1082?\u1072? \u1074?\u1098?\u1074? \u1074?\u1088?\u1098?\u1079?\u1082?\u1072? \u1089? \u1087?\u1088?\u1086?\u1094?\u1077?\u1076?\u1091?\u1088?\u1072? DS492 \u1085?\u1072? \u1057?\u1058?\u1054? \u1079?\u1072? \u1091?\u1088?\u1077?\u1078?\u1076?\u1072?\u1085?\u1077? \u1085?\u1072? \u1089?\u1087?\u1086?\u1088?\u1086?\u1074?\u1077? \u8212? \u8222?\u1052?\u1077?\u1088?\u1082?\u1080?, \u1079?\u1072?\u1089?\u1103?\u1075?\u1072?\u1097?\u1080? \u1090?\u1072?\u1088?\u1080?\u1092?\u1085?\u1080?\u1090?\u1077? \u1086?\u1090?\u1089?\u1090?\u1098?\u1087?\u1082?\u1080? \u1079?\u1072? \u1085?\u1103?\u1082?\u1086?\u1080? \u1087?\u1088?\u1086?\u1076?\u1091?\u1082?\u1090?\u1080? \u1086?\u1090? \u1087?\u1090?\u1080?\u1095?\u1077? \u1084?\u1077?\u1089?\u1086?\u8220?"/>
    <w:docVar w:name="LW_PART_NBR" w:val="1"/>
    <w:docVar w:name="LW_PART_NBR_TOTAL" w:val="1"/>
    <w:docVar w:name="LW_REF.INST.NEW" w:val="COM"/>
    <w:docVar w:name="LW_REF.INST.NEW_ADOPTED" w:val="final"/>
    <w:docVar w:name="LW_REF.INST.NEW_TEXT" w:val="(2018) 51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_x000b__x000b_\u1056?\u1045?\u1064?\u1045?\u1053?\u1048?\u1045? \u1053?\u1040? \u1057?\u1066?\u1042?\u1045?\u1058?\u1040?_x000b_"/>
    <w:docVar w:name="LW_TYPEACTEPRINCIPAL.CP" w:val="\u1055?\u1088?\u1077?\u1076?\u1083?\u1086?\u1078?\u1077?\u1085?\u1080?\u1077? \u1079?\u1072?_x000b__x000b_\u1056?\u1045?\u1064?\u1045?\u1053?\u1048?\u1045? \u1053?\u1040? \u1057?\u1066?\u1042?\u1045?\u1058?\u1040?_x000b_"/>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customStyle="1" w:styleId="Sous-titreobjet">
    <w:name w:val="Sous-titre objet"/>
    <w:basedOn w:val="Normal"/>
    <w:pPr>
      <w:spacing w:before="0" w:after="0"/>
      <w:jc w:val="center"/>
    </w:pPr>
    <w:rPr>
      <w:b/>
    </w:rPr>
  </w:style>
  <w:style w:type="paragraph" w:customStyle="1" w:styleId="Titreobjet">
    <w:name w:val="Titre objet"/>
    <w:basedOn w:val="Normal"/>
    <w:next w:val="Sous-titreobjet"/>
    <w:pPr>
      <w:spacing w:before="180" w:after="180"/>
      <w:jc w:val="center"/>
    </w:pPr>
    <w:rPr>
      <w:b/>
    </w:rPr>
  </w:style>
  <w:style w:type="paragraph" w:customStyle="1" w:styleId="Sous-titreobjetPagedecouverture">
    <w:name w:val="Sous-titre objet (Page de couverture)"/>
    <w:basedOn w:val="Sous-titreobjet"/>
  </w:style>
  <w:style w:type="paragraph" w:customStyle="1" w:styleId="TitreobjetPagedecouverture">
    <w:name w:val="Titre objet (Page de couverture)"/>
    <w:basedOn w:val="Titreobjet"/>
    <w:next w:val="Sous-titreobjetPagedecouverture"/>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7"/>
      </w:numPr>
    </w:pPr>
  </w:style>
  <w:style w:type="paragraph" w:customStyle="1" w:styleId="Tiret1">
    <w:name w:val="Tiret 1"/>
    <w:basedOn w:val="Point1"/>
    <w:pPr>
      <w:numPr>
        <w:numId w:val="38"/>
      </w:numPr>
    </w:pPr>
  </w:style>
  <w:style w:type="paragraph" w:customStyle="1" w:styleId="Tiret2">
    <w:name w:val="Tiret 2"/>
    <w:basedOn w:val="Point2"/>
    <w:pPr>
      <w:numPr>
        <w:numId w:val="39"/>
      </w:numPr>
    </w:pPr>
  </w:style>
  <w:style w:type="paragraph" w:customStyle="1" w:styleId="Tiret3">
    <w:name w:val="Tiret 3"/>
    <w:basedOn w:val="Point3"/>
    <w:pPr>
      <w:numPr>
        <w:numId w:val="40"/>
      </w:numPr>
    </w:pPr>
  </w:style>
  <w:style w:type="paragraph" w:customStyle="1" w:styleId="Tiret4">
    <w:name w:val="Tiret 4"/>
    <w:basedOn w:val="Point4"/>
    <w:pPr>
      <w:numPr>
        <w:numId w:val="4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2"/>
      </w:numPr>
    </w:pPr>
  </w:style>
  <w:style w:type="paragraph" w:customStyle="1" w:styleId="NumPar2">
    <w:name w:val="NumPar 2"/>
    <w:basedOn w:val="Normal"/>
    <w:next w:val="Text1"/>
    <w:pPr>
      <w:numPr>
        <w:ilvl w:val="1"/>
        <w:numId w:val="42"/>
      </w:numPr>
    </w:pPr>
  </w:style>
  <w:style w:type="paragraph" w:customStyle="1" w:styleId="NumPar3">
    <w:name w:val="NumPar 3"/>
    <w:basedOn w:val="Normal"/>
    <w:next w:val="Text1"/>
    <w:pPr>
      <w:numPr>
        <w:ilvl w:val="2"/>
        <w:numId w:val="42"/>
      </w:numPr>
    </w:pPr>
  </w:style>
  <w:style w:type="paragraph" w:customStyle="1" w:styleId="NumPar4">
    <w:name w:val="NumPar 4"/>
    <w:basedOn w:val="Normal"/>
    <w:next w:val="Text1"/>
    <w:pPr>
      <w:numPr>
        <w:ilvl w:val="3"/>
        <w:numId w:val="4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4"/>
      </w:numPr>
    </w:pPr>
  </w:style>
  <w:style w:type="paragraph" w:customStyle="1" w:styleId="Point1number">
    <w:name w:val="Point 1 (number)"/>
    <w:basedOn w:val="Normal"/>
    <w:pPr>
      <w:numPr>
        <w:ilvl w:val="2"/>
        <w:numId w:val="44"/>
      </w:numPr>
    </w:pPr>
  </w:style>
  <w:style w:type="paragraph" w:customStyle="1" w:styleId="Point2number">
    <w:name w:val="Point 2 (number)"/>
    <w:basedOn w:val="Normal"/>
    <w:pPr>
      <w:numPr>
        <w:ilvl w:val="4"/>
        <w:numId w:val="44"/>
      </w:numPr>
    </w:pPr>
  </w:style>
  <w:style w:type="paragraph" w:customStyle="1" w:styleId="Point3number">
    <w:name w:val="Point 3 (number)"/>
    <w:basedOn w:val="Normal"/>
    <w:pPr>
      <w:numPr>
        <w:ilvl w:val="6"/>
        <w:numId w:val="44"/>
      </w:numPr>
    </w:pPr>
  </w:style>
  <w:style w:type="paragraph" w:customStyle="1" w:styleId="Point0letter">
    <w:name w:val="Point 0 (letter)"/>
    <w:basedOn w:val="Normal"/>
    <w:pPr>
      <w:numPr>
        <w:ilvl w:val="1"/>
        <w:numId w:val="44"/>
      </w:numPr>
    </w:pPr>
  </w:style>
  <w:style w:type="paragraph" w:customStyle="1" w:styleId="Point1letter">
    <w:name w:val="Point 1 (letter)"/>
    <w:basedOn w:val="Normal"/>
    <w:pPr>
      <w:numPr>
        <w:ilvl w:val="3"/>
        <w:numId w:val="44"/>
      </w:numPr>
    </w:pPr>
  </w:style>
  <w:style w:type="paragraph" w:customStyle="1" w:styleId="Point2letter">
    <w:name w:val="Point 2 (letter)"/>
    <w:basedOn w:val="Normal"/>
    <w:pPr>
      <w:numPr>
        <w:ilvl w:val="5"/>
        <w:numId w:val="44"/>
      </w:numPr>
    </w:pPr>
  </w:style>
  <w:style w:type="paragraph" w:customStyle="1" w:styleId="Point3letter">
    <w:name w:val="Point 3 (letter)"/>
    <w:basedOn w:val="Normal"/>
    <w:pPr>
      <w:numPr>
        <w:ilvl w:val="7"/>
        <w:numId w:val="44"/>
      </w:numPr>
    </w:pPr>
  </w:style>
  <w:style w:type="paragraph" w:customStyle="1" w:styleId="Point4letter">
    <w:name w:val="Point 4 (letter)"/>
    <w:basedOn w:val="Normal"/>
    <w:pPr>
      <w:numPr>
        <w:ilvl w:val="8"/>
        <w:numId w:val="44"/>
      </w:numPr>
    </w:pPr>
  </w:style>
  <w:style w:type="paragraph" w:customStyle="1" w:styleId="Bullet0">
    <w:name w:val="Bullet 0"/>
    <w:basedOn w:val="Normal"/>
    <w:pPr>
      <w:numPr>
        <w:numId w:val="45"/>
      </w:numPr>
    </w:pPr>
  </w:style>
  <w:style w:type="paragraph" w:customStyle="1" w:styleId="Bullet1">
    <w:name w:val="Bullet 1"/>
    <w:basedOn w:val="Normal"/>
    <w:pPr>
      <w:numPr>
        <w:numId w:val="46"/>
      </w:numPr>
    </w:pPr>
  </w:style>
  <w:style w:type="paragraph" w:customStyle="1" w:styleId="Bullet2">
    <w:name w:val="Bullet 2"/>
    <w:basedOn w:val="Normal"/>
    <w:pPr>
      <w:numPr>
        <w:numId w:val="47"/>
      </w:numPr>
    </w:pPr>
  </w:style>
  <w:style w:type="paragraph" w:customStyle="1" w:styleId="Bullet3">
    <w:name w:val="Bullet 3"/>
    <w:basedOn w:val="Normal"/>
    <w:pPr>
      <w:numPr>
        <w:numId w:val="48"/>
      </w:numPr>
    </w:pPr>
  </w:style>
  <w:style w:type="paragraph" w:customStyle="1" w:styleId="Bullet4">
    <w:name w:val="Bullet 4"/>
    <w:basedOn w:val="Normal"/>
    <w:pPr>
      <w:numPr>
        <w:numId w:val="4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5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2269A-22CB-46B5-9092-E928E9816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0</TotalTime>
  <Pages>5</Pages>
  <Words>688</Words>
  <Characters>3673</Characters>
  <Application>Microsoft Office Word</Application>
  <DocSecurity>0</DocSecurity>
  <Lines>114</Lines>
  <Paragraphs>34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4327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CAUSEY-HUGECOVA Lucia (AGRI)</dc:creator>
  <cp:lastModifiedBy>DIGIT/A3</cp:lastModifiedBy>
  <cp:revision>7</cp:revision>
  <dcterms:created xsi:type="dcterms:W3CDTF">2018-07-03T09:15:00Z</dcterms:created>
  <dcterms:modified xsi:type="dcterms:W3CDTF">2018-07-03T14:38:00Z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