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B456774-2ECB-436F-BC30-3DB1FA11D0DB" style="width:450.7pt;height:393.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ab/>
        <w:t>CONTEXTE DE LA PROPOSITION</w:t>
      </w:r>
    </w:p>
    <w:p>
      <w:pPr>
        <w:pStyle w:val="ManualHeading2"/>
        <w:rPr>
          <w:rFonts w:eastAsia="Arial Unicode MS"/>
          <w:noProof/>
        </w:rPr>
      </w:pPr>
      <w:r>
        <w:rPr>
          <w:noProof/>
          <w:color w:val="000000"/>
          <w:u w:color="000000"/>
          <w:bdr w:val="nil"/>
        </w:rPr>
        <w:t>•</w:t>
      </w:r>
      <w:r>
        <w:rPr>
          <w:noProof/>
        </w:rPr>
        <w:tab/>
        <w:t>Motivation et objectifs de la proposition</w:t>
      </w:r>
    </w:p>
    <w:p>
      <w:pPr>
        <w:pStyle w:val="Text1"/>
        <w:rPr>
          <w:noProof/>
        </w:rPr>
      </w:pPr>
      <w:r>
        <w:rPr>
          <w:noProof/>
        </w:rPr>
        <w:t xml:space="preserve">À la suite du rapport du groupe spécial de l’OMC adopté le 19 avril 2017 dans le cadre de la procédure de règlement du différend DS492 </w:t>
      </w:r>
      <w:r>
        <w:rPr>
          <w:i/>
          <w:noProof/>
        </w:rPr>
        <w:t>Mesures affectant les concessions tarifaires concernant certains produits à base de viande de volaille</w:t>
      </w:r>
      <w:r>
        <w:rPr>
          <w:noProof/>
        </w:rPr>
        <w:t xml:space="preserve"> introduite par la République populaire de Chine contre l’Union européenne, l’Union doit se conformer à ses conclusions. En particulier, le groupe spécial a estimé que, lors de l’attribution des quantités soumises à des contingents tarifaires aux pays fournisseurs selon les règles de l’OMC, l’Union européenne aurait dû tenir compte, en tant que «facteur spécial», de la capacité accrue de la Chine à exporter des produits de volailles vers l’Union après l’assouplissement des mesures sanitaires en juillet 2008. Le délai raisonnable prévu par les règles de l’OMC pour la mise en œuvre du rapport du groupe spécial a commencé à courir le 19 avril 2017.</w:t>
      </w:r>
    </w:p>
    <w:p>
      <w:pPr>
        <w:pStyle w:val="Text1"/>
        <w:rPr>
          <w:rFonts w:eastAsia="Arial Unicode MS"/>
          <w:noProof/>
        </w:rPr>
      </w:pPr>
      <w:r>
        <w:rPr>
          <w:noProof/>
        </w:rPr>
        <w:t>Le 12 mars 2018, le Conseil a autorisé la Commission à ouvrir des négociations sur une solution convenue de commun accord avec la Chine. Les négociations avec la Chine ont abouti à un accord sous forme d’échange de lettres qui a été paraphé à Genève le 18 juin 2018 (ci-après l’«accord»). L'accord devrait respecter les droits des autres fournisseurs, qui ont été reconnus dans le cadre de négociations antérieures au titre de l'article XXVIII du GATT. La Commission est également tenue d’assurer une gestion transparente et appropriée des contingents tarifaires.</w:t>
      </w:r>
    </w:p>
    <w:p>
      <w:pPr>
        <w:pStyle w:val="Text1"/>
        <w:rPr>
          <w:noProof/>
        </w:rPr>
      </w:pPr>
      <w:r>
        <w:rPr>
          <w:noProof/>
        </w:rPr>
        <w:t xml:space="preserve">La Thaïlande a fait savoir qu’elle est d’accord avec l'attribution de contingents tarifaires à la Chine comme le prévoit l'accord, et sa confirmation écrite devrait nous parvenir sous peu (et, dans tous les cas, avant la signature formelle du présent accord). </w:t>
      </w:r>
    </w:p>
    <w:p>
      <w:pPr>
        <w:pStyle w:val="Text1"/>
        <w:rPr>
          <w:noProof/>
        </w:rPr>
      </w:pPr>
      <w:r>
        <w:rPr>
          <w:noProof/>
        </w:rPr>
        <w:t xml:space="preserve">En conséquence, la Commission européenne propose au Conseil d’adopter une décision portant conclusion de l’accord. </w:t>
      </w:r>
    </w:p>
    <w:p>
      <w:pPr>
        <w:pStyle w:val="ManualHeading2"/>
        <w:rPr>
          <w:rFonts w:eastAsia="Arial Unicode MS"/>
          <w:noProof/>
        </w:rPr>
      </w:pPr>
      <w:r>
        <w:rPr>
          <w:noProof/>
          <w:color w:val="000000"/>
          <w:u w:color="000000"/>
          <w:bdr w:val="nil"/>
        </w:rPr>
        <w:t>•</w:t>
      </w:r>
      <w:r>
        <w:rPr>
          <w:noProof/>
        </w:rPr>
        <w:tab/>
        <w:t>Cohérence avec les dispositions existantes dans le domaine d’action</w:t>
      </w:r>
    </w:p>
    <w:p>
      <w:pPr>
        <w:pStyle w:val="Text1"/>
        <w:rPr>
          <w:noProof/>
        </w:rPr>
      </w:pPr>
      <w:r>
        <w:rPr>
          <w:noProof/>
        </w:rPr>
        <w:t xml:space="preserve">Sans objet – la mesure est prise dans le cadre de la mise en œuvre des décisions contenues dans le rapport du groupe spécial de l’OMC, ce qui constitue une obligation pour l’Union en vertu de l’accord sur l’OMC. </w:t>
      </w:r>
    </w:p>
    <w:p>
      <w:pPr>
        <w:pStyle w:val="ManualHeading2"/>
        <w:rPr>
          <w:rFonts w:eastAsia="Arial Unicode MS"/>
          <w:noProof/>
        </w:rPr>
      </w:pPr>
      <w:r>
        <w:rPr>
          <w:noProof/>
          <w:color w:val="000000"/>
          <w:u w:color="000000"/>
          <w:bdr w:val="nil"/>
        </w:rPr>
        <w:t>•</w:t>
      </w:r>
      <w:r>
        <w:rPr>
          <w:noProof/>
        </w:rPr>
        <w:tab/>
        <w:t>Cohérence avec les autres politiques de l’Union</w:t>
      </w:r>
    </w:p>
    <w:p>
      <w:pPr>
        <w:pStyle w:val="Text1"/>
        <w:rPr>
          <w:noProof/>
        </w:rPr>
      </w:pPr>
      <w:r>
        <w:rPr>
          <w:noProof/>
        </w:rPr>
        <w:t xml:space="preserve">Sans objet – la mesure est prise dans le cadre de la mise en œuvre des décisions contenues dans le rapport du groupe spécial de l’OMC, ce qui constitue une obligation pour l’Union en vertu de l’accord sur l’OMC.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Style w:val="Text1"/>
        <w:rPr>
          <w:noProof/>
        </w:rPr>
      </w:pPr>
      <w:r>
        <w:rPr>
          <w:noProof/>
        </w:rPr>
        <w:t>Article 207 du traité sur le fonctionnement de l’Union européenne (TFUE), en liaison avec son article 218, paragraphe 6, pour la conclusion d’accords internationaux.</w:t>
      </w:r>
    </w:p>
    <w:p>
      <w:pPr>
        <w:pStyle w:val="ManualHeading2"/>
        <w:rPr>
          <w:rFonts w:eastAsia="Arial Unicode MS"/>
          <w:noProof/>
          <w:u w:color="000000"/>
          <w:bdr w:val="nil"/>
        </w:rPr>
      </w:pPr>
      <w:r>
        <w:rPr>
          <w:noProof/>
        </w:rPr>
        <w:lastRenderedPageBreak/>
        <w:t>•</w:t>
      </w:r>
      <w:r>
        <w:rPr>
          <w:noProof/>
        </w:rPr>
        <w:tab/>
        <w:t xml:space="preserve">Subsidiarité (en cas de compétence non exclusive) </w:t>
      </w:r>
    </w:p>
    <w:p>
      <w:pPr>
        <w:pStyle w:val="Text1"/>
        <w:rPr>
          <w:rFonts w:eastAsia="Arial Unicode MS"/>
          <w:b/>
          <w:noProof/>
          <w:u w:color="000000"/>
          <w:bdr w:val="nil"/>
        </w:rPr>
      </w:pPr>
      <w:r>
        <w:rPr>
          <w:noProof/>
        </w:rPr>
        <w:t>La proposition relève de la compétence exclusive de l’Union énoncée à l’article 3, paragraphe 1, point e), du traité sur le fonctionnement de l’Union européenne. Le principe de subsidiarité ne s’applique donc pas.</w:t>
      </w:r>
    </w:p>
    <w:p>
      <w:pPr>
        <w:pStyle w:val="ManualHeading2"/>
        <w:rPr>
          <w:rFonts w:eastAsia="Arial Unicode MS"/>
          <w:noProof/>
          <w:u w:color="000000"/>
          <w:bdr w:val="nil"/>
        </w:rPr>
      </w:pPr>
      <w:r>
        <w:rPr>
          <w:noProof/>
        </w:rPr>
        <w:t>•</w:t>
      </w:r>
      <w:r>
        <w:rPr>
          <w:noProof/>
        </w:rPr>
        <w:tab/>
        <w:t>Proportionnalité</w:t>
      </w:r>
    </w:p>
    <w:p>
      <w:pPr>
        <w:pStyle w:val="Text1"/>
        <w:rPr>
          <w:rFonts w:eastAsia="Arial Unicode MS"/>
          <w:noProof/>
        </w:rPr>
      </w:pPr>
      <w:r>
        <w:rPr>
          <w:noProof/>
        </w:rPr>
        <w:t xml:space="preserve">La mesure est prise dans le cadre de la mise en œuvre des décisions contenues dans le rapport du groupe spécial de l’OMC, ce qui constitue une obligation pour l’Union en vertu de l’accord sur l’OMC. </w:t>
      </w:r>
    </w:p>
    <w:p>
      <w:pPr>
        <w:pStyle w:val="ManualHeading2"/>
        <w:rPr>
          <w:rFonts w:eastAsia="Arial Unicode MS"/>
          <w:noProof/>
          <w:u w:color="000000"/>
          <w:bdr w:val="nil"/>
        </w:rPr>
      </w:pPr>
      <w:r>
        <w:rPr>
          <w:noProof/>
        </w:rPr>
        <w:t>•</w:t>
      </w:r>
      <w:r>
        <w:rPr>
          <w:noProof/>
        </w:rPr>
        <w:tab/>
        <w:t>Choix de l’instrument</w:t>
      </w:r>
    </w:p>
    <w:p>
      <w:pPr>
        <w:pStyle w:val="Text1"/>
        <w:rPr>
          <w:noProof/>
        </w:rPr>
      </w:pPr>
      <w:r>
        <w:rPr>
          <w:noProof/>
        </w:rPr>
        <w:t>Une décision du Conseil autorisant la conclusion de l’accord est requise en vertu de l’article 218, paragraphe 6,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Style w:val="Text1"/>
        <w:rPr>
          <w:noProof/>
        </w:rPr>
      </w:pPr>
      <w:r>
        <w:rPr>
          <w:noProof/>
        </w:rPr>
        <w:t xml:space="preserve">Sans objet – la mesure est prise dans le cadre de la mise en œuvre des décisions contenues dans le rapport du groupe spécial de l’OMC, ce qui constitue une obligation pour l’Union en vertu de l’accord sur l’OMC. </w:t>
      </w:r>
    </w:p>
    <w:p>
      <w:pPr>
        <w:pStyle w:val="ManualHeading2"/>
        <w:rPr>
          <w:rFonts w:eastAsia="Arial Unicode MS"/>
          <w:noProof/>
          <w:u w:color="000000"/>
          <w:bdr w:val="nil"/>
        </w:rPr>
      </w:pPr>
      <w:r>
        <w:rPr>
          <w:noProof/>
        </w:rPr>
        <w:t>•</w:t>
      </w:r>
      <w:r>
        <w:rPr>
          <w:noProof/>
        </w:rPr>
        <w:tab/>
        <w:t>Consultation des acteurs concernés</w:t>
      </w:r>
    </w:p>
    <w:p>
      <w:pPr>
        <w:pStyle w:val="Text1"/>
        <w:rPr>
          <w:noProof/>
        </w:rPr>
      </w:pPr>
      <w:r>
        <w:rPr>
          <w:noProof/>
        </w:rPr>
        <w:t xml:space="preserve">Publication de la feuille de route, consultations régulières avec le secteur, les parties concernées et les États membres. Le retour d’information provenant de l'Association européenne du commerce des œufs, de la volaille et du gibier (EPEGA) reçu en janvier 2018 à la suite de la publication de la feuille de route indique clairement  que l'Association soutient l’ouverture de ces contingents supplémentaires. </w:t>
      </w:r>
    </w:p>
    <w:p>
      <w:pPr>
        <w:pStyle w:val="ManualHeading2"/>
        <w:rPr>
          <w:rFonts w:eastAsia="Arial Unicode MS"/>
          <w:noProof/>
          <w:u w:color="000000"/>
          <w:bdr w:val="nil"/>
        </w:rPr>
      </w:pPr>
      <w:r>
        <w:rPr>
          <w:noProof/>
        </w:rPr>
        <w:t>•</w:t>
      </w:r>
      <w:r>
        <w:rPr>
          <w:noProof/>
        </w:rPr>
        <w:tab/>
        <w:t>Obtention et utilisation d'expertise</w:t>
      </w:r>
    </w:p>
    <w:p>
      <w:pPr>
        <w:pStyle w:val="Text1"/>
        <w:rPr>
          <w:noProof/>
        </w:rPr>
      </w:pPr>
      <w:r>
        <w:rPr>
          <w:noProof/>
        </w:rPr>
        <w:t xml:space="preserve">Sans objet – la mesure est prise dans le cadre de la mise en œuvre des décisions contenues dans le rapport du groupe spécial de l’OMC, ce qui constitue une obligation pour l’Union en vertu de l’accord sur l’OMC. </w:t>
      </w:r>
    </w:p>
    <w:p>
      <w:pPr>
        <w:pStyle w:val="ManualHeading2"/>
        <w:rPr>
          <w:rFonts w:eastAsia="Arial Unicode MS"/>
          <w:noProof/>
          <w:u w:color="000000"/>
          <w:bdr w:val="nil"/>
        </w:rPr>
      </w:pPr>
      <w:r>
        <w:rPr>
          <w:noProof/>
        </w:rPr>
        <w:t>•</w:t>
      </w:r>
      <w:r>
        <w:rPr>
          <w:noProof/>
        </w:rPr>
        <w:tab/>
        <w:t>Analyse d’impact</w:t>
      </w:r>
    </w:p>
    <w:p>
      <w:pPr>
        <w:pStyle w:val="Text1"/>
        <w:rPr>
          <w:noProof/>
        </w:rPr>
      </w:pPr>
      <w:r>
        <w:rPr>
          <w:noProof/>
        </w:rPr>
        <w:t xml:space="preserve">Sans objet – la mesure est prise dans le cadre de la mise en œuvre des décisions contenues dans le rapport du groupe spécial de l’OMC, ce qui constitue une obligation pour l’Union en vertu de l’accord sur l’OMC. </w:t>
      </w:r>
    </w:p>
    <w:p>
      <w:pPr>
        <w:pStyle w:val="ManualHeading2"/>
        <w:rPr>
          <w:rFonts w:eastAsia="Arial Unicode MS"/>
          <w:noProof/>
          <w:u w:color="000000"/>
          <w:bdr w:val="nil"/>
        </w:rPr>
      </w:pPr>
      <w:r>
        <w:rPr>
          <w:noProof/>
        </w:rPr>
        <w:t>•</w:t>
      </w:r>
      <w:r>
        <w:rPr>
          <w:noProof/>
        </w:rPr>
        <w:tab/>
        <w:t>Réglementation affûtée et simplification</w:t>
      </w:r>
    </w:p>
    <w:p>
      <w:pPr>
        <w:pStyle w:val="Text1"/>
        <w:rPr>
          <w:noProof/>
        </w:rPr>
      </w:pPr>
      <w:r>
        <w:rPr>
          <w:noProof/>
        </w:rPr>
        <w:t xml:space="preserve">Sans objet – la mesure est prise dans le cadre de la mise en œuvre des décisions contenues dans le rapport du groupe spécial de l’OMC, ce qui constitue une obligation pour l’Union en vertu de l’accord sur l’OMC. </w:t>
      </w:r>
    </w:p>
    <w:p>
      <w:pPr>
        <w:pStyle w:val="ManualHeading2"/>
        <w:rPr>
          <w:rFonts w:eastAsia="Arial Unicode MS"/>
          <w:noProof/>
          <w:u w:color="000000"/>
          <w:bdr w:val="nil"/>
        </w:rPr>
      </w:pPr>
      <w:r>
        <w:rPr>
          <w:noProof/>
        </w:rPr>
        <w:t>•</w:t>
      </w:r>
      <w:r>
        <w:rPr>
          <w:noProof/>
        </w:rPr>
        <w:tab/>
        <w:t>Droits fondamentaux</w:t>
      </w:r>
    </w:p>
    <w:p>
      <w:pPr>
        <w:pStyle w:val="Text1"/>
        <w:rPr>
          <w:noProof/>
        </w:rPr>
      </w:pPr>
      <w:r>
        <w:rPr>
          <w:noProof/>
        </w:rPr>
        <w:t>Sans objet.</w:t>
      </w:r>
    </w:p>
    <w:p>
      <w:pPr>
        <w:pStyle w:val="ManualHeading1"/>
        <w:rPr>
          <w:noProof/>
        </w:rPr>
      </w:pPr>
      <w:r>
        <w:rPr>
          <w:noProof/>
        </w:rPr>
        <w:t>4.</w:t>
      </w:r>
      <w:r>
        <w:rPr>
          <w:noProof/>
        </w:rPr>
        <w:tab/>
        <w:t>INCIDENCES BUDGÉTAIRES</w:t>
      </w:r>
    </w:p>
    <w:p>
      <w:pPr>
        <w:pStyle w:val="Text1"/>
        <w:rPr>
          <w:noProof/>
        </w:rPr>
      </w:pPr>
      <w:r>
        <w:rPr>
          <w:noProof/>
        </w:rPr>
        <w:t>Voir fiche financière.</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Style w:val="Text1"/>
        <w:rPr>
          <w:noProof/>
        </w:rPr>
      </w:pPr>
      <w:r>
        <w:rPr>
          <w:noProof/>
        </w:rPr>
        <w:t xml:space="preserve">La Commission propose au Conseil que l’accord sous forme d’échange de lettres avec la République populaire de Chine soit conclu au nom de l’Union. </w:t>
      </w:r>
    </w:p>
    <w:p>
      <w:pPr>
        <w:pStyle w:val="Text1"/>
        <w:rPr>
          <w:rFonts w:eastAsia="Arial Unicode MS"/>
          <w:noProof/>
        </w:rPr>
      </w:pPr>
      <w:r>
        <w:rPr>
          <w:noProof/>
        </w:rPr>
        <w:t>Les résultats de l’accord sont les suivants:</w:t>
      </w:r>
    </w:p>
    <w:p>
      <w:pPr>
        <w:pStyle w:val="Text2"/>
        <w:rPr>
          <w:noProof/>
        </w:rPr>
      </w:pPr>
      <w:r>
        <w:rPr>
          <w:noProof/>
        </w:rPr>
        <w:t>L’Union européenne ouvre les contingents tarifaires suivants:</w:t>
      </w:r>
    </w:p>
    <w:p>
      <w:pPr>
        <w:pStyle w:val="Text2"/>
        <w:rPr>
          <w:noProof/>
        </w:rPr>
      </w:pPr>
      <w:r>
        <w:rPr>
          <w:noProof/>
        </w:rPr>
        <w:t>- un contingent tarifaire de 6 060 tonnes pour la ligne tarifaire 1602.3929 (la part spécifique allouée à la Chine étant de 6 000 tonnes, celle de tous les autres pays étant de 60 tonnes), avec un taux contingentaire de 10,9 %,</w:t>
      </w:r>
    </w:p>
    <w:p>
      <w:pPr>
        <w:pStyle w:val="Text2"/>
        <w:rPr>
          <w:noProof/>
        </w:rPr>
      </w:pPr>
      <w:r>
        <w:rPr>
          <w:noProof/>
        </w:rPr>
        <w:t>- un contingent tarifaire de 660 tonnes pour la ligne tarifaire 1602.3985 (la part spécifique allouée à la Chine étant de 600 tonnes, celle de tous les autres pays étant de 60 tonnes), avec un taux contingentaire de 10,9 %,</w:t>
      </w:r>
    </w:p>
    <w:p>
      <w:pPr>
        <w:pStyle w:val="Text2"/>
        <w:rPr>
          <w:noProof/>
        </w:rPr>
      </w:pPr>
      <w:r>
        <w:rPr>
          <w:noProof/>
        </w:rPr>
        <w:t>- un contingent erga omnes de 5 000 tonnes pour la ligne tarifaire 1602.3219, avec un taux contingentaire de 8 %.</w:t>
      </w:r>
    </w:p>
    <w:p>
      <w:pPr>
        <w:pStyle w:val="Text1"/>
        <w:rPr>
          <w:rFonts w:eastAsia="Arial Unicode MS"/>
          <w:noProof/>
        </w:rPr>
      </w:pPr>
      <w:r>
        <w:rPr>
          <w:noProof/>
        </w:rPr>
        <w:t>La Commission adoptera des règlements d’exécution afin d’étendre et de gérer les contingents concernés, conformément à l’article 187, point a), du règlement portant organisation commune des marchés (OCM) [règlement (CE) nº 1308/2013].</w:t>
      </w:r>
    </w:p>
    <w:p>
      <w:pPr>
        <w:pStyle w:val="Text1"/>
        <w:rPr>
          <w:rFonts w:eastAsia="Arial Unicode MS"/>
          <w:noProof/>
        </w:rPr>
      </w:pPr>
      <w:r>
        <w:rPr>
          <w:noProof/>
        </w:rPr>
        <w:t>Ces mesures de mise en œuvre sont en cours d’élaboration parallèlement à la présente proposition.</w:t>
      </w:r>
    </w:p>
    <w:p>
      <w:pPr>
        <w:pStyle w:val="Text1"/>
        <w:rPr>
          <w:rFonts w:eastAsia="Arial Unicode MS"/>
          <w:noProof/>
        </w:rPr>
      </w:pPr>
      <w:r>
        <w:rPr>
          <w:noProof/>
        </w:rPr>
        <w:t xml:space="preserve">Après l’ouverture des contingents, l’UE et la Chine notifieront l'accord à l’Organe de règlement des différends de l'OMC en tant que solution convenue de commun accord en ce qui concerne le différend DS492.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2018/0281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de l'accord sous forme d'échange de lettres entre l’Union européenne et la République populaire de Chine dans le cadre de la procédure de règlement des différends de l’OMC relative à l’affaire DS492 - Mesures affectant les concessions tarifaires concernant certains produits à base de viande de volaille</w:t>
      </w:r>
    </w:p>
    <w:p>
      <w:pPr>
        <w:pStyle w:val="Institutionquiagit"/>
        <w:rPr>
          <w:noProof/>
        </w:rPr>
      </w:pPr>
      <w:r>
        <w:rPr>
          <w:noProof/>
        </w:rPr>
        <w:t>LE CONSEIL DE L'UNION EUROPÉENNE,</w:t>
      </w:r>
    </w:p>
    <w:p>
      <w:pPr>
        <w:rPr>
          <w:noProof/>
        </w:rPr>
      </w:pPr>
      <w:r>
        <w:rPr>
          <w:noProof/>
        </w:rPr>
        <w:t xml:space="preserve">vu le traité sur le fonctionnement de l’Union européenne, et notamment son article 207, paragraphe 4, premier alinéa, en liaison avec son article 218, paragraphe 6, point a) v), deuxième alinéa, </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 xml:space="preserve">Le 12 mars 2018, le Conseil a autorisé la Commission à ouvrir des négociations sur une solution convenue de commun accord avec la Chine dans le contexte de la procédure de règlement du différend DS492 </w:t>
      </w:r>
      <w:r>
        <w:rPr>
          <w:i/>
          <w:noProof/>
        </w:rPr>
        <w:t>Mesures affectant les concessions tarifaires concernant certains produits à base de viande de volaille</w:t>
      </w:r>
      <w:r>
        <w:rPr>
          <w:noProof/>
        </w:rPr>
        <w:t>.</w:t>
      </w:r>
    </w:p>
    <w:p>
      <w:pPr>
        <w:pStyle w:val="ManualConsidrant"/>
        <w:rPr>
          <w:noProof/>
        </w:rPr>
      </w:pPr>
      <w:r>
        <w:t>(2)</w:t>
      </w:r>
      <w:r>
        <w:tab/>
      </w:r>
      <w:r>
        <w:rPr>
          <w:noProof/>
        </w:rPr>
        <w:t>Ces négociations ont été menées à bonne fin et un accord sous forme d’échange de lettres entre l’Union européenne et la Chine a été paraphé le 18 juin 2018.</w:t>
      </w:r>
    </w:p>
    <w:p>
      <w:pPr>
        <w:pStyle w:val="ManualConsidrant"/>
        <w:rPr>
          <w:noProof/>
        </w:rPr>
      </w:pPr>
      <w:r>
        <w:t>(3)</w:t>
      </w:r>
      <w:r>
        <w:tab/>
      </w:r>
      <w:r>
        <w:rPr>
          <w:noProof/>
        </w:rPr>
        <w:t xml:space="preserve">L’accord a été signé, au nom de l’Union, le […], </w:t>
      </w:r>
      <w:r>
        <w:rPr>
          <w:noProof/>
          <w:highlight w:val="yellow"/>
        </w:rPr>
        <w:t>sous réserve de sa conclusion à une date ultérieure, conformément à la décision […] du Conseil</w:t>
      </w:r>
      <w:r>
        <w:rPr>
          <w:rStyle w:val="FootnoteReference"/>
          <w:noProof/>
          <w:highlight w:val="yellow"/>
        </w:rPr>
        <w:footnoteReference w:id="1"/>
      </w:r>
      <w:r>
        <w:rPr>
          <w:noProof/>
          <w:highlight w:val="yellow"/>
        </w:rPr>
        <w:t>.</w:t>
      </w:r>
    </w:p>
    <w:p>
      <w:pPr>
        <w:pStyle w:val="ManualConsidrant"/>
        <w:rPr>
          <w:noProof/>
        </w:rPr>
      </w:pPr>
      <w:r>
        <w:t>(4)</w:t>
      </w:r>
      <w:r>
        <w:tab/>
      </w:r>
      <w:r>
        <w:rPr>
          <w:noProof/>
        </w:rPr>
        <w:t>Il convient d'approuver l'accord au nom de l'Union européenne,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sous forme d’échange de lettres entre l’Union européenne et la Chine en ce qui concerne le différend DS492 «Union européenne — Mesures affectant les concessions tarifaires concernant certains produits à base de viande de volaille, d’autre part, est conclu.</w:t>
      </w:r>
    </w:p>
    <w:p>
      <w:pPr>
        <w:pStyle w:val="Text1"/>
        <w:ind w:left="0"/>
        <w:rPr>
          <w:noProof/>
        </w:rPr>
      </w:pPr>
      <w:r>
        <w:rPr>
          <w:noProof/>
        </w:rPr>
        <w:t>Le texte de l'accord est joint à la présente décision</w:t>
      </w:r>
    </w:p>
    <w:p>
      <w:pPr>
        <w:pStyle w:val="Titrearticle"/>
        <w:rPr>
          <w:noProof/>
        </w:rPr>
      </w:pPr>
      <w:r>
        <w:rPr>
          <w:noProof/>
        </w:rPr>
        <w:t>Article 2</w:t>
      </w:r>
    </w:p>
    <w:p>
      <w:pPr>
        <w:rPr>
          <w:noProof/>
        </w:rPr>
      </w:pPr>
      <w:r>
        <w:rPr>
          <w:noProof/>
        </w:rPr>
        <w:t>Le président du Conseil désigne la personne habilitée à procéder, au nom de l’Union, à la notification prévue dans l’accord.</w:t>
      </w:r>
    </w:p>
    <w:p>
      <w:pPr>
        <w:pStyle w:val="Titrearticle"/>
        <w:rPr>
          <w:noProof/>
        </w:rPr>
      </w:pPr>
      <w:r>
        <w:rPr>
          <w:noProof/>
        </w:rPr>
        <w:lastRenderedPageBreak/>
        <w:t>Article 3</w:t>
      </w:r>
    </w:p>
    <w:p>
      <w:pPr>
        <w:rPr>
          <w:noProof/>
        </w:rPr>
      </w:pPr>
      <w:r>
        <w:rPr>
          <w:noProof/>
        </w:rPr>
        <w:t xml:space="preserve">La présente décision entre en vigueur le jour de son adoption. Elle est publiée au </w:t>
      </w:r>
      <w:r>
        <w:rPr>
          <w:i/>
          <w:noProof/>
        </w:rPr>
        <w:t>Journal officiel de l’Union européenne</w:t>
      </w:r>
      <w:r>
        <w:rPr>
          <w:noProof/>
        </w:rPr>
        <w:t>.</w:t>
      </w:r>
    </w:p>
    <w:p>
      <w:pPr>
        <w:rPr>
          <w:i/>
          <w:noProof/>
        </w:rPr>
      </w:pPr>
      <w:r>
        <w:rPr>
          <w:noProof/>
        </w:rPr>
        <w:t xml:space="preserve">La date de l’entrée en vigueur de l’accord est publiée au </w:t>
      </w:r>
      <w:r>
        <w:rPr>
          <w:i/>
          <w:noProof/>
        </w:rPr>
        <w:t>Journal officiel de l’Union européenne</w:t>
      </w:r>
      <w:r>
        <w:rPr>
          <w:noProof/>
        </w:rPr>
        <w:t xml:space="preserve"> par le secrétariat général du Conseil.</w:t>
      </w:r>
    </w:p>
    <w:p>
      <w:pPr>
        <w:rPr>
          <w:i/>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567"/>
        <w:gridCol w:w="3884"/>
        <w:gridCol w:w="1417"/>
        <w:gridCol w:w="1276"/>
        <w:gridCol w:w="283"/>
        <w:gridCol w:w="567"/>
        <w:gridCol w:w="1134"/>
      </w:tblGrid>
      <w:tr>
        <w:trPr>
          <w:trHeight w:val="355"/>
        </w:trPr>
        <w:tc>
          <w:tcPr>
            <w:tcW w:w="7144" w:type="dxa"/>
            <w:gridSpan w:val="4"/>
            <w:vMerge w:val="restart"/>
          </w:tcPr>
          <w:p>
            <w:pPr>
              <w:spacing w:before="0" w:after="240"/>
              <w:rPr>
                <w:rFonts w:eastAsia="Times New Roman"/>
                <w:noProof/>
                <w:szCs w:val="20"/>
              </w:rPr>
            </w:pPr>
            <w:bookmarkStart w:id="1" w:name="LW_BM_COVERPAGE"/>
          </w:p>
          <w:p>
            <w:pPr>
              <w:jc w:val="center"/>
              <w:rPr>
                <w:rFonts w:eastAsia="Times New Roman"/>
                <w:b/>
                <w:noProof/>
                <w:sz w:val="40"/>
                <w:szCs w:val="20"/>
              </w:rPr>
            </w:pPr>
            <w:r>
              <w:rPr>
                <w:b/>
                <w:noProof/>
                <w:sz w:val="40"/>
              </w:rPr>
              <w:t>Annexe</w:t>
            </w:r>
          </w:p>
          <w:p>
            <w:pPr>
              <w:jc w:val="center"/>
              <w:rPr>
                <w:rFonts w:eastAsia="Times New Roman"/>
                <w:b/>
                <w:noProof/>
                <w:sz w:val="40"/>
                <w:szCs w:val="20"/>
              </w:rPr>
            </w:pPr>
            <w:r>
              <w:rPr>
                <w:b/>
                <w:noProof/>
                <w:sz w:val="40"/>
              </w:rPr>
              <w:t>FICHE FINANCIÈRE</w:t>
            </w:r>
            <w:r>
              <w:rPr>
                <w:b/>
                <w:noProof/>
                <w:color w:val="FF0000"/>
                <w:sz w:val="40"/>
              </w:rPr>
              <w:t xml:space="preserve"> </w:t>
            </w:r>
          </w:p>
        </w:tc>
        <w:tc>
          <w:tcPr>
            <w:tcW w:w="1984" w:type="dxa"/>
            <w:gridSpan w:val="3"/>
          </w:tcPr>
          <w:p>
            <w:pPr>
              <w:spacing w:before="0" w:after="0"/>
              <w:jc w:val="left"/>
              <w:rPr>
                <w:rFonts w:eastAsia="Times New Roman"/>
                <w:noProof/>
                <w:sz w:val="20"/>
                <w:szCs w:val="20"/>
              </w:rPr>
            </w:pPr>
            <w:r>
              <w:rPr>
                <w:noProof/>
                <w:sz w:val="20"/>
              </w:rPr>
              <w:t>FinancSt/18/2693597</w:t>
            </w:r>
          </w:p>
          <w:p>
            <w:pPr>
              <w:spacing w:before="0" w:after="0"/>
              <w:jc w:val="left"/>
              <w:rPr>
                <w:rFonts w:eastAsia="Times New Roman"/>
                <w:noProof/>
                <w:color w:val="0000FF"/>
                <w:sz w:val="20"/>
                <w:szCs w:val="20"/>
              </w:rPr>
            </w:pPr>
            <w:r>
              <w:rPr>
                <w:noProof/>
                <w:sz w:val="20"/>
              </w:rPr>
              <w:t>Cm/aj</w:t>
            </w:r>
            <w:r>
              <w:rPr>
                <w:rFonts w:eastAsia="Times New Roman"/>
                <w:noProof/>
                <w:sz w:val="20"/>
                <w:szCs w:val="20"/>
              </w:rPr>
              <w:br/>
            </w:r>
          </w:p>
        </w:tc>
      </w:tr>
      <w:bookmarkEnd w:id="1"/>
      <w:tr>
        <w:trPr>
          <w:trHeight w:val="355"/>
        </w:trPr>
        <w:tc>
          <w:tcPr>
            <w:tcW w:w="7144" w:type="dxa"/>
            <w:gridSpan w:val="4"/>
            <w:vMerge/>
            <w:tcBorders>
              <w:bottom w:val="nil"/>
            </w:tcBorders>
          </w:tcPr>
          <w:p>
            <w:pPr>
              <w:jc w:val="center"/>
              <w:rPr>
                <w:rFonts w:eastAsia="Times New Roman"/>
                <w:b/>
                <w:noProof/>
                <w:sz w:val="40"/>
                <w:szCs w:val="20"/>
              </w:rPr>
            </w:pPr>
          </w:p>
        </w:tc>
        <w:tc>
          <w:tcPr>
            <w:tcW w:w="1984" w:type="dxa"/>
            <w:gridSpan w:val="3"/>
          </w:tcPr>
          <w:p>
            <w:pPr>
              <w:spacing w:before="0" w:after="0"/>
              <w:jc w:val="left"/>
              <w:rPr>
                <w:rFonts w:ascii="Arial" w:eastAsia="Times New Roman" w:hAnsi="Arial"/>
                <w:i/>
                <w:noProof/>
                <w:spacing w:val="-3"/>
                <w:sz w:val="20"/>
                <w:szCs w:val="20"/>
              </w:rPr>
            </w:pPr>
            <w:r>
              <w:rPr>
                <w:rFonts w:ascii="Arial" w:hAnsi="Arial"/>
                <w:i/>
                <w:noProof/>
                <w:spacing w:val="-3"/>
                <w:sz w:val="20"/>
              </w:rPr>
              <w:t>6.146.2018.1</w:t>
            </w:r>
          </w:p>
          <w:p>
            <w:pPr>
              <w:spacing w:before="0" w:after="0"/>
              <w:jc w:val="left"/>
              <w:rPr>
                <w:rFonts w:eastAsia="Times New Roman"/>
                <w:noProof/>
                <w:color w:val="0000FF"/>
                <w:sz w:val="20"/>
                <w:szCs w:val="20"/>
              </w:rPr>
            </w:pPr>
            <w:r>
              <w:rPr>
                <w:noProof/>
                <w:sz w:val="20"/>
              </w:rPr>
              <w:t xml:space="preserve">agri.ddg1.a.2(2018)2631461 </w:t>
            </w:r>
          </w:p>
        </w:tc>
      </w:tr>
      <w:tr>
        <w:tc>
          <w:tcPr>
            <w:tcW w:w="7144" w:type="dxa"/>
            <w:gridSpan w:val="4"/>
            <w:tcBorders>
              <w:top w:val="nil"/>
            </w:tcBorders>
          </w:tcPr>
          <w:p>
            <w:pPr>
              <w:spacing w:before="0" w:after="0"/>
              <w:jc w:val="left"/>
              <w:rPr>
                <w:rFonts w:eastAsia="Times New Roman"/>
                <w:noProof/>
                <w:sz w:val="20"/>
                <w:szCs w:val="20"/>
              </w:rPr>
            </w:pPr>
          </w:p>
        </w:tc>
        <w:tc>
          <w:tcPr>
            <w:tcW w:w="1984" w:type="dxa"/>
            <w:gridSpan w:val="3"/>
          </w:tcPr>
          <w:p>
            <w:pPr>
              <w:spacing w:before="0" w:after="0"/>
              <w:jc w:val="left"/>
              <w:rPr>
                <w:rFonts w:eastAsia="Times New Roman"/>
                <w:noProof/>
                <w:color w:val="0000FF"/>
                <w:sz w:val="20"/>
                <w:szCs w:val="20"/>
              </w:rPr>
            </w:pPr>
            <w:r>
              <w:rPr>
                <w:noProof/>
                <w:sz w:val="20"/>
              </w:rPr>
              <w:t>DATE: 7.5.2018</w:t>
            </w:r>
          </w:p>
          <w:p>
            <w:pPr>
              <w:spacing w:before="0" w:after="0"/>
              <w:jc w:val="left"/>
              <w:rPr>
                <w:rFonts w:eastAsia="Times New Roman"/>
                <w:noProof/>
                <w:sz w:val="20"/>
                <w:szCs w:val="20"/>
              </w:rPr>
            </w:pPr>
          </w:p>
        </w:tc>
      </w:tr>
      <w:tr>
        <w:tc>
          <w:tcPr>
            <w:tcW w:w="567" w:type="dxa"/>
            <w:tcBorders>
              <w:right w:val="nil"/>
            </w:tcBorders>
          </w:tcPr>
          <w:p>
            <w:pPr>
              <w:spacing w:before="0" w:after="0"/>
              <w:jc w:val="left"/>
              <w:rPr>
                <w:rFonts w:eastAsia="Times New Roman"/>
                <w:noProof/>
                <w:sz w:val="20"/>
                <w:szCs w:val="20"/>
              </w:rPr>
            </w:pPr>
            <w:r>
              <w:rPr>
                <w:noProof/>
                <w:sz w:val="20"/>
              </w:rPr>
              <w:t>1.</w:t>
            </w:r>
          </w:p>
        </w:tc>
        <w:tc>
          <w:tcPr>
            <w:tcW w:w="6577" w:type="dxa"/>
            <w:gridSpan w:val="3"/>
            <w:tcBorders>
              <w:left w:val="nil"/>
              <w:right w:val="nil"/>
            </w:tcBorders>
          </w:tcPr>
          <w:p>
            <w:pPr>
              <w:spacing w:before="0" w:after="0"/>
              <w:jc w:val="left"/>
              <w:rPr>
                <w:rFonts w:eastAsia="Times New Roman"/>
                <w:noProof/>
                <w:sz w:val="20"/>
                <w:szCs w:val="20"/>
              </w:rPr>
            </w:pPr>
            <w:r>
              <w:rPr>
                <w:noProof/>
                <w:sz w:val="20"/>
              </w:rPr>
              <w:t>LIGNE BUDGÉTAIRE:</w:t>
            </w:r>
          </w:p>
          <w:p>
            <w:pPr>
              <w:spacing w:before="0" w:after="0"/>
              <w:jc w:val="left"/>
              <w:rPr>
                <w:rFonts w:eastAsia="Times New Roman"/>
                <w:noProof/>
                <w:sz w:val="20"/>
                <w:szCs w:val="20"/>
              </w:rPr>
            </w:pPr>
            <w:r>
              <w:rPr>
                <w:noProof/>
                <w:sz w:val="20"/>
              </w:rPr>
              <w:t>Chapitre 12 – Droits de douane et autres droits</w:t>
            </w:r>
          </w:p>
          <w:p>
            <w:pPr>
              <w:spacing w:before="0" w:after="0"/>
              <w:jc w:val="left"/>
              <w:rPr>
                <w:rFonts w:eastAsia="Times New Roman"/>
                <w:noProof/>
                <w:sz w:val="20"/>
                <w:szCs w:val="20"/>
              </w:rPr>
            </w:pPr>
          </w:p>
        </w:tc>
        <w:tc>
          <w:tcPr>
            <w:tcW w:w="1984" w:type="dxa"/>
            <w:gridSpan w:val="3"/>
            <w:tcBorders>
              <w:left w:val="nil"/>
            </w:tcBorders>
          </w:tcPr>
          <w:p>
            <w:pPr>
              <w:spacing w:before="0" w:after="0"/>
              <w:jc w:val="left"/>
              <w:rPr>
                <w:rFonts w:eastAsia="Times New Roman"/>
                <w:noProof/>
                <w:sz w:val="20"/>
                <w:szCs w:val="20"/>
              </w:rPr>
            </w:pPr>
            <w:r>
              <w:rPr>
                <w:noProof/>
                <w:sz w:val="20"/>
              </w:rPr>
              <w:t>CRÉDITS:</w:t>
            </w:r>
          </w:p>
          <w:p>
            <w:pPr>
              <w:spacing w:before="0" w:after="0"/>
              <w:jc w:val="left"/>
              <w:rPr>
                <w:rFonts w:eastAsia="Times New Roman"/>
                <w:noProof/>
                <w:sz w:val="20"/>
                <w:szCs w:val="20"/>
              </w:rPr>
            </w:pPr>
            <w:r>
              <w:rPr>
                <w:noProof/>
                <w:sz w:val="20"/>
              </w:rPr>
              <w:t>22 844 millions d'EUR</w:t>
            </w:r>
          </w:p>
          <w:p>
            <w:pPr>
              <w:spacing w:before="0" w:after="0"/>
              <w:jc w:val="left"/>
              <w:rPr>
                <w:rFonts w:eastAsia="Times New Roman"/>
                <w:noProof/>
                <w:sz w:val="20"/>
                <w:szCs w:val="20"/>
              </w:rPr>
            </w:pPr>
            <w:r>
              <w:rPr>
                <w:noProof/>
                <w:sz w:val="20"/>
              </w:rPr>
              <w:t xml:space="preserve"> </w:t>
            </w:r>
          </w:p>
        </w:tc>
      </w:tr>
      <w:tr>
        <w:tc>
          <w:tcPr>
            <w:tcW w:w="567" w:type="dxa"/>
            <w:tcBorders>
              <w:bottom w:val="nil"/>
              <w:right w:val="nil"/>
            </w:tcBorders>
          </w:tcPr>
          <w:p>
            <w:pPr>
              <w:spacing w:before="0" w:after="0"/>
              <w:jc w:val="left"/>
              <w:rPr>
                <w:rFonts w:eastAsia="Times New Roman"/>
                <w:noProof/>
                <w:sz w:val="20"/>
                <w:szCs w:val="20"/>
              </w:rPr>
            </w:pPr>
            <w:r>
              <w:rPr>
                <w:noProof/>
                <w:sz w:val="20"/>
              </w:rPr>
              <w:t>2.</w:t>
            </w:r>
          </w:p>
        </w:tc>
        <w:tc>
          <w:tcPr>
            <w:tcW w:w="8561" w:type="dxa"/>
            <w:gridSpan w:val="6"/>
            <w:tcBorders>
              <w:left w:val="nil"/>
            </w:tcBorders>
          </w:tcPr>
          <w:p>
            <w:pPr>
              <w:spacing w:before="0" w:after="0"/>
              <w:jc w:val="left"/>
              <w:rPr>
                <w:rFonts w:eastAsia="Times New Roman"/>
                <w:b/>
                <w:noProof/>
                <w:sz w:val="20"/>
                <w:szCs w:val="20"/>
              </w:rPr>
            </w:pPr>
            <w:r>
              <w:rPr>
                <w:noProof/>
                <w:sz w:val="20"/>
              </w:rPr>
              <w:t>INTITULÉ DE LA MESURE: Proposition de DÉCISION DU CONSEIL relative à la conclusion, au nom de l'Union européenne, de l'accord sous forme d'échange de lettres entre l’Union européenne et la République populaire de Chine dans le cadre de la procédure de règlement des différends de l’OMC relative à l’affaire DS492 - Mesures affectant les concessions tarifaires concernant certains produits à base de viande de volaille</w:t>
            </w:r>
          </w:p>
          <w:p>
            <w:pPr>
              <w:spacing w:before="0" w:after="0"/>
              <w:jc w:val="left"/>
              <w:rPr>
                <w:rFonts w:eastAsia="Times New Roman"/>
                <w:noProof/>
                <w:sz w:val="20"/>
                <w:szCs w:val="20"/>
              </w:rPr>
            </w:pPr>
          </w:p>
          <w:p>
            <w:pPr>
              <w:spacing w:before="0" w:after="0"/>
              <w:jc w:val="left"/>
              <w:rPr>
                <w:rFonts w:eastAsia="Times New Roman"/>
                <w:noProof/>
                <w:sz w:val="20"/>
                <w:szCs w:val="20"/>
              </w:rPr>
            </w:pPr>
          </w:p>
        </w:tc>
      </w:tr>
      <w:tr>
        <w:tc>
          <w:tcPr>
            <w:tcW w:w="567" w:type="dxa"/>
            <w:tcBorders>
              <w:bottom w:val="nil"/>
              <w:right w:val="nil"/>
            </w:tcBorders>
          </w:tcPr>
          <w:p>
            <w:pPr>
              <w:spacing w:before="0" w:after="0"/>
              <w:jc w:val="left"/>
              <w:rPr>
                <w:rFonts w:eastAsia="Times New Roman"/>
                <w:noProof/>
                <w:sz w:val="20"/>
                <w:szCs w:val="20"/>
              </w:rPr>
            </w:pPr>
            <w:r>
              <w:rPr>
                <w:noProof/>
                <w:sz w:val="20"/>
              </w:rPr>
              <w:t>3.</w:t>
            </w:r>
          </w:p>
        </w:tc>
        <w:tc>
          <w:tcPr>
            <w:tcW w:w="8561" w:type="dxa"/>
            <w:gridSpan w:val="6"/>
            <w:tcBorders>
              <w:left w:val="nil"/>
            </w:tcBorders>
          </w:tcPr>
          <w:p>
            <w:pPr>
              <w:spacing w:before="0" w:after="0"/>
              <w:jc w:val="left"/>
              <w:rPr>
                <w:rFonts w:eastAsia="Times New Roman"/>
                <w:noProof/>
                <w:sz w:val="20"/>
                <w:szCs w:val="20"/>
              </w:rPr>
            </w:pPr>
            <w:r>
              <w:rPr>
                <w:noProof/>
                <w:sz w:val="20"/>
              </w:rPr>
              <w:t xml:space="preserve">BASE JURIDIQUE: Traité sur le fonctionnement de l’Union européenne (TFUE), et notamment son article 207, en liaison avec son article 218, paragraphe 5. </w:t>
            </w:r>
          </w:p>
        </w:tc>
      </w:tr>
      <w:tr>
        <w:tc>
          <w:tcPr>
            <w:tcW w:w="567" w:type="dxa"/>
            <w:tcBorders>
              <w:right w:val="nil"/>
            </w:tcBorders>
          </w:tcPr>
          <w:p>
            <w:pPr>
              <w:spacing w:before="0" w:after="0"/>
              <w:jc w:val="left"/>
              <w:rPr>
                <w:rFonts w:eastAsia="Times New Roman"/>
                <w:noProof/>
                <w:sz w:val="20"/>
                <w:szCs w:val="20"/>
              </w:rPr>
            </w:pPr>
            <w:r>
              <w:rPr>
                <w:noProof/>
                <w:sz w:val="20"/>
              </w:rPr>
              <w:t>4.</w:t>
            </w:r>
          </w:p>
        </w:tc>
        <w:tc>
          <w:tcPr>
            <w:tcW w:w="8561" w:type="dxa"/>
            <w:gridSpan w:val="6"/>
            <w:tcBorders>
              <w:left w:val="nil"/>
            </w:tcBorders>
          </w:tcPr>
          <w:p>
            <w:pPr>
              <w:spacing w:before="0" w:after="0"/>
              <w:jc w:val="left"/>
              <w:rPr>
                <w:rFonts w:eastAsia="Times New Roman"/>
                <w:noProof/>
                <w:sz w:val="20"/>
                <w:szCs w:val="20"/>
              </w:rPr>
            </w:pPr>
            <w:r>
              <w:rPr>
                <w:noProof/>
                <w:sz w:val="20"/>
              </w:rPr>
              <w:t>OBJECTIFS DE LA MESURE: ouvrir des contingents tarifaires pour certains produits à base de viande de volaille avec l’attribution de quantités spécifiques à la Chine et à tous les autres pays, suivant la procédure de règlement du différend DS492</w:t>
            </w:r>
          </w:p>
        </w:tc>
      </w:tr>
      <w:tr>
        <w:tc>
          <w:tcPr>
            <w:tcW w:w="567" w:type="dxa"/>
            <w:tcBorders>
              <w:bottom w:val="nil"/>
              <w:right w:val="nil"/>
            </w:tcBorders>
          </w:tcPr>
          <w:p>
            <w:pPr>
              <w:spacing w:before="0" w:after="0"/>
              <w:jc w:val="left"/>
              <w:rPr>
                <w:rFonts w:eastAsia="Times New Roman"/>
                <w:noProof/>
                <w:sz w:val="20"/>
                <w:szCs w:val="20"/>
              </w:rPr>
            </w:pPr>
            <w:r>
              <w:rPr>
                <w:noProof/>
                <w:sz w:val="20"/>
              </w:rPr>
              <w:t>5.</w:t>
            </w:r>
          </w:p>
        </w:tc>
        <w:tc>
          <w:tcPr>
            <w:tcW w:w="3884" w:type="dxa"/>
            <w:tcBorders>
              <w:left w:val="nil"/>
            </w:tcBorders>
          </w:tcPr>
          <w:p>
            <w:pPr>
              <w:spacing w:before="0" w:after="0"/>
              <w:jc w:val="left"/>
              <w:rPr>
                <w:rFonts w:eastAsia="Times New Roman"/>
                <w:noProof/>
                <w:sz w:val="20"/>
                <w:szCs w:val="20"/>
              </w:rPr>
            </w:pPr>
            <w:r>
              <w:rPr>
                <w:noProof/>
                <w:sz w:val="20"/>
              </w:rPr>
              <w:t>INCIDENCES FINANCIÈRES</w:t>
            </w:r>
          </w:p>
        </w:tc>
        <w:tc>
          <w:tcPr>
            <w:tcW w:w="1417" w:type="dxa"/>
          </w:tcPr>
          <w:p>
            <w:pPr>
              <w:spacing w:before="0" w:after="0"/>
              <w:jc w:val="center"/>
              <w:rPr>
                <w:rFonts w:eastAsia="Times New Roman"/>
                <w:noProof/>
                <w:sz w:val="20"/>
                <w:szCs w:val="20"/>
              </w:rPr>
            </w:pPr>
            <w:r>
              <w:rPr>
                <w:noProof/>
                <w:sz w:val="20"/>
              </w:rPr>
              <w:t>EXERCICE EN COURS</w:t>
            </w:r>
            <w:r>
              <w:rPr>
                <w:rFonts w:eastAsia="Times New Roman"/>
                <w:noProof/>
                <w:sz w:val="20"/>
                <w:szCs w:val="20"/>
              </w:rPr>
              <w:br/>
            </w:r>
            <w:r>
              <w:rPr>
                <w:noProof/>
                <w:sz w:val="20"/>
              </w:rPr>
              <w:t>2018</w:t>
            </w:r>
            <w:r>
              <w:rPr>
                <w:rFonts w:eastAsia="Times New Roman"/>
                <w:noProof/>
                <w:sz w:val="20"/>
                <w:szCs w:val="20"/>
              </w:rPr>
              <w:br/>
            </w:r>
            <w:r>
              <w:rPr>
                <w:noProof/>
                <w:sz w:val="20"/>
              </w:rPr>
              <w:t>(Mio EUR)</w:t>
            </w:r>
          </w:p>
        </w:tc>
        <w:tc>
          <w:tcPr>
            <w:tcW w:w="1559" w:type="dxa"/>
            <w:gridSpan w:val="2"/>
          </w:tcPr>
          <w:p>
            <w:pPr>
              <w:spacing w:before="0" w:after="0"/>
              <w:jc w:val="center"/>
              <w:rPr>
                <w:rFonts w:eastAsia="Times New Roman"/>
                <w:noProof/>
                <w:sz w:val="20"/>
                <w:szCs w:val="20"/>
              </w:rPr>
            </w:pPr>
            <w:r>
              <w:rPr>
                <w:noProof/>
                <w:sz w:val="20"/>
              </w:rPr>
              <w:t>EXERCICE FINANCIER</w:t>
            </w:r>
          </w:p>
          <w:p>
            <w:pPr>
              <w:spacing w:before="0" w:after="0"/>
              <w:jc w:val="center"/>
              <w:rPr>
                <w:rFonts w:eastAsia="Times New Roman"/>
                <w:noProof/>
                <w:sz w:val="20"/>
                <w:szCs w:val="20"/>
              </w:rPr>
            </w:pPr>
            <w:r>
              <w:rPr>
                <w:noProof/>
                <w:sz w:val="20"/>
              </w:rPr>
              <w:t>2019</w:t>
            </w:r>
          </w:p>
          <w:p>
            <w:pPr>
              <w:spacing w:before="0" w:after="0"/>
              <w:jc w:val="center"/>
              <w:rPr>
                <w:rFonts w:eastAsia="Times New Roman"/>
                <w:noProof/>
                <w:sz w:val="20"/>
                <w:szCs w:val="20"/>
              </w:rPr>
            </w:pPr>
            <w:r>
              <w:rPr>
                <w:noProof/>
                <w:sz w:val="20"/>
              </w:rPr>
              <w:t>(Mio EUR)</w:t>
            </w:r>
          </w:p>
        </w:tc>
        <w:tc>
          <w:tcPr>
            <w:tcW w:w="1701" w:type="dxa"/>
            <w:gridSpan w:val="2"/>
          </w:tcPr>
          <w:p>
            <w:pPr>
              <w:spacing w:before="0" w:after="0"/>
              <w:jc w:val="center"/>
              <w:rPr>
                <w:rFonts w:eastAsia="Times New Roman"/>
                <w:noProof/>
                <w:sz w:val="20"/>
                <w:szCs w:val="20"/>
              </w:rPr>
            </w:pPr>
            <w:r>
              <w:rPr>
                <w:noProof/>
                <w:sz w:val="20"/>
              </w:rPr>
              <w:t>EXERCICES SUIVANTS</w:t>
            </w:r>
          </w:p>
          <w:p>
            <w:pPr>
              <w:spacing w:before="0" w:after="0"/>
              <w:jc w:val="center"/>
              <w:rPr>
                <w:rFonts w:eastAsia="Times New Roman"/>
                <w:noProof/>
                <w:sz w:val="20"/>
                <w:szCs w:val="20"/>
              </w:rPr>
            </w:pPr>
            <w:r>
              <w:rPr>
                <w:noProof/>
                <w:sz w:val="20"/>
              </w:rPr>
              <w:t>2020 et suivants</w:t>
            </w:r>
          </w:p>
          <w:p>
            <w:pPr>
              <w:spacing w:before="0" w:after="0"/>
              <w:jc w:val="center"/>
              <w:rPr>
                <w:rFonts w:eastAsia="Times New Roman"/>
                <w:noProof/>
                <w:sz w:val="20"/>
                <w:szCs w:val="20"/>
              </w:rPr>
            </w:pPr>
            <w:r>
              <w:rPr>
                <w:noProof/>
                <w:sz w:val="20"/>
              </w:rPr>
              <w:t>(Mio EUR)</w:t>
            </w:r>
          </w:p>
        </w:tc>
      </w:tr>
      <w:tr>
        <w:tc>
          <w:tcPr>
            <w:tcW w:w="567" w:type="dxa"/>
            <w:tcBorders>
              <w:bottom w:val="nil"/>
              <w:right w:val="nil"/>
            </w:tcBorders>
          </w:tcPr>
          <w:p>
            <w:pPr>
              <w:spacing w:before="0" w:after="0"/>
              <w:jc w:val="left"/>
              <w:rPr>
                <w:rFonts w:eastAsia="Times New Roman"/>
                <w:noProof/>
                <w:sz w:val="20"/>
                <w:szCs w:val="20"/>
              </w:rPr>
            </w:pPr>
            <w:r>
              <w:rPr>
                <w:noProof/>
                <w:sz w:val="20"/>
              </w:rPr>
              <w:t>5.0</w:t>
            </w:r>
          </w:p>
        </w:tc>
        <w:tc>
          <w:tcPr>
            <w:tcW w:w="3884" w:type="dxa"/>
            <w:tcBorders>
              <w:left w:val="nil"/>
            </w:tcBorders>
          </w:tcPr>
          <w:p>
            <w:pPr>
              <w:spacing w:before="0" w:after="0"/>
              <w:jc w:val="left"/>
              <w:rPr>
                <w:rFonts w:eastAsia="Times New Roman"/>
                <w:noProof/>
                <w:sz w:val="20"/>
                <w:szCs w:val="20"/>
              </w:rPr>
            </w:pPr>
            <w:r>
              <w:rPr>
                <w:noProof/>
                <w:sz w:val="20"/>
              </w:rPr>
              <w:t>DÉPENSES</w:t>
            </w:r>
          </w:p>
          <w:p>
            <w:pPr>
              <w:spacing w:before="0" w:after="0"/>
              <w:jc w:val="left"/>
              <w:rPr>
                <w:rFonts w:eastAsia="Times New Roman"/>
                <w:noProof/>
                <w:sz w:val="20"/>
                <w:szCs w:val="20"/>
              </w:rPr>
            </w:pPr>
            <w:r>
              <w:rPr>
                <w:noProof/>
                <w:sz w:val="20"/>
              </w:rPr>
              <w:t>-</w:t>
            </w:r>
            <w:r>
              <w:rPr>
                <w:noProof/>
              </w:rPr>
              <w:tab/>
            </w:r>
            <w:r>
              <w:rPr>
                <w:noProof/>
                <w:sz w:val="20"/>
              </w:rPr>
              <w:t>À LA CHARGE DU BUDGET DE L’UE</w:t>
            </w:r>
            <w:r>
              <w:rPr>
                <w:rFonts w:eastAsia="Times New Roman"/>
                <w:noProof/>
                <w:sz w:val="20"/>
                <w:szCs w:val="20"/>
              </w:rPr>
              <w:br/>
            </w:r>
            <w:r>
              <w:rPr>
                <w:noProof/>
                <w:sz w:val="20"/>
              </w:rPr>
              <w:t>(RESTITUTIONS/INTERVENTIONS)</w:t>
            </w:r>
          </w:p>
          <w:p>
            <w:pPr>
              <w:spacing w:before="0" w:after="0"/>
              <w:jc w:val="left"/>
              <w:rPr>
                <w:rFonts w:eastAsia="Times New Roman"/>
                <w:noProof/>
                <w:sz w:val="20"/>
                <w:szCs w:val="20"/>
              </w:rPr>
            </w:pPr>
            <w:r>
              <w:rPr>
                <w:noProof/>
                <w:sz w:val="20"/>
              </w:rPr>
              <w:t>-</w:t>
            </w:r>
            <w:r>
              <w:rPr>
                <w:noProof/>
              </w:rPr>
              <w:tab/>
            </w:r>
            <w:r>
              <w:rPr>
                <w:noProof/>
                <w:sz w:val="20"/>
              </w:rPr>
              <w:t>DES BUDGETS NATIONAUX</w:t>
            </w:r>
          </w:p>
          <w:p>
            <w:pPr>
              <w:spacing w:before="0" w:after="0"/>
              <w:jc w:val="left"/>
              <w:rPr>
                <w:rFonts w:eastAsia="Times New Roman"/>
                <w:noProof/>
                <w:sz w:val="20"/>
                <w:szCs w:val="20"/>
              </w:rPr>
            </w:pPr>
            <w:r>
              <w:rPr>
                <w:noProof/>
                <w:sz w:val="20"/>
              </w:rPr>
              <w:t>-</w:t>
            </w:r>
            <w:r>
              <w:rPr>
                <w:noProof/>
              </w:rPr>
              <w:tab/>
            </w:r>
            <w:r>
              <w:rPr>
                <w:noProof/>
                <w:sz w:val="20"/>
              </w:rPr>
              <w:t>D'AUTRES SECTEURS</w:t>
            </w:r>
          </w:p>
        </w:tc>
        <w:tc>
          <w:tcPr>
            <w:tcW w:w="1417" w:type="dxa"/>
          </w:tcPr>
          <w:p>
            <w:pPr>
              <w:spacing w:before="0" w:after="0"/>
              <w:jc w:val="center"/>
              <w:rPr>
                <w:rFonts w:eastAsia="Times New Roman"/>
                <w:noProof/>
                <w:sz w:val="20"/>
                <w:szCs w:val="20"/>
              </w:rPr>
            </w:pPr>
            <w:r>
              <w:rPr>
                <w:noProof/>
                <w:sz w:val="20"/>
              </w:rPr>
              <w:t>Sans objet.</w:t>
            </w:r>
          </w:p>
        </w:tc>
        <w:tc>
          <w:tcPr>
            <w:tcW w:w="1559" w:type="dxa"/>
            <w:gridSpan w:val="2"/>
          </w:tcPr>
          <w:p>
            <w:pPr>
              <w:spacing w:before="0" w:after="0"/>
              <w:jc w:val="center"/>
              <w:rPr>
                <w:rFonts w:eastAsia="Times New Roman"/>
                <w:noProof/>
                <w:sz w:val="20"/>
                <w:szCs w:val="20"/>
              </w:rPr>
            </w:pPr>
            <w:r>
              <w:rPr>
                <w:noProof/>
                <w:sz w:val="20"/>
              </w:rPr>
              <w:t>-</w:t>
            </w:r>
          </w:p>
        </w:tc>
        <w:tc>
          <w:tcPr>
            <w:tcW w:w="1701" w:type="dxa"/>
            <w:gridSpan w:val="2"/>
          </w:tcPr>
          <w:p>
            <w:pPr>
              <w:spacing w:before="0" w:after="0"/>
              <w:jc w:val="center"/>
              <w:rPr>
                <w:rFonts w:eastAsia="Times New Roman"/>
                <w:noProof/>
                <w:sz w:val="20"/>
                <w:szCs w:val="20"/>
              </w:rPr>
            </w:pPr>
            <w:r>
              <w:rPr>
                <w:noProof/>
                <w:sz w:val="20"/>
              </w:rPr>
              <w:t>-</w:t>
            </w:r>
          </w:p>
        </w:tc>
      </w:tr>
      <w:tr>
        <w:tc>
          <w:tcPr>
            <w:tcW w:w="567" w:type="dxa"/>
            <w:tcBorders>
              <w:right w:val="nil"/>
            </w:tcBorders>
          </w:tcPr>
          <w:p>
            <w:pPr>
              <w:spacing w:before="0" w:after="0"/>
              <w:jc w:val="left"/>
              <w:rPr>
                <w:rFonts w:eastAsia="Times New Roman"/>
                <w:noProof/>
                <w:sz w:val="20"/>
                <w:szCs w:val="20"/>
              </w:rPr>
            </w:pPr>
            <w:r>
              <w:rPr>
                <w:noProof/>
                <w:sz w:val="20"/>
              </w:rPr>
              <w:t>5.1</w:t>
            </w:r>
          </w:p>
        </w:tc>
        <w:tc>
          <w:tcPr>
            <w:tcW w:w="3884" w:type="dxa"/>
            <w:tcBorders>
              <w:left w:val="nil"/>
            </w:tcBorders>
          </w:tcPr>
          <w:p>
            <w:pPr>
              <w:spacing w:before="0" w:after="0"/>
              <w:jc w:val="left"/>
              <w:rPr>
                <w:rFonts w:eastAsia="Times New Roman"/>
                <w:noProof/>
                <w:sz w:val="20"/>
                <w:szCs w:val="20"/>
              </w:rPr>
            </w:pPr>
            <w:r>
              <w:rPr>
                <w:noProof/>
                <w:sz w:val="20"/>
              </w:rPr>
              <w:t>RECETTES</w:t>
            </w:r>
          </w:p>
          <w:p>
            <w:pPr>
              <w:spacing w:before="0" w:after="0"/>
              <w:jc w:val="left"/>
              <w:rPr>
                <w:rFonts w:eastAsia="Times New Roman"/>
                <w:noProof/>
                <w:sz w:val="20"/>
                <w:szCs w:val="20"/>
              </w:rPr>
            </w:pPr>
            <w:r>
              <w:rPr>
                <w:noProof/>
                <w:sz w:val="20"/>
              </w:rPr>
              <w:t>-</w:t>
            </w:r>
            <w:r>
              <w:rPr>
                <w:noProof/>
              </w:rPr>
              <w:tab/>
            </w:r>
            <w:r>
              <w:rPr>
                <w:noProof/>
                <w:sz w:val="20"/>
              </w:rPr>
              <w:t xml:space="preserve">RESSOURCES PROPRES DE L’UE </w:t>
            </w:r>
            <w:r>
              <w:rPr>
                <w:rFonts w:eastAsia="Times New Roman"/>
                <w:noProof/>
                <w:sz w:val="20"/>
                <w:szCs w:val="20"/>
              </w:rPr>
              <w:br/>
            </w:r>
            <w:r>
              <w:rPr>
                <w:noProof/>
                <w:sz w:val="20"/>
              </w:rPr>
              <w:t>(PRÉLÈVEMENTS/DROITS DE DOUANE)</w:t>
            </w:r>
          </w:p>
          <w:p>
            <w:pPr>
              <w:spacing w:before="0" w:after="0"/>
              <w:jc w:val="left"/>
              <w:rPr>
                <w:rFonts w:eastAsia="Times New Roman"/>
                <w:noProof/>
                <w:sz w:val="20"/>
                <w:szCs w:val="20"/>
              </w:rPr>
            </w:pPr>
            <w:r>
              <w:rPr>
                <w:noProof/>
                <w:sz w:val="20"/>
              </w:rPr>
              <w:t>-</w:t>
            </w:r>
            <w:r>
              <w:rPr>
                <w:noProof/>
              </w:rPr>
              <w:tab/>
            </w:r>
            <w:r>
              <w:rPr>
                <w:noProof/>
                <w:sz w:val="20"/>
              </w:rPr>
              <w:t>SUR LE PLAN NATIONAL</w:t>
            </w:r>
          </w:p>
        </w:tc>
        <w:tc>
          <w:tcPr>
            <w:tcW w:w="1417" w:type="dxa"/>
          </w:tcPr>
          <w:p>
            <w:pPr>
              <w:spacing w:before="0" w:after="0"/>
              <w:jc w:val="center"/>
              <w:rPr>
                <w:rFonts w:eastAsia="Times New Roman"/>
                <w:noProof/>
                <w:sz w:val="20"/>
                <w:szCs w:val="20"/>
              </w:rPr>
            </w:pPr>
            <w:r>
              <w:rPr>
                <w:noProof/>
                <w:sz w:val="20"/>
              </w:rPr>
              <w:t>-</w:t>
            </w:r>
          </w:p>
        </w:tc>
        <w:tc>
          <w:tcPr>
            <w:tcW w:w="1559" w:type="dxa"/>
            <w:gridSpan w:val="2"/>
          </w:tcPr>
          <w:p>
            <w:pPr>
              <w:spacing w:before="0" w:after="0"/>
              <w:jc w:val="center"/>
              <w:rPr>
                <w:rFonts w:eastAsia="Times New Roman"/>
                <w:noProof/>
                <w:sz w:val="20"/>
                <w:szCs w:val="20"/>
              </w:rPr>
            </w:pPr>
            <w:r>
              <w:rPr>
                <w:noProof/>
                <w:sz w:val="20"/>
              </w:rPr>
              <w:t>-8,2</w:t>
            </w:r>
          </w:p>
        </w:tc>
        <w:tc>
          <w:tcPr>
            <w:tcW w:w="1701" w:type="dxa"/>
            <w:gridSpan w:val="2"/>
          </w:tcPr>
          <w:p>
            <w:pPr>
              <w:spacing w:before="0" w:after="0"/>
              <w:jc w:val="center"/>
              <w:rPr>
                <w:rFonts w:eastAsia="Times New Roman"/>
                <w:noProof/>
                <w:sz w:val="20"/>
                <w:szCs w:val="20"/>
              </w:rPr>
            </w:pPr>
            <w:r>
              <w:rPr>
                <w:noProof/>
                <w:sz w:val="20"/>
              </w:rPr>
              <w:t>-8,2</w:t>
            </w:r>
          </w:p>
        </w:tc>
      </w:tr>
      <w:tr>
        <w:tc>
          <w:tcPr>
            <w:tcW w:w="567" w:type="dxa"/>
            <w:tcBorders>
              <w:right w:val="nil"/>
            </w:tcBorders>
          </w:tcPr>
          <w:p>
            <w:pPr>
              <w:spacing w:before="0" w:after="0"/>
              <w:jc w:val="left"/>
              <w:rPr>
                <w:rFonts w:eastAsia="Times New Roman"/>
                <w:noProof/>
                <w:sz w:val="20"/>
                <w:szCs w:val="20"/>
              </w:rPr>
            </w:pPr>
            <w:r>
              <w:rPr>
                <w:noProof/>
                <w:sz w:val="20"/>
              </w:rPr>
              <w:t>5.2</w:t>
            </w:r>
          </w:p>
        </w:tc>
        <w:tc>
          <w:tcPr>
            <w:tcW w:w="8561" w:type="dxa"/>
            <w:gridSpan w:val="6"/>
            <w:tcBorders>
              <w:left w:val="nil"/>
            </w:tcBorders>
          </w:tcPr>
          <w:p>
            <w:pPr>
              <w:spacing w:before="60" w:after="60"/>
              <w:jc w:val="left"/>
              <w:rPr>
                <w:rFonts w:eastAsia="Times New Roman"/>
                <w:noProof/>
                <w:sz w:val="20"/>
                <w:szCs w:val="20"/>
              </w:rPr>
            </w:pPr>
            <w:r>
              <w:rPr>
                <w:noProof/>
                <w:sz w:val="20"/>
              </w:rPr>
              <w:t>MÉTHODE DE CALCUL: voir observations</w:t>
            </w:r>
          </w:p>
        </w:tc>
      </w:tr>
      <w:tr>
        <w:tc>
          <w:tcPr>
            <w:tcW w:w="567" w:type="dxa"/>
            <w:tcBorders>
              <w:bottom w:val="nil"/>
              <w:right w:val="nil"/>
            </w:tcBorders>
          </w:tcPr>
          <w:p>
            <w:pPr>
              <w:spacing w:before="0" w:after="0"/>
              <w:jc w:val="left"/>
              <w:rPr>
                <w:rFonts w:eastAsia="Times New Roman"/>
                <w:noProof/>
                <w:sz w:val="20"/>
                <w:szCs w:val="20"/>
              </w:rPr>
            </w:pPr>
            <w:r>
              <w:rPr>
                <w:noProof/>
                <w:sz w:val="20"/>
              </w:rPr>
              <w:t>6.0</w:t>
            </w:r>
          </w:p>
        </w:tc>
        <w:tc>
          <w:tcPr>
            <w:tcW w:w="7427" w:type="dxa"/>
            <w:gridSpan w:val="5"/>
            <w:tcBorders>
              <w:left w:val="nil"/>
              <w:right w:val="nil"/>
            </w:tcBorders>
          </w:tcPr>
          <w:p>
            <w:pPr>
              <w:spacing w:before="60" w:after="60"/>
              <w:jc w:val="left"/>
              <w:rPr>
                <w:rFonts w:eastAsia="Times New Roman"/>
                <w:noProof/>
                <w:sz w:val="20"/>
                <w:szCs w:val="20"/>
              </w:rPr>
            </w:pPr>
            <w:r>
              <w:rPr>
                <w:noProof/>
                <w:sz w:val="20"/>
              </w:rPr>
              <w:t>FINANCEMENT POSSIBLE PAR CRÉDITS INSCRITS AU CHAPITRE CONCERNÉ DU BUDGET EN COURS D'EXÉCUTION</w:t>
            </w:r>
          </w:p>
        </w:tc>
        <w:tc>
          <w:tcPr>
            <w:tcW w:w="1134" w:type="dxa"/>
            <w:tcBorders>
              <w:left w:val="nil"/>
              <w:bottom w:val="nil"/>
            </w:tcBorders>
          </w:tcPr>
          <w:p>
            <w:pPr>
              <w:spacing w:before="0" w:after="0"/>
              <w:jc w:val="center"/>
              <w:rPr>
                <w:rFonts w:eastAsia="Times New Roman"/>
                <w:noProof/>
                <w:sz w:val="20"/>
                <w:szCs w:val="20"/>
              </w:rPr>
            </w:pPr>
            <w:r>
              <w:rPr>
                <w:noProof/>
                <w:sz w:val="20"/>
              </w:rPr>
              <w:t xml:space="preserve">OUI </w:t>
            </w:r>
            <w:r>
              <w:rPr>
                <w:strike/>
                <w:noProof/>
                <w:sz w:val="20"/>
              </w:rPr>
              <w:t>NON</w:t>
            </w:r>
          </w:p>
        </w:tc>
      </w:tr>
      <w:tr>
        <w:tc>
          <w:tcPr>
            <w:tcW w:w="567" w:type="dxa"/>
            <w:tcBorders>
              <w:bottom w:val="nil"/>
              <w:right w:val="nil"/>
            </w:tcBorders>
          </w:tcPr>
          <w:p>
            <w:pPr>
              <w:spacing w:before="0" w:after="0"/>
              <w:jc w:val="left"/>
              <w:rPr>
                <w:rFonts w:eastAsia="Times New Roman"/>
                <w:noProof/>
                <w:sz w:val="20"/>
                <w:szCs w:val="20"/>
              </w:rPr>
            </w:pPr>
            <w:r>
              <w:rPr>
                <w:noProof/>
                <w:sz w:val="20"/>
              </w:rPr>
              <w:t>6.1</w:t>
            </w:r>
          </w:p>
        </w:tc>
        <w:tc>
          <w:tcPr>
            <w:tcW w:w="7427" w:type="dxa"/>
            <w:gridSpan w:val="5"/>
            <w:tcBorders>
              <w:left w:val="nil"/>
              <w:right w:val="nil"/>
            </w:tcBorders>
          </w:tcPr>
          <w:p>
            <w:pPr>
              <w:spacing w:before="60" w:after="60"/>
              <w:jc w:val="left"/>
              <w:rPr>
                <w:rFonts w:eastAsia="Times New Roman"/>
                <w:noProof/>
                <w:sz w:val="20"/>
                <w:szCs w:val="20"/>
              </w:rPr>
            </w:pPr>
            <w:r>
              <w:rPr>
                <w:noProof/>
                <w:sz w:val="20"/>
              </w:rPr>
              <w:t>FINANCEMENT POSSIBLE PAR VIREMENT ENTRE CHAPITRES DU BUDGET EN COURS D'EXÉCUTION</w:t>
            </w:r>
          </w:p>
        </w:tc>
        <w:tc>
          <w:tcPr>
            <w:tcW w:w="1134" w:type="dxa"/>
            <w:tcBorders>
              <w:left w:val="nil"/>
              <w:bottom w:val="nil"/>
            </w:tcBorders>
          </w:tcPr>
          <w:p>
            <w:pPr>
              <w:spacing w:before="0" w:after="0"/>
              <w:jc w:val="center"/>
              <w:rPr>
                <w:rFonts w:eastAsia="Times New Roman"/>
                <w:strike/>
                <w:noProof/>
                <w:sz w:val="20"/>
                <w:szCs w:val="20"/>
              </w:rPr>
            </w:pPr>
            <w:r>
              <w:rPr>
                <w:strike/>
                <w:noProof/>
                <w:sz w:val="20"/>
              </w:rPr>
              <w:t>OUI NON</w:t>
            </w:r>
          </w:p>
        </w:tc>
      </w:tr>
      <w:tr>
        <w:tc>
          <w:tcPr>
            <w:tcW w:w="567" w:type="dxa"/>
            <w:tcBorders>
              <w:bottom w:val="nil"/>
              <w:right w:val="nil"/>
            </w:tcBorders>
          </w:tcPr>
          <w:p>
            <w:pPr>
              <w:spacing w:before="0" w:after="0"/>
              <w:jc w:val="left"/>
              <w:rPr>
                <w:rFonts w:eastAsia="Times New Roman"/>
                <w:noProof/>
                <w:sz w:val="20"/>
                <w:szCs w:val="20"/>
              </w:rPr>
            </w:pPr>
            <w:r>
              <w:rPr>
                <w:noProof/>
                <w:sz w:val="20"/>
              </w:rPr>
              <w:t>6.2</w:t>
            </w:r>
          </w:p>
        </w:tc>
        <w:tc>
          <w:tcPr>
            <w:tcW w:w="7427" w:type="dxa"/>
            <w:gridSpan w:val="5"/>
            <w:tcBorders>
              <w:left w:val="nil"/>
              <w:right w:val="nil"/>
            </w:tcBorders>
          </w:tcPr>
          <w:p>
            <w:pPr>
              <w:spacing w:before="60" w:after="60"/>
              <w:jc w:val="left"/>
              <w:rPr>
                <w:rFonts w:eastAsia="Times New Roman"/>
                <w:noProof/>
                <w:sz w:val="20"/>
                <w:szCs w:val="20"/>
              </w:rPr>
            </w:pPr>
            <w:r>
              <w:rPr>
                <w:noProof/>
                <w:sz w:val="20"/>
              </w:rPr>
              <w:t>NÉCESSITÉ D'UN BUDGET SUPPLÉMENTAIRE</w:t>
            </w:r>
          </w:p>
        </w:tc>
        <w:tc>
          <w:tcPr>
            <w:tcW w:w="1134" w:type="dxa"/>
            <w:tcBorders>
              <w:left w:val="nil"/>
              <w:bottom w:val="nil"/>
            </w:tcBorders>
          </w:tcPr>
          <w:p>
            <w:pPr>
              <w:spacing w:before="0" w:after="0"/>
              <w:jc w:val="center"/>
              <w:rPr>
                <w:rFonts w:eastAsia="Times New Roman"/>
                <w:strike/>
                <w:noProof/>
                <w:sz w:val="20"/>
                <w:szCs w:val="20"/>
              </w:rPr>
            </w:pPr>
            <w:r>
              <w:rPr>
                <w:strike/>
                <w:noProof/>
                <w:sz w:val="20"/>
              </w:rPr>
              <w:t>OUI NON</w:t>
            </w:r>
          </w:p>
        </w:tc>
      </w:tr>
      <w:tr>
        <w:tc>
          <w:tcPr>
            <w:tcW w:w="567" w:type="dxa"/>
            <w:tcBorders>
              <w:right w:val="nil"/>
            </w:tcBorders>
          </w:tcPr>
          <w:p>
            <w:pPr>
              <w:spacing w:before="0" w:after="0"/>
              <w:jc w:val="left"/>
              <w:rPr>
                <w:rFonts w:eastAsia="Times New Roman"/>
                <w:noProof/>
                <w:sz w:val="20"/>
                <w:szCs w:val="20"/>
              </w:rPr>
            </w:pPr>
            <w:r>
              <w:rPr>
                <w:noProof/>
                <w:sz w:val="20"/>
              </w:rPr>
              <w:t>6.3</w:t>
            </w:r>
          </w:p>
        </w:tc>
        <w:tc>
          <w:tcPr>
            <w:tcW w:w="7427" w:type="dxa"/>
            <w:gridSpan w:val="5"/>
            <w:tcBorders>
              <w:left w:val="nil"/>
              <w:right w:val="nil"/>
            </w:tcBorders>
          </w:tcPr>
          <w:p>
            <w:pPr>
              <w:spacing w:before="60" w:after="60"/>
              <w:jc w:val="left"/>
              <w:rPr>
                <w:rFonts w:eastAsia="Times New Roman"/>
                <w:noProof/>
                <w:sz w:val="20"/>
                <w:szCs w:val="20"/>
              </w:rPr>
            </w:pPr>
            <w:r>
              <w:rPr>
                <w:noProof/>
                <w:sz w:val="20"/>
              </w:rPr>
              <w:t>CRÉDITS À INSCRIRE DANS LES BUDGETS FUTURS</w:t>
            </w:r>
          </w:p>
        </w:tc>
        <w:tc>
          <w:tcPr>
            <w:tcW w:w="1134" w:type="dxa"/>
            <w:tcBorders>
              <w:left w:val="nil"/>
            </w:tcBorders>
          </w:tcPr>
          <w:p>
            <w:pPr>
              <w:spacing w:before="0" w:after="0"/>
              <w:jc w:val="center"/>
              <w:rPr>
                <w:rFonts w:eastAsia="Times New Roman"/>
                <w:strike/>
                <w:noProof/>
                <w:sz w:val="20"/>
                <w:szCs w:val="20"/>
              </w:rPr>
            </w:pPr>
            <w:r>
              <w:rPr>
                <w:strike/>
                <w:noProof/>
                <w:sz w:val="20"/>
              </w:rPr>
              <w:t>OUI NON</w:t>
            </w:r>
          </w:p>
        </w:tc>
      </w:tr>
      <w:tr>
        <w:tc>
          <w:tcPr>
            <w:tcW w:w="9128" w:type="dxa"/>
            <w:gridSpan w:val="7"/>
          </w:tcPr>
          <w:p>
            <w:pPr>
              <w:spacing w:before="0" w:after="0"/>
              <w:jc w:val="left"/>
              <w:rPr>
                <w:rFonts w:eastAsia="Times New Roman"/>
                <w:noProof/>
                <w:sz w:val="20"/>
                <w:szCs w:val="20"/>
              </w:rPr>
            </w:pPr>
            <w:r>
              <w:rPr>
                <w:noProof/>
                <w:sz w:val="20"/>
              </w:rPr>
              <w:t>OBSERVATIONS:</w:t>
            </w:r>
          </w:p>
          <w:p>
            <w:pPr>
              <w:spacing w:before="0" w:after="0"/>
              <w:jc w:val="left"/>
              <w:rPr>
                <w:rFonts w:eastAsia="Times New Roman"/>
                <w:noProof/>
                <w:sz w:val="20"/>
                <w:szCs w:val="20"/>
              </w:rPr>
            </w:pPr>
            <w:r>
              <w:rPr>
                <w:noProof/>
                <w:sz w:val="20"/>
              </w:rPr>
              <w:t>La proposition n’a aucune incidence sur les dépenses.</w:t>
            </w:r>
          </w:p>
          <w:p>
            <w:pPr>
              <w:spacing w:before="0" w:after="0"/>
              <w:jc w:val="left"/>
              <w:rPr>
                <w:rFonts w:eastAsia="Times New Roman"/>
                <w:noProof/>
                <w:sz w:val="20"/>
                <w:szCs w:val="20"/>
              </w:rPr>
            </w:pPr>
            <w:r>
              <w:rPr>
                <w:noProof/>
                <w:sz w:val="20"/>
              </w:rPr>
              <w:t>La perte théorique de ressources propres, compte tenu de la déduction de 20 % pour frais de perception, s’élève à 8,2 millions d’EUR. Cette proposition repose sur l’hypothèse selon laquelle l’ensemble des quantités octroyées dans les concessions (11 720 tonnes) auraient été importées également avec l’application du tarif plein de 86,7 EUR/100kg, ce qui aurait abouti à un montant total de ressources propres, déduction faite des frais de perception, d’un montant de 11,2 millions d’EUR.</w:t>
            </w:r>
          </w:p>
          <w:p>
            <w:pPr>
              <w:spacing w:before="0" w:after="0"/>
              <w:jc w:val="left"/>
              <w:rPr>
                <w:rFonts w:eastAsia="Times New Roman"/>
                <w:noProof/>
                <w:sz w:val="20"/>
                <w:szCs w:val="20"/>
              </w:rPr>
            </w:pPr>
            <w:r>
              <w:rPr>
                <w:noProof/>
                <w:sz w:val="20"/>
              </w:rPr>
              <w:t>La concession accordée devrait se traduire par un montant de ressources propres, déduction faite des frais de perception de 3 millions d’EUR.</w:t>
            </w:r>
          </w:p>
          <w:p>
            <w:pPr>
              <w:spacing w:before="0" w:after="0"/>
              <w:jc w:val="left"/>
              <w:rPr>
                <w:rFonts w:eastAsia="Times New Roman"/>
                <w:noProof/>
                <w:sz w:val="20"/>
                <w:szCs w:val="20"/>
              </w:rPr>
            </w:pPr>
          </w:p>
        </w:tc>
      </w:tr>
    </w:tbl>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30FC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E9CB9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04F9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FAB1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4405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C227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244B3E"/>
    <w:lvl w:ilvl="0">
      <w:start w:val="1"/>
      <w:numFmt w:val="decimal"/>
      <w:pStyle w:val="ListNumber"/>
      <w:lvlText w:val="%1."/>
      <w:lvlJc w:val="left"/>
      <w:pPr>
        <w:tabs>
          <w:tab w:val="num" w:pos="360"/>
        </w:tabs>
        <w:ind w:left="360" w:hanging="360"/>
      </w:pPr>
    </w:lvl>
  </w:abstractNum>
  <w:abstractNum w:abstractNumId="7">
    <w:nsid w:val="FFFFFF89"/>
    <w:multiLevelType w:val="singleLevel"/>
    <w:tmpl w:val="41FEF8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5"/>
    <w:lvlOverride w:ilvl="0">
      <w:startOverride w:val="1"/>
    </w:lvlOverride>
  </w:num>
  <w:num w:numId="15">
    <w:abstractNumId w:val="22"/>
  </w:num>
  <w:num w:numId="16">
    <w:abstractNumId w:val="14"/>
  </w:num>
  <w:num w:numId="17">
    <w:abstractNumId w:val="24"/>
  </w:num>
  <w:num w:numId="18">
    <w:abstractNumId w:val="12"/>
  </w:num>
  <w:num w:numId="19">
    <w:abstractNumId w:val="15"/>
  </w:num>
  <w:num w:numId="20">
    <w:abstractNumId w:val="10"/>
  </w:num>
  <w:num w:numId="21">
    <w:abstractNumId w:val="23"/>
  </w:num>
  <w:num w:numId="22">
    <w:abstractNumId w:val="9"/>
  </w:num>
  <w:num w:numId="23">
    <w:abstractNumId w:val="16"/>
  </w:num>
  <w:num w:numId="24">
    <w:abstractNumId w:val="20"/>
  </w:num>
  <w:num w:numId="25">
    <w:abstractNumId w:val="21"/>
  </w:num>
  <w:num w:numId="26">
    <w:abstractNumId w:val="11"/>
  </w:num>
  <w:num w:numId="27">
    <w:abstractNumId w:val="19"/>
  </w:num>
  <w:num w:numId="28">
    <w:abstractNumId w:val="25"/>
  </w:num>
  <w:num w:numId="29">
    <w:abstractNumId w:val="22"/>
  </w:num>
  <w:num w:numId="30">
    <w:abstractNumId w:val="14"/>
  </w:num>
  <w:num w:numId="31">
    <w:abstractNumId w:val="24"/>
  </w:num>
  <w:num w:numId="32">
    <w:abstractNumId w:val="12"/>
  </w:num>
  <w:num w:numId="33">
    <w:abstractNumId w:val="15"/>
  </w:num>
  <w:num w:numId="34">
    <w:abstractNumId w:val="10"/>
  </w:num>
  <w:num w:numId="35">
    <w:abstractNumId w:val="23"/>
  </w:num>
  <w:num w:numId="36">
    <w:abstractNumId w:val="9"/>
  </w:num>
  <w:num w:numId="37">
    <w:abstractNumId w:val="16"/>
  </w:num>
  <w:num w:numId="38">
    <w:abstractNumId w:val="20"/>
  </w:num>
  <w:num w:numId="39">
    <w:abstractNumId w:val="21"/>
  </w:num>
  <w:num w:numId="40">
    <w:abstractNumId w:val="11"/>
  </w:num>
  <w:num w:numId="41">
    <w:abstractNumId w:val="19"/>
  </w:num>
  <w:num w:numId="42">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IVA LUCIO Natalia (AGRI)">
    <w15:presenceInfo w15:providerId="None" w15:userId="OLIVA LUCIO Natalia (AG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oNotDisplayPageBoundaries/>
  <w:displayBackgroundShape/>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6:32: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B456774-2ECB-436F-BC30-3DB1FA11D0DB"/>
    <w:docVar w:name="LW_COVERPAGE_TYPE" w:val="1"/>
    <w:docVar w:name="LW_CROSSREFERENCE" w:val="&lt;UNUSED&gt;"/>
    <w:docVar w:name="LW_DocType" w:val="COM"/>
    <w:docVar w:name="LW_EMISSION" w:val="5.7.2018"/>
    <w:docVar w:name="LW_EMISSION_ISODATE" w:val="2018-07-05"/>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81"/>
    <w:docVar w:name="LW_REF.II.NEW.CP_YEAR" w:val="2018"/>
    <w:docVar w:name="LW_REF.INST.NEW" w:val="COM"/>
    <w:docVar w:name="LW_REF.INST.NEW_ADOPTED" w:val="final"/>
    <w:docVar w:name="LW_REF.INST.NEW_TEXT" w:val="(2018)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conclusion, au nom de l'Union européenne, de l'accord sous forme d'échange de lettres entre l\u8217?Union européenne et la République populaire de Chine dans le cadre de la procédure de règlement des différends de l\u8217?OMC relative à l\u8217?affaire DS492 - Mesures affectant les concessions tarifaires concernant certains produits à base de viande de volail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Number4Level2">
    <w:name w:val="List Number 4 (Level 2)"/>
    <w:basedOn w:val="Text4"/>
    <w:pPr>
      <w:tabs>
        <w:tab w:val="num" w:pos="2268"/>
      </w:tabs>
      <w:ind w:left="2268" w:hanging="708"/>
    </w:pPr>
    <w:rPr>
      <w:rFonts w:eastAsia="Times New Roman"/>
    </w:rPr>
  </w:style>
  <w:style w:type="paragraph" w:customStyle="1" w:styleId="ListNumber4Level3">
    <w:name w:val="List Number 4 (Level 3)"/>
    <w:basedOn w:val="Text4"/>
    <w:pPr>
      <w:tabs>
        <w:tab w:val="num" w:pos="2977"/>
      </w:tabs>
      <w:ind w:left="2977" w:hanging="709"/>
    </w:pPr>
    <w:rPr>
      <w:rFonts w:eastAsia="Times New Roman"/>
    </w:rPr>
  </w:style>
  <w:style w:type="paragraph" w:customStyle="1" w:styleId="ListNumber4Level4">
    <w:name w:val="List Number 4 (Level 4)"/>
    <w:basedOn w:val="Text4"/>
    <w:pPr>
      <w:tabs>
        <w:tab w:val="num" w:pos="3686"/>
      </w:tabs>
      <w:ind w:left="3686" w:hanging="709"/>
    </w:pPr>
    <w:rPr>
      <w:rFonts w:eastAsia="Times New Roman"/>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FE246-BA9A-445D-A272-54C6E067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1781</Words>
  <Characters>9459</Characters>
  <Application>Microsoft Office Word</Application>
  <DocSecurity>0</DocSecurity>
  <Lines>242</Lines>
  <Paragraphs>156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2018-05-03T07:57:00Z</cp:lastPrinted>
  <dcterms:created xsi:type="dcterms:W3CDTF">2018-06-27T07:15:00Z</dcterms:created>
  <dcterms:modified xsi:type="dcterms:W3CDTF">2018-07-03T14:32:00Z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