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A3AB2BB-BAB3-4DD7-AE60-340C0A4C2132" style="width:450.7pt;height:379.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Style w:val="Text1"/>
        <w:rPr>
          <w:noProof/>
        </w:rPr>
      </w:pPr>
      <w:r>
        <w:rPr>
          <w:noProof/>
        </w:rPr>
        <w:t xml:space="preserve">След доклада на специализираната група на СТО, приет на 19 април 2017 г. като част от процедура DS492 на СТО за уреждане на спорове </w:t>
      </w:r>
      <w:r>
        <w:rPr>
          <w:i/>
          <w:noProof/>
        </w:rPr>
        <w:t>„Мерки, засягащи тарифните отстъпки за някои продукти от птиче месо“</w:t>
      </w:r>
      <w:r>
        <w:rPr>
          <w:noProof/>
        </w:rPr>
        <w:t>, започната от Китайската народна република срещу Европейския съюз, ЕС трябваше да се съобрази с констатациите. Специализираната група констатира по-специално, че при разпределянето на количествата в тарифните квоти за държавите доставчици в съответствие с правилата на СТО ЕС е следвало да отчете като „специален фактор“  повишената способност на Китай да изнася продукти от птиче месо за ЕС след смекчаването на санитарните мерки през юли 2008 г. Разумният срок за изпълнение на доклада на специализираната група съгласно правилата на СТО започна да тече на 19 април 2017 г.</w:t>
      </w:r>
    </w:p>
    <w:p>
      <w:pPr>
        <w:pStyle w:val="Text1"/>
        <w:rPr>
          <w:rFonts w:eastAsia="Arial Unicode MS"/>
          <w:noProof/>
        </w:rPr>
      </w:pPr>
      <w:r>
        <w:rPr>
          <w:noProof/>
        </w:rPr>
        <w:t>На 12 март 2018 г. Съветът оправомощи Комисията да започне преговори по взаимно съгласувано решение („ВСР“) с Китай. Преговорите с Китай доведоха до споразумение под формата на размяна на писма, което бе парафирано на 18 юни 2018 г. в Женева („споразумението“). Споразумението трябва да зачита правата на останалите доставчици, договорени в рамките на предишните преговори по член XXVIII от ГАТТ. Комисията трябва също така да предвиди прозрачно и подходящо управление на тарифните квоти.</w:t>
      </w:r>
    </w:p>
    <w:p>
      <w:pPr>
        <w:pStyle w:val="Text1"/>
        <w:rPr>
          <w:noProof/>
        </w:rPr>
      </w:pPr>
      <w:r>
        <w:rPr>
          <w:noProof/>
        </w:rPr>
        <w:t xml:space="preserve">Тайланд посочи, че е съгласен с разпределението на ТК за Китай, предвидено в споразумението, като в най-кратки срокове се очаква и писменото му потвърждение (във всеки случай преди официалното подписване на споразумението). </w:t>
      </w:r>
    </w:p>
    <w:p>
      <w:pPr>
        <w:pStyle w:val="Text1"/>
        <w:rPr>
          <w:noProof/>
        </w:rPr>
      </w:pPr>
      <w:r>
        <w:rPr>
          <w:noProof/>
        </w:rPr>
        <w:t xml:space="preserve">Съответно Европейската комисия предлага на Съвета да приеме решение за сключването на споразумението.  </w:t>
      </w:r>
    </w:p>
    <w:p>
      <w:pPr>
        <w:pStyle w:val="ManualHeading2"/>
        <w:rPr>
          <w:rFonts w:eastAsia="Arial Unicode MS"/>
          <w:noProof/>
        </w:rPr>
      </w:pPr>
      <w:r>
        <w:rPr>
          <w:noProof/>
          <w:color w:val="000000"/>
          <w:u w:color="000000"/>
          <w:bdr w:val="nil"/>
        </w:rPr>
        <w:t>•</w:t>
      </w:r>
      <w:r>
        <w:rPr>
          <w:noProof/>
        </w:rPr>
        <w:tab/>
        <w:t>Съгласуваност с действащите разпоредби в тази област на политиката</w:t>
      </w:r>
    </w:p>
    <w:p>
      <w:pPr>
        <w:pStyle w:val="Text1"/>
        <w:rPr>
          <w:noProof/>
        </w:rPr>
      </w:pPr>
      <w:r>
        <w:rPr>
          <w:noProof/>
        </w:rPr>
        <w:t xml:space="preserve">Неприложимо — мярката се предприема в изпълнение на доклад на специализирана група на СТО,  задължение на Съюза съгласно Споразумението за СТО. </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Style w:val="Text1"/>
        <w:rPr>
          <w:noProof/>
        </w:rPr>
      </w:pPr>
      <w:r>
        <w:rPr>
          <w:noProof/>
        </w:rPr>
        <w:t xml:space="preserve">Неприложимо — мярката се предприема в изпълнение на доклад на специализирана група на СТО,  задължение на Съюза съгласно Споразумението за СТО.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Style w:val="Text1"/>
        <w:rPr>
          <w:noProof/>
        </w:rPr>
      </w:pPr>
      <w:r>
        <w:rPr>
          <w:noProof/>
        </w:rPr>
        <w:t>Член 207 от Договора за функционирането на Европейския съюз (ДФЕС) във връзка с член 218, параграф 6 от ДФЕС, що се отнася до сключването на международни споразумения.</w:t>
      </w:r>
    </w:p>
    <w:p>
      <w:pPr>
        <w:pStyle w:val="ManualHeading2"/>
        <w:rPr>
          <w:rFonts w:eastAsia="Arial Unicode MS"/>
          <w:noProof/>
          <w:u w:color="000000"/>
          <w:bdr w:val="nil"/>
        </w:rPr>
      </w:pPr>
      <w:r>
        <w:rPr>
          <w:noProof/>
        </w:rPr>
        <w:lastRenderedPageBreak/>
        <w:t>•</w:t>
      </w:r>
      <w:r>
        <w:rPr>
          <w:noProof/>
        </w:rPr>
        <w:tab/>
        <w:t xml:space="preserve">Субсидиарност (при неизключителна компетентност) </w:t>
      </w:r>
    </w:p>
    <w:p>
      <w:pPr>
        <w:pStyle w:val="Text1"/>
        <w:rPr>
          <w:rFonts w:eastAsia="Arial Unicode MS"/>
          <w:b/>
          <w:noProof/>
          <w:u w:color="000000"/>
          <w:bdr w:val="nil"/>
        </w:rPr>
      </w:pPr>
      <w:r>
        <w:rPr>
          <w:noProof/>
        </w:rPr>
        <w:t>Предложението е от изключителната компетентност на Съюза, в съответствие с член 3, параграф 1, буква д) от Договора за функционирането на Европейския съюз. Поради това принципът на субсидиарност не се прилага.</w:t>
      </w:r>
    </w:p>
    <w:p>
      <w:pPr>
        <w:pStyle w:val="ManualHeading2"/>
        <w:rPr>
          <w:rFonts w:eastAsia="Arial Unicode MS"/>
          <w:noProof/>
          <w:u w:color="000000"/>
          <w:bdr w:val="nil"/>
        </w:rPr>
      </w:pPr>
      <w:r>
        <w:rPr>
          <w:noProof/>
        </w:rPr>
        <w:t>•</w:t>
      </w:r>
      <w:r>
        <w:rPr>
          <w:noProof/>
        </w:rPr>
        <w:tab/>
        <w:t>Пропорционалност</w:t>
      </w:r>
    </w:p>
    <w:p>
      <w:pPr>
        <w:pStyle w:val="Text1"/>
        <w:rPr>
          <w:rFonts w:eastAsia="Arial Unicode MS"/>
          <w:noProof/>
        </w:rPr>
      </w:pPr>
      <w:r>
        <w:rPr>
          <w:noProof/>
        </w:rPr>
        <w:t xml:space="preserve">Мярката се предприема в изпълнение на доклад на специализирана група на СТО,  задължение на Съюза съгласно Споразумението за СТО. </w:t>
      </w:r>
    </w:p>
    <w:p>
      <w:pPr>
        <w:pStyle w:val="ManualHeading2"/>
        <w:rPr>
          <w:rFonts w:eastAsia="Arial Unicode MS"/>
          <w:noProof/>
          <w:u w:color="000000"/>
          <w:bdr w:val="nil"/>
        </w:rPr>
      </w:pPr>
      <w:r>
        <w:rPr>
          <w:noProof/>
        </w:rPr>
        <w:t>•</w:t>
      </w:r>
      <w:r>
        <w:rPr>
          <w:noProof/>
        </w:rPr>
        <w:tab/>
        <w:t>Избор на инструмент</w:t>
      </w:r>
    </w:p>
    <w:p>
      <w:pPr>
        <w:pStyle w:val="Text1"/>
        <w:rPr>
          <w:noProof/>
        </w:rPr>
      </w:pPr>
      <w:r>
        <w:rPr>
          <w:noProof/>
        </w:rPr>
        <w:t>По силата на член 218, параграф 6 от ДФЕС се изисква решение на Съвета за разрешаване сключването на споразумението.</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Style w:val="Text1"/>
        <w:rPr>
          <w:noProof/>
        </w:rPr>
      </w:pPr>
      <w:r>
        <w:rPr>
          <w:noProof/>
        </w:rPr>
        <w:t xml:space="preserve">Неприложимо — мярката се предприема в изпълнение на доклад на специализирана група на СТО,  задължение на Съюза съгласно Споразумението за СТО. </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Style w:val="Text1"/>
        <w:rPr>
          <w:noProof/>
        </w:rPr>
      </w:pPr>
      <w:r>
        <w:rPr>
          <w:noProof/>
        </w:rPr>
        <w:t xml:space="preserve">Публикуване на пътната карта, редовни консултации с промишлеността, заинтересованите страни и държавите членки. В обратната информация, получена от Европейската асоциация за домашни птици, яйца и дивеч (EPEGA) през януари 2018 г. след публикуването на пътната карта, ясно беше изразена подкрепа за откриването на допълнителните квоти. </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Style w:val="Text1"/>
        <w:rPr>
          <w:noProof/>
        </w:rPr>
      </w:pPr>
      <w:r>
        <w:rPr>
          <w:noProof/>
        </w:rPr>
        <w:t xml:space="preserve">Неприложимо — мярката се предприема в изпълнение на доклад на специализирана група на СТО,  задължение на Съюза съгласно Споразумението за СТО. </w:t>
      </w:r>
    </w:p>
    <w:p>
      <w:pPr>
        <w:pStyle w:val="ManualHeading2"/>
        <w:rPr>
          <w:rFonts w:eastAsia="Arial Unicode MS"/>
          <w:noProof/>
          <w:u w:color="000000"/>
          <w:bdr w:val="nil"/>
        </w:rPr>
      </w:pPr>
      <w:r>
        <w:rPr>
          <w:noProof/>
        </w:rPr>
        <w:t>•</w:t>
      </w:r>
      <w:r>
        <w:rPr>
          <w:noProof/>
        </w:rPr>
        <w:tab/>
        <w:t>Оценка на въздействието</w:t>
      </w:r>
    </w:p>
    <w:p>
      <w:pPr>
        <w:pStyle w:val="Text1"/>
        <w:rPr>
          <w:noProof/>
        </w:rPr>
      </w:pPr>
      <w:r>
        <w:rPr>
          <w:noProof/>
        </w:rPr>
        <w:t xml:space="preserve">Неприложимо — мярката се предприема в изпълнение на доклад на специализирана група на СТО,  задължение на Съюза съгласно Споразумението за СТО. </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Style w:val="Text1"/>
        <w:rPr>
          <w:noProof/>
        </w:rPr>
      </w:pPr>
      <w:r>
        <w:rPr>
          <w:noProof/>
        </w:rPr>
        <w:t xml:space="preserve">Неприложимо — мярката се предприема в изпълнение на доклад на специализирана група на СТО,  задължение на Съюза съгласно Споразумението за СТО. </w:t>
      </w:r>
    </w:p>
    <w:p>
      <w:pPr>
        <w:pStyle w:val="ManualHeading2"/>
        <w:rPr>
          <w:rFonts w:eastAsia="Arial Unicode MS"/>
          <w:noProof/>
          <w:u w:color="000000"/>
          <w:bdr w:val="nil"/>
        </w:rPr>
      </w:pPr>
      <w:r>
        <w:rPr>
          <w:noProof/>
        </w:rPr>
        <w:t>•</w:t>
      </w:r>
      <w:r>
        <w:rPr>
          <w:noProof/>
        </w:rPr>
        <w:tab/>
        <w:t>Основни права</w:t>
      </w:r>
    </w:p>
    <w:p>
      <w:pPr>
        <w:pStyle w:val="Text1"/>
        <w:rPr>
          <w:noProof/>
        </w:rPr>
      </w:pPr>
      <w:r>
        <w:rPr>
          <w:noProof/>
        </w:rPr>
        <w:t>Неприложимо.</w:t>
      </w:r>
    </w:p>
    <w:p>
      <w:pPr>
        <w:pStyle w:val="ManualHeading1"/>
        <w:rPr>
          <w:noProof/>
        </w:rPr>
      </w:pPr>
      <w:r>
        <w:rPr>
          <w:noProof/>
        </w:rPr>
        <w:t>4.</w:t>
      </w:r>
      <w:r>
        <w:rPr>
          <w:noProof/>
        </w:rPr>
        <w:tab/>
        <w:t>ОТРАЖЕНИЕ ВЪРХУ БЮДЖЕТА</w:t>
      </w:r>
    </w:p>
    <w:p>
      <w:pPr>
        <w:pStyle w:val="Text1"/>
        <w:rPr>
          <w:noProof/>
        </w:rPr>
      </w:pPr>
      <w:r>
        <w:rPr>
          <w:noProof/>
        </w:rPr>
        <w:t>Вж. финансовата обосновка.</w:t>
      </w:r>
    </w:p>
    <w:p>
      <w:pPr>
        <w:pStyle w:val="ManualHeading1"/>
        <w:rPr>
          <w:noProof/>
        </w:rPr>
      </w:pPr>
      <w:r>
        <w:rPr>
          <w:noProof/>
        </w:rPr>
        <w:lastRenderedPageBreak/>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наблюдение, оценка и докладване</w:t>
      </w:r>
    </w:p>
    <w:p>
      <w:pPr>
        <w:pStyle w:val="Text1"/>
        <w:rPr>
          <w:noProof/>
        </w:rPr>
      </w:pPr>
      <w:r>
        <w:rPr>
          <w:noProof/>
        </w:rPr>
        <w:t xml:space="preserve">Комисията предлага на Съвета Споразумението под формата на размяна на писма с Китай да бъде сключено от името на Съюза. </w:t>
      </w:r>
    </w:p>
    <w:p>
      <w:pPr>
        <w:pStyle w:val="Text1"/>
        <w:rPr>
          <w:rFonts w:eastAsia="Arial Unicode MS"/>
          <w:noProof/>
        </w:rPr>
      </w:pPr>
      <w:r>
        <w:rPr>
          <w:noProof/>
        </w:rPr>
        <w:t>Последиците от споразумението са следните:</w:t>
      </w:r>
    </w:p>
    <w:p>
      <w:pPr>
        <w:pStyle w:val="Text2"/>
        <w:rPr>
          <w:noProof/>
        </w:rPr>
      </w:pPr>
      <w:r>
        <w:rPr>
          <w:noProof/>
        </w:rPr>
        <w:t>Европейският съюз ще открие следните тарифни квоти (ТК):</w:t>
      </w:r>
    </w:p>
    <w:p>
      <w:pPr>
        <w:pStyle w:val="Text2"/>
        <w:rPr>
          <w:noProof/>
        </w:rPr>
      </w:pPr>
      <w:r>
        <w:rPr>
          <w:noProof/>
        </w:rPr>
        <w:t>ТК от 6060 тона за тарифна линия 1602.3929 (с конкретно разпределение по държави в размер на 6000 тона за Китай и 60 тона за всички останали държави) при 10,9 % ставка на митото в рамките на квотата;</w:t>
      </w:r>
    </w:p>
    <w:p>
      <w:pPr>
        <w:pStyle w:val="Text2"/>
        <w:rPr>
          <w:noProof/>
        </w:rPr>
      </w:pPr>
      <w:r>
        <w:rPr>
          <w:noProof/>
        </w:rPr>
        <w:t>ТК от 660 тона за тарифна линия 1602.3985 (с конкретно разпределение по държави в размер на 600 тона за Китай и 60 тона за всички останали държави) при 10,9 % ставка на митото в рамките на квотата;</w:t>
      </w:r>
    </w:p>
    <w:p>
      <w:pPr>
        <w:pStyle w:val="Text2"/>
        <w:rPr>
          <w:noProof/>
        </w:rPr>
      </w:pPr>
      <w:r>
        <w:rPr>
          <w:noProof/>
        </w:rPr>
        <w:t>ТК erga omnes от 5000 тона за тарифна линия 1602.3219 при 8 % ставка на митото в рамките на квотата.</w:t>
      </w:r>
    </w:p>
    <w:p>
      <w:pPr>
        <w:pStyle w:val="Text1"/>
        <w:rPr>
          <w:rFonts w:eastAsia="Arial Unicode MS"/>
          <w:noProof/>
        </w:rPr>
      </w:pPr>
      <w:r>
        <w:rPr>
          <w:noProof/>
        </w:rPr>
        <w:t>Комисията ще приеме регламенти за изпълнение във връзка с разширяването и управлението на съответните квоти, съгласно член 187, буква а) от Регламента за единната обща организация на пазара (ООП) (Регламент (ЕС) № 1308/2013).</w:t>
      </w:r>
    </w:p>
    <w:p>
      <w:pPr>
        <w:pStyle w:val="Text1"/>
        <w:rPr>
          <w:rFonts w:eastAsia="Arial Unicode MS"/>
          <w:noProof/>
        </w:rPr>
      </w:pPr>
      <w:r>
        <w:rPr>
          <w:noProof/>
        </w:rPr>
        <w:t>Тези мерки по прилагането са в процес на изготвяне успоредно с настоящото предложение.</w:t>
      </w:r>
    </w:p>
    <w:p>
      <w:pPr>
        <w:pStyle w:val="Text1"/>
        <w:rPr>
          <w:rFonts w:eastAsia="Arial Unicode MS"/>
          <w:noProof/>
        </w:rPr>
      </w:pPr>
      <w:r>
        <w:rPr>
          <w:noProof/>
        </w:rPr>
        <w:t xml:space="preserve">След откриването на квотите ЕС и Китай ще уведомят Органа на СТО за уреждане на спорове, че споразумението представлява ВСР по отношение на спор DS492.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2018/0281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сключване, от името на Европейския съюз, на Споразумението под формата на размяна на писма между Съюза и Китайската народна република във връзка с процедура DS492 на СТО за уреждане на спорове — „Мерки, засягащи тарифните отстъпки за някои продукти от птиче месо“</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и по-специално член 207, параграф 4, първа алинея във връзка с член 218, параграф 6, втора алинея, буква а), подточка v) от него, </w:t>
      </w:r>
    </w:p>
    <w:p>
      <w:pPr>
        <w:rPr>
          <w:noProof/>
        </w:rPr>
      </w:pPr>
      <w:r>
        <w:rPr>
          <w:noProof/>
        </w:rPr>
        <w:t>като взе предвид предложението на Европейската комисия,</w:t>
      </w:r>
    </w:p>
    <w:p>
      <w:pPr>
        <w:rPr>
          <w:noProof/>
        </w:rPr>
      </w:pPr>
      <w:r>
        <w:rPr>
          <w:noProof/>
        </w:rPr>
        <w:t>като взе предвид одобрението на Европейския парламент,</w:t>
      </w:r>
    </w:p>
    <w:p>
      <w:pPr>
        <w:rPr>
          <w:noProof/>
        </w:rPr>
      </w:pPr>
      <w:r>
        <w:rPr>
          <w:noProof/>
        </w:rPr>
        <w:t>като има предвид, че:</w:t>
      </w:r>
    </w:p>
    <w:p>
      <w:pPr>
        <w:pStyle w:val="ManualConsidrant"/>
        <w:rPr>
          <w:noProof/>
        </w:rPr>
      </w:pPr>
      <w:r>
        <w:t>(1)</w:t>
      </w:r>
      <w:r>
        <w:tab/>
      </w:r>
      <w:r>
        <w:rPr>
          <w:noProof/>
        </w:rPr>
        <w:t xml:space="preserve">На 12 март 2018 г. Съветът оправомощи Комисията да започне преговори по взаимно съгласувано решение с Китай като част от процедура DS492 на СТО за уреждане на спорове — </w:t>
      </w:r>
      <w:r>
        <w:rPr>
          <w:i/>
          <w:noProof/>
        </w:rPr>
        <w:t>„Мерки, засягащи тарифните отстъпки за някои продукти от птиче месо“</w:t>
      </w:r>
      <w:r>
        <w:rPr>
          <w:noProof/>
        </w:rPr>
        <w:t>.</w:t>
      </w:r>
    </w:p>
    <w:p>
      <w:pPr>
        <w:pStyle w:val="ManualConsidrant"/>
        <w:rPr>
          <w:noProof/>
        </w:rPr>
      </w:pPr>
      <w:r>
        <w:t>(2)</w:t>
      </w:r>
      <w:r>
        <w:tab/>
      </w:r>
      <w:r>
        <w:rPr>
          <w:noProof/>
        </w:rPr>
        <w:t>Преговорите приключиха, като на 18 юни 2018 г. беше парафирано споразумение под формата на размяна на писма между Европейския съюз и Китай.</w:t>
      </w:r>
    </w:p>
    <w:p>
      <w:pPr>
        <w:pStyle w:val="ManualConsidrant"/>
        <w:rPr>
          <w:noProof/>
        </w:rPr>
      </w:pPr>
      <w:r>
        <w:t>(3)</w:t>
      </w:r>
      <w:r>
        <w:tab/>
      </w:r>
      <w:r>
        <w:rPr>
          <w:noProof/>
        </w:rPr>
        <w:t xml:space="preserve">Споразумението бе подписано от името на Съюза </w:t>
      </w:r>
      <w:r>
        <w:rPr>
          <w:noProof/>
          <w:highlight w:val="yellow"/>
        </w:rPr>
        <w:t>на […] г., при условие за сключването му на по-късна дата в съответствие с Решение […] на Съвета</w:t>
      </w:r>
      <w:r>
        <w:rPr>
          <w:rStyle w:val="FootnoteReference"/>
          <w:noProof/>
          <w:highlight w:val="yellow"/>
        </w:rPr>
        <w:footnoteReference w:id="1"/>
      </w:r>
      <w:r>
        <w:rPr>
          <w:noProof/>
        </w:rPr>
        <w:t>.</w:t>
      </w:r>
    </w:p>
    <w:p>
      <w:pPr>
        <w:pStyle w:val="ManualConsidrant"/>
        <w:rPr>
          <w:noProof/>
        </w:rPr>
      </w:pPr>
      <w:r>
        <w:t>(4)</w:t>
      </w:r>
      <w:r>
        <w:tab/>
      </w:r>
      <w:r>
        <w:rPr>
          <w:noProof/>
        </w:rPr>
        <w:t>Споразумението следва да бъде одобрено от името на Европейския съюз,</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Сключва се споразумението под формата на размяна на писма между Европейския съюз и Китай във връзка с DS492 „Европейски съюз — Мерки, засягащи тарифните отстъпки за някои продукти от птиче месо“.</w:t>
      </w:r>
    </w:p>
    <w:p>
      <w:pPr>
        <w:pStyle w:val="Text1"/>
        <w:ind w:left="0"/>
        <w:rPr>
          <w:noProof/>
        </w:rPr>
      </w:pPr>
      <w:r>
        <w:rPr>
          <w:noProof/>
        </w:rPr>
        <w:t>Текстът на споразумението е приложен към настоящото решение.</w:t>
      </w:r>
    </w:p>
    <w:p>
      <w:pPr>
        <w:pStyle w:val="Titrearticle"/>
        <w:rPr>
          <w:noProof/>
        </w:rPr>
      </w:pPr>
      <w:r>
        <w:rPr>
          <w:noProof/>
        </w:rPr>
        <w:t>Член 2</w:t>
      </w:r>
    </w:p>
    <w:p>
      <w:pPr>
        <w:rPr>
          <w:noProof/>
        </w:rPr>
      </w:pPr>
      <w:r>
        <w:rPr>
          <w:noProof/>
        </w:rPr>
        <w:t>Председателят на Съвета посочва лицето, упълномощено да извърши от името на Съюза уведомяването, предвидено в споразумението.</w:t>
      </w:r>
    </w:p>
    <w:p>
      <w:pPr>
        <w:pStyle w:val="Titrearticle"/>
        <w:rPr>
          <w:noProof/>
        </w:rPr>
      </w:pPr>
      <w:r>
        <w:rPr>
          <w:noProof/>
        </w:rPr>
        <w:lastRenderedPageBreak/>
        <w:t>Член 3</w:t>
      </w:r>
    </w:p>
    <w:p>
      <w:pPr>
        <w:rPr>
          <w:noProof/>
        </w:rPr>
      </w:pPr>
      <w:r>
        <w:rPr>
          <w:noProof/>
        </w:rPr>
        <w:t xml:space="preserve">Настоящото решение влиза в сила в деня на приемането му. То се публикува в </w:t>
      </w:r>
      <w:r>
        <w:rPr>
          <w:i/>
          <w:noProof/>
        </w:rPr>
        <w:t>Официален вестник на Европейския съюз</w:t>
      </w:r>
      <w:r>
        <w:rPr>
          <w:noProof/>
        </w:rPr>
        <w:t>.</w:t>
      </w:r>
    </w:p>
    <w:p>
      <w:pPr>
        <w:rPr>
          <w:i/>
          <w:noProof/>
        </w:rPr>
      </w:pPr>
      <w:r>
        <w:rPr>
          <w:noProof/>
        </w:rPr>
        <w:t xml:space="preserve">Датата на влизане в сила на споразумението ще бъде публикувана в </w:t>
      </w:r>
      <w:r>
        <w:rPr>
          <w:i/>
          <w:noProof/>
        </w:rPr>
        <w:t>Официален вестник на Европейския съюз</w:t>
      </w:r>
      <w:r>
        <w:rPr>
          <w:noProof/>
        </w:rPr>
        <w:t xml:space="preserve"> от Генералния секретариат на Съвета.</w:t>
      </w:r>
    </w:p>
    <w:p>
      <w:pPr>
        <w:rPr>
          <w:i/>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ЗАКОНОДАТЕЛНА ФИНАНСОВА ОБОСНОВКА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67"/>
        <w:gridCol w:w="3884"/>
        <w:gridCol w:w="1417"/>
        <w:gridCol w:w="1276"/>
        <w:gridCol w:w="283"/>
        <w:gridCol w:w="567"/>
        <w:gridCol w:w="1134"/>
      </w:tblGrid>
      <w:tr>
        <w:trPr>
          <w:trHeight w:val="355"/>
        </w:trPr>
        <w:tc>
          <w:tcPr>
            <w:tcW w:w="7144" w:type="dxa"/>
            <w:gridSpan w:val="4"/>
            <w:vMerge w:val="restart"/>
          </w:tcPr>
          <w:p>
            <w:pPr>
              <w:spacing w:before="0" w:after="240"/>
              <w:rPr>
                <w:rFonts w:eastAsia="Times New Roman"/>
                <w:noProof/>
                <w:szCs w:val="20"/>
              </w:rPr>
            </w:pPr>
            <w:bookmarkStart w:id="1" w:name="LW_BM_COVERPAGE"/>
          </w:p>
          <w:p>
            <w:pPr>
              <w:jc w:val="center"/>
              <w:rPr>
                <w:rFonts w:eastAsia="Times New Roman"/>
                <w:b/>
                <w:noProof/>
                <w:sz w:val="40"/>
                <w:szCs w:val="20"/>
              </w:rPr>
            </w:pPr>
            <w:r>
              <w:rPr>
                <w:b/>
                <w:noProof/>
                <w:sz w:val="40"/>
              </w:rPr>
              <w:t>Приложение</w:t>
            </w:r>
          </w:p>
          <w:p>
            <w:pPr>
              <w:jc w:val="center"/>
              <w:rPr>
                <w:rFonts w:eastAsia="Times New Roman"/>
                <w:b/>
                <w:noProof/>
                <w:sz w:val="40"/>
                <w:szCs w:val="20"/>
              </w:rPr>
            </w:pPr>
            <w:r>
              <w:rPr>
                <w:b/>
                <w:noProof/>
                <w:sz w:val="40"/>
              </w:rPr>
              <w:t>ФИНАНСОВА ОБОСНОВКА</w:t>
            </w:r>
            <w:r>
              <w:rPr>
                <w:b/>
                <w:noProof/>
                <w:color w:val="FF0000"/>
                <w:sz w:val="40"/>
              </w:rPr>
              <w:t xml:space="preserve"> </w:t>
            </w:r>
          </w:p>
        </w:tc>
        <w:tc>
          <w:tcPr>
            <w:tcW w:w="1984" w:type="dxa"/>
            <w:gridSpan w:val="3"/>
          </w:tcPr>
          <w:p>
            <w:pPr>
              <w:spacing w:before="0" w:after="0"/>
              <w:jc w:val="left"/>
              <w:rPr>
                <w:rFonts w:eastAsia="Times New Roman"/>
                <w:noProof/>
                <w:sz w:val="20"/>
                <w:szCs w:val="20"/>
              </w:rPr>
            </w:pPr>
            <w:r>
              <w:rPr>
                <w:noProof/>
                <w:sz w:val="20"/>
              </w:rPr>
              <w:t>FinancSt/18/2693597</w:t>
            </w:r>
          </w:p>
          <w:p>
            <w:pPr>
              <w:spacing w:before="0" w:after="0"/>
              <w:jc w:val="left"/>
              <w:rPr>
                <w:rFonts w:eastAsia="Times New Roman"/>
                <w:noProof/>
                <w:color w:val="0000FF"/>
                <w:sz w:val="20"/>
                <w:szCs w:val="20"/>
              </w:rPr>
            </w:pPr>
            <w:r>
              <w:rPr>
                <w:noProof/>
                <w:sz w:val="20"/>
              </w:rPr>
              <w:t>CM/aj</w:t>
            </w:r>
            <w:r>
              <w:rPr>
                <w:rFonts w:eastAsia="Times New Roman"/>
                <w:noProof/>
                <w:sz w:val="20"/>
                <w:szCs w:val="20"/>
              </w:rPr>
              <w:br/>
            </w:r>
          </w:p>
        </w:tc>
      </w:tr>
      <w:bookmarkEnd w:id="1"/>
      <w:tr>
        <w:trPr>
          <w:trHeight w:val="355"/>
        </w:trPr>
        <w:tc>
          <w:tcPr>
            <w:tcW w:w="7144" w:type="dxa"/>
            <w:gridSpan w:val="4"/>
            <w:vMerge/>
            <w:tcBorders>
              <w:bottom w:val="nil"/>
            </w:tcBorders>
          </w:tcPr>
          <w:p>
            <w:pPr>
              <w:jc w:val="center"/>
              <w:rPr>
                <w:rFonts w:eastAsia="Times New Roman"/>
                <w:b/>
                <w:noProof/>
                <w:sz w:val="40"/>
                <w:szCs w:val="20"/>
              </w:rPr>
            </w:pPr>
          </w:p>
        </w:tc>
        <w:tc>
          <w:tcPr>
            <w:tcW w:w="1984" w:type="dxa"/>
            <w:gridSpan w:val="3"/>
          </w:tcPr>
          <w:p>
            <w:pPr>
              <w:spacing w:before="0" w:after="0"/>
              <w:jc w:val="left"/>
              <w:rPr>
                <w:rFonts w:ascii="Arial" w:eastAsia="Times New Roman" w:hAnsi="Arial"/>
                <w:i/>
                <w:noProof/>
                <w:spacing w:val="-3"/>
                <w:sz w:val="20"/>
                <w:szCs w:val="20"/>
              </w:rPr>
            </w:pPr>
            <w:r>
              <w:rPr>
                <w:rFonts w:ascii="Arial" w:hAnsi="Arial"/>
                <w:i/>
                <w:noProof/>
                <w:spacing w:val="-3"/>
                <w:sz w:val="20"/>
              </w:rPr>
              <w:t>6.146.2018.1</w:t>
            </w:r>
          </w:p>
          <w:p>
            <w:pPr>
              <w:spacing w:before="0" w:after="0"/>
              <w:jc w:val="left"/>
              <w:rPr>
                <w:rFonts w:eastAsia="Times New Roman"/>
                <w:noProof/>
                <w:color w:val="0000FF"/>
                <w:sz w:val="20"/>
                <w:szCs w:val="20"/>
              </w:rPr>
            </w:pPr>
            <w:r>
              <w:rPr>
                <w:noProof/>
                <w:sz w:val="20"/>
              </w:rPr>
              <w:t xml:space="preserve">agri.ddg1.a.2(2018)2631461 </w:t>
            </w:r>
          </w:p>
        </w:tc>
      </w:tr>
      <w:tr>
        <w:tc>
          <w:tcPr>
            <w:tcW w:w="7144" w:type="dxa"/>
            <w:gridSpan w:val="4"/>
            <w:tcBorders>
              <w:top w:val="nil"/>
            </w:tcBorders>
          </w:tcPr>
          <w:p>
            <w:pPr>
              <w:spacing w:before="0" w:after="0"/>
              <w:jc w:val="left"/>
              <w:rPr>
                <w:rFonts w:eastAsia="Times New Roman"/>
                <w:noProof/>
                <w:sz w:val="20"/>
                <w:szCs w:val="20"/>
              </w:rPr>
            </w:pPr>
          </w:p>
        </w:tc>
        <w:tc>
          <w:tcPr>
            <w:tcW w:w="1984" w:type="dxa"/>
            <w:gridSpan w:val="3"/>
          </w:tcPr>
          <w:p>
            <w:pPr>
              <w:spacing w:before="0" w:after="0"/>
              <w:jc w:val="left"/>
              <w:rPr>
                <w:rFonts w:eastAsia="Times New Roman"/>
                <w:noProof/>
                <w:color w:val="0000FF"/>
                <w:sz w:val="20"/>
                <w:szCs w:val="20"/>
              </w:rPr>
            </w:pPr>
            <w:r>
              <w:rPr>
                <w:noProof/>
                <w:sz w:val="20"/>
              </w:rPr>
              <w:t>ДАТА: 7.5.2018 г.</w:t>
            </w:r>
          </w:p>
          <w:p>
            <w:pPr>
              <w:spacing w:before="0" w:after="0"/>
              <w:jc w:val="left"/>
              <w:rPr>
                <w:rFonts w:eastAsia="Times New Roman"/>
                <w:noProof/>
                <w:sz w:val="20"/>
                <w:szCs w:val="20"/>
              </w:rPr>
            </w:pPr>
          </w:p>
        </w:tc>
      </w:tr>
      <w:tr>
        <w:tc>
          <w:tcPr>
            <w:tcW w:w="567" w:type="dxa"/>
            <w:tcBorders>
              <w:right w:val="nil"/>
            </w:tcBorders>
          </w:tcPr>
          <w:p>
            <w:pPr>
              <w:spacing w:before="0" w:after="0"/>
              <w:jc w:val="left"/>
              <w:rPr>
                <w:rFonts w:eastAsia="Times New Roman"/>
                <w:noProof/>
                <w:sz w:val="20"/>
                <w:szCs w:val="20"/>
              </w:rPr>
            </w:pPr>
            <w:r>
              <w:rPr>
                <w:noProof/>
                <w:sz w:val="20"/>
              </w:rPr>
              <w:t>1.</w:t>
            </w:r>
          </w:p>
        </w:tc>
        <w:tc>
          <w:tcPr>
            <w:tcW w:w="6577" w:type="dxa"/>
            <w:gridSpan w:val="3"/>
            <w:tcBorders>
              <w:left w:val="nil"/>
              <w:right w:val="nil"/>
            </w:tcBorders>
          </w:tcPr>
          <w:p>
            <w:pPr>
              <w:spacing w:before="0" w:after="0"/>
              <w:jc w:val="left"/>
              <w:rPr>
                <w:rFonts w:eastAsia="Times New Roman"/>
                <w:noProof/>
                <w:sz w:val="20"/>
                <w:szCs w:val="20"/>
              </w:rPr>
            </w:pPr>
            <w:r>
              <w:rPr>
                <w:noProof/>
                <w:sz w:val="20"/>
              </w:rPr>
              <w:t>БЮДЖЕТЕН РЕД:</w:t>
            </w:r>
          </w:p>
          <w:p>
            <w:pPr>
              <w:spacing w:before="0" w:after="0"/>
              <w:jc w:val="left"/>
              <w:rPr>
                <w:rFonts w:eastAsia="Times New Roman"/>
                <w:noProof/>
                <w:sz w:val="20"/>
                <w:szCs w:val="20"/>
              </w:rPr>
            </w:pPr>
            <w:r>
              <w:rPr>
                <w:noProof/>
                <w:sz w:val="20"/>
              </w:rPr>
              <w:t>Глава 12 — Мита и други задължения</w:t>
            </w:r>
          </w:p>
          <w:p>
            <w:pPr>
              <w:spacing w:before="0" w:after="0"/>
              <w:jc w:val="left"/>
              <w:rPr>
                <w:rFonts w:eastAsia="Times New Roman"/>
                <w:noProof/>
                <w:sz w:val="20"/>
                <w:szCs w:val="20"/>
              </w:rPr>
            </w:pPr>
          </w:p>
        </w:tc>
        <w:tc>
          <w:tcPr>
            <w:tcW w:w="1984" w:type="dxa"/>
            <w:gridSpan w:val="3"/>
            <w:tcBorders>
              <w:left w:val="nil"/>
            </w:tcBorders>
          </w:tcPr>
          <w:p>
            <w:pPr>
              <w:spacing w:before="0" w:after="0"/>
              <w:jc w:val="left"/>
              <w:rPr>
                <w:rFonts w:eastAsia="Times New Roman"/>
                <w:noProof/>
                <w:sz w:val="20"/>
                <w:szCs w:val="20"/>
              </w:rPr>
            </w:pPr>
            <w:r>
              <w:rPr>
                <w:noProof/>
                <w:sz w:val="20"/>
              </w:rPr>
              <w:t>БЮДЖЕТНИ КРЕДИТИ:</w:t>
            </w:r>
          </w:p>
          <w:p>
            <w:pPr>
              <w:spacing w:before="0" w:after="0"/>
              <w:jc w:val="left"/>
              <w:rPr>
                <w:rFonts w:eastAsia="Times New Roman"/>
                <w:noProof/>
                <w:sz w:val="20"/>
                <w:szCs w:val="20"/>
              </w:rPr>
            </w:pPr>
            <w:r>
              <w:rPr>
                <w:noProof/>
                <w:sz w:val="20"/>
              </w:rPr>
              <w:t>22 844 милиона евро</w:t>
            </w:r>
          </w:p>
          <w:p>
            <w:pPr>
              <w:spacing w:before="0" w:after="0"/>
              <w:jc w:val="left"/>
              <w:rPr>
                <w:rFonts w:eastAsia="Times New Roman"/>
                <w:noProof/>
                <w:sz w:val="20"/>
                <w:szCs w:val="20"/>
              </w:rPr>
            </w:pPr>
            <w:r>
              <w:rPr>
                <w:noProof/>
                <w:sz w:val="20"/>
              </w:rPr>
              <w:t xml:space="preserve"> </w:t>
            </w:r>
          </w:p>
        </w:tc>
      </w:tr>
      <w:tr>
        <w:tc>
          <w:tcPr>
            <w:tcW w:w="567" w:type="dxa"/>
            <w:tcBorders>
              <w:bottom w:val="nil"/>
              <w:right w:val="nil"/>
            </w:tcBorders>
          </w:tcPr>
          <w:p>
            <w:pPr>
              <w:spacing w:before="0" w:after="0"/>
              <w:jc w:val="left"/>
              <w:rPr>
                <w:rFonts w:eastAsia="Times New Roman"/>
                <w:noProof/>
                <w:sz w:val="20"/>
                <w:szCs w:val="20"/>
              </w:rPr>
            </w:pPr>
            <w:r>
              <w:rPr>
                <w:noProof/>
                <w:sz w:val="20"/>
              </w:rPr>
              <w:t>2.</w:t>
            </w:r>
          </w:p>
        </w:tc>
        <w:tc>
          <w:tcPr>
            <w:tcW w:w="8561" w:type="dxa"/>
            <w:gridSpan w:val="6"/>
            <w:tcBorders>
              <w:left w:val="nil"/>
            </w:tcBorders>
          </w:tcPr>
          <w:p>
            <w:pPr>
              <w:spacing w:before="0" w:after="0"/>
              <w:jc w:val="left"/>
              <w:rPr>
                <w:rFonts w:eastAsia="Times New Roman"/>
                <w:b/>
                <w:noProof/>
                <w:sz w:val="20"/>
                <w:szCs w:val="20"/>
              </w:rPr>
            </w:pPr>
            <w:r>
              <w:rPr>
                <w:noProof/>
                <w:sz w:val="20"/>
              </w:rPr>
              <w:t>ЗАГЛАВИЕ: Предложение за РЕШЕНИЕ НА СЪВЕТА за сключване, от името на Европейския съюз, на Споразумението под формата на размяна на писма между Съюза и Китайската народна република във връзка с процедура DS492 на СТО за уреждане на спорове — „Мерки, засягащи тарифните отстъпки за някои продукти от птиче месо“</w:t>
            </w:r>
          </w:p>
          <w:p>
            <w:pPr>
              <w:spacing w:before="0" w:after="0"/>
              <w:jc w:val="left"/>
              <w:rPr>
                <w:rFonts w:eastAsia="Times New Roman"/>
                <w:noProof/>
                <w:sz w:val="20"/>
                <w:szCs w:val="20"/>
              </w:rPr>
            </w:pPr>
          </w:p>
          <w:p>
            <w:pPr>
              <w:spacing w:before="0" w:after="0"/>
              <w:jc w:val="left"/>
              <w:rPr>
                <w:rFonts w:eastAsia="Times New Roman"/>
                <w:noProof/>
                <w:sz w:val="20"/>
                <w:szCs w:val="20"/>
              </w:rPr>
            </w:pPr>
          </w:p>
        </w:tc>
      </w:tr>
      <w:tr>
        <w:tc>
          <w:tcPr>
            <w:tcW w:w="567" w:type="dxa"/>
            <w:tcBorders>
              <w:bottom w:val="nil"/>
              <w:right w:val="nil"/>
            </w:tcBorders>
          </w:tcPr>
          <w:p>
            <w:pPr>
              <w:spacing w:before="0" w:after="0"/>
              <w:jc w:val="left"/>
              <w:rPr>
                <w:rFonts w:eastAsia="Times New Roman"/>
                <w:noProof/>
                <w:sz w:val="20"/>
                <w:szCs w:val="20"/>
              </w:rPr>
            </w:pPr>
            <w:r>
              <w:rPr>
                <w:noProof/>
                <w:sz w:val="20"/>
              </w:rPr>
              <w:t>3.</w:t>
            </w:r>
          </w:p>
        </w:tc>
        <w:tc>
          <w:tcPr>
            <w:tcW w:w="8561" w:type="dxa"/>
            <w:gridSpan w:val="6"/>
            <w:tcBorders>
              <w:left w:val="nil"/>
            </w:tcBorders>
          </w:tcPr>
          <w:p>
            <w:pPr>
              <w:spacing w:before="0" w:after="0"/>
              <w:jc w:val="left"/>
              <w:rPr>
                <w:rFonts w:eastAsia="Times New Roman"/>
                <w:noProof/>
                <w:sz w:val="20"/>
                <w:szCs w:val="20"/>
              </w:rPr>
            </w:pPr>
            <w:r>
              <w:rPr>
                <w:noProof/>
                <w:sz w:val="20"/>
              </w:rPr>
              <w:t xml:space="preserve">ПРАВНО ОСНОВАНИЕ: Договор за функционирането на Европейския съюз и по-специално член 207 във връзка с член 218, параграф 5. </w:t>
            </w:r>
          </w:p>
        </w:tc>
      </w:tr>
      <w:tr>
        <w:tc>
          <w:tcPr>
            <w:tcW w:w="567" w:type="dxa"/>
            <w:tcBorders>
              <w:right w:val="nil"/>
            </w:tcBorders>
          </w:tcPr>
          <w:p>
            <w:pPr>
              <w:spacing w:before="0" w:after="0"/>
              <w:jc w:val="left"/>
              <w:rPr>
                <w:rFonts w:eastAsia="Times New Roman"/>
                <w:noProof/>
                <w:sz w:val="20"/>
                <w:szCs w:val="20"/>
              </w:rPr>
            </w:pPr>
            <w:r>
              <w:rPr>
                <w:noProof/>
                <w:sz w:val="20"/>
              </w:rPr>
              <w:t>4.</w:t>
            </w:r>
          </w:p>
        </w:tc>
        <w:tc>
          <w:tcPr>
            <w:tcW w:w="8561" w:type="dxa"/>
            <w:gridSpan w:val="6"/>
            <w:tcBorders>
              <w:left w:val="nil"/>
            </w:tcBorders>
          </w:tcPr>
          <w:p>
            <w:pPr>
              <w:spacing w:before="0" w:after="0"/>
              <w:jc w:val="left"/>
              <w:rPr>
                <w:rFonts w:eastAsia="Times New Roman"/>
                <w:noProof/>
                <w:sz w:val="20"/>
                <w:szCs w:val="20"/>
              </w:rPr>
            </w:pPr>
            <w:r>
              <w:rPr>
                <w:noProof/>
                <w:sz w:val="20"/>
              </w:rPr>
              <w:t>ЦЕЛИ: откриване на тарифни квоти за някои продукти от птиче месо с конкретно разпределение на количествата за Китай и всички останали държави след процедура DS492 на СТО за разрешаване на спорове.</w:t>
            </w:r>
          </w:p>
        </w:tc>
      </w:tr>
      <w:tr>
        <w:tc>
          <w:tcPr>
            <w:tcW w:w="567" w:type="dxa"/>
            <w:tcBorders>
              <w:bottom w:val="nil"/>
              <w:right w:val="nil"/>
            </w:tcBorders>
          </w:tcPr>
          <w:p>
            <w:pPr>
              <w:spacing w:before="0" w:after="0"/>
              <w:jc w:val="left"/>
              <w:rPr>
                <w:rFonts w:eastAsia="Times New Roman"/>
                <w:noProof/>
                <w:sz w:val="20"/>
                <w:szCs w:val="20"/>
              </w:rPr>
            </w:pPr>
            <w:r>
              <w:rPr>
                <w:noProof/>
                <w:sz w:val="20"/>
              </w:rPr>
              <w:t>5.</w:t>
            </w:r>
          </w:p>
        </w:tc>
        <w:tc>
          <w:tcPr>
            <w:tcW w:w="3884" w:type="dxa"/>
            <w:tcBorders>
              <w:left w:val="nil"/>
            </w:tcBorders>
          </w:tcPr>
          <w:p>
            <w:pPr>
              <w:spacing w:before="0" w:after="0"/>
              <w:jc w:val="left"/>
              <w:rPr>
                <w:rFonts w:eastAsia="Times New Roman"/>
                <w:noProof/>
                <w:sz w:val="20"/>
                <w:szCs w:val="20"/>
              </w:rPr>
            </w:pPr>
            <w:r>
              <w:rPr>
                <w:noProof/>
                <w:sz w:val="20"/>
              </w:rPr>
              <w:t>ФИНАНСОВО ОТРАЖЕНИЕ</w:t>
            </w:r>
          </w:p>
        </w:tc>
        <w:tc>
          <w:tcPr>
            <w:tcW w:w="1417" w:type="dxa"/>
          </w:tcPr>
          <w:p>
            <w:pPr>
              <w:spacing w:before="0" w:after="0"/>
              <w:jc w:val="center"/>
              <w:rPr>
                <w:rFonts w:eastAsia="Times New Roman"/>
                <w:noProof/>
                <w:sz w:val="20"/>
                <w:szCs w:val="20"/>
              </w:rPr>
            </w:pPr>
            <w:r>
              <w:rPr>
                <w:noProof/>
                <w:sz w:val="20"/>
              </w:rPr>
              <w:t>ТЕКУЩ ФИНАНСОВ ПЕРИОД</w:t>
            </w:r>
            <w:r>
              <w:rPr>
                <w:rFonts w:eastAsia="Times New Roman"/>
                <w:noProof/>
                <w:sz w:val="20"/>
                <w:szCs w:val="20"/>
              </w:rPr>
              <w:br/>
            </w:r>
            <w:r>
              <w:rPr>
                <w:noProof/>
                <w:sz w:val="20"/>
              </w:rPr>
              <w:t>2018 г.</w:t>
            </w:r>
            <w:r>
              <w:rPr>
                <w:rFonts w:eastAsia="Times New Roman"/>
                <w:noProof/>
                <w:sz w:val="20"/>
                <w:szCs w:val="20"/>
              </w:rPr>
              <w:br/>
            </w:r>
            <w:r>
              <w:rPr>
                <w:noProof/>
                <w:sz w:val="20"/>
              </w:rPr>
              <w:t>(млн. евро)</w:t>
            </w:r>
          </w:p>
        </w:tc>
        <w:tc>
          <w:tcPr>
            <w:tcW w:w="1559" w:type="dxa"/>
            <w:gridSpan w:val="2"/>
          </w:tcPr>
          <w:p>
            <w:pPr>
              <w:spacing w:before="0" w:after="0"/>
              <w:jc w:val="center"/>
              <w:rPr>
                <w:rFonts w:eastAsia="Times New Roman"/>
                <w:noProof/>
                <w:sz w:val="20"/>
                <w:szCs w:val="20"/>
              </w:rPr>
            </w:pPr>
            <w:r>
              <w:rPr>
                <w:noProof/>
                <w:sz w:val="20"/>
              </w:rPr>
              <w:t>ФИНАНСОВА ГОДИНА</w:t>
            </w:r>
          </w:p>
          <w:p>
            <w:pPr>
              <w:spacing w:before="0" w:after="0"/>
              <w:jc w:val="center"/>
              <w:rPr>
                <w:rFonts w:eastAsia="Times New Roman"/>
                <w:noProof/>
                <w:sz w:val="20"/>
                <w:szCs w:val="20"/>
              </w:rPr>
            </w:pPr>
            <w:r>
              <w:rPr>
                <w:noProof/>
                <w:sz w:val="20"/>
              </w:rPr>
              <w:t>2019 г.</w:t>
            </w:r>
          </w:p>
          <w:p>
            <w:pPr>
              <w:spacing w:before="0" w:after="0"/>
              <w:jc w:val="center"/>
              <w:rPr>
                <w:rFonts w:eastAsia="Times New Roman"/>
                <w:noProof/>
                <w:sz w:val="20"/>
                <w:szCs w:val="20"/>
              </w:rPr>
            </w:pPr>
            <w:r>
              <w:rPr>
                <w:noProof/>
                <w:sz w:val="20"/>
              </w:rPr>
              <w:t>(млн. евро)</w:t>
            </w:r>
          </w:p>
        </w:tc>
        <w:tc>
          <w:tcPr>
            <w:tcW w:w="1701" w:type="dxa"/>
            <w:gridSpan w:val="2"/>
          </w:tcPr>
          <w:p>
            <w:pPr>
              <w:spacing w:before="0" w:after="0"/>
              <w:jc w:val="center"/>
              <w:rPr>
                <w:rFonts w:eastAsia="Times New Roman"/>
                <w:noProof/>
                <w:sz w:val="20"/>
                <w:szCs w:val="20"/>
              </w:rPr>
            </w:pPr>
            <w:r>
              <w:rPr>
                <w:noProof/>
                <w:sz w:val="20"/>
              </w:rPr>
              <w:t>СЛЕДВАЩИ ФИНАНСОВИ ГОДИНИ</w:t>
            </w:r>
          </w:p>
          <w:p>
            <w:pPr>
              <w:spacing w:before="0" w:after="0"/>
              <w:jc w:val="center"/>
              <w:rPr>
                <w:rFonts w:eastAsia="Times New Roman"/>
                <w:noProof/>
                <w:sz w:val="20"/>
                <w:szCs w:val="20"/>
              </w:rPr>
            </w:pPr>
            <w:r>
              <w:rPr>
                <w:noProof/>
                <w:sz w:val="20"/>
              </w:rPr>
              <w:t>2020 г. и след нея</w:t>
            </w:r>
          </w:p>
          <w:p>
            <w:pPr>
              <w:spacing w:before="0" w:after="0"/>
              <w:jc w:val="center"/>
              <w:rPr>
                <w:rFonts w:eastAsia="Times New Roman"/>
                <w:noProof/>
                <w:sz w:val="20"/>
                <w:szCs w:val="20"/>
              </w:rPr>
            </w:pPr>
            <w:r>
              <w:rPr>
                <w:noProof/>
                <w:sz w:val="20"/>
              </w:rPr>
              <w:t>(млн. евро)</w:t>
            </w:r>
          </w:p>
        </w:tc>
      </w:tr>
      <w:tr>
        <w:tc>
          <w:tcPr>
            <w:tcW w:w="567" w:type="dxa"/>
            <w:tcBorders>
              <w:bottom w:val="nil"/>
              <w:right w:val="nil"/>
            </w:tcBorders>
          </w:tcPr>
          <w:p>
            <w:pPr>
              <w:spacing w:before="0" w:after="0"/>
              <w:jc w:val="left"/>
              <w:rPr>
                <w:rFonts w:eastAsia="Times New Roman"/>
                <w:noProof/>
                <w:sz w:val="20"/>
                <w:szCs w:val="20"/>
              </w:rPr>
            </w:pPr>
            <w:r>
              <w:rPr>
                <w:noProof/>
                <w:sz w:val="20"/>
              </w:rPr>
              <w:t>5.0</w:t>
            </w:r>
          </w:p>
        </w:tc>
        <w:tc>
          <w:tcPr>
            <w:tcW w:w="3884" w:type="dxa"/>
            <w:tcBorders>
              <w:left w:val="nil"/>
            </w:tcBorders>
          </w:tcPr>
          <w:p>
            <w:pPr>
              <w:spacing w:before="0" w:after="0"/>
              <w:jc w:val="left"/>
              <w:rPr>
                <w:rFonts w:eastAsia="Times New Roman"/>
                <w:noProof/>
                <w:sz w:val="20"/>
                <w:szCs w:val="20"/>
              </w:rPr>
            </w:pPr>
            <w:r>
              <w:rPr>
                <w:noProof/>
                <w:sz w:val="20"/>
              </w:rPr>
              <w:t>РАЗХОДИ</w:t>
            </w:r>
          </w:p>
          <w:p>
            <w:pPr>
              <w:spacing w:before="0" w:after="0"/>
              <w:jc w:val="left"/>
              <w:rPr>
                <w:rFonts w:eastAsia="Times New Roman"/>
                <w:noProof/>
                <w:sz w:val="20"/>
                <w:szCs w:val="20"/>
              </w:rPr>
            </w:pPr>
            <w:r>
              <w:rPr>
                <w:noProof/>
                <w:sz w:val="20"/>
              </w:rPr>
              <w:t>-</w:t>
            </w:r>
            <w:r>
              <w:rPr>
                <w:noProof/>
              </w:rPr>
              <w:tab/>
            </w:r>
            <w:r>
              <w:rPr>
                <w:noProof/>
                <w:sz w:val="20"/>
              </w:rPr>
              <w:t>ЗА СМЕТКА НА БЮДЖЕТА НА ЕС</w:t>
            </w:r>
            <w:r>
              <w:rPr>
                <w:rFonts w:eastAsia="Times New Roman"/>
                <w:noProof/>
                <w:sz w:val="20"/>
                <w:szCs w:val="20"/>
              </w:rPr>
              <w:br/>
            </w:r>
            <w:r>
              <w:rPr>
                <w:noProof/>
                <w:sz w:val="20"/>
              </w:rPr>
              <w:t>(ВЪЗСТАНОВЯВАНИЯ/ИНТЕРВЕНЦИИ)</w:t>
            </w:r>
          </w:p>
          <w:p>
            <w:pPr>
              <w:spacing w:before="0" w:after="0"/>
              <w:jc w:val="left"/>
              <w:rPr>
                <w:rFonts w:eastAsia="Times New Roman"/>
                <w:noProof/>
                <w:sz w:val="20"/>
                <w:szCs w:val="20"/>
              </w:rPr>
            </w:pPr>
            <w:r>
              <w:rPr>
                <w:noProof/>
                <w:sz w:val="20"/>
              </w:rPr>
              <w:t>-</w:t>
            </w:r>
            <w:r>
              <w:rPr>
                <w:noProof/>
              </w:rPr>
              <w:tab/>
            </w:r>
            <w:r>
              <w:rPr>
                <w:noProof/>
                <w:sz w:val="20"/>
              </w:rPr>
              <w:t>НА НАЦИОНАЛНИТЕ ОРГАНИ</w:t>
            </w:r>
          </w:p>
          <w:p>
            <w:pPr>
              <w:spacing w:before="0" w:after="0"/>
              <w:jc w:val="left"/>
              <w:rPr>
                <w:rFonts w:eastAsia="Times New Roman"/>
                <w:noProof/>
                <w:sz w:val="20"/>
                <w:szCs w:val="20"/>
              </w:rPr>
            </w:pPr>
            <w:r>
              <w:rPr>
                <w:noProof/>
                <w:sz w:val="20"/>
              </w:rPr>
              <w:t>-</w:t>
            </w:r>
            <w:r>
              <w:rPr>
                <w:noProof/>
              </w:rPr>
              <w:tab/>
            </w:r>
            <w:r>
              <w:rPr>
                <w:noProof/>
                <w:sz w:val="20"/>
              </w:rPr>
              <w:t>ДРУГИ</w:t>
            </w:r>
          </w:p>
        </w:tc>
        <w:tc>
          <w:tcPr>
            <w:tcW w:w="1417" w:type="dxa"/>
          </w:tcPr>
          <w:p>
            <w:pPr>
              <w:spacing w:before="0" w:after="0"/>
              <w:jc w:val="center"/>
              <w:rPr>
                <w:rFonts w:eastAsia="Times New Roman"/>
                <w:noProof/>
                <w:sz w:val="20"/>
                <w:szCs w:val="20"/>
              </w:rPr>
            </w:pPr>
            <w:r>
              <w:rPr>
                <w:noProof/>
                <w:sz w:val="20"/>
              </w:rPr>
              <w:t>N.A.</w:t>
            </w:r>
          </w:p>
        </w:tc>
        <w:tc>
          <w:tcPr>
            <w:tcW w:w="1559" w:type="dxa"/>
            <w:gridSpan w:val="2"/>
          </w:tcPr>
          <w:p>
            <w:pPr>
              <w:spacing w:before="0" w:after="0"/>
              <w:jc w:val="center"/>
              <w:rPr>
                <w:rFonts w:eastAsia="Times New Roman"/>
                <w:noProof/>
                <w:sz w:val="20"/>
                <w:szCs w:val="20"/>
              </w:rPr>
            </w:pPr>
            <w:r>
              <w:rPr>
                <w:noProof/>
                <w:sz w:val="20"/>
              </w:rPr>
              <w:t>-</w:t>
            </w:r>
          </w:p>
        </w:tc>
        <w:tc>
          <w:tcPr>
            <w:tcW w:w="1701" w:type="dxa"/>
            <w:gridSpan w:val="2"/>
          </w:tcPr>
          <w:p>
            <w:pPr>
              <w:spacing w:before="0" w:after="0"/>
              <w:jc w:val="center"/>
              <w:rPr>
                <w:rFonts w:eastAsia="Times New Roman"/>
                <w:noProof/>
                <w:sz w:val="20"/>
                <w:szCs w:val="20"/>
              </w:rPr>
            </w:pPr>
            <w:r>
              <w:rPr>
                <w:noProof/>
                <w:sz w:val="20"/>
              </w:rPr>
              <w:t>-</w:t>
            </w:r>
          </w:p>
        </w:tc>
      </w:tr>
      <w:tr>
        <w:tc>
          <w:tcPr>
            <w:tcW w:w="567" w:type="dxa"/>
            <w:tcBorders>
              <w:right w:val="nil"/>
            </w:tcBorders>
          </w:tcPr>
          <w:p>
            <w:pPr>
              <w:spacing w:before="0" w:after="0"/>
              <w:jc w:val="left"/>
              <w:rPr>
                <w:rFonts w:eastAsia="Times New Roman"/>
                <w:noProof/>
                <w:sz w:val="20"/>
                <w:szCs w:val="20"/>
              </w:rPr>
            </w:pPr>
            <w:r>
              <w:rPr>
                <w:noProof/>
                <w:sz w:val="20"/>
              </w:rPr>
              <w:t>5.1</w:t>
            </w:r>
          </w:p>
        </w:tc>
        <w:tc>
          <w:tcPr>
            <w:tcW w:w="3884" w:type="dxa"/>
            <w:tcBorders>
              <w:left w:val="nil"/>
            </w:tcBorders>
          </w:tcPr>
          <w:p>
            <w:pPr>
              <w:spacing w:before="0" w:after="0"/>
              <w:jc w:val="left"/>
              <w:rPr>
                <w:rFonts w:eastAsia="Times New Roman"/>
                <w:noProof/>
                <w:sz w:val="20"/>
                <w:szCs w:val="20"/>
              </w:rPr>
            </w:pPr>
            <w:r>
              <w:rPr>
                <w:noProof/>
                <w:sz w:val="20"/>
              </w:rPr>
              <w:t>ПРИХОДИ</w:t>
            </w:r>
          </w:p>
          <w:p>
            <w:pPr>
              <w:spacing w:before="0" w:after="0"/>
              <w:jc w:val="left"/>
              <w:rPr>
                <w:rFonts w:eastAsia="Times New Roman"/>
                <w:noProof/>
                <w:sz w:val="20"/>
                <w:szCs w:val="20"/>
              </w:rPr>
            </w:pPr>
            <w:r>
              <w:rPr>
                <w:noProof/>
                <w:sz w:val="20"/>
              </w:rPr>
              <w:t>-</w:t>
            </w:r>
            <w:r>
              <w:rPr>
                <w:noProof/>
              </w:rPr>
              <w:tab/>
            </w:r>
            <w:r>
              <w:rPr>
                <w:noProof/>
                <w:sz w:val="20"/>
              </w:rPr>
              <w:t xml:space="preserve">СОБСТВЕНИ РЕСУРСИ НА ЕС </w:t>
            </w:r>
            <w:r>
              <w:rPr>
                <w:rFonts w:eastAsia="Times New Roman"/>
                <w:noProof/>
                <w:sz w:val="20"/>
                <w:szCs w:val="20"/>
              </w:rPr>
              <w:br/>
            </w:r>
            <w:r>
              <w:rPr>
                <w:noProof/>
                <w:sz w:val="20"/>
              </w:rPr>
              <w:t>(НАЛОЗИ/МИТА)</w:t>
            </w:r>
          </w:p>
          <w:p>
            <w:pPr>
              <w:spacing w:before="0" w:after="0"/>
              <w:jc w:val="left"/>
              <w:rPr>
                <w:rFonts w:eastAsia="Times New Roman"/>
                <w:noProof/>
                <w:sz w:val="20"/>
                <w:szCs w:val="20"/>
              </w:rPr>
            </w:pPr>
            <w:r>
              <w:rPr>
                <w:noProof/>
                <w:sz w:val="20"/>
              </w:rPr>
              <w:t>-</w:t>
            </w:r>
            <w:r>
              <w:rPr>
                <w:noProof/>
              </w:rPr>
              <w:tab/>
            </w:r>
            <w:r>
              <w:rPr>
                <w:noProof/>
                <w:sz w:val="20"/>
              </w:rPr>
              <w:t>НАЦИОНАЛНИ</w:t>
            </w:r>
          </w:p>
        </w:tc>
        <w:tc>
          <w:tcPr>
            <w:tcW w:w="1417" w:type="dxa"/>
          </w:tcPr>
          <w:p>
            <w:pPr>
              <w:spacing w:before="0" w:after="0"/>
              <w:jc w:val="center"/>
              <w:rPr>
                <w:rFonts w:eastAsia="Times New Roman"/>
                <w:noProof/>
                <w:sz w:val="20"/>
                <w:szCs w:val="20"/>
              </w:rPr>
            </w:pPr>
            <w:r>
              <w:rPr>
                <w:noProof/>
                <w:sz w:val="20"/>
              </w:rPr>
              <w:t>-</w:t>
            </w:r>
          </w:p>
        </w:tc>
        <w:tc>
          <w:tcPr>
            <w:tcW w:w="1559" w:type="dxa"/>
            <w:gridSpan w:val="2"/>
          </w:tcPr>
          <w:p>
            <w:pPr>
              <w:spacing w:before="0" w:after="0"/>
              <w:jc w:val="center"/>
              <w:rPr>
                <w:rFonts w:eastAsia="Times New Roman"/>
                <w:noProof/>
                <w:sz w:val="20"/>
                <w:szCs w:val="20"/>
              </w:rPr>
            </w:pPr>
            <w:r>
              <w:rPr>
                <w:noProof/>
                <w:sz w:val="20"/>
              </w:rPr>
              <w:t xml:space="preserve">-8,2 </w:t>
            </w:r>
          </w:p>
        </w:tc>
        <w:tc>
          <w:tcPr>
            <w:tcW w:w="1701" w:type="dxa"/>
            <w:gridSpan w:val="2"/>
          </w:tcPr>
          <w:p>
            <w:pPr>
              <w:spacing w:before="0" w:after="0"/>
              <w:jc w:val="center"/>
              <w:rPr>
                <w:rFonts w:eastAsia="Times New Roman"/>
                <w:noProof/>
                <w:sz w:val="20"/>
                <w:szCs w:val="20"/>
              </w:rPr>
            </w:pPr>
            <w:r>
              <w:rPr>
                <w:noProof/>
                <w:sz w:val="20"/>
              </w:rPr>
              <w:t>-8,2</w:t>
            </w:r>
          </w:p>
        </w:tc>
      </w:tr>
      <w:tr>
        <w:tc>
          <w:tcPr>
            <w:tcW w:w="567" w:type="dxa"/>
            <w:tcBorders>
              <w:right w:val="nil"/>
            </w:tcBorders>
          </w:tcPr>
          <w:p>
            <w:pPr>
              <w:spacing w:before="0" w:after="0"/>
              <w:jc w:val="left"/>
              <w:rPr>
                <w:rFonts w:eastAsia="Times New Roman"/>
                <w:noProof/>
                <w:sz w:val="20"/>
                <w:szCs w:val="20"/>
              </w:rPr>
            </w:pPr>
            <w:r>
              <w:rPr>
                <w:noProof/>
                <w:sz w:val="20"/>
              </w:rPr>
              <w:t>5.2</w:t>
            </w:r>
          </w:p>
        </w:tc>
        <w:tc>
          <w:tcPr>
            <w:tcW w:w="8561" w:type="dxa"/>
            <w:gridSpan w:val="6"/>
            <w:tcBorders>
              <w:left w:val="nil"/>
            </w:tcBorders>
          </w:tcPr>
          <w:p>
            <w:pPr>
              <w:spacing w:before="60" w:after="60"/>
              <w:jc w:val="left"/>
              <w:rPr>
                <w:rFonts w:eastAsia="Times New Roman"/>
                <w:noProof/>
                <w:sz w:val="20"/>
                <w:szCs w:val="20"/>
              </w:rPr>
            </w:pPr>
            <w:r>
              <w:rPr>
                <w:noProof/>
                <w:sz w:val="20"/>
              </w:rPr>
              <w:t>МЕТОД НА ИЗЧИСЛЕНИЕ:Вж. забележките</w:t>
            </w:r>
          </w:p>
        </w:tc>
      </w:tr>
      <w:tr>
        <w:tc>
          <w:tcPr>
            <w:tcW w:w="567" w:type="dxa"/>
            <w:tcBorders>
              <w:bottom w:val="nil"/>
              <w:right w:val="nil"/>
            </w:tcBorders>
          </w:tcPr>
          <w:p>
            <w:pPr>
              <w:spacing w:before="0" w:after="0"/>
              <w:jc w:val="left"/>
              <w:rPr>
                <w:rFonts w:eastAsia="Times New Roman"/>
                <w:noProof/>
                <w:sz w:val="20"/>
                <w:szCs w:val="20"/>
              </w:rPr>
            </w:pPr>
            <w:r>
              <w:rPr>
                <w:noProof/>
                <w:sz w:val="20"/>
              </w:rPr>
              <w:t>6.0</w:t>
            </w:r>
          </w:p>
        </w:tc>
        <w:tc>
          <w:tcPr>
            <w:tcW w:w="7427" w:type="dxa"/>
            <w:gridSpan w:val="5"/>
            <w:tcBorders>
              <w:left w:val="nil"/>
              <w:right w:val="nil"/>
            </w:tcBorders>
          </w:tcPr>
          <w:p>
            <w:pPr>
              <w:spacing w:before="60" w:after="60"/>
              <w:jc w:val="left"/>
              <w:rPr>
                <w:rFonts w:eastAsia="Times New Roman"/>
                <w:noProof/>
                <w:sz w:val="20"/>
                <w:szCs w:val="20"/>
              </w:rPr>
            </w:pPr>
            <w:r>
              <w:rPr>
                <w:noProof/>
                <w:sz w:val="20"/>
              </w:rPr>
              <w:t>МОЖЕ ЛИ ПРОЕКТЪТ ДА БЪДЕ ФИНАНСИРАН ОТ БЮДЖЕТНИ КРЕДИТИ, ВПИСАНИ В СЪОТВЕТНАТА ГЛАВА НА ТЕКУЩИЯ БЮДЖЕТ?</w:t>
            </w:r>
          </w:p>
        </w:tc>
        <w:tc>
          <w:tcPr>
            <w:tcW w:w="1134" w:type="dxa"/>
            <w:tcBorders>
              <w:left w:val="nil"/>
              <w:bottom w:val="nil"/>
            </w:tcBorders>
          </w:tcPr>
          <w:p>
            <w:pPr>
              <w:spacing w:before="0" w:after="0"/>
              <w:jc w:val="center"/>
              <w:rPr>
                <w:rFonts w:eastAsia="Times New Roman"/>
                <w:noProof/>
                <w:sz w:val="20"/>
                <w:szCs w:val="20"/>
              </w:rPr>
            </w:pPr>
            <w:r>
              <w:rPr>
                <w:noProof/>
                <w:sz w:val="20"/>
              </w:rPr>
              <w:t>ДА/</w:t>
            </w:r>
            <w:r>
              <w:rPr>
                <w:strike/>
                <w:noProof/>
                <w:sz w:val="20"/>
              </w:rPr>
              <w:t>НЕ</w:t>
            </w:r>
          </w:p>
        </w:tc>
      </w:tr>
      <w:tr>
        <w:tc>
          <w:tcPr>
            <w:tcW w:w="567" w:type="dxa"/>
            <w:tcBorders>
              <w:bottom w:val="nil"/>
              <w:right w:val="nil"/>
            </w:tcBorders>
          </w:tcPr>
          <w:p>
            <w:pPr>
              <w:spacing w:before="0" w:after="0"/>
              <w:jc w:val="left"/>
              <w:rPr>
                <w:rFonts w:eastAsia="Times New Roman"/>
                <w:noProof/>
                <w:sz w:val="20"/>
                <w:szCs w:val="20"/>
              </w:rPr>
            </w:pPr>
            <w:r>
              <w:rPr>
                <w:noProof/>
                <w:sz w:val="20"/>
              </w:rPr>
              <w:t>6.1</w:t>
            </w:r>
          </w:p>
        </w:tc>
        <w:tc>
          <w:tcPr>
            <w:tcW w:w="7427" w:type="dxa"/>
            <w:gridSpan w:val="5"/>
            <w:tcBorders>
              <w:left w:val="nil"/>
              <w:right w:val="nil"/>
            </w:tcBorders>
          </w:tcPr>
          <w:p>
            <w:pPr>
              <w:spacing w:before="60" w:after="60"/>
              <w:jc w:val="left"/>
              <w:rPr>
                <w:rFonts w:eastAsia="Times New Roman"/>
                <w:noProof/>
                <w:sz w:val="20"/>
                <w:szCs w:val="20"/>
              </w:rPr>
            </w:pPr>
            <w:r>
              <w:rPr>
                <w:noProof/>
                <w:sz w:val="20"/>
              </w:rPr>
              <w:t>МОЖЕ ЛИ ПРОЕКТЪТ ДА БЪДЕ ФИНАНСИРАН ЧРЕЗ ПРЕХВЪРЛЯНЕ МЕЖДУ ГЛАВИ ОТ ТЕКУЩИЯ БЮДЖЕТ?</w:t>
            </w:r>
          </w:p>
        </w:tc>
        <w:tc>
          <w:tcPr>
            <w:tcW w:w="1134" w:type="dxa"/>
            <w:tcBorders>
              <w:left w:val="nil"/>
              <w:bottom w:val="nil"/>
            </w:tcBorders>
          </w:tcPr>
          <w:p>
            <w:pPr>
              <w:spacing w:before="0" w:after="0"/>
              <w:jc w:val="center"/>
              <w:rPr>
                <w:rFonts w:eastAsia="Times New Roman"/>
                <w:strike/>
                <w:noProof/>
                <w:sz w:val="20"/>
                <w:szCs w:val="20"/>
              </w:rPr>
            </w:pPr>
            <w:r>
              <w:rPr>
                <w:strike/>
                <w:noProof/>
                <w:sz w:val="20"/>
              </w:rPr>
              <w:t>ДА/НЕ</w:t>
            </w:r>
          </w:p>
        </w:tc>
      </w:tr>
      <w:tr>
        <w:tc>
          <w:tcPr>
            <w:tcW w:w="567" w:type="dxa"/>
            <w:tcBorders>
              <w:bottom w:val="nil"/>
              <w:right w:val="nil"/>
            </w:tcBorders>
          </w:tcPr>
          <w:p>
            <w:pPr>
              <w:spacing w:before="0" w:after="0"/>
              <w:jc w:val="left"/>
              <w:rPr>
                <w:rFonts w:eastAsia="Times New Roman"/>
                <w:noProof/>
                <w:sz w:val="20"/>
                <w:szCs w:val="20"/>
              </w:rPr>
            </w:pPr>
            <w:r>
              <w:rPr>
                <w:noProof/>
                <w:sz w:val="20"/>
              </w:rPr>
              <w:t>6.2</w:t>
            </w:r>
          </w:p>
        </w:tc>
        <w:tc>
          <w:tcPr>
            <w:tcW w:w="7427" w:type="dxa"/>
            <w:gridSpan w:val="5"/>
            <w:tcBorders>
              <w:left w:val="nil"/>
              <w:right w:val="nil"/>
            </w:tcBorders>
          </w:tcPr>
          <w:p>
            <w:pPr>
              <w:spacing w:before="60" w:after="60"/>
              <w:jc w:val="left"/>
              <w:rPr>
                <w:rFonts w:eastAsia="Times New Roman"/>
                <w:noProof/>
                <w:sz w:val="20"/>
                <w:szCs w:val="20"/>
              </w:rPr>
            </w:pPr>
            <w:r>
              <w:rPr>
                <w:noProof/>
                <w:sz w:val="20"/>
              </w:rPr>
              <w:t>ЩЕ БЪДЕ ЛИ НЕОБХОДИМ ДОПЪЛНИТЕЛЕН БЮДЖЕТ?</w:t>
            </w:r>
          </w:p>
        </w:tc>
        <w:tc>
          <w:tcPr>
            <w:tcW w:w="1134" w:type="dxa"/>
            <w:tcBorders>
              <w:left w:val="nil"/>
              <w:bottom w:val="nil"/>
            </w:tcBorders>
          </w:tcPr>
          <w:p>
            <w:pPr>
              <w:spacing w:before="0" w:after="0"/>
              <w:jc w:val="center"/>
              <w:rPr>
                <w:rFonts w:eastAsia="Times New Roman"/>
                <w:strike/>
                <w:noProof/>
                <w:sz w:val="20"/>
                <w:szCs w:val="20"/>
              </w:rPr>
            </w:pPr>
            <w:r>
              <w:rPr>
                <w:strike/>
                <w:noProof/>
                <w:sz w:val="20"/>
              </w:rPr>
              <w:t>ДА/НЕ</w:t>
            </w:r>
          </w:p>
        </w:tc>
      </w:tr>
      <w:tr>
        <w:tc>
          <w:tcPr>
            <w:tcW w:w="567" w:type="dxa"/>
            <w:tcBorders>
              <w:right w:val="nil"/>
            </w:tcBorders>
          </w:tcPr>
          <w:p>
            <w:pPr>
              <w:spacing w:before="0" w:after="0"/>
              <w:jc w:val="left"/>
              <w:rPr>
                <w:rFonts w:eastAsia="Times New Roman"/>
                <w:noProof/>
                <w:sz w:val="20"/>
                <w:szCs w:val="20"/>
              </w:rPr>
            </w:pPr>
            <w:r>
              <w:rPr>
                <w:noProof/>
                <w:sz w:val="20"/>
              </w:rPr>
              <w:t>6.3</w:t>
            </w:r>
          </w:p>
        </w:tc>
        <w:tc>
          <w:tcPr>
            <w:tcW w:w="7427" w:type="dxa"/>
            <w:gridSpan w:val="5"/>
            <w:tcBorders>
              <w:left w:val="nil"/>
              <w:right w:val="nil"/>
            </w:tcBorders>
          </w:tcPr>
          <w:p>
            <w:pPr>
              <w:spacing w:before="60" w:after="60"/>
              <w:jc w:val="left"/>
              <w:rPr>
                <w:rFonts w:eastAsia="Times New Roman"/>
                <w:noProof/>
                <w:sz w:val="20"/>
                <w:szCs w:val="20"/>
              </w:rPr>
            </w:pPr>
            <w:r>
              <w:rPr>
                <w:noProof/>
                <w:sz w:val="20"/>
              </w:rPr>
              <w:t>ЩЕ БЪДЕ ЛИ НЕОБХОДИМО ВПИСВАНЕТО НА БЮДЖЕТНИ КРЕДИТИ В БЪДЕЩИ БЮДЖЕТИ?</w:t>
            </w:r>
          </w:p>
        </w:tc>
        <w:tc>
          <w:tcPr>
            <w:tcW w:w="1134" w:type="dxa"/>
            <w:tcBorders>
              <w:left w:val="nil"/>
            </w:tcBorders>
          </w:tcPr>
          <w:p>
            <w:pPr>
              <w:spacing w:before="0" w:after="0"/>
              <w:jc w:val="center"/>
              <w:rPr>
                <w:rFonts w:eastAsia="Times New Roman"/>
                <w:strike/>
                <w:noProof/>
                <w:sz w:val="20"/>
                <w:szCs w:val="20"/>
              </w:rPr>
            </w:pPr>
            <w:r>
              <w:rPr>
                <w:strike/>
                <w:noProof/>
                <w:sz w:val="20"/>
              </w:rPr>
              <w:t>ДА/НЕ</w:t>
            </w:r>
          </w:p>
        </w:tc>
      </w:tr>
      <w:tr>
        <w:tc>
          <w:tcPr>
            <w:tcW w:w="9128" w:type="dxa"/>
            <w:gridSpan w:val="7"/>
          </w:tcPr>
          <w:p>
            <w:pPr>
              <w:spacing w:before="0" w:after="0"/>
              <w:jc w:val="left"/>
              <w:rPr>
                <w:rFonts w:eastAsia="Times New Roman"/>
                <w:noProof/>
                <w:sz w:val="20"/>
                <w:szCs w:val="20"/>
              </w:rPr>
            </w:pPr>
            <w:r>
              <w:rPr>
                <w:noProof/>
                <w:sz w:val="20"/>
              </w:rPr>
              <w:t>ЗАБЕЛЕЖКИ:</w:t>
            </w:r>
          </w:p>
          <w:p>
            <w:pPr>
              <w:spacing w:before="0" w:after="0"/>
              <w:jc w:val="left"/>
              <w:rPr>
                <w:rFonts w:eastAsia="Times New Roman"/>
                <w:noProof/>
                <w:sz w:val="20"/>
                <w:szCs w:val="20"/>
              </w:rPr>
            </w:pPr>
            <w:r>
              <w:rPr>
                <w:noProof/>
                <w:sz w:val="20"/>
              </w:rPr>
              <w:t>Предложението няма отражение върху разходите.</w:t>
            </w:r>
          </w:p>
          <w:p>
            <w:pPr>
              <w:spacing w:before="0" w:after="0"/>
              <w:jc w:val="left"/>
              <w:rPr>
                <w:rFonts w:eastAsia="Times New Roman"/>
                <w:noProof/>
                <w:sz w:val="20"/>
                <w:szCs w:val="20"/>
              </w:rPr>
            </w:pPr>
            <w:r>
              <w:rPr>
                <w:noProof/>
                <w:sz w:val="20"/>
              </w:rPr>
              <w:t>Теоретичната загуба на собствени ресурси, като се отчита приспадането на 20 % за разходи по събирането, възлиза на 8,2 млн. евро. За целта е прието, че общите количества,  предоставени с отстъпките (11 720 тона), биха били внесени и при прилагане на пълното мито от 86,7 EUR/100kg, като така би се получил общ размер на собствените ресурси, след приспадане на разходите по събирането, който е равен на 11,2 млн. евро.</w:t>
            </w:r>
          </w:p>
          <w:p>
            <w:pPr>
              <w:spacing w:before="0" w:after="0"/>
              <w:jc w:val="left"/>
              <w:rPr>
                <w:rFonts w:eastAsia="Times New Roman"/>
                <w:noProof/>
                <w:sz w:val="20"/>
                <w:szCs w:val="20"/>
              </w:rPr>
            </w:pPr>
            <w:r>
              <w:rPr>
                <w:noProof/>
                <w:sz w:val="20"/>
              </w:rPr>
              <w:t>Предоставената отстъпка следва да доведе до собствени ресурси, в размер на 3 млн. евро след приспадане на разходите по събирането.</w:t>
            </w:r>
          </w:p>
          <w:p>
            <w:pPr>
              <w:spacing w:before="0" w:after="0"/>
              <w:jc w:val="left"/>
              <w:rPr>
                <w:rFonts w:eastAsia="Times New Roman"/>
                <w:noProof/>
                <w:sz w:val="20"/>
                <w:szCs w:val="20"/>
              </w:rPr>
            </w:pPr>
          </w:p>
        </w:tc>
      </w:tr>
    </w:tbl>
    <w:p>
      <w:pP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 […] г., стр.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130FCE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E9CB9EE"/>
    <w:lvl w:ilvl="0">
      <w:start w:val="1"/>
      <w:numFmt w:val="decimal"/>
      <w:pStyle w:val="ListNumber3"/>
      <w:lvlText w:val="%1."/>
      <w:lvlJc w:val="left"/>
      <w:pPr>
        <w:tabs>
          <w:tab w:val="num" w:pos="926"/>
        </w:tabs>
        <w:ind w:left="926" w:hanging="360"/>
      </w:pPr>
    </w:lvl>
  </w:abstractNum>
  <w:abstractNum w:abstractNumId="2">
    <w:nsid w:val="FFFFFF7F"/>
    <w:multiLevelType w:val="singleLevel"/>
    <w:tmpl w:val="3404F9D0"/>
    <w:lvl w:ilvl="0">
      <w:start w:val="1"/>
      <w:numFmt w:val="decimal"/>
      <w:pStyle w:val="ListNumber2"/>
      <w:lvlText w:val="%1."/>
      <w:lvlJc w:val="left"/>
      <w:pPr>
        <w:tabs>
          <w:tab w:val="num" w:pos="643"/>
        </w:tabs>
        <w:ind w:left="643" w:hanging="360"/>
      </w:pPr>
    </w:lvl>
  </w:abstractNum>
  <w:abstractNum w:abstractNumId="3">
    <w:nsid w:val="FFFFFF81"/>
    <w:multiLevelType w:val="singleLevel"/>
    <w:tmpl w:val="BAFAB1E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4405B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C22798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1244B3E"/>
    <w:lvl w:ilvl="0">
      <w:start w:val="1"/>
      <w:numFmt w:val="decimal"/>
      <w:pStyle w:val="ListNumber"/>
      <w:lvlText w:val="%1."/>
      <w:lvlJc w:val="left"/>
      <w:pPr>
        <w:tabs>
          <w:tab w:val="num" w:pos="360"/>
        </w:tabs>
        <w:ind w:left="360" w:hanging="360"/>
      </w:pPr>
    </w:lvl>
  </w:abstractNum>
  <w:abstractNum w:abstractNumId="7">
    <w:nsid w:val="FFFFFF89"/>
    <w:multiLevelType w:val="singleLevel"/>
    <w:tmpl w:val="41FEF8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8"/>
  </w:num>
  <w:num w:numId="11">
    <w:abstractNumId w:val="13"/>
  </w:num>
  <w:num w:numId="12">
    <w:abstractNumId w:val="18"/>
  </w:num>
  <w:num w:numId="13">
    <w:abstractNumId w:val="17"/>
  </w:num>
  <w:num w:numId="14">
    <w:abstractNumId w:val="25"/>
    <w:lvlOverride w:ilvl="0">
      <w:startOverride w:val="1"/>
    </w:lvlOverride>
  </w:num>
  <w:num w:numId="15">
    <w:abstractNumId w:val="22"/>
  </w:num>
  <w:num w:numId="16">
    <w:abstractNumId w:val="14"/>
  </w:num>
  <w:num w:numId="17">
    <w:abstractNumId w:val="24"/>
  </w:num>
  <w:num w:numId="18">
    <w:abstractNumId w:val="12"/>
  </w:num>
  <w:num w:numId="19">
    <w:abstractNumId w:val="15"/>
  </w:num>
  <w:num w:numId="20">
    <w:abstractNumId w:val="10"/>
  </w:num>
  <w:num w:numId="21">
    <w:abstractNumId w:val="23"/>
  </w:num>
  <w:num w:numId="22">
    <w:abstractNumId w:val="9"/>
  </w:num>
  <w:num w:numId="23">
    <w:abstractNumId w:val="16"/>
  </w:num>
  <w:num w:numId="24">
    <w:abstractNumId w:val="20"/>
  </w:num>
  <w:num w:numId="25">
    <w:abstractNumId w:val="21"/>
  </w:num>
  <w:num w:numId="26">
    <w:abstractNumId w:val="11"/>
  </w:num>
  <w:num w:numId="27">
    <w:abstractNumId w:val="19"/>
  </w:num>
  <w:num w:numId="28">
    <w:abstractNumId w:val="25"/>
  </w:num>
  <w:num w:numId="29">
    <w:abstractNumId w:val="22"/>
  </w:num>
  <w:num w:numId="30">
    <w:abstractNumId w:val="14"/>
  </w:num>
  <w:num w:numId="31">
    <w:abstractNumId w:val="24"/>
  </w:num>
  <w:num w:numId="32">
    <w:abstractNumId w:val="12"/>
  </w:num>
  <w:num w:numId="33">
    <w:abstractNumId w:val="15"/>
  </w:num>
  <w:num w:numId="34">
    <w:abstractNumId w:val="10"/>
  </w:num>
  <w:num w:numId="35">
    <w:abstractNumId w:val="23"/>
  </w:num>
  <w:num w:numId="36">
    <w:abstractNumId w:val="9"/>
  </w:num>
  <w:num w:numId="37">
    <w:abstractNumId w:val="16"/>
  </w:num>
  <w:num w:numId="38">
    <w:abstractNumId w:val="20"/>
  </w:num>
  <w:num w:numId="39">
    <w:abstractNumId w:val="21"/>
  </w:num>
  <w:num w:numId="40">
    <w:abstractNumId w:val="11"/>
  </w:num>
  <w:num w:numId="41">
    <w:abstractNumId w:val="19"/>
  </w:num>
  <w:num w:numId="42">
    <w:abstractNumId w:val="25"/>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LIVA LUCIO Natalia (AGRI)">
    <w15:presenceInfo w15:providerId="None" w15:userId="OLIVA LUCIO Natalia (AG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03 16:35:0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A3AB2BB-BAB3-4DD7-AE60-340C0A4C2132"/>
    <w:docVar w:name="LW_COVERPAGE_TYPE" w:val="1"/>
    <w:docVar w:name="LW_CROSSREFERENCE" w:val="&lt;UNUSED&gt;"/>
    <w:docVar w:name="LW_DocType" w:val="COM"/>
    <w:docVar w:name="LW_EMISSION" w:val="5.7.2018"/>
    <w:docVar w:name="LW_EMISSION_ISODATE" w:val="2018-07-05"/>
    <w:docVar w:name="LW_EMISSION_LOCATION" w:val="BRX"/>
    <w:docVar w:name="LW_EMISSION_PREFIX" w:val="Брюксел,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81"/>
    <w:docVar w:name="LW_REF.II.NEW.CP_YEAR" w:val="2018"/>
    <w:docVar w:name="LW_REF.INST.NEW" w:val="COM"/>
    <w:docVar w:name="LW_REF.INST.NEW_ADOPTED" w:val="final"/>
    <w:docVar w:name="LW_REF.INST.NEW_TEXT" w:val="(2018) 5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9?\u1082?\u1083?\u1102?\u1095?\u1074?\u1072?\u1085?\u1077?, \u1086?\u1090? \u1080?\u1084?\u1077?\u1090?\u1086? \u1085?\u1072? \u1045?\u1074?\u1088?\u1086?\u1087?\u1077?\u1081?\u1089?\u1082?\u1080?\u1103? \u1089?\u1098?\u1102?\u1079?, \u1085?\u1072? \u1057?\u1087?\u1086?\u1088?\u1072?\u1079?\u1091?\u1084?\u1077?\u1085?\u1080?\u1077?\u1090?\u1086? \u1087?\u1086?\u1076? \u1092?\u1086?\u1088?\u1084?\u1072?\u1090?\u1072? \u1085?\u1072? \u1088?\u1072?\u1079?\u1084?\u1103?\u1085?\u1072? \u1085?\u1072? \u1087?\u1080?\u1089?\u1084?\u1072? \u1084?\u1077?\u1078?\u1076?\u1091? \u1057?\u1098?\u1102?\u1079?\u1072? \u1080? \u1050?\u1080?\u1090?\u1072?\u1081?\u1089?\u1082?\u1072?\u1090?\u1072? \u1085?\u1072?\u1088?\u1086?\u1076?\u1085?\u1072? \u1088?\u1077?\u1087?\u1091?\u1073?\u1083?\u1080?\u1082?\u1072? \u1074?\u1098?\u1074? \u1074?\u1088?\u1098?\u1079?\u1082?\u1072? \u1089? \u1087?\u1088?\u1086?\u1094?\u1077?\u1076?\u1091?\u1088?\u1072? DS492 \u1085?\u1072? \u1057?\u1058?\u1054? \u1079?\u1072? \u1091?\u1088?\u1077?\u1078?\u1076?\u1072?\u1085?\u1077? \u1085?\u1072? \u1089?\u1087?\u1086?\u1088?\u1086?\u1074?\u1077? \u8212? \u8222?\u1052?\u1077?\u1088?\u1082?\u1080?, \u1079?\u1072?\u1089?\u1103?\u1075?\u1072?\u1097?\u1080? \u1090?\u1072?\u1088?\u1080?\u1092?\u1085?\u1080?\u1090?\u1077? \u1086?\u1090?\u1089?\u1090?\u1098?\u1087?\u1082?\u1080? \u1079?\u1072? \u1085?\u1103?\u1082?\u1086?\u1080? \u1087?\u1088?\u1086?\u1076?\u1091?\u1082?\u1090?\u1080? \u1086?\u1090? \u1087?\u1090?\u1080?\u1095?\u1077? \u1084?\u1077?\u1089?\u1086?\u822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nhideWhenUsed/>
    <w:rPr>
      <w:color w:val="0000FF" w:themeColor="hyperlink"/>
      <w:u w:val="single"/>
    </w:rPr>
  </w:style>
  <w:style w:type="paragraph" w:customStyle="1" w:styleId="ListBullet1">
    <w:name w:val="List Bullet 1"/>
    <w:basedOn w:val="Normal"/>
    <w:pPr>
      <w:numPr>
        <w:numId w:val="10"/>
      </w:numPr>
    </w:pPr>
    <w:rPr>
      <w:rFonts w:eastAsia="Times New Roman"/>
    </w:rPr>
  </w:style>
  <w:style w:type="paragraph" w:customStyle="1" w:styleId="ListDash">
    <w:name w:val="List Dash"/>
    <w:basedOn w:val="Normal"/>
    <w:pPr>
      <w:numPr>
        <w:numId w:val="11"/>
      </w:numPr>
    </w:pPr>
    <w:rPr>
      <w:rFonts w:eastAsia="Times New Roman"/>
    </w:rPr>
  </w:style>
  <w:style w:type="paragraph" w:customStyle="1" w:styleId="ListDash1">
    <w:name w:val="List Dash 1"/>
    <w:basedOn w:val="Normal"/>
    <w:pPr>
      <w:numPr>
        <w:numId w:val="12"/>
      </w:numPr>
    </w:pPr>
    <w:rPr>
      <w:rFonts w:eastAsia="Times New Roman"/>
    </w:rPr>
  </w:style>
  <w:style w:type="paragraph" w:customStyle="1" w:styleId="ListDash2">
    <w:name w:val="List Dash 2"/>
    <w:basedOn w:val="Normal"/>
    <w:pPr>
      <w:numPr>
        <w:numId w:val="13"/>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ListNumber4Level2">
    <w:name w:val="List Number 4 (Level 2)"/>
    <w:basedOn w:val="Text4"/>
    <w:pPr>
      <w:tabs>
        <w:tab w:val="num" w:pos="2268"/>
      </w:tabs>
      <w:ind w:left="2268" w:hanging="708"/>
    </w:pPr>
    <w:rPr>
      <w:rFonts w:eastAsia="Times New Roman"/>
    </w:rPr>
  </w:style>
  <w:style w:type="paragraph" w:customStyle="1" w:styleId="ListNumber4Level3">
    <w:name w:val="List Number 4 (Level 3)"/>
    <w:basedOn w:val="Text4"/>
    <w:pPr>
      <w:tabs>
        <w:tab w:val="num" w:pos="2977"/>
      </w:tabs>
      <w:ind w:left="2977" w:hanging="709"/>
    </w:pPr>
    <w:rPr>
      <w:rFonts w:eastAsia="Times New Roman"/>
    </w:rPr>
  </w:style>
  <w:style w:type="paragraph" w:customStyle="1" w:styleId="ListNumber4Level4">
    <w:name w:val="List Number 4 (Level 4)"/>
    <w:basedOn w:val="Text4"/>
    <w:pPr>
      <w:tabs>
        <w:tab w:val="num" w:pos="3686"/>
      </w:tabs>
      <w:ind w:left="3686" w:hanging="709"/>
    </w:pPr>
    <w:rPr>
      <w:rFonts w:eastAsia="Times New Roman"/>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nhideWhenUsed/>
    <w:rPr>
      <w:color w:val="0000FF" w:themeColor="hyperlink"/>
      <w:u w:val="single"/>
    </w:rPr>
  </w:style>
  <w:style w:type="paragraph" w:customStyle="1" w:styleId="ListBullet1">
    <w:name w:val="List Bullet 1"/>
    <w:basedOn w:val="Normal"/>
    <w:pPr>
      <w:numPr>
        <w:numId w:val="10"/>
      </w:numPr>
    </w:pPr>
    <w:rPr>
      <w:rFonts w:eastAsia="Times New Roman"/>
    </w:rPr>
  </w:style>
  <w:style w:type="paragraph" w:customStyle="1" w:styleId="ListDash">
    <w:name w:val="List Dash"/>
    <w:basedOn w:val="Normal"/>
    <w:pPr>
      <w:numPr>
        <w:numId w:val="11"/>
      </w:numPr>
    </w:pPr>
    <w:rPr>
      <w:rFonts w:eastAsia="Times New Roman"/>
    </w:rPr>
  </w:style>
  <w:style w:type="paragraph" w:customStyle="1" w:styleId="ListDash1">
    <w:name w:val="List Dash 1"/>
    <w:basedOn w:val="Normal"/>
    <w:pPr>
      <w:numPr>
        <w:numId w:val="12"/>
      </w:numPr>
    </w:pPr>
    <w:rPr>
      <w:rFonts w:eastAsia="Times New Roman"/>
    </w:rPr>
  </w:style>
  <w:style w:type="paragraph" w:customStyle="1" w:styleId="ListDash2">
    <w:name w:val="List Dash 2"/>
    <w:basedOn w:val="Normal"/>
    <w:pPr>
      <w:numPr>
        <w:numId w:val="13"/>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ListNumber4Level2">
    <w:name w:val="List Number 4 (Level 2)"/>
    <w:basedOn w:val="Text4"/>
    <w:pPr>
      <w:tabs>
        <w:tab w:val="num" w:pos="2268"/>
      </w:tabs>
      <w:ind w:left="2268" w:hanging="708"/>
    </w:pPr>
    <w:rPr>
      <w:rFonts w:eastAsia="Times New Roman"/>
    </w:rPr>
  </w:style>
  <w:style w:type="paragraph" w:customStyle="1" w:styleId="ListNumber4Level3">
    <w:name w:val="List Number 4 (Level 3)"/>
    <w:basedOn w:val="Text4"/>
    <w:pPr>
      <w:tabs>
        <w:tab w:val="num" w:pos="2977"/>
      </w:tabs>
      <w:ind w:left="2977" w:hanging="709"/>
    </w:pPr>
    <w:rPr>
      <w:rFonts w:eastAsia="Times New Roman"/>
    </w:rPr>
  </w:style>
  <w:style w:type="paragraph" w:customStyle="1" w:styleId="ListNumber4Level4">
    <w:name w:val="List Number 4 (Level 4)"/>
    <w:basedOn w:val="Text4"/>
    <w:pPr>
      <w:tabs>
        <w:tab w:val="num" w:pos="3686"/>
      </w:tabs>
      <w:ind w:left="3686" w:hanging="709"/>
    </w:pPr>
    <w:rPr>
      <w:rFonts w:eastAsia="Times New Roman"/>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4BFE3-0241-487E-8AA0-376223CA5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1470</Words>
  <Characters>8308</Characters>
  <Application>Microsoft Office Word</Application>
  <DocSecurity>0</DocSecurity>
  <Lines>251</Lines>
  <Paragraphs>155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2018-05-03T07:57:00Z</cp:lastPrinted>
  <dcterms:created xsi:type="dcterms:W3CDTF">2018-07-03T09:14:00Z</dcterms:created>
  <dcterms:modified xsi:type="dcterms:W3CDTF">2018-07-03T14:35:00Z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