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ACB413FD-5A2D-4AA9-BEE5-A01DAEE9AA40" style="width:450.75pt;height:379.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Style w:val="Text1"/>
        <w:rPr>
          <w:noProof/>
        </w:rPr>
      </w:pPr>
      <w:r>
        <w:rPr>
          <w:noProof/>
        </w:rPr>
        <w:t xml:space="preserve">Following the WTO panel report adopted on 19 April 2017 in the WTO dispute settlement proceedings DS492 </w:t>
      </w:r>
      <w:r>
        <w:rPr>
          <w:i/>
          <w:noProof/>
        </w:rPr>
        <w:t xml:space="preserve">Measures affecting Tariff Concessions on Certain Poultry Meat Products </w:t>
      </w:r>
      <w:r>
        <w:rPr>
          <w:noProof/>
        </w:rPr>
        <w:t>brought by the People's Republic of China against the European Union, the EU needed to comply with the findings. In particular, the panel found that when allocating quantities within tariff rate quotas to supplying countries under WTO rules, the EU should have taken into account as a “special factor” China's increased ability to export poultry products to the EU following the relaxation of sanitary measures in July 2008. The reasonable period of time for the implementation of the Panel Report under the WTO rules began on 19 April 2017.</w:t>
      </w:r>
    </w:p>
    <w:p>
      <w:pPr>
        <w:pStyle w:val="Text1"/>
        <w:rPr>
          <w:rFonts w:eastAsia="Arial Unicode MS"/>
          <w:noProof/>
        </w:rPr>
      </w:pPr>
      <w:r>
        <w:rPr>
          <w:noProof/>
        </w:rPr>
        <w:t xml:space="preserve">On 12 March 2018, the Council authorised the Commission to open negotiations on a mutually agreed solution ("MAS") with China. Negotiations with China resulted in an Agreement in the form of an Exchange of Letters that was initialled on 18 June 2018 in Geneva  ("the Agreement"). </w:t>
      </w:r>
      <w:r>
        <w:rPr>
          <w:rFonts w:eastAsia="Arial Unicode MS"/>
          <w:noProof/>
        </w:rPr>
        <w:t>The Agreement should respect rights of other suppliers, which were agreed in the context of past Article XXVIII GATT negotiations. The Commission also needs to provide for transparent and appropriate tariff quota management.</w:t>
      </w:r>
    </w:p>
    <w:p>
      <w:pPr>
        <w:pStyle w:val="Text1"/>
        <w:rPr>
          <w:noProof/>
        </w:rPr>
      </w:pPr>
      <w:r>
        <w:rPr>
          <w:rFonts w:eastAsia="Arial Unicode MS"/>
          <w:noProof/>
        </w:rPr>
        <w:t xml:space="preserve">Thailand has indicated that it is in agreement with the allocation of TRQs to China as set out in the Agreement and we expect to receive their written confirmation shortly (and in any case before the formal signature of this Agreement). </w:t>
      </w:r>
    </w:p>
    <w:p>
      <w:pPr>
        <w:pStyle w:val="Text1"/>
        <w:rPr>
          <w:noProof/>
        </w:rPr>
      </w:pPr>
      <w:r>
        <w:rPr>
          <w:rFonts w:eastAsia="Arial Unicode MS"/>
          <w:noProof/>
        </w:rPr>
        <w:t>Consequently, the European Commission proposes to the Council to</w:t>
      </w:r>
      <w:r>
        <w:rPr>
          <w:noProof/>
        </w:rPr>
        <w:t xml:space="preserve"> adopt a decision to conclude</w:t>
      </w:r>
      <w:r>
        <w:rPr>
          <w:rFonts w:eastAsia="Arial Unicode MS"/>
          <w:noProof/>
        </w:rPr>
        <w:t xml:space="preserve"> the Agreement.</w:t>
      </w:r>
      <w:r>
        <w:rPr>
          <w:noProof/>
        </w:rPr>
        <w:t xml:space="preserve">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Text1"/>
        <w:rPr>
          <w:noProof/>
        </w:rPr>
      </w:pPr>
      <w:r>
        <w:rPr>
          <w:noProof/>
        </w:rPr>
        <w:t xml:space="preserve">Not applicable – the measure is taken in implementation of a WTO Panel Report, a Union obligation under the WTO Agreement.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Style w:val="Text1"/>
        <w:rPr>
          <w:noProof/>
        </w:rPr>
      </w:pPr>
      <w:r>
        <w:rPr>
          <w:noProof/>
        </w:rPr>
        <w:t xml:space="preserve">Not applicable – the measure is taken in implementation of a WTO Panel Report, a Union obligation under the WTO Agreement.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Text1"/>
        <w:rPr>
          <w:noProof/>
        </w:rPr>
      </w:pPr>
      <w:r>
        <w:rPr>
          <w:noProof/>
        </w:rPr>
        <w:t>Article 207 of the Treaty on the Functioning of the European Union (TFEU), in conjuction with Article 218(6) of the TFEU for conclusion of international agreements.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rPr>
          <w:rFonts w:eastAsia="Arial Unicode MS"/>
          <w:b/>
          <w:noProof/>
          <w:u w:color="000000"/>
          <w:bdr w:val="nil"/>
          <w:lang w:val="en-US"/>
        </w:rPr>
      </w:pPr>
      <w:r>
        <w:rPr>
          <w:noProof/>
        </w:rPr>
        <w:t>The proposal falls under exclusive competence of the Union, Article 3(1)(e) of the Treaty on the Functioning of the European Union</w:t>
      </w:r>
      <w:r>
        <w:rPr>
          <w:rFonts w:eastAsia="Arial Unicode MS"/>
          <w:noProof/>
        </w:rPr>
        <w:t>.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Style w:val="Text1"/>
        <w:rPr>
          <w:rFonts w:eastAsia="Arial Unicode MS"/>
          <w:noProof/>
        </w:rPr>
      </w:pPr>
      <w:r>
        <w:rPr>
          <w:noProof/>
        </w:rPr>
        <w:t xml:space="preserve">The measure is taken in implementation of a WTO Panel Report, a Union obligation under the WTO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Style w:val="Text1"/>
        <w:rPr>
          <w:noProof/>
        </w:rPr>
      </w:pPr>
      <w:r>
        <w:rPr>
          <w:noProof/>
        </w:rPr>
        <w:t>A Decision of the Council authorising the conclusion of the Agreement is required under Article 218(6) TFEU.</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Text1"/>
        <w:rPr>
          <w:noProof/>
        </w:rPr>
      </w:pPr>
      <w:r>
        <w:rPr>
          <w:noProof/>
        </w:rPr>
        <w:t xml:space="preserve">Not applicable – the measure is taken in implementation of a WTO Panel Report, a Union obligation under the WTO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Style w:val="Text1"/>
        <w:rPr>
          <w:noProof/>
        </w:rPr>
      </w:pPr>
      <w:r>
        <w:rPr>
          <w:noProof/>
        </w:rPr>
        <w:t xml:space="preserve">Publication of the roadmap, regular consultation with the industry, stakeholders and Member States. Feedback from the European Poultry, Egg and Game Association (EPEGA) received in January 2018 following the publication of the roadmap clearly stated their support for the opening of these additional quotas.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Style w:val="Text1"/>
        <w:rPr>
          <w:noProof/>
        </w:rPr>
      </w:pPr>
      <w:r>
        <w:rPr>
          <w:noProof/>
        </w:rPr>
        <w:t xml:space="preserve">Not applicable – the measure is taken in implementation of a WTO Panel Report, a Union obligation under the WTO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Style w:val="Text1"/>
        <w:rPr>
          <w:noProof/>
        </w:rPr>
      </w:pPr>
      <w:r>
        <w:rPr>
          <w:noProof/>
        </w:rPr>
        <w:t xml:space="preserve">Not applicable – the measure is taken in implementation of a WTO Panel Report, a Union obligation under the WTO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Style w:val="Text1"/>
        <w:rPr>
          <w:noProof/>
        </w:rPr>
      </w:pPr>
      <w:r>
        <w:rPr>
          <w:noProof/>
        </w:rPr>
        <w:t xml:space="preserve">Not applicable – the measure is taken in implementation of a WTO Panel Report, a Union obligation under the WTO Agreement.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Style w:val="Text1"/>
        <w:rPr>
          <w:noProof/>
        </w:rPr>
      </w:pPr>
      <w:r>
        <w:rPr>
          <w:noProof/>
        </w:rPr>
        <w:t>Not applicable.</w:t>
      </w:r>
    </w:p>
    <w:p>
      <w:pPr>
        <w:pStyle w:val="ManualHeading1"/>
        <w:rPr>
          <w:noProof/>
        </w:rPr>
      </w:pPr>
      <w:r>
        <w:rPr>
          <w:noProof/>
        </w:rPr>
        <w:t>4.</w:t>
      </w:r>
      <w:r>
        <w:rPr>
          <w:noProof/>
        </w:rPr>
        <w:tab/>
        <w:t>BUDGETARY IMPLICATIONS</w:t>
      </w:r>
    </w:p>
    <w:p>
      <w:pPr>
        <w:pStyle w:val="Text1"/>
        <w:rPr>
          <w:noProof/>
        </w:rPr>
      </w:pPr>
      <w:r>
        <w:rPr>
          <w:noProof/>
        </w:rPr>
        <w:t>See Financial Statement.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Style w:val="Text1"/>
        <w:rPr>
          <w:noProof/>
        </w:rPr>
      </w:pPr>
      <w:r>
        <w:rPr>
          <w:noProof/>
        </w:rPr>
        <w:t xml:space="preserve">The Commission proposes to the Council that the Agreement in the form of an Exchange of Letters with China be concluded on behalf of the Union. </w:t>
      </w:r>
    </w:p>
    <w:p>
      <w:pPr>
        <w:pStyle w:val="Text1"/>
        <w:rPr>
          <w:rFonts w:eastAsia="Arial Unicode MS"/>
          <w:noProof/>
        </w:rPr>
      </w:pPr>
      <w:r>
        <w:rPr>
          <w:rFonts w:eastAsia="Arial Unicode MS"/>
          <w:noProof/>
        </w:rPr>
        <w:t>The results of the Agreement are as follows:</w:t>
      </w:r>
    </w:p>
    <w:p>
      <w:pPr>
        <w:pStyle w:val="Text2"/>
        <w:rPr>
          <w:noProof/>
        </w:rPr>
      </w:pPr>
      <w:r>
        <w:rPr>
          <w:noProof/>
        </w:rPr>
        <w:t>The European Union shall open the following Tariff Rate Quotas (TRQ):</w:t>
      </w:r>
    </w:p>
    <w:p>
      <w:pPr>
        <w:pStyle w:val="Text2"/>
        <w:rPr>
          <w:noProof/>
        </w:rPr>
      </w:pPr>
      <w:r>
        <w:rPr>
          <w:noProof/>
        </w:rPr>
        <w:t>a TRQ of 6060 tonnes for the tariff line 1602.3929 (with specific country allocation of 6000 tonnes to China and 60 tonnes to all others), with an in-quota duty rate of 10.9%</w:t>
      </w:r>
    </w:p>
    <w:p>
      <w:pPr>
        <w:pStyle w:val="Text2"/>
        <w:rPr>
          <w:noProof/>
        </w:rPr>
      </w:pPr>
      <w:r>
        <w:rPr>
          <w:noProof/>
        </w:rPr>
        <w:t>a TRQ of 660 tonnes for the tariff line 1602.3985 (with specific country allocation of 600 tonnes to China and 60 tonnes to all others), with an in-quota duty rate of 10.9%</w:t>
      </w:r>
    </w:p>
    <w:p>
      <w:pPr>
        <w:pStyle w:val="Text2"/>
        <w:rPr>
          <w:noProof/>
        </w:rPr>
      </w:pPr>
      <w:r>
        <w:rPr>
          <w:noProof/>
        </w:rPr>
        <w:t>an erga omnes TRQ of 5000 tonnes for the tariff line 1602.3219, with an in-quota duty rate of 8%</w:t>
      </w:r>
    </w:p>
    <w:p>
      <w:pPr>
        <w:pStyle w:val="Text1"/>
        <w:rPr>
          <w:rFonts w:eastAsia="Arial Unicode MS"/>
          <w:noProof/>
        </w:rPr>
      </w:pPr>
      <w:r>
        <w:rPr>
          <w:rFonts w:eastAsia="Arial Unicode MS"/>
          <w:noProof/>
        </w:rPr>
        <w:t>The Commission will adopt implementing Regulations to expand and manage the relevant quotas</w:t>
      </w:r>
      <w:r>
        <w:rPr>
          <w:noProof/>
        </w:rPr>
        <w:t>, pursuant to Article 187(a) of the Single Common Market Organisation (CMO) Regulation (Regulation (EC) No 1308/2013).</w:t>
      </w:r>
    </w:p>
    <w:p>
      <w:pPr>
        <w:pStyle w:val="Text1"/>
        <w:rPr>
          <w:rFonts w:eastAsia="Arial Unicode MS"/>
          <w:noProof/>
        </w:rPr>
      </w:pPr>
      <w:r>
        <w:rPr>
          <w:rFonts w:eastAsia="Arial Unicode MS"/>
          <w:noProof/>
        </w:rPr>
        <w:t>These implementation measures are being prepared in parallel with this proposal.</w:t>
      </w:r>
    </w:p>
    <w:p>
      <w:pPr>
        <w:pStyle w:val="Text1"/>
        <w:rPr>
          <w:rFonts w:eastAsia="Arial Unicode MS"/>
          <w:noProof/>
        </w:rPr>
      </w:pPr>
      <w:r>
        <w:rPr>
          <w:rFonts w:eastAsia="Arial Unicode MS"/>
          <w:noProof/>
        </w:rPr>
        <w:t xml:space="preserve">Once the quotas are opened, the EU and China will notify the Agreement to the WTO Dispute Settlement Body as a MAS in relation to the dispute DS492.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2018/0281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on behalf of the European Union, of the Agreement in the form of an Exchange of Letters between the Union and the People's Republic of China in connection with the WTO dispute settlement proceedings DS492 Measures affecting Tariff Concessions on Certain Poultry Meat Products</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first subparagraph of Article 207(4), in conjunction with point (a)(v) of the second subparagraph of Article 218(6) thereof, </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 xml:space="preserve">On 12 March 2018, the Council authorised the Commission to open negotiations on a mutually agreed solution with China as part of the WTO dispute settlement proceedings DS492 </w:t>
      </w:r>
      <w:r>
        <w:rPr>
          <w:i/>
          <w:noProof/>
        </w:rPr>
        <w:t>Measures affecting Tariff Concessions on Certain Poultry Meat Products.</w:t>
      </w:r>
    </w:p>
    <w:p>
      <w:pPr>
        <w:pStyle w:val="ManualConsidrant"/>
        <w:rPr>
          <w:noProof/>
        </w:rPr>
      </w:pPr>
      <w:r>
        <w:t>(2)</w:t>
      </w:r>
      <w:r>
        <w:tab/>
      </w:r>
      <w:r>
        <w:rPr>
          <w:noProof/>
        </w:rPr>
        <w:t>Those negotiations have been concluded and an agreement in the form of an Exchange of Letters between the European Union and China was initialled on 18 June 2018.</w:t>
      </w:r>
    </w:p>
    <w:p>
      <w:pPr>
        <w:pStyle w:val="ManualConsidrant"/>
        <w:rPr>
          <w:noProof/>
        </w:rPr>
      </w:pPr>
      <w:r>
        <w:t>(3)</w:t>
      </w:r>
      <w:r>
        <w:tab/>
      </w:r>
      <w:r>
        <w:rPr>
          <w:noProof/>
        </w:rPr>
        <w:t xml:space="preserve">The agreement was signed on behalf of the Union </w:t>
      </w:r>
      <w:r>
        <w:rPr>
          <w:noProof/>
          <w:highlight w:val="yellow"/>
        </w:rPr>
        <w:t>on […], subject to its conclusion at a later date, in accordance with Council Decision […]</w:t>
      </w:r>
      <w:r>
        <w:rPr>
          <w:rStyle w:val="FootnoteReference"/>
          <w:noProof/>
          <w:highlight w:val="yellow"/>
        </w:rPr>
        <w:footnoteReference w:id="1"/>
      </w:r>
    </w:p>
    <w:p>
      <w:pPr>
        <w:pStyle w:val="ManualConsidrant"/>
        <w:rPr>
          <w:noProof/>
        </w:rPr>
      </w:pPr>
      <w:r>
        <w:t>(4)</w:t>
      </w:r>
      <w:r>
        <w:tab/>
      </w:r>
      <w:r>
        <w:rPr>
          <w:noProof/>
        </w:rPr>
        <w:t>The Agreement should be approved on behalf of the European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Agreement in the form of an Exchange of Letters between the European Union and China in relation to DS492 European Union – Measures affecting Tariff Concessions on Certain Poultry Meat Products is hereby concluded.</w:t>
      </w:r>
    </w:p>
    <w:p>
      <w:pPr>
        <w:pStyle w:val="Text1"/>
        <w:ind w:left="0"/>
        <w:rPr>
          <w:noProof/>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designate the person empowered to proceed, on behalf of the Union, to give the notification provided for in the Agreement.</w:t>
      </w:r>
    </w:p>
    <w:p>
      <w:pPr>
        <w:pStyle w:val="Titrearticle"/>
        <w:rPr>
          <w:noProof/>
        </w:rPr>
      </w:pPr>
      <w:r>
        <w:rPr>
          <w:noProof/>
        </w:rPr>
        <w:t>Article 3</w:t>
      </w:r>
    </w:p>
    <w:p>
      <w:pPr>
        <w:rPr>
          <w:noProof/>
        </w:rPr>
      </w:pPr>
      <w:r>
        <w:rPr>
          <w:noProof/>
        </w:rPr>
        <w:t xml:space="preserve">This Decision shall enter into force on the date of its adoption. It shall be published in the </w:t>
      </w:r>
      <w:r>
        <w:rPr>
          <w:i/>
          <w:noProof/>
        </w:rPr>
        <w:t>Official Journal of the European Union</w:t>
      </w:r>
      <w:r>
        <w:rPr>
          <w:noProof/>
        </w:rPr>
        <w:t>.</w:t>
      </w:r>
    </w:p>
    <w:p>
      <w:pPr>
        <w:rPr>
          <w:i/>
          <w:noProof/>
        </w:rPr>
      </w:pPr>
      <w:r>
        <w:rPr>
          <w:noProof/>
        </w:rPr>
        <w:t xml:space="preserve">The date of the entry into force of the Agreement shall be published in the </w:t>
      </w:r>
      <w:r>
        <w:rPr>
          <w:i/>
          <w:noProof/>
        </w:rPr>
        <w:t xml:space="preserve">Official Journal of the European Union </w:t>
      </w:r>
      <w:r>
        <w:rPr>
          <w:noProof/>
        </w:rPr>
        <w:t>by the General Secretariat of the Council</w:t>
      </w:r>
      <w:r>
        <w:rPr>
          <w:i/>
          <w:noProof/>
        </w:rPr>
        <w:t>.</w:t>
      </w:r>
    </w:p>
    <w:p>
      <w:pPr>
        <w:rPr>
          <w:i/>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567"/>
        <w:gridCol w:w="1134"/>
      </w:tblGrid>
      <w:tr>
        <w:trPr>
          <w:trHeight w:val="355"/>
        </w:trPr>
        <w:tc>
          <w:tcPr>
            <w:tcW w:w="7144" w:type="dxa"/>
            <w:gridSpan w:val="4"/>
            <w:vMerge w:val="restart"/>
          </w:tcPr>
          <w:p>
            <w:pPr>
              <w:spacing w:before="0" w:after="240"/>
              <w:rPr>
                <w:rFonts w:eastAsia="Times New Roman"/>
                <w:noProof/>
                <w:szCs w:val="20"/>
              </w:rPr>
            </w:pPr>
            <w:bookmarkStart w:id="1" w:name="LW_BM_COVERPAGE"/>
          </w:p>
          <w:p>
            <w:pPr>
              <w:jc w:val="center"/>
              <w:rPr>
                <w:rFonts w:eastAsia="Times New Roman"/>
                <w:b/>
                <w:noProof/>
                <w:sz w:val="40"/>
                <w:szCs w:val="20"/>
                <w:lang w:eastAsia="en-GB"/>
              </w:rPr>
            </w:pPr>
            <w:r>
              <w:rPr>
                <w:rFonts w:eastAsia="Times New Roman"/>
                <w:b/>
                <w:noProof/>
                <w:sz w:val="40"/>
                <w:szCs w:val="20"/>
                <w:lang w:eastAsia="en-GB"/>
              </w:rPr>
              <w:t>Annex</w:t>
            </w:r>
          </w:p>
          <w:p>
            <w:pPr>
              <w:jc w:val="center"/>
              <w:rPr>
                <w:rFonts w:eastAsia="Times New Roman"/>
                <w:b/>
                <w:noProof/>
                <w:sz w:val="40"/>
                <w:szCs w:val="20"/>
                <w:lang w:eastAsia="en-GB"/>
              </w:rPr>
            </w:pPr>
            <w:r>
              <w:rPr>
                <w:rFonts w:eastAsia="Times New Roman"/>
                <w:b/>
                <w:noProof/>
                <w:sz w:val="40"/>
                <w:szCs w:val="20"/>
                <w:lang w:eastAsia="en-GB"/>
              </w:rPr>
              <w:t>FINANCIAL STATEMENT</w:t>
            </w:r>
            <w:r>
              <w:rPr>
                <w:rFonts w:eastAsia="Times New Roman"/>
                <w:b/>
                <w:noProof/>
                <w:color w:val="FF0000"/>
                <w:sz w:val="40"/>
                <w:szCs w:val="20"/>
                <w:lang w:eastAsia="en-GB"/>
              </w:rPr>
              <w:t xml:space="preserve"> </w:t>
            </w:r>
          </w:p>
        </w:tc>
        <w:tc>
          <w:tcPr>
            <w:tcW w:w="1984" w:type="dxa"/>
            <w:gridSpan w:val="3"/>
          </w:tcPr>
          <w:p>
            <w:pPr>
              <w:spacing w:before="0" w:after="0"/>
              <w:jc w:val="left"/>
              <w:rPr>
                <w:rFonts w:eastAsia="Times New Roman"/>
                <w:noProof/>
                <w:sz w:val="20"/>
                <w:szCs w:val="20"/>
                <w:lang w:eastAsia="en-GB"/>
              </w:rPr>
            </w:pPr>
            <w:r>
              <w:rPr>
                <w:rFonts w:eastAsia="Times New Roman"/>
                <w:noProof/>
                <w:sz w:val="20"/>
                <w:szCs w:val="20"/>
                <w:lang w:eastAsia="en-GB"/>
              </w:rPr>
              <w:t>FinancSt/18/2693597</w:t>
            </w:r>
          </w:p>
          <w:p>
            <w:pPr>
              <w:spacing w:before="0" w:after="0"/>
              <w:jc w:val="left"/>
              <w:rPr>
                <w:rFonts w:eastAsia="Times New Roman"/>
                <w:noProof/>
                <w:color w:val="0000FF"/>
                <w:sz w:val="20"/>
                <w:szCs w:val="20"/>
                <w:lang w:eastAsia="en-GB"/>
              </w:rPr>
            </w:pPr>
            <w:r>
              <w:rPr>
                <w:rFonts w:eastAsia="Times New Roman"/>
                <w:noProof/>
                <w:sz w:val="20"/>
                <w:szCs w:val="20"/>
                <w:lang w:eastAsia="en-GB"/>
              </w:rPr>
              <w:t>CM/aj</w:t>
            </w:r>
            <w:r>
              <w:rPr>
                <w:rFonts w:eastAsia="Times New Roman"/>
                <w:noProof/>
                <w:sz w:val="20"/>
                <w:szCs w:val="20"/>
                <w:lang w:eastAsia="en-GB"/>
              </w:rPr>
              <w:br/>
            </w:r>
          </w:p>
        </w:tc>
      </w:tr>
      <w:bookmarkEnd w:id="1"/>
      <w:tr>
        <w:trPr>
          <w:trHeight w:val="355"/>
        </w:trPr>
        <w:tc>
          <w:tcPr>
            <w:tcW w:w="7144" w:type="dxa"/>
            <w:gridSpan w:val="4"/>
            <w:vMerge/>
            <w:tcBorders>
              <w:bottom w:val="nil"/>
            </w:tcBorders>
          </w:tcPr>
          <w:p>
            <w:pPr>
              <w:jc w:val="center"/>
              <w:rPr>
                <w:rFonts w:eastAsia="Times New Roman"/>
                <w:b/>
                <w:noProof/>
                <w:sz w:val="40"/>
                <w:szCs w:val="20"/>
                <w:lang w:eastAsia="en-GB"/>
              </w:rPr>
            </w:pPr>
          </w:p>
        </w:tc>
        <w:tc>
          <w:tcPr>
            <w:tcW w:w="1984" w:type="dxa"/>
            <w:gridSpan w:val="3"/>
          </w:tcPr>
          <w:p>
            <w:pPr>
              <w:spacing w:before="0" w:after="0"/>
              <w:jc w:val="left"/>
              <w:rPr>
                <w:rFonts w:ascii="Arial" w:eastAsia="Times New Roman" w:hAnsi="Arial"/>
                <w:i/>
                <w:noProof/>
                <w:spacing w:val="-3"/>
                <w:sz w:val="20"/>
                <w:szCs w:val="20"/>
                <w:lang w:eastAsia="en-GB"/>
              </w:rPr>
            </w:pPr>
            <w:r>
              <w:rPr>
                <w:rFonts w:ascii="Arial" w:eastAsia="Times New Roman" w:hAnsi="Arial"/>
                <w:i/>
                <w:noProof/>
                <w:spacing w:val="-3"/>
                <w:sz w:val="20"/>
                <w:szCs w:val="20"/>
                <w:lang w:eastAsia="en-GB"/>
              </w:rPr>
              <w:t>6.146.2018.1</w:t>
            </w:r>
          </w:p>
          <w:p>
            <w:pPr>
              <w:spacing w:before="0" w:after="0"/>
              <w:jc w:val="left"/>
              <w:rPr>
                <w:rFonts w:eastAsia="Times New Roman"/>
                <w:noProof/>
                <w:color w:val="0000FF"/>
                <w:sz w:val="20"/>
                <w:szCs w:val="20"/>
                <w:lang w:eastAsia="en-GB"/>
              </w:rPr>
            </w:pPr>
            <w:r>
              <w:rPr>
                <w:rFonts w:eastAsia="Times New Roman"/>
                <w:noProof/>
                <w:sz w:val="20"/>
                <w:szCs w:val="20"/>
                <w:lang w:eastAsia="en-GB"/>
              </w:rPr>
              <w:t xml:space="preserve">agri.ddg1.a.2(2018)2631461 </w:t>
            </w:r>
          </w:p>
        </w:tc>
      </w:tr>
      <w:tr>
        <w:tc>
          <w:tcPr>
            <w:tcW w:w="7144" w:type="dxa"/>
            <w:gridSpan w:val="4"/>
            <w:tcBorders>
              <w:top w:val="nil"/>
            </w:tcBorders>
          </w:tcPr>
          <w:p>
            <w:pPr>
              <w:spacing w:before="0" w:after="0"/>
              <w:jc w:val="left"/>
              <w:rPr>
                <w:rFonts w:eastAsia="Times New Roman"/>
                <w:noProof/>
                <w:sz w:val="20"/>
                <w:szCs w:val="20"/>
                <w:lang w:eastAsia="en-GB"/>
              </w:rPr>
            </w:pPr>
          </w:p>
        </w:tc>
        <w:tc>
          <w:tcPr>
            <w:tcW w:w="1984" w:type="dxa"/>
            <w:gridSpan w:val="3"/>
          </w:tcPr>
          <w:p>
            <w:pPr>
              <w:spacing w:before="0" w:after="0"/>
              <w:jc w:val="left"/>
              <w:rPr>
                <w:rFonts w:eastAsia="Times New Roman"/>
                <w:noProof/>
                <w:color w:val="0000FF"/>
                <w:sz w:val="20"/>
                <w:szCs w:val="20"/>
                <w:lang w:eastAsia="en-GB"/>
              </w:rPr>
            </w:pPr>
            <w:r>
              <w:rPr>
                <w:rFonts w:eastAsia="Times New Roman"/>
                <w:noProof/>
                <w:sz w:val="20"/>
                <w:szCs w:val="20"/>
                <w:lang w:eastAsia="en-GB"/>
              </w:rPr>
              <w:t>DATE: 07/05/2018</w:t>
            </w:r>
          </w:p>
          <w:p>
            <w:pPr>
              <w:spacing w:before="0" w:after="0"/>
              <w:jc w:val="left"/>
              <w:rPr>
                <w:rFonts w:eastAsia="Times New Roman"/>
                <w:noProof/>
                <w:sz w:val="20"/>
                <w:szCs w:val="20"/>
                <w:lang w:eastAsia="en-GB"/>
              </w:rPr>
            </w:pP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1.</w:t>
            </w:r>
          </w:p>
        </w:tc>
        <w:tc>
          <w:tcPr>
            <w:tcW w:w="6577" w:type="dxa"/>
            <w:gridSpan w:val="3"/>
            <w:tcBorders>
              <w:left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BUDGET HEADING:</w:t>
            </w:r>
          </w:p>
          <w:p>
            <w:pPr>
              <w:spacing w:before="0" w:after="0"/>
              <w:jc w:val="left"/>
              <w:rPr>
                <w:rFonts w:eastAsia="Times New Roman"/>
                <w:noProof/>
                <w:sz w:val="20"/>
                <w:szCs w:val="20"/>
                <w:lang w:eastAsia="en-GB"/>
              </w:rPr>
            </w:pPr>
            <w:r>
              <w:rPr>
                <w:rFonts w:eastAsia="Times New Roman"/>
                <w:noProof/>
                <w:sz w:val="20"/>
                <w:szCs w:val="20"/>
                <w:lang w:eastAsia="en-GB"/>
              </w:rPr>
              <w:t>Chapter 12 – Customs duties and other duties</w:t>
            </w:r>
          </w:p>
          <w:p>
            <w:pPr>
              <w:spacing w:before="0" w:after="0"/>
              <w:jc w:val="left"/>
              <w:rPr>
                <w:rFonts w:eastAsia="Times New Roman"/>
                <w:noProof/>
                <w:sz w:val="20"/>
                <w:szCs w:val="20"/>
                <w:lang w:eastAsia="en-GB"/>
              </w:rPr>
            </w:pPr>
          </w:p>
        </w:tc>
        <w:tc>
          <w:tcPr>
            <w:tcW w:w="1984" w:type="dxa"/>
            <w:gridSpan w:val="3"/>
            <w:tcBorders>
              <w:left w:val="nil"/>
            </w:tcBorders>
          </w:tcPr>
          <w:p>
            <w:pPr>
              <w:spacing w:before="0" w:after="0"/>
              <w:jc w:val="left"/>
              <w:rPr>
                <w:rFonts w:eastAsia="Times New Roman"/>
                <w:noProof/>
                <w:sz w:val="20"/>
                <w:szCs w:val="20"/>
                <w:lang w:val="fr-BE" w:eastAsia="en-GB"/>
              </w:rPr>
            </w:pPr>
            <w:r>
              <w:rPr>
                <w:rFonts w:eastAsia="Times New Roman"/>
                <w:noProof/>
                <w:sz w:val="20"/>
                <w:szCs w:val="20"/>
                <w:lang w:val="fr-BE" w:eastAsia="en-GB"/>
              </w:rPr>
              <w:t>APPROPRIATIONS:</w:t>
            </w:r>
          </w:p>
          <w:p>
            <w:pPr>
              <w:spacing w:before="0" w:after="0"/>
              <w:jc w:val="left"/>
              <w:rPr>
                <w:rFonts w:eastAsia="Times New Roman"/>
                <w:noProof/>
                <w:sz w:val="20"/>
                <w:szCs w:val="20"/>
                <w:lang w:val="fr-BE" w:eastAsia="en-GB"/>
              </w:rPr>
            </w:pPr>
            <w:r>
              <w:rPr>
                <w:rFonts w:eastAsia="Times New Roman"/>
                <w:noProof/>
                <w:sz w:val="20"/>
                <w:szCs w:val="20"/>
                <w:lang w:val="fr-BE" w:eastAsia="en-GB"/>
              </w:rPr>
              <w:t>EUR 22 844 million</w:t>
            </w:r>
          </w:p>
          <w:p>
            <w:pPr>
              <w:spacing w:before="0" w:after="0"/>
              <w:jc w:val="left"/>
              <w:rPr>
                <w:rFonts w:eastAsia="Times New Roman"/>
                <w:noProof/>
                <w:sz w:val="20"/>
                <w:szCs w:val="20"/>
                <w:lang w:val="fr-BE" w:eastAsia="en-GB"/>
              </w:rPr>
            </w:pPr>
            <w:r>
              <w:rPr>
                <w:rFonts w:eastAsia="Times New Roman"/>
                <w:noProof/>
                <w:sz w:val="20"/>
                <w:szCs w:val="20"/>
                <w:lang w:val="fr-BE" w:eastAsia="en-GB"/>
              </w:rPr>
              <w:t xml:space="preserve"> </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2.</w:t>
            </w:r>
          </w:p>
        </w:tc>
        <w:tc>
          <w:tcPr>
            <w:tcW w:w="8561" w:type="dxa"/>
            <w:gridSpan w:val="6"/>
            <w:tcBorders>
              <w:left w:val="nil"/>
            </w:tcBorders>
          </w:tcPr>
          <w:p>
            <w:pPr>
              <w:spacing w:before="0" w:after="0"/>
              <w:jc w:val="left"/>
              <w:rPr>
                <w:rFonts w:eastAsia="Times New Roman"/>
                <w:b/>
                <w:noProof/>
                <w:sz w:val="20"/>
                <w:szCs w:val="20"/>
                <w:lang w:eastAsia="en-GB"/>
              </w:rPr>
            </w:pPr>
            <w:r>
              <w:rPr>
                <w:rFonts w:eastAsia="Times New Roman"/>
                <w:noProof/>
                <w:sz w:val="20"/>
                <w:szCs w:val="20"/>
                <w:lang w:eastAsia="en-GB"/>
              </w:rPr>
              <w:t>TITLE: Proposal for a COUNCIL DECISION on the conclusion, on behalf of the European Union, of the Agreement in the form of an Exchange of Letters between the Union and the People's Republic of China in connection with the WTO dispute settlement proceedings DS492 Measures affecting Tariff Concessions on Certain Poultry Meat Products</w:t>
            </w:r>
          </w:p>
          <w:p>
            <w:pPr>
              <w:spacing w:before="0" w:after="0"/>
              <w:jc w:val="left"/>
              <w:rPr>
                <w:rFonts w:eastAsia="Times New Roman"/>
                <w:noProof/>
                <w:sz w:val="20"/>
                <w:szCs w:val="20"/>
                <w:lang w:eastAsia="en-GB"/>
              </w:rPr>
            </w:pPr>
          </w:p>
          <w:p>
            <w:pPr>
              <w:spacing w:before="0" w:after="0"/>
              <w:jc w:val="left"/>
              <w:rPr>
                <w:rFonts w:eastAsia="Times New Roman"/>
                <w:noProof/>
                <w:sz w:val="20"/>
                <w:szCs w:val="20"/>
                <w:lang w:eastAsia="en-GB"/>
              </w:rPr>
            </w:pP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3.</w:t>
            </w:r>
          </w:p>
        </w:tc>
        <w:tc>
          <w:tcPr>
            <w:tcW w:w="8561" w:type="dxa"/>
            <w:gridSpan w:val="6"/>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 xml:space="preserve">LEGAL BASIS: Treaty on the Functioning of the European Union,  and in particular Articles 207 in conjunction with Article 218(5) </w:t>
            </w: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4.</w:t>
            </w:r>
          </w:p>
        </w:tc>
        <w:tc>
          <w:tcPr>
            <w:tcW w:w="8561" w:type="dxa"/>
            <w:gridSpan w:val="6"/>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AIMS: to open tariff rate quotas on certain poultry meat products with specific allocation of quantities to China and quantities to all others, following the WTO dispute settlement proceedings DS492</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w:t>
            </w:r>
          </w:p>
        </w:tc>
        <w:tc>
          <w:tcPr>
            <w:tcW w:w="3884" w:type="dxa"/>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FINANCIAL IMPLICATIONS</w:t>
            </w:r>
          </w:p>
        </w:tc>
        <w:tc>
          <w:tcPr>
            <w:tcW w:w="1417" w:type="dxa"/>
          </w:tcPr>
          <w:p>
            <w:pPr>
              <w:spacing w:before="0" w:after="0"/>
              <w:jc w:val="center"/>
              <w:rPr>
                <w:rFonts w:eastAsia="Times New Roman"/>
                <w:noProof/>
                <w:sz w:val="20"/>
                <w:szCs w:val="20"/>
                <w:lang w:eastAsia="en-GB"/>
              </w:rPr>
            </w:pPr>
            <w:r>
              <w:rPr>
                <w:rFonts w:eastAsia="Times New Roman"/>
                <w:noProof/>
                <w:sz w:val="20"/>
                <w:szCs w:val="20"/>
                <w:lang w:eastAsia="en-GB"/>
              </w:rPr>
              <w:t>CURRENT FINANCIAL PERIOD</w:t>
            </w:r>
            <w:r>
              <w:rPr>
                <w:rFonts w:eastAsia="Times New Roman"/>
                <w:noProof/>
                <w:sz w:val="20"/>
                <w:szCs w:val="20"/>
                <w:lang w:eastAsia="en-GB"/>
              </w:rPr>
              <w:br/>
              <w:t>2018</w:t>
            </w:r>
            <w:r>
              <w:rPr>
                <w:rFonts w:eastAsia="Times New Roman"/>
                <w:noProof/>
                <w:sz w:val="20"/>
                <w:szCs w:val="20"/>
                <w:lang w:eastAsia="en-GB"/>
              </w:rPr>
              <w:br/>
              <w:t>(EUR million)</w:t>
            </w:r>
          </w:p>
        </w:tc>
        <w:tc>
          <w:tcPr>
            <w:tcW w:w="1559"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FINANCIAL YEAR</w:t>
            </w:r>
          </w:p>
          <w:p>
            <w:pPr>
              <w:spacing w:before="0" w:after="0"/>
              <w:jc w:val="center"/>
              <w:rPr>
                <w:rFonts w:eastAsia="Times New Roman"/>
                <w:noProof/>
                <w:sz w:val="20"/>
                <w:szCs w:val="20"/>
                <w:lang w:eastAsia="en-GB"/>
              </w:rPr>
            </w:pPr>
            <w:r>
              <w:rPr>
                <w:rFonts w:eastAsia="Times New Roman"/>
                <w:noProof/>
                <w:sz w:val="20"/>
                <w:szCs w:val="20"/>
                <w:lang w:eastAsia="en-GB"/>
              </w:rPr>
              <w:t>2019</w:t>
            </w:r>
          </w:p>
          <w:p>
            <w:pPr>
              <w:spacing w:before="0" w:after="0"/>
              <w:jc w:val="center"/>
              <w:rPr>
                <w:rFonts w:eastAsia="Times New Roman"/>
                <w:noProof/>
                <w:sz w:val="20"/>
                <w:szCs w:val="20"/>
                <w:lang w:eastAsia="en-GB"/>
              </w:rPr>
            </w:pPr>
            <w:r>
              <w:rPr>
                <w:rFonts w:eastAsia="Times New Roman"/>
                <w:noProof/>
                <w:sz w:val="20"/>
                <w:szCs w:val="20"/>
                <w:lang w:eastAsia="en-GB"/>
              </w:rPr>
              <w:t>(EUR million)</w:t>
            </w:r>
          </w:p>
        </w:tc>
        <w:tc>
          <w:tcPr>
            <w:tcW w:w="1701"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FOLLOWING FINANCIAL YEARS</w:t>
            </w:r>
          </w:p>
          <w:p>
            <w:pPr>
              <w:spacing w:before="0" w:after="0"/>
              <w:jc w:val="center"/>
              <w:rPr>
                <w:rFonts w:eastAsia="Times New Roman"/>
                <w:noProof/>
                <w:sz w:val="20"/>
                <w:szCs w:val="20"/>
                <w:lang w:eastAsia="en-GB"/>
              </w:rPr>
            </w:pPr>
            <w:r>
              <w:rPr>
                <w:rFonts w:eastAsia="Times New Roman"/>
                <w:noProof/>
                <w:sz w:val="20"/>
                <w:szCs w:val="20"/>
                <w:lang w:eastAsia="en-GB"/>
              </w:rPr>
              <w:t>2020 and onwards</w:t>
            </w:r>
          </w:p>
          <w:p>
            <w:pPr>
              <w:spacing w:before="0" w:after="0"/>
              <w:jc w:val="center"/>
              <w:rPr>
                <w:rFonts w:eastAsia="Times New Roman"/>
                <w:noProof/>
                <w:sz w:val="20"/>
                <w:szCs w:val="20"/>
                <w:lang w:eastAsia="en-GB"/>
              </w:rPr>
            </w:pPr>
            <w:r>
              <w:rPr>
                <w:rFonts w:eastAsia="Times New Roman"/>
                <w:noProof/>
                <w:sz w:val="20"/>
                <w:szCs w:val="20"/>
                <w:lang w:eastAsia="en-GB"/>
              </w:rPr>
              <w:t>(EUR million)</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5.0</w:t>
            </w:r>
          </w:p>
        </w:tc>
        <w:tc>
          <w:tcPr>
            <w:tcW w:w="3884" w:type="dxa"/>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EXPENDITURE</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CHARGED TO THE EU BUDGET</w:t>
            </w:r>
            <w:r>
              <w:rPr>
                <w:rFonts w:eastAsia="Times New Roman"/>
                <w:noProof/>
                <w:sz w:val="20"/>
                <w:szCs w:val="20"/>
                <w:lang w:eastAsia="en-GB"/>
              </w:rPr>
              <w:br/>
              <w:t>(REFUNDS/INTERVENTIONS)</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NATIONAL AUTHORITIES</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OTHER</w:t>
            </w:r>
          </w:p>
        </w:tc>
        <w:tc>
          <w:tcPr>
            <w:tcW w:w="1417" w:type="dxa"/>
          </w:tcPr>
          <w:p>
            <w:pPr>
              <w:spacing w:before="0" w:after="0"/>
              <w:jc w:val="center"/>
              <w:rPr>
                <w:rFonts w:eastAsia="Times New Roman"/>
                <w:noProof/>
                <w:sz w:val="20"/>
                <w:szCs w:val="20"/>
                <w:lang w:eastAsia="en-GB"/>
              </w:rPr>
            </w:pPr>
            <w:r>
              <w:rPr>
                <w:rFonts w:eastAsia="Times New Roman"/>
                <w:noProof/>
                <w:sz w:val="20"/>
                <w:szCs w:val="20"/>
                <w:lang w:eastAsia="en-GB"/>
              </w:rPr>
              <w:t>N.A.</w:t>
            </w:r>
          </w:p>
        </w:tc>
        <w:tc>
          <w:tcPr>
            <w:tcW w:w="1559"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w:t>
            </w:r>
          </w:p>
        </w:tc>
        <w:tc>
          <w:tcPr>
            <w:tcW w:w="1701"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w:t>
            </w: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5.1</w:t>
            </w:r>
          </w:p>
        </w:tc>
        <w:tc>
          <w:tcPr>
            <w:tcW w:w="3884" w:type="dxa"/>
            <w:tcBorders>
              <w:left w:val="nil"/>
            </w:tcBorders>
          </w:tcPr>
          <w:p>
            <w:pPr>
              <w:spacing w:before="0" w:after="0"/>
              <w:jc w:val="left"/>
              <w:rPr>
                <w:rFonts w:eastAsia="Times New Roman"/>
                <w:noProof/>
                <w:sz w:val="20"/>
                <w:szCs w:val="20"/>
                <w:lang w:eastAsia="en-GB"/>
              </w:rPr>
            </w:pPr>
            <w:r>
              <w:rPr>
                <w:rFonts w:eastAsia="Times New Roman"/>
                <w:noProof/>
                <w:sz w:val="20"/>
                <w:szCs w:val="20"/>
                <w:lang w:eastAsia="en-GB"/>
              </w:rPr>
              <w:t>REVENUE</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 xml:space="preserve">OWN RESOURCES OF THE EU </w:t>
            </w:r>
            <w:r>
              <w:rPr>
                <w:rFonts w:eastAsia="Times New Roman"/>
                <w:noProof/>
                <w:sz w:val="20"/>
                <w:szCs w:val="20"/>
                <w:lang w:eastAsia="en-GB"/>
              </w:rPr>
              <w:br/>
              <w:t>(LEVIES/CUSTOMS DUTIES)</w:t>
            </w:r>
          </w:p>
          <w:p>
            <w:pPr>
              <w:spacing w:before="0" w:after="0"/>
              <w:jc w:val="left"/>
              <w:rPr>
                <w:rFonts w:eastAsia="Times New Roman"/>
                <w:noProof/>
                <w:sz w:val="20"/>
                <w:szCs w:val="20"/>
                <w:lang w:eastAsia="en-GB"/>
              </w:rPr>
            </w:pPr>
            <w:r>
              <w:rPr>
                <w:rFonts w:eastAsia="Times New Roman"/>
                <w:noProof/>
                <w:sz w:val="20"/>
                <w:szCs w:val="20"/>
                <w:lang w:eastAsia="en-GB"/>
              </w:rPr>
              <w:t>-</w:t>
            </w:r>
            <w:r>
              <w:rPr>
                <w:rFonts w:eastAsia="Times New Roman"/>
                <w:noProof/>
                <w:sz w:val="20"/>
                <w:szCs w:val="20"/>
                <w:lang w:eastAsia="en-GB"/>
              </w:rPr>
              <w:tab/>
              <w:t>NATIONAL</w:t>
            </w:r>
          </w:p>
        </w:tc>
        <w:tc>
          <w:tcPr>
            <w:tcW w:w="1417" w:type="dxa"/>
          </w:tcPr>
          <w:p>
            <w:pPr>
              <w:spacing w:before="0" w:after="0"/>
              <w:jc w:val="center"/>
              <w:rPr>
                <w:rFonts w:eastAsia="Times New Roman"/>
                <w:noProof/>
                <w:sz w:val="20"/>
                <w:szCs w:val="20"/>
                <w:lang w:eastAsia="en-GB"/>
              </w:rPr>
            </w:pPr>
            <w:r>
              <w:rPr>
                <w:rFonts w:eastAsia="Times New Roman"/>
                <w:noProof/>
                <w:sz w:val="20"/>
                <w:szCs w:val="20"/>
                <w:lang w:eastAsia="en-GB"/>
              </w:rPr>
              <w:t>-</w:t>
            </w:r>
          </w:p>
        </w:tc>
        <w:tc>
          <w:tcPr>
            <w:tcW w:w="1559"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-8,2</w:t>
            </w:r>
          </w:p>
        </w:tc>
        <w:tc>
          <w:tcPr>
            <w:tcW w:w="1701" w:type="dxa"/>
            <w:gridSpan w:val="2"/>
          </w:tcPr>
          <w:p>
            <w:pPr>
              <w:spacing w:before="0" w:after="0"/>
              <w:jc w:val="center"/>
              <w:rPr>
                <w:rFonts w:eastAsia="Times New Roman"/>
                <w:noProof/>
                <w:sz w:val="20"/>
                <w:szCs w:val="20"/>
                <w:lang w:eastAsia="en-GB"/>
              </w:rPr>
            </w:pPr>
            <w:r>
              <w:rPr>
                <w:rFonts w:eastAsia="Times New Roman"/>
                <w:noProof/>
                <w:sz w:val="20"/>
                <w:szCs w:val="20"/>
                <w:lang w:eastAsia="en-GB"/>
              </w:rPr>
              <w:t>-8,2</w:t>
            </w: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5.2</w:t>
            </w:r>
          </w:p>
        </w:tc>
        <w:tc>
          <w:tcPr>
            <w:tcW w:w="8561" w:type="dxa"/>
            <w:gridSpan w:val="6"/>
            <w:tcBorders>
              <w:left w:val="nil"/>
            </w:tcBorders>
          </w:tcPr>
          <w:p>
            <w:pPr>
              <w:spacing w:before="60" w:after="60"/>
              <w:jc w:val="left"/>
              <w:rPr>
                <w:rFonts w:eastAsia="Times New Roman"/>
                <w:noProof/>
                <w:sz w:val="20"/>
                <w:szCs w:val="20"/>
                <w:lang w:eastAsia="en-GB"/>
              </w:rPr>
            </w:pPr>
            <w:r>
              <w:rPr>
                <w:rFonts w:eastAsia="Times New Roman"/>
                <w:noProof/>
                <w:sz w:val="20"/>
                <w:szCs w:val="20"/>
                <w:lang w:eastAsia="en-GB"/>
              </w:rPr>
              <w:t>METHOD OF CALCULATION:see observations</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6.0</w:t>
            </w:r>
          </w:p>
        </w:tc>
        <w:tc>
          <w:tcPr>
            <w:tcW w:w="7427" w:type="dxa"/>
            <w:gridSpan w:val="5"/>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CAN THE PROJECT BE FINANCED FROM APPROPRIATIONS ENTERED IN THE RELEVANT CHAPTER OF THE CURRENT BUDGET?</w:t>
            </w:r>
          </w:p>
        </w:tc>
        <w:tc>
          <w:tcPr>
            <w:tcW w:w="1134" w:type="dxa"/>
            <w:tcBorders>
              <w:left w:val="nil"/>
              <w:bottom w:val="nil"/>
            </w:tcBorders>
          </w:tcPr>
          <w:p>
            <w:pPr>
              <w:spacing w:before="0" w:after="0"/>
              <w:jc w:val="center"/>
              <w:rPr>
                <w:rFonts w:eastAsia="Times New Roman"/>
                <w:noProof/>
                <w:sz w:val="20"/>
                <w:szCs w:val="20"/>
                <w:lang w:eastAsia="en-GB"/>
              </w:rPr>
            </w:pPr>
            <w:r>
              <w:rPr>
                <w:rFonts w:eastAsia="Times New Roman"/>
                <w:noProof/>
                <w:sz w:val="20"/>
                <w:szCs w:val="20"/>
                <w:lang w:eastAsia="en-GB"/>
              </w:rPr>
              <w:t xml:space="preserve">YES </w:t>
            </w:r>
            <w:r>
              <w:rPr>
                <w:rFonts w:eastAsia="Times New Roman"/>
                <w:strike/>
                <w:noProof/>
                <w:sz w:val="20"/>
                <w:szCs w:val="20"/>
                <w:lang w:eastAsia="en-GB"/>
              </w:rPr>
              <w:t>NO</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6.1</w:t>
            </w:r>
          </w:p>
        </w:tc>
        <w:tc>
          <w:tcPr>
            <w:tcW w:w="7427" w:type="dxa"/>
            <w:gridSpan w:val="5"/>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CAN THE PROJECT BE FINANCED BY TRANSFER BETWEEN CHAPTERS OF THE CURRENT BUDGET?</w:t>
            </w:r>
          </w:p>
        </w:tc>
        <w:tc>
          <w:tcPr>
            <w:tcW w:w="1134" w:type="dxa"/>
            <w:tcBorders>
              <w:left w:val="nil"/>
              <w:bottom w:val="nil"/>
            </w:tcBorders>
          </w:tcPr>
          <w:p>
            <w:pPr>
              <w:spacing w:before="0" w:after="0"/>
              <w:jc w:val="center"/>
              <w:rPr>
                <w:rFonts w:eastAsia="Times New Roman"/>
                <w:strike/>
                <w:noProof/>
                <w:sz w:val="20"/>
                <w:szCs w:val="20"/>
                <w:lang w:eastAsia="en-GB"/>
              </w:rPr>
            </w:pPr>
            <w:r>
              <w:rPr>
                <w:rFonts w:eastAsia="Times New Roman"/>
                <w:strike/>
                <w:noProof/>
                <w:sz w:val="20"/>
                <w:szCs w:val="20"/>
                <w:lang w:eastAsia="en-GB"/>
              </w:rPr>
              <w:t>YES NO</w:t>
            </w:r>
          </w:p>
        </w:tc>
      </w:tr>
      <w:tr>
        <w:tc>
          <w:tcPr>
            <w:tcW w:w="567" w:type="dxa"/>
            <w:tcBorders>
              <w:bottom w:val="nil"/>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6.2</w:t>
            </w:r>
          </w:p>
        </w:tc>
        <w:tc>
          <w:tcPr>
            <w:tcW w:w="7427" w:type="dxa"/>
            <w:gridSpan w:val="5"/>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WILL A SUPPLEMENTARY BUDGET BE NECESSARY?</w:t>
            </w:r>
          </w:p>
        </w:tc>
        <w:tc>
          <w:tcPr>
            <w:tcW w:w="1134" w:type="dxa"/>
            <w:tcBorders>
              <w:left w:val="nil"/>
              <w:bottom w:val="nil"/>
            </w:tcBorders>
          </w:tcPr>
          <w:p>
            <w:pPr>
              <w:spacing w:before="0" w:after="0"/>
              <w:jc w:val="center"/>
              <w:rPr>
                <w:rFonts w:eastAsia="Times New Roman"/>
                <w:strike/>
                <w:noProof/>
                <w:sz w:val="20"/>
                <w:szCs w:val="20"/>
                <w:lang w:eastAsia="en-GB"/>
              </w:rPr>
            </w:pPr>
            <w:r>
              <w:rPr>
                <w:rFonts w:eastAsia="Times New Roman"/>
                <w:strike/>
                <w:noProof/>
                <w:sz w:val="20"/>
                <w:szCs w:val="20"/>
                <w:lang w:eastAsia="en-GB"/>
              </w:rPr>
              <w:t>YES NO</w:t>
            </w:r>
          </w:p>
        </w:tc>
      </w:tr>
      <w:tr>
        <w:tc>
          <w:tcPr>
            <w:tcW w:w="567" w:type="dxa"/>
            <w:tcBorders>
              <w:right w:val="nil"/>
            </w:tcBorders>
          </w:tcPr>
          <w:p>
            <w:pPr>
              <w:spacing w:before="0" w:after="0"/>
              <w:jc w:val="left"/>
              <w:rPr>
                <w:rFonts w:eastAsia="Times New Roman"/>
                <w:noProof/>
                <w:sz w:val="20"/>
                <w:szCs w:val="20"/>
                <w:lang w:eastAsia="en-GB"/>
              </w:rPr>
            </w:pPr>
            <w:r>
              <w:rPr>
                <w:rFonts w:eastAsia="Times New Roman"/>
                <w:noProof/>
                <w:sz w:val="20"/>
                <w:szCs w:val="20"/>
                <w:lang w:eastAsia="en-GB"/>
              </w:rPr>
              <w:t>6.3</w:t>
            </w:r>
          </w:p>
        </w:tc>
        <w:tc>
          <w:tcPr>
            <w:tcW w:w="7427" w:type="dxa"/>
            <w:gridSpan w:val="5"/>
            <w:tcBorders>
              <w:left w:val="nil"/>
              <w:right w:val="nil"/>
            </w:tcBorders>
          </w:tcPr>
          <w:p>
            <w:pPr>
              <w:spacing w:before="60" w:after="60"/>
              <w:jc w:val="left"/>
              <w:rPr>
                <w:rFonts w:eastAsia="Times New Roman"/>
                <w:noProof/>
                <w:sz w:val="20"/>
                <w:szCs w:val="20"/>
                <w:lang w:eastAsia="en-GB"/>
              </w:rPr>
            </w:pPr>
            <w:r>
              <w:rPr>
                <w:rFonts w:eastAsia="Times New Roman"/>
                <w:noProof/>
                <w:sz w:val="20"/>
                <w:szCs w:val="20"/>
                <w:lang w:eastAsia="en-GB"/>
              </w:rPr>
              <w:t>WILL APPROPRIATIONS NEED TO BE ENTERED IN FUTURE BUDGETS?</w:t>
            </w:r>
          </w:p>
        </w:tc>
        <w:tc>
          <w:tcPr>
            <w:tcW w:w="1134" w:type="dxa"/>
            <w:tcBorders>
              <w:left w:val="nil"/>
            </w:tcBorders>
          </w:tcPr>
          <w:p>
            <w:pPr>
              <w:spacing w:before="0" w:after="0"/>
              <w:jc w:val="center"/>
              <w:rPr>
                <w:rFonts w:eastAsia="Times New Roman"/>
                <w:strike/>
                <w:noProof/>
                <w:sz w:val="20"/>
                <w:szCs w:val="20"/>
                <w:lang w:eastAsia="en-GB"/>
              </w:rPr>
            </w:pPr>
            <w:r>
              <w:rPr>
                <w:rFonts w:eastAsia="Times New Roman"/>
                <w:strike/>
                <w:noProof/>
                <w:sz w:val="20"/>
                <w:szCs w:val="20"/>
                <w:lang w:eastAsia="en-GB"/>
              </w:rPr>
              <w:t>YES NO</w:t>
            </w:r>
          </w:p>
        </w:tc>
      </w:tr>
      <w:tr>
        <w:tc>
          <w:tcPr>
            <w:tcW w:w="9128" w:type="dxa"/>
            <w:gridSpan w:val="7"/>
          </w:tcPr>
          <w:p>
            <w:pPr>
              <w:spacing w:before="0" w:after="0"/>
              <w:jc w:val="left"/>
              <w:rPr>
                <w:rFonts w:eastAsia="Times New Roman"/>
                <w:noProof/>
                <w:sz w:val="20"/>
                <w:szCs w:val="20"/>
                <w:lang w:eastAsia="en-GB"/>
              </w:rPr>
            </w:pPr>
            <w:r>
              <w:rPr>
                <w:rFonts w:eastAsia="Times New Roman"/>
                <w:noProof/>
                <w:sz w:val="20"/>
                <w:szCs w:val="20"/>
                <w:lang w:eastAsia="en-GB"/>
              </w:rPr>
              <w:t>OBSERVATIONS:</w:t>
            </w:r>
          </w:p>
          <w:p>
            <w:pPr>
              <w:spacing w:before="0" w:after="0"/>
              <w:jc w:val="left"/>
              <w:rPr>
                <w:rFonts w:eastAsia="Times New Roman"/>
                <w:noProof/>
                <w:sz w:val="20"/>
                <w:szCs w:val="20"/>
                <w:lang w:eastAsia="en-GB"/>
              </w:rPr>
            </w:pPr>
            <w:r>
              <w:rPr>
                <w:rFonts w:eastAsia="Times New Roman"/>
                <w:noProof/>
                <w:sz w:val="20"/>
                <w:szCs w:val="20"/>
                <w:lang w:eastAsia="en-GB"/>
              </w:rPr>
              <w:t>The proposal has no impact on the expenditure.</w:t>
            </w:r>
          </w:p>
          <w:p>
            <w:pPr>
              <w:spacing w:before="0" w:after="0"/>
              <w:jc w:val="left"/>
              <w:rPr>
                <w:rFonts w:eastAsia="Times New Roman"/>
                <w:noProof/>
                <w:sz w:val="20"/>
                <w:szCs w:val="20"/>
                <w:lang w:eastAsia="en-GB"/>
              </w:rPr>
            </w:pPr>
            <w:r>
              <w:rPr>
                <w:rFonts w:eastAsia="Times New Roman"/>
                <w:noProof/>
                <w:sz w:val="20"/>
                <w:szCs w:val="20"/>
                <w:lang w:eastAsia="en-GB"/>
              </w:rPr>
              <w:t>The theoretical loss of own ressources, taking into account the deduction of 20% for collection costs, amounts to EUR 8,2 million. This is based on the assumption that the total quantities granted in the concessions (11720 tonnes) would have been imported also with application of the full tariff rate of 86,7 EUR/100kg, which would have lead to a total own ressources amount, net of collection costs, of EUR 11,2 million.</w:t>
            </w:r>
          </w:p>
          <w:p>
            <w:pPr>
              <w:spacing w:before="0" w:after="0"/>
              <w:jc w:val="left"/>
              <w:rPr>
                <w:rFonts w:eastAsia="Times New Roman"/>
                <w:noProof/>
                <w:sz w:val="20"/>
                <w:szCs w:val="20"/>
                <w:lang w:eastAsia="en-GB"/>
              </w:rPr>
            </w:pPr>
            <w:r>
              <w:rPr>
                <w:rFonts w:eastAsia="Times New Roman"/>
                <w:noProof/>
                <w:sz w:val="20"/>
                <w:szCs w:val="20"/>
                <w:lang w:eastAsia="en-GB"/>
              </w:rPr>
              <w:t>The granted concession should result in an amount of own ressources, net of collection costs of EUR 3 million.</w:t>
            </w:r>
          </w:p>
          <w:p>
            <w:pPr>
              <w:spacing w:before="0" w:after="0"/>
              <w:jc w:val="left"/>
              <w:rPr>
                <w:rFonts w:eastAsia="Times New Roman"/>
                <w:noProof/>
                <w:sz w:val="20"/>
                <w:szCs w:val="20"/>
                <w:lang w:eastAsia="en-GB"/>
              </w:rPr>
            </w:pPr>
          </w:p>
        </w:tc>
      </w:tr>
    </w:tbl>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30FC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9CB9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04F9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FAB1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4405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227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244B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1FEF8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5"/>
    <w:lvlOverride w:ilvl="0">
      <w:startOverride w:val="1"/>
    </w:lvlOverride>
  </w:num>
  <w:num w:numId="15">
    <w:abstractNumId w:val="22"/>
  </w:num>
  <w:num w:numId="16">
    <w:abstractNumId w:val="14"/>
  </w:num>
  <w:num w:numId="17">
    <w:abstractNumId w:val="24"/>
  </w:num>
  <w:num w:numId="18">
    <w:abstractNumId w:val="12"/>
  </w:num>
  <w:num w:numId="19">
    <w:abstractNumId w:val="15"/>
  </w:num>
  <w:num w:numId="20">
    <w:abstractNumId w:val="10"/>
  </w:num>
  <w:num w:numId="21">
    <w:abstractNumId w:val="23"/>
  </w:num>
  <w:num w:numId="22">
    <w:abstractNumId w:val="9"/>
  </w:num>
  <w:num w:numId="23">
    <w:abstractNumId w:val="16"/>
  </w:num>
  <w:num w:numId="24">
    <w:abstractNumId w:val="20"/>
  </w:num>
  <w:num w:numId="25">
    <w:abstractNumId w:val="21"/>
  </w:num>
  <w:num w:numId="26">
    <w:abstractNumId w:val="11"/>
  </w:num>
  <w:num w:numId="27">
    <w:abstractNumId w:val="19"/>
  </w:num>
  <w:num w:numId="28">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A LUCIO Natalia (AGRI)">
    <w15:presenceInfo w15:providerId="None" w15:userId="OLIVA LUCIO Natali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6:32:1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CB413FD-5A2D-4AA9-BEE5-A01DAEE9AA40"/>
    <w:docVar w:name="LW_COVERPAGE_TYPE" w:val="1"/>
    <w:docVar w:name="LW_CROSSREFERENCE" w:val="&lt;UNUSED&gt;"/>
    <w:docVar w:name="LW_DocType" w:val="COM"/>
    <w:docVar w:name="LW_EMISSION" w:val="5.7.2018"/>
    <w:docVar w:name="LW_EMISSION_ISODATE" w:val="2018-07-0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81"/>
    <w:docVar w:name="LW_REF.II.NEW.CP_YEAR" w:val="2018"/>
    <w:docVar w:name="LW_REF.INST.NEW" w:val="COM"/>
    <w:docVar w:name="LW_REF.INST.NEW_ADOPTED" w:val="final"/>
    <w:docVar w:name="LW_REF.INST.NEW_TEXT" w:val="(2018)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conclusion, on behalf of the European Union, of the Agreement in the form of an Exchange of Letters between the Union and the People's Republic of China in connection with the WTO dispute settlement proceedings DS492 Measures affecting Tariff Concessions on Certain Poultry Meat Product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nhideWhenUsed/>
    <w:rPr>
      <w:color w:val="0000FF" w:themeColor="hyperlink"/>
      <w:u w:val="single"/>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ListNumber4Level2">
    <w:name w:val="List Number 4 (Level 2)"/>
    <w:basedOn w:val="Text4"/>
    <w:pPr>
      <w:tabs>
        <w:tab w:val="num" w:pos="2268"/>
      </w:tabs>
      <w:ind w:left="2268" w:hanging="708"/>
    </w:pPr>
    <w:rPr>
      <w:rFonts w:eastAsia="Times New Roman"/>
      <w:lang w:val="fr-FR" w:eastAsia="en-GB"/>
    </w:rPr>
  </w:style>
  <w:style w:type="paragraph" w:customStyle="1" w:styleId="ListNumber4Level3">
    <w:name w:val="List Number 4 (Level 3)"/>
    <w:basedOn w:val="Text4"/>
    <w:pPr>
      <w:tabs>
        <w:tab w:val="num" w:pos="2977"/>
      </w:tabs>
      <w:ind w:left="2977" w:hanging="709"/>
    </w:pPr>
    <w:rPr>
      <w:rFonts w:eastAsia="Times New Roman"/>
      <w:lang w:val="fr-FR" w:eastAsia="en-GB"/>
    </w:rPr>
  </w:style>
  <w:style w:type="paragraph" w:customStyle="1" w:styleId="ListNumber4Level4">
    <w:name w:val="List Number 4 (Level 4)"/>
    <w:basedOn w:val="Text4"/>
    <w:pPr>
      <w:tabs>
        <w:tab w:val="num" w:pos="3686"/>
      </w:tabs>
      <w:ind w:left="3686" w:hanging="709"/>
    </w:pPr>
    <w:rPr>
      <w:rFonts w:eastAsia="Times New Roman"/>
      <w:lang w:val="fr-FR"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D7F3E-0DEF-4EB2-916E-DCDA9E7A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1512</Words>
  <Characters>8079</Characters>
  <Application>Microsoft Office Word</Application>
  <DocSecurity>0</DocSecurity>
  <Lines>230</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2018-05-03T07:57:00Z</cp:lastPrinted>
  <dcterms:created xsi:type="dcterms:W3CDTF">2018-06-21T15:31:00Z</dcterms:created>
  <dcterms:modified xsi:type="dcterms:W3CDTF">2018-07-03T14:32:00Z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