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B3DDFD68-2919-40A3-989A-4DCF96ACE609" style="width:451.35pt;height:463.1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</w:t>
      </w:r>
    </w:p>
    <w:p>
      <w:pPr>
        <w:spacing w:before="0" w:line="300" w:lineRule="atLeast"/>
        <w:jc w:val="center"/>
        <w:rPr>
          <w:rFonts w:eastAsia="Arial Unicode MS"/>
          <w:b/>
          <w:bCs/>
          <w:noProof/>
          <w:szCs w:val="24"/>
          <w:u w:color="000000"/>
        </w:rPr>
      </w:pPr>
    </w:p>
    <w:p>
      <w:pPr>
        <w:spacing w:before="0" w:line="300" w:lineRule="atLeast"/>
        <w:jc w:val="center"/>
        <w:rPr>
          <w:rFonts w:eastAsia="Arial Unicode MS"/>
          <w:b/>
          <w:bCs/>
          <w:noProof/>
          <w:szCs w:val="24"/>
          <w:u w:color="000000"/>
        </w:rPr>
      </w:pPr>
      <w:r>
        <w:rPr>
          <w:b/>
          <w:noProof/>
          <w:u w:color="000000"/>
        </w:rPr>
        <w:t>Консолидиране на привилегированото партньорство ЕС—Тунис:</w:t>
      </w:r>
    </w:p>
    <w:p>
      <w:pPr>
        <w:spacing w:before="0" w:after="0" w:line="300" w:lineRule="atLeast"/>
        <w:jc w:val="center"/>
        <w:rPr>
          <w:rFonts w:eastAsia="Arial Unicode MS"/>
          <w:b/>
          <w:bCs/>
          <w:noProof/>
          <w:szCs w:val="24"/>
          <w:u w:color="000000"/>
        </w:rPr>
      </w:pPr>
      <w:r>
        <w:rPr>
          <w:b/>
          <w:noProof/>
          <w:u w:color="000000"/>
        </w:rPr>
        <w:t>елементи на стратегически приоритети за периода 2018—2020 г.</w:t>
      </w:r>
    </w:p>
    <w:p>
      <w:pPr>
        <w:spacing w:before="0" w:after="0" w:line="300" w:lineRule="atLeast"/>
        <w:jc w:val="center"/>
        <w:rPr>
          <w:rFonts w:eastAsia="Arial Unicode MS"/>
          <w:b/>
          <w:bCs/>
          <w:noProof/>
          <w:szCs w:val="24"/>
          <w:u w:color="000000"/>
        </w:rPr>
      </w:pPr>
    </w:p>
    <w:p>
      <w:pPr>
        <w:pStyle w:val="NumPar1"/>
        <w:numPr>
          <w:ilvl w:val="0"/>
          <w:numId w:val="11"/>
        </w:numPr>
        <w:tabs>
          <w:tab w:val="clear" w:pos="850"/>
          <w:tab w:val="num" w:pos="567"/>
        </w:tabs>
        <w:ind w:left="567" w:hanging="567"/>
        <w:rPr>
          <w:b/>
          <w:noProof/>
          <w:u w:val="single" w:color="000000"/>
        </w:rPr>
      </w:pPr>
      <w:r>
        <w:rPr>
          <w:b/>
          <w:noProof/>
          <w:u w:val="single" w:color="000000"/>
        </w:rPr>
        <w:t>Въведение</w:t>
      </w:r>
    </w:p>
    <w:p>
      <w:pPr>
        <w:widowControl w:val="0"/>
        <w:autoSpaceDE w:val="0"/>
        <w:autoSpaceDN w:val="0"/>
        <w:adjustRightInd w:val="0"/>
        <w:spacing w:before="0" w:after="240" w:line="276" w:lineRule="auto"/>
        <w:rPr>
          <w:rFonts w:eastAsia="TimesNewRoman"/>
          <w:noProof/>
          <w:szCs w:val="24"/>
        </w:rPr>
      </w:pPr>
      <w:r>
        <w:rPr>
          <w:noProof/>
        </w:rPr>
        <w:t>Обвързването с европейското пространство се превърна за Тунис в стратегически избор и развитието на успешна и стабилна демокрация в Тунис в съседство с Европейския съюз е от взаимен стратегически интерес.</w:t>
      </w:r>
    </w:p>
    <w:p>
      <w:pPr>
        <w:widowControl w:val="0"/>
        <w:autoSpaceDE w:val="0"/>
        <w:autoSpaceDN w:val="0"/>
        <w:adjustRightInd w:val="0"/>
        <w:spacing w:before="0" w:after="240" w:line="276" w:lineRule="auto"/>
        <w:rPr>
          <w:rFonts w:eastAsia="Calibri"/>
          <w:noProof/>
          <w:szCs w:val="24"/>
        </w:rPr>
      </w:pPr>
      <w:r>
        <w:rPr>
          <w:noProof/>
        </w:rPr>
        <w:t>Привилегированото партньорство ЕС—Тунис свидетелства за уникалността и динамиката на двустранните отношения, както и за споделената амбиция за постигане на напредък в тези отношения към все по-тясно прикрепване на Тунис към европейското пространство. Дългосрочната цел е да се разработи амбициозен модел за бъдещето на отношенията след 2020 г., като за основен ориентир служи постигнатият напредък и като се използват пълноценно възможностите за сближаване, предлагани от европейската политика за съседство в периода 2018—2020 г.</w:t>
      </w:r>
    </w:p>
    <w:p>
      <w:pPr>
        <w:widowControl w:val="0"/>
        <w:autoSpaceDE w:val="0"/>
        <w:autoSpaceDN w:val="0"/>
        <w:adjustRightInd w:val="0"/>
        <w:spacing w:before="0" w:after="240" w:line="276" w:lineRule="auto"/>
        <w:rPr>
          <w:rFonts w:eastAsia="Calibri"/>
          <w:noProof/>
          <w:szCs w:val="24"/>
        </w:rPr>
      </w:pPr>
      <w:r>
        <w:rPr>
          <w:noProof/>
        </w:rPr>
        <w:t>В контекста на привилегированото партньорство Тунис се е ангажирал да осъществи изцяло реформите, необходими за устойчивото социално-икономическо развитие на държавата, и да включи в дългосрочен план постиженията на демократичния преход. Като съзнава напълно мащаба на предизвикателствата и на трудностите, през които преминава Тунис, Европейският съюз отново потвърди ангажимента си да подкрепи възможно най-бързото изпълнение на тези реформи.</w:t>
      </w:r>
    </w:p>
    <w:p>
      <w:pPr>
        <w:widowControl w:val="0"/>
        <w:autoSpaceDE w:val="0"/>
        <w:autoSpaceDN w:val="0"/>
        <w:adjustRightInd w:val="0"/>
        <w:spacing w:before="0" w:after="240" w:line="276" w:lineRule="auto"/>
        <w:rPr>
          <w:rFonts w:eastAsia="TimesNewRoman"/>
          <w:noProof/>
          <w:szCs w:val="24"/>
        </w:rPr>
      </w:pPr>
      <w:r>
        <w:rPr>
          <w:noProof/>
        </w:rPr>
        <w:t xml:space="preserve">Формулираните в настоящия документ стратегически приоритети са израз на привилегированото партньорство конкретно за периода 2018—2020 г. В същината на действията на двете страни ще бъде създаването на перспективи за бъдещето за младите хора. Акцентът ще бъде поставен върху ускоряването на социално-икономическите реформи, включително подобряването на бизнес средата, както и върху сключването на задълбочено и всеобхватно споразумение за свободна търговия (ЗВССТ). От важно значение ще останат също и укрепването на демокрацията, по-специално ефективното прилагане на Конституцията от 2014 г. и доброто управление. Двете страни ще засилят сътрудничеството си в областта на сигурността и борбата с тероризма, както и по въпросите на миграцията и мобилността, чрез приключване на преговорите относно улесняването на издаването на визи и относно обратното приемане, а също и все по-активното участие на Тунис в европейските програми. Тези усилия ще бъдат придружени от засилване на политическия диалог на високо равнище и на диалога с гражданското общество, както и от повишаване на видимостта на партньорството. </w:t>
      </w:r>
    </w:p>
    <w:p>
      <w:pPr>
        <w:spacing w:before="0" w:after="240" w:line="300" w:lineRule="atLeast"/>
        <w:rPr>
          <w:rFonts w:eastAsia="Calibri"/>
          <w:noProof/>
          <w:szCs w:val="24"/>
        </w:rPr>
      </w:pPr>
      <w:r>
        <w:rPr>
          <w:noProof/>
        </w:rPr>
        <w:lastRenderedPageBreak/>
        <w:t>Приоритетите се основават на петгодишния план за развитие на Тунис 2016—2020 г.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и на съвместното съобщение </w:t>
      </w:r>
      <w:r>
        <w:rPr>
          <w:i/>
          <w:noProof/>
        </w:rPr>
        <w:t>„Засилване на подкрепата на ЕС за Тунис“</w:t>
      </w:r>
      <w:r>
        <w:rPr>
          <w:rStyle w:val="FootnoteReference"/>
          <w:noProof/>
        </w:rPr>
        <w:footnoteReference w:id="2"/>
      </w:r>
      <w:r>
        <w:rPr>
          <w:noProof/>
        </w:rPr>
        <w:t>.</w:t>
      </w:r>
    </w:p>
    <w:p>
      <w:pPr>
        <w:pStyle w:val="NumPar1"/>
        <w:tabs>
          <w:tab w:val="clear" w:pos="850"/>
          <w:tab w:val="num" w:pos="567"/>
        </w:tabs>
        <w:ind w:left="567" w:hanging="567"/>
        <w:rPr>
          <w:rFonts w:eastAsia="Arial Unicode MS"/>
          <w:b/>
          <w:bCs/>
          <w:noProof/>
          <w:szCs w:val="24"/>
          <w:u w:val="single" w:color="000000"/>
        </w:rPr>
      </w:pPr>
      <w:r>
        <w:rPr>
          <w:b/>
          <w:noProof/>
          <w:u w:val="single" w:color="000000"/>
        </w:rPr>
        <w:t>Стратегически приоритети на привилегированото партньорство ЕС—Тунис за периода 2018—2020 г.</w:t>
      </w:r>
    </w:p>
    <w:p>
      <w:pPr>
        <w:spacing w:before="0" w:after="240" w:line="300" w:lineRule="atLeast"/>
        <w:rPr>
          <w:rFonts w:eastAsia="Calibri"/>
          <w:b/>
          <w:i/>
          <w:noProof/>
          <w:szCs w:val="24"/>
        </w:rPr>
      </w:pPr>
      <w:r>
        <w:rPr>
          <w:b/>
          <w:i/>
          <w:noProof/>
        </w:rPr>
        <w:t>Партньорство за младежта</w:t>
      </w:r>
    </w:p>
    <w:p>
      <w:pPr>
        <w:spacing w:before="0" w:line="300" w:lineRule="atLeast"/>
        <w:rPr>
          <w:rFonts w:eastAsia="Calibri"/>
          <w:noProof/>
          <w:szCs w:val="24"/>
        </w:rPr>
      </w:pPr>
      <w:r>
        <w:rPr>
          <w:noProof/>
        </w:rPr>
        <w:t xml:space="preserve">ЕС и Тунис разглеждат перспективите за бъдещето за младите хора като основна цел, доказателство за което е </w:t>
      </w:r>
      <w:r>
        <w:rPr>
          <w:b/>
          <w:noProof/>
        </w:rPr>
        <w:t>партньорството „ЕС—Тунис за младежта“</w:t>
      </w:r>
      <w:r>
        <w:rPr>
          <w:noProof/>
        </w:rPr>
        <w:t xml:space="preserve">, чието начало беше поставено на 1 декември 2016 г. от президента на Тунис и от върховния представител/заместник-председател. С цел да се отговори по-добре на нуждите на младите тунизийци, следва да се съгласуват още повече различните действия, които са в ход и които предстоят. Въз основа на започналия във връзка с изпълнението на партньорството диалог ЕС и Тунис се ангажираха да засилят действията за насърчаване на </w:t>
      </w:r>
      <w:r>
        <w:rPr>
          <w:b/>
          <w:noProof/>
        </w:rPr>
        <w:t>заетостта</w:t>
      </w:r>
      <w:r>
        <w:rPr>
          <w:noProof/>
        </w:rPr>
        <w:t xml:space="preserve"> и пригодността за заетост на младите хора; </w:t>
      </w:r>
      <w:r>
        <w:rPr>
          <w:b/>
          <w:noProof/>
        </w:rPr>
        <w:t>мобилността</w:t>
      </w:r>
      <w:r>
        <w:rPr>
          <w:noProof/>
        </w:rPr>
        <w:t xml:space="preserve">; и </w:t>
      </w:r>
      <w:r>
        <w:rPr>
          <w:b/>
          <w:noProof/>
        </w:rPr>
        <w:t>повишеното участие на младите хора в обществения и в политическия живот</w:t>
      </w:r>
      <w:r>
        <w:rPr>
          <w:noProof/>
        </w:rPr>
        <w:t xml:space="preserve">, по-специално местните инициативи. За пригодността за заетост ще се мине през реформа на образованието и на професионалното обучение и създаване на тясна връзка между частния сектор и системите за образование и обучение, както и насърчаване и подкрепа за иновативни инициативи на млади хора, по-специално в областта на новите технологии и на културата. Подкрепата за разработването на </w:t>
      </w:r>
      <w:r>
        <w:rPr>
          <w:b/>
          <w:noProof/>
        </w:rPr>
        <w:t>национална тунизийска стратегия за младежта</w:t>
      </w:r>
      <w:r>
        <w:rPr>
          <w:noProof/>
        </w:rPr>
        <w:t xml:space="preserve"> ще съставлява ключов елемент на партньорството, също както и укрепването на институциите и организациите, които работят с младежта.</w:t>
      </w:r>
    </w:p>
    <w:p>
      <w:pPr>
        <w:spacing w:before="0" w:after="360" w:line="300" w:lineRule="atLeast"/>
        <w:rPr>
          <w:rFonts w:eastAsia="Calibri"/>
          <w:noProof/>
          <w:szCs w:val="24"/>
        </w:rPr>
      </w:pPr>
      <w:r>
        <w:rPr>
          <w:noProof/>
        </w:rPr>
        <w:t>В допълнение към този ангажимент за младежта двете страни ще работят и по следните стратегически приоритети:</w:t>
      </w:r>
    </w:p>
    <w:p>
      <w:pPr>
        <w:pStyle w:val="NumPar2"/>
        <w:numPr>
          <w:ilvl w:val="1"/>
          <w:numId w:val="9"/>
        </w:numPr>
        <w:tabs>
          <w:tab w:val="clear" w:pos="850"/>
          <w:tab w:val="num" w:pos="567"/>
        </w:tabs>
        <w:ind w:left="567" w:hanging="567"/>
        <w:rPr>
          <w:b/>
          <w:i/>
          <w:noProof/>
        </w:rPr>
      </w:pPr>
      <w:r>
        <w:rPr>
          <w:b/>
          <w:i/>
          <w:noProof/>
        </w:rPr>
        <w:t>Приобщаващо и устойчиво социално-икономическо развитие</w:t>
      </w:r>
    </w:p>
    <w:p>
      <w:pPr>
        <w:spacing w:before="0" w:line="300" w:lineRule="atLeast"/>
        <w:rPr>
          <w:rFonts w:eastAsia="Calibri"/>
          <w:noProof/>
          <w:szCs w:val="24"/>
        </w:rPr>
      </w:pPr>
      <w:r>
        <w:rPr>
          <w:noProof/>
        </w:rPr>
        <w:t xml:space="preserve">Политическият напредък може да бъде определен като траен само ако е придружен от сходен по мащаб икономически напредък. Предвид нестабилното социално-икономическо положение в Тунис, със значителна безработица сред младите хора (особено младите  висшисти ) и със значителни регионални и социални различия, една от основните цели ще бъде да се спомогне за възстановяването на тунизийската икономика, тя да стане по-конкурентоспособна и диверсифицирана и да бъде преобразувана по приобщаващ и устойчив начин, като се спазват международните ангажименти по отношение на околната среда и изменението на климата. ЕС ще продължи за подкрепя и насърчава структурните реформи.  </w:t>
      </w:r>
    </w:p>
    <w:p>
      <w:pPr>
        <w:spacing w:before="0" w:line="300" w:lineRule="atLeast"/>
        <w:rPr>
          <w:rFonts w:eastAsia="Calibri"/>
          <w:noProof/>
          <w:szCs w:val="24"/>
        </w:rPr>
      </w:pPr>
      <w:r>
        <w:rPr>
          <w:noProof/>
        </w:rPr>
        <w:t xml:space="preserve">Действията </w:t>
      </w:r>
      <w:r>
        <w:rPr>
          <w:b/>
          <w:noProof/>
        </w:rPr>
        <w:t>в областта на социално-икономическото развитие</w:t>
      </w:r>
      <w:r>
        <w:rPr>
          <w:noProof/>
        </w:rPr>
        <w:t xml:space="preserve"> ще се групират по-специално около следните ангажименти:</w:t>
      </w:r>
    </w:p>
    <w:p>
      <w:pPr>
        <w:pStyle w:val="Tiret0"/>
        <w:numPr>
          <w:ilvl w:val="0"/>
          <w:numId w:val="10"/>
        </w:numPr>
        <w:tabs>
          <w:tab w:val="clear" w:pos="850"/>
          <w:tab w:val="num" w:pos="567"/>
        </w:tabs>
        <w:ind w:left="567" w:hanging="567"/>
        <w:rPr>
          <w:noProof/>
        </w:rPr>
      </w:pPr>
      <w:r>
        <w:rPr>
          <w:b/>
          <w:noProof/>
        </w:rPr>
        <w:t>подобряване на бизнес климата</w:t>
      </w:r>
      <w:r>
        <w:rPr>
          <w:noProof/>
        </w:rPr>
        <w:t xml:space="preserve"> и </w:t>
      </w:r>
      <w:r>
        <w:rPr>
          <w:b/>
          <w:noProof/>
        </w:rPr>
        <w:t>подкрепа за развитието на частния сектор и частните инвестиции</w:t>
      </w:r>
      <w:r>
        <w:rPr>
          <w:noProof/>
        </w:rPr>
        <w:t>, по-конкретно чрез: i) опростяване и облекчаване на административните процедури за предприятията, ii) подобряване на достъпа до финансиране, и iii) възобновяване на публичните и частните инвестиции, по-специално ефективното прилагане на Закона за инвестициите от 2016 г. и на Закона относно преработването на механизма за данъчните облекчения от 2017 г., като се вземат предвид неблагоприятните като данъчни облекчения механизми, които да се премахнат;</w:t>
      </w:r>
    </w:p>
    <w:p>
      <w:pPr>
        <w:pStyle w:val="Tiret0"/>
        <w:tabs>
          <w:tab w:val="clear" w:pos="850"/>
          <w:tab w:val="num" w:pos="567"/>
        </w:tabs>
        <w:ind w:left="567" w:hanging="567"/>
        <w:rPr>
          <w:noProof/>
        </w:rPr>
      </w:pPr>
      <w:r>
        <w:rPr>
          <w:noProof/>
        </w:rPr>
        <w:t>акцент ще се постави също и върху активното насърчаване на предприемачеството и на развитието на МСП/микропредприятията;</w:t>
      </w:r>
    </w:p>
    <w:p>
      <w:pPr>
        <w:pStyle w:val="Tiret0"/>
        <w:tabs>
          <w:tab w:val="clear" w:pos="850"/>
          <w:tab w:val="num" w:pos="567"/>
        </w:tabs>
        <w:ind w:left="567" w:hanging="567"/>
        <w:rPr>
          <w:noProof/>
        </w:rPr>
      </w:pPr>
      <w:r>
        <w:rPr>
          <w:noProof/>
        </w:rPr>
        <w:t xml:space="preserve">определяне и изпълнение на липсващи </w:t>
      </w:r>
      <w:r>
        <w:rPr>
          <w:b/>
          <w:noProof/>
        </w:rPr>
        <w:t>секторни стратегии</w:t>
      </w:r>
      <w:r>
        <w:rPr>
          <w:noProof/>
        </w:rPr>
        <w:t>, като например за туризма;</w:t>
      </w:r>
    </w:p>
    <w:p>
      <w:pPr>
        <w:pStyle w:val="Tiret0"/>
        <w:tabs>
          <w:tab w:val="clear" w:pos="850"/>
          <w:tab w:val="num" w:pos="567"/>
        </w:tabs>
        <w:ind w:left="567" w:hanging="567"/>
        <w:rPr>
          <w:noProof/>
        </w:rPr>
      </w:pPr>
      <w:r>
        <w:rPr>
          <w:noProof/>
        </w:rPr>
        <w:t xml:space="preserve">подобряване на опазването на </w:t>
      </w:r>
      <w:r>
        <w:rPr>
          <w:b/>
          <w:noProof/>
        </w:rPr>
        <w:t>околната среда</w:t>
      </w:r>
      <w:r>
        <w:rPr>
          <w:noProof/>
        </w:rPr>
        <w:t xml:space="preserve"> и </w:t>
      </w:r>
      <w:r>
        <w:rPr>
          <w:b/>
          <w:noProof/>
        </w:rPr>
        <w:t>управлението на природните ресурси</w:t>
      </w:r>
      <w:r>
        <w:rPr>
          <w:noProof/>
        </w:rPr>
        <w:t xml:space="preserve"> (включително на водата), по-специално чрез изпълнение на националната стратегия за зелена икономика и на международните ангажименти на Тунис във връзка с изменението на климата (определен национален принос), синята икономика и рибните ресурси;</w:t>
      </w:r>
    </w:p>
    <w:p>
      <w:pPr>
        <w:pStyle w:val="Tiret0"/>
        <w:tabs>
          <w:tab w:val="clear" w:pos="850"/>
          <w:tab w:val="num" w:pos="567"/>
        </w:tabs>
        <w:ind w:left="567" w:hanging="567"/>
        <w:rPr>
          <w:noProof/>
        </w:rPr>
      </w:pPr>
      <w:r>
        <w:rPr>
          <w:noProof/>
        </w:rPr>
        <w:t xml:space="preserve">подобряване на </w:t>
      </w:r>
      <w:r>
        <w:rPr>
          <w:b/>
          <w:noProof/>
        </w:rPr>
        <w:t>конкурентоспособността</w:t>
      </w:r>
      <w:r>
        <w:rPr>
          <w:noProof/>
        </w:rPr>
        <w:t xml:space="preserve"> на традиционните сектори и на секторите с голям потенциал в областта на промишлеността и селското стопанство, по-специално благодарение на повишеното използване на информационните и на телекомуникационните технологии и като се осигури устойчиво управление на ресурсите, както и диверсифициране на </w:t>
      </w:r>
      <w:r>
        <w:rPr>
          <w:b/>
          <w:noProof/>
        </w:rPr>
        <w:t>експортните пазари</w:t>
      </w:r>
      <w:r>
        <w:rPr>
          <w:noProof/>
        </w:rPr>
        <w:t>;</w:t>
      </w:r>
    </w:p>
    <w:p>
      <w:pPr>
        <w:pStyle w:val="Tiret0"/>
        <w:tabs>
          <w:tab w:val="clear" w:pos="850"/>
          <w:tab w:val="num" w:pos="567"/>
        </w:tabs>
        <w:ind w:left="567" w:hanging="567"/>
        <w:rPr>
          <w:noProof/>
        </w:rPr>
      </w:pPr>
      <w:r>
        <w:rPr>
          <w:noProof/>
        </w:rPr>
        <w:t>развитие на енергийния сектор, включително чрез междусистемни връзки на ЕС и Тунис и чрез насърчаване на енергията от възобновяеми източници и на енергийната ефективност;</w:t>
      </w:r>
    </w:p>
    <w:p>
      <w:pPr>
        <w:pStyle w:val="Tiret0"/>
        <w:tabs>
          <w:tab w:val="clear" w:pos="850"/>
          <w:tab w:val="num" w:pos="567"/>
        </w:tabs>
        <w:ind w:left="567" w:hanging="567"/>
        <w:rPr>
          <w:noProof/>
        </w:rPr>
      </w:pPr>
      <w:r>
        <w:rPr>
          <w:noProof/>
        </w:rPr>
        <w:t xml:space="preserve">развитие на сигурна, обезопасена, устойчива и ефикасна транспортна система чрез хармонизирани стандарти за транспорт и интегрирана мултимодална мрежа, за да се улесни връзката юг-юг и юг-север; </w:t>
      </w:r>
    </w:p>
    <w:p>
      <w:pPr>
        <w:pStyle w:val="Tiret0"/>
        <w:tabs>
          <w:tab w:val="clear" w:pos="850"/>
          <w:tab w:val="num" w:pos="567"/>
        </w:tabs>
        <w:ind w:left="567" w:hanging="567"/>
        <w:rPr>
          <w:rFonts w:eastAsia="Calibri"/>
          <w:noProof/>
        </w:rPr>
      </w:pPr>
      <w:r>
        <w:rPr>
          <w:noProof/>
        </w:rPr>
        <w:t xml:space="preserve">консолидиране на системата за </w:t>
      </w:r>
      <w:r>
        <w:rPr>
          <w:b/>
          <w:noProof/>
        </w:rPr>
        <w:t>управление на публичните финанси</w:t>
      </w:r>
      <w:r>
        <w:rPr>
          <w:noProof/>
        </w:rPr>
        <w:t xml:space="preserve"> чрез приемането и прилагането на нов основен закон за бюджета, реформата на системата за одитиране на публичните сметки и подобряване на управлението на държавните предприятия. Въвеждането на </w:t>
      </w:r>
      <w:r>
        <w:rPr>
          <w:b/>
          <w:noProof/>
        </w:rPr>
        <w:t>данъчната реформа</w:t>
      </w:r>
      <w:r>
        <w:rPr>
          <w:noProof/>
        </w:rPr>
        <w:t xml:space="preserve"> (опростяване на данъчната система, справедливо данъчно облагане, децентрализация, модернизиране на администрацията, борба с избягването на данъци и изпълнение на съответните международни ангажименти) представлява решаващ етап към по-приобщаващо развитие на страната. Подкрепата за извършваните понастоящем </w:t>
      </w:r>
      <w:r>
        <w:rPr>
          <w:b/>
          <w:noProof/>
        </w:rPr>
        <w:t>банкови реформи</w:t>
      </w:r>
      <w:r>
        <w:rPr>
          <w:noProof/>
        </w:rPr>
        <w:t>, както и националната стратегия за финансово приобщаване за периода 2017—2021 г. относно достъпа, използването и качеството на услугите, също са много важни;</w:t>
      </w:r>
    </w:p>
    <w:p>
      <w:pPr>
        <w:pStyle w:val="Tiret0"/>
        <w:tabs>
          <w:tab w:val="clear" w:pos="850"/>
          <w:tab w:val="num" w:pos="567"/>
        </w:tabs>
        <w:ind w:left="567" w:hanging="567"/>
        <w:rPr>
          <w:noProof/>
        </w:rPr>
      </w:pPr>
      <w:r>
        <w:rPr>
          <w:noProof/>
        </w:rPr>
        <w:t xml:space="preserve">осъществяването на процеса на децентрализация с цел развитие на публични услуги и на социална инфраструктура (по-специално в областта на образованието, културата, здравеопазването, водоснабдяването и канализацията), които отговарят на нуждите на местните общности; както и ускоряването на процеса на </w:t>
      </w:r>
      <w:r>
        <w:rPr>
          <w:b/>
          <w:noProof/>
        </w:rPr>
        <w:t>развитие на регионите във вътрешността на страната</w:t>
      </w:r>
      <w:r>
        <w:rPr>
          <w:noProof/>
        </w:rPr>
        <w:t xml:space="preserve"> — общ ангажимент за двете страни за постепенно намаляване на социално-икономическите различия.</w:t>
      </w:r>
    </w:p>
    <w:p>
      <w:pPr>
        <w:spacing w:before="0" w:line="300" w:lineRule="atLeast"/>
        <w:rPr>
          <w:rFonts w:eastAsia="Calibri"/>
          <w:noProof/>
          <w:szCs w:val="24"/>
        </w:rPr>
      </w:pPr>
      <w:r>
        <w:rPr>
          <w:noProof/>
        </w:rPr>
        <w:t xml:space="preserve">За подпомагане на </w:t>
      </w:r>
      <w:r>
        <w:rPr>
          <w:b/>
          <w:noProof/>
        </w:rPr>
        <w:t>социалния напредък</w:t>
      </w:r>
      <w:r>
        <w:rPr>
          <w:noProof/>
        </w:rPr>
        <w:t xml:space="preserve"> двете страни се ангажират да продължат да насърчават:</w:t>
      </w:r>
    </w:p>
    <w:p>
      <w:pPr>
        <w:pStyle w:val="Tiret0"/>
        <w:tabs>
          <w:tab w:val="clear" w:pos="850"/>
          <w:tab w:val="num" w:pos="567"/>
        </w:tabs>
        <w:ind w:left="567" w:hanging="567"/>
        <w:rPr>
          <w:noProof/>
        </w:rPr>
      </w:pPr>
      <w:r>
        <w:rPr>
          <w:b/>
          <w:noProof/>
        </w:rPr>
        <w:t>заетостта</w:t>
      </w:r>
      <w:r>
        <w:rPr>
          <w:noProof/>
        </w:rPr>
        <w:t xml:space="preserve">, и по-специално чрез продължаване на реформите за равен достъп до качествено образование и професионално обучение в съответствие с нуждите на пазара на труда, в рамките на активна политика за включване в пазара на труда; </w:t>
      </w:r>
    </w:p>
    <w:p>
      <w:pPr>
        <w:pStyle w:val="Tiret0"/>
        <w:tabs>
          <w:tab w:val="clear" w:pos="850"/>
          <w:tab w:val="num" w:pos="567"/>
        </w:tabs>
        <w:ind w:left="567" w:hanging="567"/>
        <w:rPr>
          <w:noProof/>
        </w:rPr>
      </w:pPr>
      <w:r>
        <w:rPr>
          <w:noProof/>
        </w:rPr>
        <w:t xml:space="preserve">интегрирана и резултатна тунизийска политика по отношение на </w:t>
      </w:r>
      <w:r>
        <w:rPr>
          <w:b/>
          <w:noProof/>
        </w:rPr>
        <w:t>социалното приобщаване</w:t>
      </w:r>
      <w:r>
        <w:rPr>
          <w:noProof/>
        </w:rPr>
        <w:t xml:space="preserve"> и ефективна </w:t>
      </w:r>
      <w:r>
        <w:rPr>
          <w:b/>
          <w:noProof/>
        </w:rPr>
        <w:t>социална закрила</w:t>
      </w:r>
      <w:r>
        <w:rPr>
          <w:noProof/>
        </w:rPr>
        <w:t>, а именно чрез засилване на капацитета на съответните публични органи в подкрепа на предприетите от Тунис реформи във връзка със социалното сближаване, както и прилагане на член 67 от Споразумението за асоцииране между ЕС и Тунис относно координирането на системите за социална сигурност и гарантиране на прилагането на принципа на равно третиране по отношение на социалното законодателство; и</w:t>
      </w:r>
    </w:p>
    <w:p>
      <w:pPr>
        <w:pStyle w:val="Tiret0"/>
        <w:tabs>
          <w:tab w:val="clear" w:pos="850"/>
          <w:tab w:val="num" w:pos="567"/>
        </w:tabs>
        <w:ind w:left="567" w:hanging="567"/>
        <w:rPr>
          <w:noProof/>
        </w:rPr>
      </w:pPr>
      <w:r>
        <w:rPr>
          <w:noProof/>
        </w:rPr>
        <w:t xml:space="preserve">приобщаващия </w:t>
      </w:r>
      <w:r>
        <w:rPr>
          <w:b/>
          <w:noProof/>
        </w:rPr>
        <w:t>социален диалог</w:t>
      </w:r>
      <w:r>
        <w:rPr>
          <w:noProof/>
        </w:rPr>
        <w:t xml:space="preserve"> за засилване на капацитета за намаляване на социално-икономическите неравенства, понижаване на социалното напрежение и насърчаване на истински социален мир, като така се подобри и привлекателността на държавата за чуждестранните инвеститори.</w:t>
      </w:r>
    </w:p>
    <w:p>
      <w:pPr>
        <w:spacing w:before="0" w:line="300" w:lineRule="atLeast"/>
        <w:rPr>
          <w:rFonts w:eastAsia="Calibri"/>
          <w:noProof/>
          <w:szCs w:val="24"/>
        </w:rPr>
      </w:pPr>
      <w:r>
        <w:rPr>
          <w:noProof/>
        </w:rPr>
        <w:t xml:space="preserve">Двете страни остават изцяло ангажирани в процеса на договаряне на </w:t>
      </w:r>
      <w:r>
        <w:rPr>
          <w:b/>
          <w:noProof/>
        </w:rPr>
        <w:t>задълбочено и всеобхватно споразумение за свободна търговия (ЗВССТ)</w:t>
      </w:r>
      <w:r>
        <w:rPr>
          <w:noProof/>
        </w:rPr>
        <w:t xml:space="preserve"> и постигнаха споразумение по конкретен план за действие за 2018 г., с който се дава възможност за постигане на напредък с цел циклите на преговори да приключат през 2019 г.  ЕС и Тунис ще продължат да работят в интерес на модернизирането на тунизийската икономика за благото на всички, включително на най-необлагодетелстваните региони и общности, както и за възобновяване на създаването на заетост, по-специално за младите хора. Двете страни се ангажират да увеличат икономическата интеграция на Тунис на европейските пазари, а също и в региона на Магреб.</w:t>
      </w:r>
    </w:p>
    <w:p>
      <w:pPr>
        <w:spacing w:before="0" w:line="300" w:lineRule="atLeast"/>
        <w:rPr>
          <w:rFonts w:eastAsia="Calibri"/>
          <w:noProof/>
          <w:szCs w:val="24"/>
        </w:rPr>
      </w:pPr>
      <w:r>
        <w:rPr>
          <w:noProof/>
        </w:rPr>
        <w:t xml:space="preserve">С цел укрепване на мястото на </w:t>
      </w:r>
      <w:r>
        <w:rPr>
          <w:b/>
          <w:noProof/>
        </w:rPr>
        <w:t>иновациите и научните изследвания</w:t>
      </w:r>
      <w:r>
        <w:rPr>
          <w:noProof/>
        </w:rPr>
        <w:t xml:space="preserve"> в служба на икономическото, социалното и регионалното развитие, ЕС и Тунис ще работят за интегрирането на Тунис в европейското научноизследователско пространство, по-специално чрез насърчаване на висшето образование, укрепване на управлението, механизми за оползотворяване на публичните научни изследвания и трансфер на технологии между академичните среди и промишлената структура.</w:t>
      </w:r>
    </w:p>
    <w:p>
      <w:pPr>
        <w:spacing w:before="0" w:line="300" w:lineRule="atLeast"/>
        <w:rPr>
          <w:rFonts w:eastAsia="Calibri"/>
          <w:noProof/>
          <w:szCs w:val="24"/>
        </w:rPr>
      </w:pPr>
    </w:p>
    <w:p>
      <w:pPr>
        <w:pStyle w:val="NumPar2"/>
        <w:tabs>
          <w:tab w:val="clear" w:pos="850"/>
          <w:tab w:val="num" w:pos="567"/>
        </w:tabs>
        <w:ind w:left="567" w:hanging="567"/>
        <w:rPr>
          <w:rFonts w:eastAsia="Times New Roman"/>
          <w:b/>
          <w:noProof/>
          <w:szCs w:val="24"/>
        </w:rPr>
      </w:pPr>
      <w:r>
        <w:rPr>
          <w:b/>
          <w:i/>
          <w:noProof/>
        </w:rPr>
        <w:t>Демокрация, добро управление и права на човека</w:t>
      </w:r>
    </w:p>
    <w:p>
      <w:pPr>
        <w:spacing w:before="240" w:line="300" w:lineRule="atLeast"/>
        <w:rPr>
          <w:rFonts w:eastAsia="Calibri"/>
          <w:noProof/>
          <w:szCs w:val="24"/>
        </w:rPr>
      </w:pPr>
      <w:r>
        <w:rPr>
          <w:noProof/>
        </w:rPr>
        <w:t>ЕС и Тунис ще продължат да придават особено значение на процеса на демократични реформи и на насърчаването на доброто управление и на правовата държава, на спазването на правата на човека, на основните свободи, както и на засилването на ролята и участието на гражданското общество. Двете страни ще продължат да насърчават процеса на политически реформи посредством ефективното прилагане на конституцията и на поетите от Тунис международни ангажименти.</w:t>
      </w:r>
    </w:p>
    <w:p>
      <w:pPr>
        <w:spacing w:before="0" w:line="300" w:lineRule="atLeast"/>
        <w:rPr>
          <w:rFonts w:eastAsia="Calibri"/>
          <w:noProof/>
          <w:szCs w:val="24"/>
        </w:rPr>
      </w:pPr>
      <w:r>
        <w:rPr>
          <w:noProof/>
        </w:rPr>
        <w:t>Приоритетните аспекти по отношение на</w:t>
      </w:r>
      <w:r>
        <w:rPr>
          <w:b/>
          <w:noProof/>
        </w:rPr>
        <w:t xml:space="preserve"> доброто управление</w:t>
      </w:r>
      <w:r>
        <w:rPr>
          <w:noProof/>
        </w:rPr>
        <w:t xml:space="preserve"> и </w:t>
      </w:r>
      <w:r>
        <w:rPr>
          <w:b/>
          <w:noProof/>
        </w:rPr>
        <w:t>зачитането на принципите на правовата държава</w:t>
      </w:r>
      <w:r>
        <w:rPr>
          <w:noProof/>
        </w:rPr>
        <w:t xml:space="preserve"> ще включват по-специално:</w:t>
      </w:r>
    </w:p>
    <w:p>
      <w:pPr>
        <w:pStyle w:val="Tiret0"/>
        <w:tabs>
          <w:tab w:val="clear" w:pos="850"/>
          <w:tab w:val="num" w:pos="567"/>
        </w:tabs>
        <w:ind w:left="567" w:hanging="567"/>
        <w:rPr>
          <w:noProof/>
          <w:shd w:val="clear" w:color="auto" w:fill="FFFFFF"/>
        </w:rPr>
      </w:pPr>
      <w:r>
        <w:rPr>
          <w:noProof/>
        </w:rPr>
        <w:t>укрепването на парламентарната институция и създаването и ефективната работа на независими органи;</w:t>
      </w:r>
    </w:p>
    <w:p>
      <w:pPr>
        <w:pStyle w:val="Tiret0"/>
        <w:tabs>
          <w:tab w:val="clear" w:pos="850"/>
          <w:tab w:val="num" w:pos="567"/>
        </w:tabs>
        <w:ind w:left="567" w:hanging="567"/>
        <w:rPr>
          <w:noProof/>
        </w:rPr>
      </w:pPr>
      <w:r>
        <w:rPr>
          <w:noProof/>
        </w:rPr>
        <w:t>създаването на Конституционен съд;</w:t>
      </w:r>
    </w:p>
    <w:p>
      <w:pPr>
        <w:pStyle w:val="Tiret0"/>
        <w:tabs>
          <w:tab w:val="clear" w:pos="850"/>
          <w:tab w:val="num" w:pos="567"/>
        </w:tabs>
        <w:ind w:left="567" w:hanging="567"/>
        <w:rPr>
          <w:noProof/>
        </w:rPr>
      </w:pPr>
      <w:r>
        <w:rPr>
          <w:noProof/>
        </w:rPr>
        <w:t>укрепването на демократичен, прозрачен и независим изборен процес;</w:t>
      </w:r>
    </w:p>
    <w:p>
      <w:pPr>
        <w:pStyle w:val="Tiret0"/>
        <w:tabs>
          <w:tab w:val="clear" w:pos="850"/>
          <w:tab w:val="num" w:pos="567"/>
        </w:tabs>
        <w:ind w:left="567" w:hanging="567"/>
        <w:rPr>
          <w:noProof/>
        </w:rPr>
      </w:pPr>
      <w:r>
        <w:rPr>
          <w:noProof/>
        </w:rPr>
        <w:t>борбата срещу корупцията и измамите, включително чрез подкрепа за националния орган за борба с корупцията;</w:t>
      </w:r>
    </w:p>
    <w:p>
      <w:pPr>
        <w:pStyle w:val="Tiret0"/>
        <w:tabs>
          <w:tab w:val="clear" w:pos="850"/>
          <w:tab w:val="num" w:pos="567"/>
        </w:tabs>
        <w:ind w:left="567" w:hanging="567"/>
        <w:rPr>
          <w:noProof/>
          <w:shd w:val="clear" w:color="auto" w:fill="FFFFFF"/>
        </w:rPr>
      </w:pPr>
      <w:r>
        <w:rPr>
          <w:noProof/>
        </w:rPr>
        <w:t>реформата на съдебната система, включително доближаването ѝ до международните стандарти, сред които и тези на Съвета на Европа;</w:t>
      </w:r>
    </w:p>
    <w:p>
      <w:pPr>
        <w:pStyle w:val="Tiret0"/>
        <w:tabs>
          <w:tab w:val="clear" w:pos="850"/>
          <w:tab w:val="num" w:pos="567"/>
        </w:tabs>
        <w:ind w:left="567" w:hanging="567"/>
        <w:rPr>
          <w:noProof/>
        </w:rPr>
      </w:pPr>
      <w:r>
        <w:rPr>
          <w:noProof/>
        </w:rPr>
        <w:t>изпълнението на стратегия за реформиране и модернизиране на публичната администрация, което включва подобряване на предоставянето на услуги на централно и местно равнище, въвеждането на режим на вземане на решения, основан на надеждни данни, опростяване на административните процедури и развитие на цифровата администрация;</w:t>
      </w:r>
    </w:p>
    <w:p>
      <w:pPr>
        <w:pStyle w:val="Tiret0"/>
        <w:tabs>
          <w:tab w:val="clear" w:pos="850"/>
          <w:tab w:val="num" w:pos="567"/>
        </w:tabs>
        <w:ind w:left="567" w:hanging="567"/>
        <w:rPr>
          <w:noProof/>
        </w:rPr>
      </w:pPr>
      <w:r>
        <w:rPr>
          <w:noProof/>
        </w:rPr>
        <w:t>подкрепата за процеса на децентрализация, което включва укрепване на капацитета и на бюджета на местните администрации, по-специално в контекста на общинските избори през май 2018 г.; както и укрепване на организациите на гражданското общество, на тяхната роля, приноса им в процеса на вземане на решения, а също и засилване на участието на гражданите, особено на младите хора, в политическия живот и във вземането на решения.</w:t>
      </w:r>
    </w:p>
    <w:p>
      <w:pPr>
        <w:spacing w:before="0" w:line="300" w:lineRule="atLeast"/>
        <w:rPr>
          <w:rFonts w:eastAsia="Calibri"/>
          <w:noProof/>
          <w:szCs w:val="24"/>
        </w:rPr>
      </w:pPr>
      <w:r>
        <w:rPr>
          <w:noProof/>
        </w:rPr>
        <w:t xml:space="preserve">Приоритетните аспекти на ангажимента относно зачитането и насърчаването на </w:t>
      </w:r>
      <w:r>
        <w:rPr>
          <w:b/>
          <w:noProof/>
        </w:rPr>
        <w:t>правата на човека</w:t>
      </w:r>
      <w:r>
        <w:rPr>
          <w:noProof/>
        </w:rPr>
        <w:t xml:space="preserve"> ще включват:</w:t>
      </w:r>
    </w:p>
    <w:p>
      <w:pPr>
        <w:pStyle w:val="Tiret0"/>
        <w:tabs>
          <w:tab w:val="clear" w:pos="850"/>
          <w:tab w:val="num" w:pos="567"/>
        </w:tabs>
        <w:ind w:left="567" w:hanging="567"/>
        <w:rPr>
          <w:noProof/>
        </w:rPr>
      </w:pPr>
      <w:r>
        <w:rPr>
          <w:noProof/>
        </w:rPr>
        <w:t>приключването на процеса на хармонизиране на законодателството с конституцията и международните стандарти, сътрудничеството на Тунис в многостранните форуми и изпълнение на поетите ангажименти в рамките на общия периодичен преглед;</w:t>
      </w:r>
    </w:p>
    <w:p>
      <w:pPr>
        <w:pStyle w:val="Tiret0"/>
        <w:tabs>
          <w:tab w:val="clear" w:pos="850"/>
          <w:tab w:val="num" w:pos="567"/>
        </w:tabs>
        <w:ind w:left="567" w:hanging="567"/>
        <w:rPr>
          <w:noProof/>
        </w:rPr>
      </w:pPr>
      <w:r>
        <w:rPr>
          <w:noProof/>
        </w:rPr>
        <w:t xml:space="preserve">подкрепата за предприетите усилия за борба срещу всяка форма на дискриминация, срещу мъченията (включително изпълнението на ангажиментите, поети в рамките на Комитета срещу изтезанията) и за защита и насърчаване на правата на малцинствата, жените, децата и мигрантите; </w:t>
      </w:r>
    </w:p>
    <w:p>
      <w:pPr>
        <w:pStyle w:val="Tiret0"/>
        <w:tabs>
          <w:tab w:val="clear" w:pos="850"/>
          <w:tab w:val="num" w:pos="567"/>
        </w:tabs>
        <w:ind w:left="567" w:hanging="567"/>
        <w:rPr>
          <w:noProof/>
        </w:rPr>
      </w:pPr>
      <w:r>
        <w:rPr>
          <w:noProof/>
        </w:rPr>
        <w:t>подкрепата за пионерската работа на Тунис за борба с насилието срещу жени, гарантиране на пълното равенство между мъжете и жените и насърчаване на ролята на жената във всички области, по-специално в икономическата и политическата сфера;</w:t>
      </w:r>
    </w:p>
    <w:p>
      <w:pPr>
        <w:pStyle w:val="Tiret0"/>
        <w:tabs>
          <w:tab w:val="clear" w:pos="850"/>
          <w:tab w:val="num" w:pos="567"/>
        </w:tabs>
        <w:ind w:left="567" w:hanging="567"/>
        <w:rPr>
          <w:noProof/>
        </w:rPr>
      </w:pPr>
      <w:r>
        <w:rPr>
          <w:noProof/>
        </w:rPr>
        <w:t>защитата на свободата на изразяване, както и на свободата на сдружаване;</w:t>
      </w:r>
    </w:p>
    <w:p>
      <w:pPr>
        <w:pStyle w:val="Tiret0"/>
        <w:tabs>
          <w:tab w:val="clear" w:pos="850"/>
          <w:tab w:val="num" w:pos="567"/>
        </w:tabs>
        <w:ind w:left="567" w:hanging="567"/>
        <w:rPr>
          <w:noProof/>
        </w:rPr>
      </w:pPr>
      <w:r>
        <w:rPr>
          <w:noProof/>
        </w:rPr>
        <w:t>правото на защита на личните данни; и</w:t>
      </w:r>
    </w:p>
    <w:p>
      <w:pPr>
        <w:pStyle w:val="Tiret0"/>
        <w:tabs>
          <w:tab w:val="clear" w:pos="850"/>
          <w:tab w:val="num" w:pos="567"/>
        </w:tabs>
        <w:ind w:left="567" w:hanging="567"/>
        <w:rPr>
          <w:noProof/>
        </w:rPr>
      </w:pPr>
      <w:r>
        <w:rPr>
          <w:noProof/>
        </w:rPr>
        <w:t>зачитането на правата на човека в областта на сигурността.</w:t>
      </w:r>
    </w:p>
    <w:p>
      <w:pPr>
        <w:spacing w:before="0" w:after="0" w:line="300" w:lineRule="atLeast"/>
        <w:ind w:left="425" w:hanging="425"/>
        <w:rPr>
          <w:rFonts w:eastAsia="Calibri"/>
          <w:noProof/>
          <w:szCs w:val="24"/>
        </w:rPr>
      </w:pPr>
    </w:p>
    <w:p>
      <w:pPr>
        <w:pStyle w:val="NumPar2"/>
        <w:tabs>
          <w:tab w:val="clear" w:pos="850"/>
          <w:tab w:val="num" w:pos="567"/>
        </w:tabs>
        <w:ind w:left="567" w:hanging="567"/>
        <w:rPr>
          <w:rFonts w:eastAsia="Times New Roman"/>
          <w:b/>
          <w:i/>
          <w:noProof/>
          <w:szCs w:val="24"/>
        </w:rPr>
      </w:pPr>
      <w:r>
        <w:rPr>
          <w:b/>
          <w:i/>
          <w:noProof/>
        </w:rPr>
        <w:t>Сближаване на народите, мобилност и миграция</w:t>
      </w:r>
    </w:p>
    <w:p>
      <w:pPr>
        <w:spacing w:before="0" w:line="300" w:lineRule="atLeast"/>
        <w:rPr>
          <w:rFonts w:eastAsia="Calibri"/>
          <w:b/>
          <w:noProof/>
          <w:szCs w:val="24"/>
        </w:rPr>
      </w:pPr>
      <w:r>
        <w:rPr>
          <w:noProof/>
        </w:rPr>
        <w:t xml:space="preserve">Сближаването между тунизийските и европейските общества представлява основен стълб на привилегированото партньорство чрез укрепването на </w:t>
      </w:r>
      <w:r>
        <w:rPr>
          <w:b/>
          <w:noProof/>
        </w:rPr>
        <w:t>обмена между народите, обществата и културите</w:t>
      </w:r>
      <w:r>
        <w:rPr>
          <w:noProof/>
        </w:rPr>
        <w:t>. Измерението на мобилността има особено значение при изпълнението на партньорството за младите хора. Ефективното прилагане на асоциирането на Тунис към „Хоризонт 2020“ и участието му в „Творческа Европа“ и в „Еразъм+“ ще бъдат крайъгълните камъни на тези усилия.</w:t>
      </w:r>
    </w:p>
    <w:p>
      <w:pPr>
        <w:spacing w:before="0" w:line="300" w:lineRule="atLeast"/>
        <w:rPr>
          <w:rFonts w:eastAsia="Calibri"/>
          <w:noProof/>
          <w:szCs w:val="24"/>
        </w:rPr>
      </w:pPr>
      <w:r>
        <w:rPr>
          <w:noProof/>
        </w:rPr>
        <w:t xml:space="preserve">Съгласуваното управление на миграцията е политически приоритет както за Тунис, така и за ЕС. Двете страни се ангажират да задълбочат диалога и сътрудничеството, по-специално чрез изпълнението на </w:t>
      </w:r>
      <w:r>
        <w:rPr>
          <w:b/>
          <w:noProof/>
        </w:rPr>
        <w:t>партньорството за мобилност</w:t>
      </w:r>
      <w:r>
        <w:rPr>
          <w:noProof/>
        </w:rPr>
        <w:t>, засилване на борбата с дълбоките причини за незаконната миграция, както и готовността на Европа за подкрепа на въвеждането на тунизийска система за убежище. Сътрудничеството, което ще отразява също и регионалното измерение на тези проблеми, ще включва:</w:t>
      </w:r>
    </w:p>
    <w:p>
      <w:pPr>
        <w:pStyle w:val="Tiret0"/>
        <w:tabs>
          <w:tab w:val="clear" w:pos="850"/>
          <w:tab w:val="num" w:pos="567"/>
        </w:tabs>
        <w:ind w:left="567" w:hanging="567"/>
        <w:rPr>
          <w:noProof/>
        </w:rPr>
      </w:pPr>
      <w:r>
        <w:rPr>
          <w:noProof/>
        </w:rPr>
        <w:t xml:space="preserve">изпълнението на </w:t>
      </w:r>
      <w:r>
        <w:rPr>
          <w:b/>
          <w:noProof/>
        </w:rPr>
        <w:t xml:space="preserve">националната тунизийска стратегия </w:t>
      </w:r>
      <w:r>
        <w:rPr>
          <w:noProof/>
        </w:rPr>
        <w:t xml:space="preserve">за миграцията, като се обхващат и въпросите за убежището и международната закрила, включително въвеждането на подходяща законодателна рамка; </w:t>
      </w:r>
    </w:p>
    <w:p>
      <w:pPr>
        <w:pStyle w:val="Tiret0"/>
        <w:tabs>
          <w:tab w:val="clear" w:pos="850"/>
          <w:tab w:val="num" w:pos="567"/>
        </w:tabs>
        <w:ind w:left="567" w:hanging="567"/>
        <w:rPr>
          <w:noProof/>
        </w:rPr>
      </w:pPr>
      <w:r>
        <w:rPr>
          <w:noProof/>
        </w:rPr>
        <w:t xml:space="preserve">приключването на </w:t>
      </w:r>
      <w:r>
        <w:rPr>
          <w:b/>
          <w:noProof/>
        </w:rPr>
        <w:t>преговорите за споразумения за обратно връщане и за улесняване на издаването на визи</w:t>
      </w:r>
      <w:r>
        <w:rPr>
          <w:noProof/>
        </w:rPr>
        <w:t>;</w:t>
      </w:r>
    </w:p>
    <w:p>
      <w:pPr>
        <w:pStyle w:val="Tiret0"/>
        <w:tabs>
          <w:tab w:val="clear" w:pos="850"/>
          <w:tab w:val="num" w:pos="567"/>
        </w:tabs>
        <w:ind w:left="567" w:hanging="567"/>
        <w:rPr>
          <w:noProof/>
        </w:rPr>
      </w:pPr>
      <w:r>
        <w:rPr>
          <w:noProof/>
        </w:rPr>
        <w:t xml:space="preserve">доброто управление на </w:t>
      </w:r>
      <w:r>
        <w:rPr>
          <w:b/>
          <w:noProof/>
        </w:rPr>
        <w:t>законната миграция</w:t>
      </w:r>
      <w:r>
        <w:rPr>
          <w:noProof/>
        </w:rPr>
        <w:t xml:space="preserve"> чрез по-добра координация с държавите — членки на ЕС, при спазване на техните правомощия, включително посредством въвеждането на пилотни схеми за мобилност и по-добро интегриране на мигрантите в приемащите ги държави;</w:t>
      </w:r>
    </w:p>
    <w:p>
      <w:pPr>
        <w:pStyle w:val="Tiret0"/>
        <w:tabs>
          <w:tab w:val="clear" w:pos="850"/>
          <w:tab w:val="num" w:pos="567"/>
        </w:tabs>
        <w:ind w:left="567" w:hanging="567"/>
        <w:rPr>
          <w:noProof/>
        </w:rPr>
      </w:pPr>
      <w:r>
        <w:rPr>
          <w:noProof/>
        </w:rPr>
        <w:t xml:space="preserve">подкрепата за мобилизирането на </w:t>
      </w:r>
      <w:r>
        <w:rPr>
          <w:b/>
          <w:noProof/>
        </w:rPr>
        <w:t>живеещите в чужбина тунизийци</w:t>
      </w:r>
      <w:r>
        <w:rPr>
          <w:noProof/>
        </w:rPr>
        <w:t xml:space="preserve"> за инвестиции в иновативните сектори в Тунис;</w:t>
      </w:r>
    </w:p>
    <w:p>
      <w:pPr>
        <w:pStyle w:val="Tiret0"/>
        <w:tabs>
          <w:tab w:val="clear" w:pos="850"/>
          <w:tab w:val="num" w:pos="567"/>
        </w:tabs>
        <w:ind w:left="567" w:hanging="567"/>
        <w:rPr>
          <w:noProof/>
        </w:rPr>
      </w:pPr>
      <w:r>
        <w:rPr>
          <w:noProof/>
        </w:rPr>
        <w:t xml:space="preserve">подкрепата за </w:t>
      </w:r>
      <w:r>
        <w:rPr>
          <w:b/>
          <w:noProof/>
        </w:rPr>
        <w:t>предотвратяването на незаконната миграция</w:t>
      </w:r>
      <w:r>
        <w:rPr>
          <w:noProof/>
        </w:rPr>
        <w:t>, по-специално чрез по-добро отразяване на свързаните с миграцията въпроси в стратегиите за развитие; това минава също и през засилено управление на границите и през информационни кампании за осведомяване относно рисковете на незаконната миграция;</w:t>
      </w:r>
    </w:p>
    <w:p>
      <w:pPr>
        <w:pStyle w:val="Tiret0"/>
        <w:tabs>
          <w:tab w:val="clear" w:pos="850"/>
          <w:tab w:val="num" w:pos="567"/>
        </w:tabs>
        <w:ind w:left="567" w:hanging="567"/>
        <w:rPr>
          <w:noProof/>
        </w:rPr>
      </w:pPr>
      <w:r>
        <w:rPr>
          <w:noProof/>
        </w:rPr>
        <w:t xml:space="preserve">подкрепата за дейностите за предотвратяване и за </w:t>
      </w:r>
      <w:r>
        <w:rPr>
          <w:b/>
          <w:noProof/>
        </w:rPr>
        <w:t>борба срещу трафика на мигранти и търговията с хора</w:t>
      </w:r>
      <w:r>
        <w:rPr>
          <w:noProof/>
        </w:rPr>
        <w:t>, включително чрез установяването и преследването на престъпните мрежи; и</w:t>
      </w:r>
    </w:p>
    <w:p>
      <w:pPr>
        <w:pStyle w:val="Tiret0"/>
        <w:tabs>
          <w:tab w:val="clear" w:pos="850"/>
          <w:tab w:val="num" w:pos="567"/>
        </w:tabs>
        <w:ind w:left="567" w:hanging="567"/>
        <w:rPr>
          <w:noProof/>
        </w:rPr>
      </w:pPr>
      <w:r>
        <w:rPr>
          <w:noProof/>
        </w:rPr>
        <w:t xml:space="preserve">укрепването на сътрудничеството по въпроса за </w:t>
      </w:r>
      <w:r>
        <w:rPr>
          <w:b/>
          <w:noProof/>
        </w:rPr>
        <w:t>връщането и обратното приемане</w:t>
      </w:r>
      <w:r>
        <w:rPr>
          <w:noProof/>
        </w:rPr>
        <w:t>; включително чрез подкрепа за трайната реинтеграция на завърналите се тунизийци.</w:t>
      </w:r>
    </w:p>
    <w:p>
      <w:pPr>
        <w:spacing w:before="0" w:after="0" w:line="300" w:lineRule="atLeast"/>
        <w:ind w:left="426" w:hanging="426"/>
        <w:rPr>
          <w:rFonts w:eastAsia="Calibri"/>
          <w:noProof/>
          <w:szCs w:val="24"/>
        </w:rPr>
      </w:pPr>
    </w:p>
    <w:p>
      <w:pPr>
        <w:pStyle w:val="NumPar2"/>
        <w:tabs>
          <w:tab w:val="clear" w:pos="850"/>
          <w:tab w:val="num" w:pos="567"/>
        </w:tabs>
        <w:ind w:left="567" w:hanging="567"/>
        <w:rPr>
          <w:rFonts w:eastAsia="Times New Roman"/>
          <w:b/>
          <w:i/>
          <w:noProof/>
          <w:szCs w:val="24"/>
        </w:rPr>
      </w:pPr>
      <w:r>
        <w:rPr>
          <w:b/>
          <w:i/>
          <w:noProof/>
        </w:rPr>
        <w:t>Сигурност и борба с тероризма</w:t>
      </w:r>
    </w:p>
    <w:p>
      <w:pPr>
        <w:spacing w:before="0" w:line="300" w:lineRule="atLeast"/>
        <w:rPr>
          <w:rFonts w:eastAsia="Calibri"/>
          <w:noProof/>
          <w:szCs w:val="24"/>
        </w:rPr>
      </w:pPr>
      <w:r>
        <w:rPr>
          <w:noProof/>
        </w:rPr>
        <w:t xml:space="preserve">ЕС и Тунис са изправени пред общи предизвикателства в областта на сигурността, които налагат двете страни </w:t>
      </w:r>
      <w:r>
        <w:rPr>
          <w:b/>
          <w:noProof/>
        </w:rPr>
        <w:t>да действат съгласувано</w:t>
      </w:r>
      <w:r>
        <w:rPr>
          <w:noProof/>
        </w:rPr>
        <w:t>, и трябва да напредват при спазване на споделените ценности на демокрацията и на правата на човека.</w:t>
      </w:r>
    </w:p>
    <w:p>
      <w:pPr>
        <w:spacing w:before="0" w:line="300" w:lineRule="atLeast"/>
        <w:rPr>
          <w:rFonts w:eastAsia="Calibri"/>
          <w:noProof/>
          <w:szCs w:val="24"/>
        </w:rPr>
      </w:pPr>
      <w:r>
        <w:rPr>
          <w:noProof/>
        </w:rPr>
        <w:t>Тунис възнамерява да приведе в действие глобалната си и многосекторна стратегия за борба с тероризма и насилническия екстремизъм. Приоритетните области на сътрудничество ще включват:</w:t>
      </w:r>
    </w:p>
    <w:p>
      <w:pPr>
        <w:pStyle w:val="Tiret0"/>
        <w:tabs>
          <w:tab w:val="clear" w:pos="850"/>
          <w:tab w:val="num" w:pos="567"/>
        </w:tabs>
        <w:ind w:left="567" w:hanging="567"/>
        <w:rPr>
          <w:noProof/>
        </w:rPr>
      </w:pPr>
      <w:r>
        <w:rPr>
          <w:noProof/>
        </w:rPr>
        <w:t xml:space="preserve">изпълнението на </w:t>
      </w:r>
      <w:r>
        <w:rPr>
          <w:b/>
          <w:noProof/>
        </w:rPr>
        <w:t>националната стратегия за борба с тероризма</w:t>
      </w:r>
      <w:r>
        <w:rPr>
          <w:noProof/>
        </w:rPr>
        <w:t>, по-специално чрез укрепване и модернизиране на законодателството и на органите на сигурността и съдебните органи, при спазване на демократичните ценности, записани в конституцията;</w:t>
      </w:r>
    </w:p>
    <w:p>
      <w:pPr>
        <w:pStyle w:val="Tiret0"/>
        <w:tabs>
          <w:tab w:val="clear" w:pos="850"/>
          <w:tab w:val="num" w:pos="567"/>
        </w:tabs>
        <w:ind w:left="567" w:hanging="567"/>
        <w:rPr>
          <w:noProof/>
        </w:rPr>
      </w:pPr>
      <w:r>
        <w:rPr>
          <w:noProof/>
        </w:rPr>
        <w:t xml:space="preserve">ускоряването на изпълнението на </w:t>
      </w:r>
      <w:r>
        <w:rPr>
          <w:b/>
          <w:noProof/>
        </w:rPr>
        <w:t>програмата за подкрепа на реформите и на модернизирането на сектора на сигурността</w:t>
      </w:r>
      <w:r>
        <w:rPr>
          <w:noProof/>
        </w:rPr>
        <w:t>, включително отчетността на силите за сигурност, и чрез задълбочаване на сътрудничеството, въз основа на постигнатите успехи;</w:t>
      </w:r>
    </w:p>
    <w:p>
      <w:pPr>
        <w:pStyle w:val="Tiret0"/>
        <w:tabs>
          <w:tab w:val="clear" w:pos="850"/>
          <w:tab w:val="num" w:pos="567"/>
        </w:tabs>
        <w:ind w:left="567" w:hanging="567"/>
        <w:rPr>
          <w:noProof/>
        </w:rPr>
      </w:pPr>
      <w:r>
        <w:rPr>
          <w:b/>
          <w:noProof/>
        </w:rPr>
        <w:t>борбата срещу изпирането на пари и финансирането на организираната престъпност и тероризма</w:t>
      </w:r>
      <w:r>
        <w:rPr>
          <w:noProof/>
        </w:rPr>
        <w:t xml:space="preserve">, включително ефективното изпълнение на плана за действие, договорен със Специалната група за финансови действия; </w:t>
      </w:r>
    </w:p>
    <w:p>
      <w:pPr>
        <w:pStyle w:val="Tiret0"/>
        <w:tabs>
          <w:tab w:val="clear" w:pos="850"/>
          <w:tab w:val="num" w:pos="567"/>
        </w:tabs>
        <w:ind w:left="567" w:hanging="567"/>
        <w:rPr>
          <w:noProof/>
        </w:rPr>
      </w:pPr>
      <w:r>
        <w:rPr>
          <w:noProof/>
        </w:rPr>
        <w:t xml:space="preserve">разработването на глобална политика за </w:t>
      </w:r>
      <w:r>
        <w:rPr>
          <w:b/>
          <w:noProof/>
        </w:rPr>
        <w:t>предотвратяване на радикализацията</w:t>
      </w:r>
      <w:r>
        <w:rPr>
          <w:noProof/>
        </w:rPr>
        <w:t>;</w:t>
      </w:r>
    </w:p>
    <w:p>
      <w:pPr>
        <w:pStyle w:val="Tiret0"/>
        <w:tabs>
          <w:tab w:val="clear" w:pos="850"/>
          <w:tab w:val="num" w:pos="567"/>
        </w:tabs>
        <w:ind w:left="567" w:hanging="567"/>
        <w:rPr>
          <w:noProof/>
        </w:rPr>
      </w:pPr>
      <w:r>
        <w:rPr>
          <w:noProof/>
        </w:rPr>
        <w:t>въпроса с чуждестранните бойци;</w:t>
      </w:r>
    </w:p>
    <w:p>
      <w:pPr>
        <w:pStyle w:val="Tiret0"/>
        <w:tabs>
          <w:tab w:val="clear" w:pos="850"/>
          <w:tab w:val="num" w:pos="567"/>
        </w:tabs>
        <w:ind w:left="567" w:hanging="567"/>
        <w:rPr>
          <w:noProof/>
        </w:rPr>
      </w:pPr>
      <w:r>
        <w:rPr>
          <w:noProof/>
        </w:rPr>
        <w:t>разработването на политика на подкрепа и защита за жертвите на тероризма;</w:t>
      </w:r>
    </w:p>
    <w:p>
      <w:pPr>
        <w:pStyle w:val="Tiret0"/>
        <w:tabs>
          <w:tab w:val="clear" w:pos="850"/>
          <w:tab w:val="num" w:pos="567"/>
        </w:tabs>
        <w:ind w:left="567" w:hanging="567"/>
        <w:rPr>
          <w:noProof/>
        </w:rPr>
      </w:pPr>
      <w:r>
        <w:rPr>
          <w:noProof/>
        </w:rPr>
        <w:t xml:space="preserve">борбата с организираната престъпност, по-специално с трафика на огнестрелно оръжие и на наркотици; </w:t>
      </w:r>
    </w:p>
    <w:p>
      <w:pPr>
        <w:pStyle w:val="Tiret0"/>
        <w:tabs>
          <w:tab w:val="clear" w:pos="850"/>
          <w:tab w:val="num" w:pos="567"/>
        </w:tabs>
        <w:ind w:left="567" w:hanging="567"/>
        <w:rPr>
          <w:strike/>
          <w:noProof/>
        </w:rPr>
      </w:pPr>
      <w:r>
        <w:rPr>
          <w:noProof/>
        </w:rPr>
        <w:t xml:space="preserve">подкрепата за изпълнението на </w:t>
      </w:r>
      <w:r>
        <w:rPr>
          <w:b/>
          <w:noProof/>
        </w:rPr>
        <w:t>националната стратегия за сигурност на границите</w:t>
      </w:r>
      <w:r>
        <w:rPr>
          <w:noProof/>
        </w:rPr>
        <w:t>;</w:t>
      </w:r>
    </w:p>
    <w:p>
      <w:pPr>
        <w:pStyle w:val="Tiret0"/>
        <w:tabs>
          <w:tab w:val="clear" w:pos="850"/>
          <w:tab w:val="num" w:pos="567"/>
        </w:tabs>
        <w:ind w:left="567" w:hanging="567"/>
        <w:rPr>
          <w:noProof/>
        </w:rPr>
      </w:pPr>
      <w:r>
        <w:rPr>
          <w:noProof/>
        </w:rPr>
        <w:t xml:space="preserve">засилването на </w:t>
      </w:r>
      <w:r>
        <w:rPr>
          <w:b/>
          <w:noProof/>
        </w:rPr>
        <w:t xml:space="preserve">сътрудничеството с </w:t>
      </w:r>
      <w:r>
        <w:rPr>
          <w:noProof/>
        </w:rPr>
        <w:t>компетентните</w:t>
      </w:r>
      <w:r>
        <w:rPr>
          <w:b/>
          <w:noProof/>
        </w:rPr>
        <w:t xml:space="preserve"> агенции на Европейския съюз</w:t>
      </w:r>
      <w:r>
        <w:rPr>
          <w:noProof/>
        </w:rPr>
        <w:t>; и</w:t>
      </w:r>
    </w:p>
    <w:p>
      <w:pPr>
        <w:pStyle w:val="Tiret0"/>
        <w:tabs>
          <w:tab w:val="clear" w:pos="850"/>
          <w:tab w:val="num" w:pos="567"/>
        </w:tabs>
        <w:ind w:left="567" w:hanging="567"/>
        <w:rPr>
          <w:noProof/>
        </w:rPr>
      </w:pPr>
      <w:r>
        <w:rPr>
          <w:noProof/>
        </w:rPr>
        <w:t xml:space="preserve">сътрудничеството по въпроси на управлението и </w:t>
      </w:r>
      <w:r>
        <w:rPr>
          <w:b/>
          <w:noProof/>
        </w:rPr>
        <w:t>предотвратяването на рисковете от бедствия</w:t>
      </w:r>
      <w:r>
        <w:rPr>
          <w:noProof/>
        </w:rPr>
        <w:t>.</w:t>
      </w:r>
    </w:p>
    <w:p>
      <w:pPr>
        <w:spacing w:before="0" w:line="300" w:lineRule="atLeast"/>
        <w:rPr>
          <w:rFonts w:eastAsia="Calibri"/>
          <w:noProof/>
          <w:szCs w:val="24"/>
        </w:rPr>
      </w:pPr>
      <w:r>
        <w:rPr>
          <w:noProof/>
        </w:rPr>
        <w:t>Освен това Европейският съюз ще продължи да участва пълноценно в групата Г-7+6, която осигурява координацията между основните партньори на Тунис.</w:t>
      </w:r>
    </w:p>
    <w:p>
      <w:pPr>
        <w:spacing w:before="0" w:line="300" w:lineRule="atLeast"/>
        <w:rPr>
          <w:rFonts w:eastAsia="Calibri"/>
          <w:noProof/>
          <w:szCs w:val="24"/>
        </w:rPr>
      </w:pPr>
      <w:r>
        <w:rPr>
          <w:noProof/>
        </w:rPr>
        <w:t>Освен това може да бъдат развивани и други области на партньорството по въпроси на сигурността/отбраната.</w:t>
      </w:r>
    </w:p>
    <w:p>
      <w:pPr>
        <w:spacing w:before="0" w:line="300" w:lineRule="atLeast"/>
        <w:rPr>
          <w:rFonts w:eastAsia="Calibri"/>
          <w:noProof/>
          <w:sz w:val="22"/>
          <w:szCs w:val="21"/>
        </w:rPr>
      </w:pPr>
    </w:p>
    <w:p>
      <w:pPr>
        <w:pStyle w:val="NumPar1"/>
        <w:tabs>
          <w:tab w:val="clear" w:pos="850"/>
          <w:tab w:val="num" w:pos="567"/>
        </w:tabs>
        <w:ind w:left="567" w:hanging="567"/>
        <w:rPr>
          <w:rFonts w:eastAsia="Times New Roman"/>
          <w:b/>
          <w:noProof/>
          <w:szCs w:val="24"/>
          <w:u w:val="single"/>
        </w:rPr>
      </w:pPr>
      <w:r>
        <w:rPr>
          <w:b/>
          <w:noProof/>
          <w:u w:val="single"/>
        </w:rPr>
        <w:t>Начин на действие за консолидиране на привилегированото партньорство ЕС—Тунис</w:t>
      </w:r>
    </w:p>
    <w:p>
      <w:pPr>
        <w:spacing w:before="0" w:line="300" w:lineRule="atLeast"/>
        <w:rPr>
          <w:rFonts w:eastAsia="Calibri"/>
          <w:noProof/>
          <w:szCs w:val="24"/>
        </w:rPr>
      </w:pPr>
      <w:r>
        <w:rPr>
          <w:noProof/>
        </w:rPr>
        <w:t xml:space="preserve">Значението, което двете страни отдават на техните отношения, ще продължи да се изразява в голямата интензивност на политическите контакти и в редовни посещения в рамките на </w:t>
      </w:r>
      <w:r>
        <w:rPr>
          <w:b/>
          <w:noProof/>
        </w:rPr>
        <w:t>разширен политически диалог</w:t>
      </w:r>
      <w:r>
        <w:rPr>
          <w:noProof/>
        </w:rPr>
        <w:t xml:space="preserve"> по всички теми от взаимен интерес, сред които въпроси от регионално и международно естество. Следва да се засили </w:t>
      </w:r>
      <w:r>
        <w:rPr>
          <w:b/>
          <w:noProof/>
        </w:rPr>
        <w:t>регионалното измерение</w:t>
      </w:r>
      <w:r>
        <w:rPr>
          <w:noProof/>
        </w:rPr>
        <w:t xml:space="preserve"> на тези разговори. В тази връзка двете страни припомнят значението на тяхното сътрудничество в рамките на Съюза за Средиземноморието. Освен вече водените диалози, двете страни ще работят за провеждането на срещи между ЕС и Тунис на високо равнище и за участието на тунизийски министри в определени тематични обсъждания на Съвета на Европейския съюз. Двете страни насърчават парламентарното сътрудничество между Европейския парламент и Събранието на народните представители.</w:t>
      </w:r>
    </w:p>
    <w:p>
      <w:pPr>
        <w:spacing w:before="0" w:line="300" w:lineRule="atLeast"/>
        <w:rPr>
          <w:rFonts w:eastAsia="Calibri"/>
          <w:noProof/>
          <w:szCs w:val="24"/>
        </w:rPr>
      </w:pPr>
      <w:r>
        <w:rPr>
          <w:noProof/>
        </w:rPr>
        <w:t xml:space="preserve">Органите по </w:t>
      </w:r>
      <w:r>
        <w:rPr>
          <w:b/>
          <w:noProof/>
        </w:rPr>
        <w:t>Споразумението за асоцииране</w:t>
      </w:r>
      <w:r>
        <w:rPr>
          <w:noProof/>
        </w:rPr>
        <w:t xml:space="preserve"> (Съвет за асоцииране, Комитет за асоцииране и техническите подкомитети) остават първостепенните форуми за направляване на ефективното изпълнение на партньорството. ЕС и Тунис се ангажират да повишат ефективността и добавената стойност на работата си и доколкото е възможно да прегрупират действията по важни приоритетни теми, които са в унисон със стратегическите приоритети.</w:t>
      </w:r>
    </w:p>
    <w:p>
      <w:pPr>
        <w:spacing w:before="0" w:line="300" w:lineRule="atLeast"/>
        <w:rPr>
          <w:rFonts w:eastAsia="Calibri"/>
          <w:noProof/>
          <w:szCs w:val="24"/>
        </w:rPr>
      </w:pPr>
      <w:r>
        <w:rPr>
          <w:noProof/>
        </w:rPr>
        <w:t xml:space="preserve">С цел изброените приоритети да намерят по-конкретен израз, Тунис предложи, а ЕС одобри </w:t>
      </w:r>
      <w:r>
        <w:rPr>
          <w:b/>
          <w:noProof/>
        </w:rPr>
        <w:t>пътна карта</w:t>
      </w:r>
      <w:r>
        <w:rPr>
          <w:noProof/>
        </w:rPr>
        <w:t>. В този публичен документ се включват най-спешните мерки (законодателни, стратегически и оперативни), необходими за нов социално-икономически подем на държавата. Пътната карта е гъвкав оперативен механизъм за проследяване на всеки шест месеца.</w:t>
      </w:r>
    </w:p>
    <w:p>
      <w:pPr>
        <w:spacing w:before="0" w:line="300" w:lineRule="atLeast"/>
        <w:rPr>
          <w:rFonts w:eastAsia="Calibri"/>
          <w:noProof/>
          <w:szCs w:val="24"/>
        </w:rPr>
      </w:pPr>
      <w:r>
        <w:rPr>
          <w:noProof/>
        </w:rPr>
        <w:t xml:space="preserve">В рамките на съвместното съобщение ЕС се ангажира да увеличи значително своята </w:t>
      </w:r>
      <w:r>
        <w:rPr>
          <w:b/>
          <w:noProof/>
        </w:rPr>
        <w:t>финансова помощ</w:t>
      </w:r>
      <w:r>
        <w:rPr>
          <w:noProof/>
        </w:rPr>
        <w:t xml:space="preserve"> за Тунис чрез инструмента за съседство. ЕС и Тунис ще работят за максимално използване на съществуващите финансови възможности, включително на новите инструменти, сред които Планът на ЕС за външни инвестиции, като се оползотвори допълването и лостовите ефекти между безвъзмездните средства от ЕС и предоставените от финансовите институции заеми. Двете страни се ангажират да засилят взаимодействието между политическите и секторните диалози, както и изпълнението на финансовото сътрудничество. Те ще работят също и за укрепването на механизмите за координиране и за диалог с финансовите партньори и международните донори, под отговорността на тунизийската страна, както по отношение на определянето на приоритетите, така и на тяхното изпълнение.</w:t>
      </w:r>
    </w:p>
    <w:p>
      <w:pPr>
        <w:spacing w:before="0" w:line="300" w:lineRule="atLeast"/>
        <w:rPr>
          <w:rFonts w:eastAsia="Calibri"/>
          <w:noProof/>
          <w:szCs w:val="24"/>
        </w:rPr>
      </w:pPr>
      <w:r>
        <w:rPr>
          <w:noProof/>
        </w:rPr>
        <w:t xml:space="preserve">И накрая, двете страни се ангажират да дадат по-голяма </w:t>
      </w:r>
      <w:r>
        <w:rPr>
          <w:b/>
          <w:noProof/>
        </w:rPr>
        <w:t xml:space="preserve">видимост </w:t>
      </w:r>
      <w:r>
        <w:rPr>
          <w:noProof/>
        </w:rPr>
        <w:t>на стратегическите отношения ЕС—Тунис, както и да изтъкнат по-добре пред гражданите на двата бряга на Средиземно море ползите от своето сътрудничество.</w:t>
      </w:r>
    </w:p>
    <w:p>
      <w:pPr>
        <w:spacing w:before="0" w:line="300" w:lineRule="atLeast"/>
        <w:rPr>
          <w:rFonts w:eastAsia="Calibri"/>
          <w:noProof/>
          <w:szCs w:val="24"/>
        </w:rPr>
      </w:pPr>
    </w:p>
    <w:p>
      <w:pPr>
        <w:spacing w:before="0" w:line="300" w:lineRule="atLeast"/>
        <w:jc w:val="center"/>
        <w:rPr>
          <w:rFonts w:eastAsia="Calibri"/>
          <w:noProof/>
          <w:szCs w:val="24"/>
        </w:rPr>
      </w:pPr>
      <w:r>
        <w:rPr>
          <w:noProof/>
        </w:rPr>
        <w:t xml:space="preserve">----------- </w:t>
      </w:r>
    </w:p>
    <w:p>
      <w:pPr>
        <w:rPr>
          <w:noProof/>
        </w:rPr>
      </w:pP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spacing w:after="60"/>
        <w:rPr>
          <w:sz w:val="16"/>
          <w:szCs w:val="16"/>
        </w:rPr>
      </w:pPr>
      <w:r>
        <w:rPr>
          <w:rStyle w:val="FootnoteReference"/>
        </w:rPr>
        <w:footnoteRef/>
      </w:r>
      <w:r>
        <w:tab/>
      </w:r>
      <w:r>
        <w:rPr>
          <w:sz w:val="16"/>
        </w:rPr>
        <w:t>С плана се насърчава нов модел за развитие за устойчив и приобщаващ растеж и той е структуриран около пет приоритета: i) добро управление, реформа на администрацията и борба с корупцията; ii) преход от икономика с ниски разходи към икономически център, iii) развитие на човека и социално приобщаване, iv) конкретизиране на стремежите на регионите и v) зелена икономика като стълб на устойчивото развитие.</w:t>
      </w:r>
    </w:p>
  </w:footnote>
  <w:footnote w:id="2">
    <w:p>
      <w:pPr>
        <w:pStyle w:val="FootnoteText"/>
        <w:spacing w:after="60"/>
        <w:rPr>
          <w:sz w:val="16"/>
          <w:szCs w:val="16"/>
        </w:rPr>
      </w:pPr>
      <w:r>
        <w:rPr>
          <w:rStyle w:val="FootnoteReference"/>
        </w:rPr>
        <w:footnoteRef/>
      </w:r>
      <w:r>
        <w:tab/>
      </w:r>
      <w:r>
        <w:rPr>
          <w:sz w:val="16"/>
        </w:rPr>
        <w:t>Съобщението на върховния представител на Европейския съюз по въпросите на външните работи и политиката на сигурност и на Европейската комисия до Европейския парламенти и Съвета (JOIN (2016)47 final от 29 септември 2016 г.) е формулирано около пет основни оси: i) насърчаване на доброто управление и реформата на публичната администрация; ii) засилване на ролята на гражданското общество; iii) инвестиция за бъдещето: създаване на работни места и стимулиране на устойчиво социално-икономическо развитие; iv) преодоляване на различията в обществото; v) подкрепа за справяне с предизвикателствата, свързани със сигурността; vi) съвместни усилия за по-добро управление на миграцията и мобилността.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DC600D7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3962F71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8282159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4ECEBC8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E1D43DC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F80A323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EBEED06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E9C68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2"/>
  </w:num>
  <w:num w:numId="14">
    <w:abstractNumId w:val="20"/>
  </w:num>
  <w:num w:numId="15">
    <w:abstractNumId w:val="11"/>
  </w:num>
  <w:num w:numId="16">
    <w:abstractNumId w:val="13"/>
  </w:num>
  <w:num w:numId="17">
    <w:abstractNumId w:val="9"/>
  </w:num>
  <w:num w:numId="18">
    <w:abstractNumId w:val="19"/>
  </w:num>
  <w:num w:numId="19">
    <w:abstractNumId w:val="8"/>
  </w:num>
  <w:num w:numId="20">
    <w:abstractNumId w:val="14"/>
  </w:num>
  <w:num w:numId="21">
    <w:abstractNumId w:val="16"/>
  </w:num>
  <w:num w:numId="22">
    <w:abstractNumId w:val="17"/>
  </w:num>
  <w:num w:numId="23">
    <w:abstractNumId w:val="10"/>
  </w:num>
  <w:num w:numId="24">
    <w:abstractNumId w:val="15"/>
  </w:num>
  <w:num w:numId="25">
    <w:abstractNumId w:val="21"/>
  </w:num>
  <w:num w:numId="26">
    <w:abstractNumId w:val="18"/>
  </w:num>
  <w:num w:numId="27">
    <w:abstractNumId w:val="12"/>
  </w:num>
  <w:num w:numId="28">
    <w:abstractNumId w:val="20"/>
  </w:num>
  <w:num w:numId="29">
    <w:abstractNumId w:val="11"/>
  </w:num>
  <w:num w:numId="30">
    <w:abstractNumId w:val="13"/>
  </w:num>
  <w:num w:numId="31">
    <w:abstractNumId w:val="9"/>
  </w:num>
  <w:num w:numId="32">
    <w:abstractNumId w:val="19"/>
  </w:num>
  <w:num w:numId="33">
    <w:abstractNumId w:val="8"/>
  </w:num>
  <w:num w:numId="34">
    <w:abstractNumId w:val="14"/>
  </w:num>
  <w:num w:numId="35">
    <w:abstractNumId w:val="16"/>
  </w:num>
  <w:num w:numId="36">
    <w:abstractNumId w:val="17"/>
  </w:num>
  <w:num w:numId="37">
    <w:abstractNumId w:val="10"/>
  </w:num>
  <w:num w:numId="38">
    <w:abstractNumId w:val="15"/>
  </w:num>
  <w:num w:numId="39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70"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7-06 14:23:57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51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B3DDFD68-2919-40A3-989A-4DCF96ACE609"/>
    <w:docVar w:name="LW_COVERPAGE_TYPE" w:val="1"/>
    <w:docVar w:name="LW_CROSSREFERENCE" w:val="&lt;UNUSED&gt;"/>
    <w:docVar w:name="LW_DocType" w:val="ANNEX"/>
    <w:docVar w:name="LW_EMISSION" w:val="2.5.2018"/>
    <w:docVar w:name="LW_EMISSION_ISODATE" w:val="2018-05-02"/>
    <w:docVar w:name="LW_EMISSION_LOCATION" w:val="BRX"/>
    <w:docVar w:name="LW_EMISSION_PREFIX" w:val="\u1041?\u1088?\u1102?\u1082?\u1089?\u1077?\u1083?,"/>
    <w:docVar w:name="LW_EMISSION_SUFFIX" w:val="&lt;EMPTY&gt;"/>
    <w:docVar w:name="LW_ID_DOCSTRUCTURE" w:val="COM/ANNEX/STATUT"/>
    <w:docVar w:name="LW_ID_DOCTYPE" w:val="SG-053"/>
    <w:docVar w:name="LW_ID_STATUT" w:val="SG-053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\u1042?\u1066?\u1056?\u1061?\u1054?\u1042?\u1045?\u1053? \u1055?\u1056?\u1045?\u1044?\u1057?\u1058?\u1040?\u1042?\u1048?\u1058?\u1045?\u1051? _x000b_\u1053?\u1040? \u1057?\u1066?\u1070?\u1047?A \u1055?\u1054? \u1042?\u1066?\u1055?\u1056?\u1054?\u1057?\u1048?\u1058?\u1045?_x000b_\u1053?\u1040? \u1042?\u1066?\u1053?\u1064?\u1053?\u1048?\u1058?\u1045? \u1056?\u1040?\u1041?\u1054?\u1058?\u1048? \u1048?_x000b_\u1055?\u1054?\u1051?\u1048?\u1058?\u1048?\u1050?\u1040?\u1058?\u1040? \u1053?\u1040? \u1057?\u1048?\u1043?\u1059?\u1056?\u1053?\u1054?\u1057?\u1058?"/>
    <w:docVar w:name="LW_OBJETACTEPRINCIPAL" w:val="\u1086?\u1090?\u1085?\u1086?\u1089?\u1085?\u1086? \u1087?\u1086?\u1079?\u1080?\u1094?\u1080?\u1103?\u1090?\u1072? \u1085?\u1072? \u1057?\u1098?\u1102?\u1079?\u1072? \u1074? \u1057?\u1098?\u1074?\u1077?\u1090?\u1072? \u1079?\u1072? \u1072?\u1089?\u1086?\u1094?\u1080?\u1080?\u1088?\u1072?\u1085?\u1077?, \u1089?\u1098?\u1079?\u1076?\u1072?\u1076?\u1077?\u1085? \u1087?\u1086? \u1089?\u1080?\u1083?\u1072?\u1090?\u1072? \u1085?\u1072? \u1045?\u1074?\u1088?\u1086?-\u1089?\u1088?\u1077?\u1076?\u1080?\u1079?\u1077?\u1084?\u1085?\u1086?\u1084?\u1086?\u1088?\u1089?\u1082?\u1086?\u1090?\u1086? \u1089?\u1087?\u1086?\u1088?\u1072?\u1079?\u1091?\u1084?\u1077?\u1085?\u1080?\u1077? \u1079?\u1072? \u1072?\u1089?\u1086?\u1094?\u1080?\u1080?\u1088?\u1072?\u1085?\u1077? \u1084?\u1077?\u1078?\u1076?\u1091? \u1045?\u1074?\u1088?\u1086?\u1087?\u1077?\u1081?\u1089?\u1082?\u1072?\u1090?\u1072? \u1086?\u1073?\u1097?\u1085?\u1086?\u1089?\u1090? \u1080? \u1085?\u1077?\u1081?\u1085?\u1080?\u1090?\u1077? \u1076?\u1098?\u1088?\u1078?\u1072?\u1074?\u1080? \u1095?\u1083?\u1077?\u1085?\u1082?\u1080?, \u1086?\u1090? \u1077?\u1076?\u1085?\u1072? \u1089?\u1090?\u1088?\u1072?\u1085?\u1072?, \u1080? \u1056?\u1077?\u1087?\u1091?\u1073?\u1083?\u1080?\u1082?\u1072? \u1058?\u1091?\u1085?\u1080?\u1089?, \u1086?\u1090? \u1076?\u1088?\u1091?\u1075?\u1072? \u1089?\u1090?\u1088?\u1072?\u1085?\u1072?, \u1087?\u1086? \u1086?\u1090?\u1085?\u1086?\u1096?\u1077?\u1085?\u1080?\u1077? \u1085?\u1072? \u1087?\u1088?\u1080?\u1077?\u1084?\u1072?\u1085?\u1077?\u1090?\u1086? \u1085?\u1072? \u1076?\u1086?\u1082?\u1091?\u1084?\u1077?\u1085?\u1090?\u1072?: \u8222?\u1050?\u1086?\u1085?\u1089?\u1086?\u1083?\u1080?\u1076?\u1080?\u1088?\u1072?\u1085?\u1077? \u1085?\u1072? \u1087?\u1088?\u1080?\u1074?\u1080?\u1083?\u1077?\u1075?\u1080?\u1088?\u1086?\u1074?\u1072?\u1085?\u1086?\u1090?\u1086? \u1087?\u1072?\u1088?\u1090?\u1085?\u1100?\u1086?\u1088?\u1089?\u1090?\u1074?\u1086? \u1045?\u1057?\u8212?\u1058?\u1091?\u1085?\u1080?\u1089?:_x000b_\u1089?\u1090?\u1088?\u1072?\u1090?\u1077?\u1075?\u1080?\u1095?\u1077?\u1089?\u1082?\u1080? \u1087?\u1088?\u1080?\u1086?\u1088?\u1080?\u1090?\u1077?\u1090?\u1080? \u1079?\u1072? \u1087?\u1077?\u1088?\u1080?\u1086?\u1076?\u1072? 2018\u8212?2020&lt;LWCR:NBS&gt;\u1075?.\u8220?."/>
    <w:docVar w:name="LW_OBJETACTEPRINCIPAL.CP" w:val="\u1086?\u1090?\u1085?\u1086?\u1089?\u1085?\u1086? \u1087?\u1086?\u1079?\u1080?\u1094?\u1080?\u1103?\u1090?\u1072? \u1085?\u1072? \u1057?\u1098?\u1102?\u1079?\u1072? \u1074? \u1057?\u1098?\u1074?\u1077?\u1090?\u1072? \u1079?\u1072? \u1072?\u1089?\u1086?\u1094?\u1080?\u1080?\u1088?\u1072?\u1085?\u1077?, \u1089?\u1098?\u1079?\u1076?\u1072?\u1076?\u1077?\u1085? \u1087?\u1086? \u1089?\u1080?\u1083?\u1072?\u1090?\u1072? \u1085?\u1072? \u1045?\u1074?\u1088?\u1086?-\u1089?\u1088?\u1077?\u1076?\u1080?\u1079?\u1077?\u1084?\u1085?\u1086?\u1084?\u1086?\u1088?\u1089?\u1082?\u1086?\u1090?\u1086? \u1089?\u1087?\u1086?\u1088?\u1072?\u1079?\u1091?\u1084?\u1077?\u1085?\u1080?\u1077? \u1079?\u1072? \u1072?\u1089?\u1086?\u1094?\u1080?\u1080?\u1088?\u1072?\u1085?\u1077? \u1084?\u1077?\u1078?\u1076?\u1091? \u1045?\u1074?\u1088?\u1086?\u1087?\u1077?\u1081?\u1089?\u1082?\u1072?\u1090?\u1072? \u1086?\u1073?\u1097?\u1085?\u1086?\u1089?\u1090? \u1080? \u1085?\u1077?\u1081?\u1085?\u1080?\u1090?\u1077? \u1076?\u1098?\u1088?\u1078?\u1072?\u1074?\u1080? \u1095?\u1083?\u1077?\u1085?\u1082?\u1080?, \u1086?\u1090? \u1077?\u1076?\u1085?\u1072? \u1089?\u1090?\u1088?\u1072?\u1085?\u1072?, \u1080? \u1056?\u1077?\u1087?\u1091?\u1073?\u1083?\u1080?\u1082?\u1072? \u1058?\u1091?\u1085?\u1080?\u1089?, \u1086?\u1090? \u1076?\u1088?\u1091?\u1075?\u1072? \u1089?\u1090?\u1088?\u1072?\u1085?\u1072?, \u1087?\u1086? \u1086?\u1090?\u1085?\u1086?\u1096?\u1077?\u1085?\u1080?\u1077? \u1085?\u1072? \u1087?\u1088?\u1080?\u1077?\u1084?\u1072?\u1085?\u1077?\u1090?\u1086? \u1085?\u1072? \u1076?\u1086?\u1082?\u1091?\u1084?\u1077?\u1085?\u1090?\u1072?: \u8222?\u1050?\u1086?\u1085?\u1089?\u1086?\u1083?\u1080?\u1076?\u1080?\u1088?\u1072?\u1085?\u1077? \u1085?\u1072? \u1087?\u1088?\u1080?\u1074?\u1080?\u1083?\u1077?\u1075?\u1080?\u1088?\u1086?\u1074?\u1072?\u1085?\u1086?\u1090?\u1086? \u1087?\u1072?\u1088?\u1090?\u1085?\u1100?\u1086?\u1088?\u1089?\u1090?\u1074?\u1086? \u1045?\u1057?\u8212?\u1058?\u1091?\u1085?\u1080?\u1089?:_x000b_\u1089?\u1090?\u1088?\u1072?\u1090?\u1077?\u1075?\u1080?\u1095?\u1077?\u1089?\u1082?\u1080? \u1087?\u1088?\u1080?\u1086?\u1088?\u1080?\u1090?\u1077?\u1090?\u1080? \u1079?\u1072? \u1087?\u1077?\u1088?\u1080?\u1086?\u1076?\u1072? 2018\u8212?2020 \u1075?.\u8220?."/>
    <w:docVar w:name="LW_PART_NBR" w:val="1"/>
    <w:docVar w:name="LW_PART_NBR_TOTAL" w:val="1"/>
    <w:docVar w:name="LW_REF.INST.NEW" w:val="JOIN"/>
    <w:docVar w:name="LW_REF.INST.NEW_ADOPTED" w:val="final"/>
    <w:docVar w:name="LW_REF.INST.NEW_TEXT" w:val="(2018) 9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TATUT" w:val="\u1057?\u1098?\u1074?\u1084?\u1077?\u1089?\u1090?\u1085?\u1086? \u1087?\u1088?\u1077?\u1076?\u1083?\u1086?\u1078?\u1077?\u1085?\u1080?\u1077? \u1079?\u1072?"/>
    <w:docVar w:name="LW_STATUT.CP" w:val="\u1057?\u1098?\u1074?\u1084?\u1077?\u1089?\u1090?\u1085?\u1086? \u1087?\u1088?\u1077?\u1076?\u1083?\u1086?\u1078?\u1077?\u1085?\u1080?\u1077? \u1079?\u1072?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6?\u1045?\u1064?\u1045?\u1053?\u1048?\u1045? \u1053?\u1040? \u1057?\u1066?\u1042?\u1045?\u1058?\u1040?"/>
    <w:docVar w:name="LW_TYPEACTEPRINCIPAL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2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2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2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2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6"/>
      </w:numPr>
    </w:pPr>
  </w:style>
  <w:style w:type="paragraph" w:customStyle="1" w:styleId="Tiret1">
    <w:name w:val="Tiret 1"/>
    <w:basedOn w:val="Point1"/>
    <w:pPr>
      <w:numPr>
        <w:numId w:val="27"/>
      </w:numPr>
    </w:pPr>
  </w:style>
  <w:style w:type="paragraph" w:customStyle="1" w:styleId="Tiret2">
    <w:name w:val="Tiret 2"/>
    <w:basedOn w:val="Point2"/>
    <w:pPr>
      <w:numPr>
        <w:numId w:val="28"/>
      </w:numPr>
    </w:pPr>
  </w:style>
  <w:style w:type="paragraph" w:customStyle="1" w:styleId="Tiret3">
    <w:name w:val="Tiret 3"/>
    <w:basedOn w:val="Point3"/>
    <w:pPr>
      <w:numPr>
        <w:numId w:val="29"/>
      </w:numPr>
    </w:pPr>
  </w:style>
  <w:style w:type="paragraph" w:customStyle="1" w:styleId="Tiret4">
    <w:name w:val="Tiret 4"/>
    <w:basedOn w:val="Point4"/>
    <w:pPr>
      <w:numPr>
        <w:numId w:val="30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1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1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1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1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3"/>
      </w:numPr>
    </w:pPr>
  </w:style>
  <w:style w:type="paragraph" w:customStyle="1" w:styleId="Point1number">
    <w:name w:val="Point 1 (number)"/>
    <w:basedOn w:val="Normal"/>
    <w:pPr>
      <w:numPr>
        <w:ilvl w:val="2"/>
        <w:numId w:val="33"/>
      </w:numPr>
    </w:pPr>
  </w:style>
  <w:style w:type="paragraph" w:customStyle="1" w:styleId="Point2number">
    <w:name w:val="Point 2 (number)"/>
    <w:basedOn w:val="Normal"/>
    <w:pPr>
      <w:numPr>
        <w:ilvl w:val="4"/>
        <w:numId w:val="33"/>
      </w:numPr>
    </w:pPr>
  </w:style>
  <w:style w:type="paragraph" w:customStyle="1" w:styleId="Point3number">
    <w:name w:val="Point 3 (number)"/>
    <w:basedOn w:val="Normal"/>
    <w:pPr>
      <w:numPr>
        <w:ilvl w:val="6"/>
        <w:numId w:val="33"/>
      </w:numPr>
    </w:pPr>
  </w:style>
  <w:style w:type="paragraph" w:customStyle="1" w:styleId="Point0letter">
    <w:name w:val="Point 0 (letter)"/>
    <w:basedOn w:val="Normal"/>
    <w:pPr>
      <w:numPr>
        <w:ilvl w:val="1"/>
        <w:numId w:val="33"/>
      </w:numPr>
    </w:pPr>
  </w:style>
  <w:style w:type="paragraph" w:customStyle="1" w:styleId="Point1letter">
    <w:name w:val="Point 1 (letter)"/>
    <w:basedOn w:val="Normal"/>
    <w:pPr>
      <w:numPr>
        <w:ilvl w:val="3"/>
        <w:numId w:val="33"/>
      </w:numPr>
    </w:pPr>
  </w:style>
  <w:style w:type="paragraph" w:customStyle="1" w:styleId="Point2letter">
    <w:name w:val="Point 2 (letter)"/>
    <w:basedOn w:val="Normal"/>
    <w:pPr>
      <w:numPr>
        <w:ilvl w:val="5"/>
        <w:numId w:val="33"/>
      </w:numPr>
    </w:pPr>
  </w:style>
  <w:style w:type="paragraph" w:customStyle="1" w:styleId="Point3letter">
    <w:name w:val="Point 3 (letter)"/>
    <w:basedOn w:val="Normal"/>
    <w:pPr>
      <w:numPr>
        <w:ilvl w:val="7"/>
        <w:numId w:val="33"/>
      </w:numPr>
    </w:pPr>
  </w:style>
  <w:style w:type="paragraph" w:customStyle="1" w:styleId="Point4letter">
    <w:name w:val="Point 4 (letter)"/>
    <w:basedOn w:val="Normal"/>
    <w:pPr>
      <w:numPr>
        <w:ilvl w:val="8"/>
        <w:numId w:val="33"/>
      </w:numPr>
    </w:pPr>
  </w:style>
  <w:style w:type="paragraph" w:customStyle="1" w:styleId="Bullet0">
    <w:name w:val="Bullet 0"/>
    <w:basedOn w:val="Normal"/>
    <w:pPr>
      <w:numPr>
        <w:numId w:val="34"/>
      </w:numPr>
    </w:pPr>
  </w:style>
  <w:style w:type="paragraph" w:customStyle="1" w:styleId="Bullet1">
    <w:name w:val="Bullet 1"/>
    <w:basedOn w:val="Normal"/>
    <w:pPr>
      <w:numPr>
        <w:numId w:val="35"/>
      </w:numPr>
    </w:pPr>
  </w:style>
  <w:style w:type="paragraph" w:customStyle="1" w:styleId="Bullet2">
    <w:name w:val="Bullet 2"/>
    <w:basedOn w:val="Normal"/>
    <w:pPr>
      <w:numPr>
        <w:numId w:val="36"/>
      </w:numPr>
    </w:pPr>
  </w:style>
  <w:style w:type="paragraph" w:customStyle="1" w:styleId="Bullet3">
    <w:name w:val="Bullet 3"/>
    <w:basedOn w:val="Normal"/>
    <w:pPr>
      <w:numPr>
        <w:numId w:val="37"/>
      </w:numPr>
    </w:pPr>
  </w:style>
  <w:style w:type="paragraph" w:customStyle="1" w:styleId="Bullet4">
    <w:name w:val="Bullet 4"/>
    <w:basedOn w:val="Normal"/>
    <w:pPr>
      <w:numPr>
        <w:numId w:val="38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9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2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2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2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2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6"/>
      </w:numPr>
    </w:pPr>
  </w:style>
  <w:style w:type="paragraph" w:customStyle="1" w:styleId="Tiret1">
    <w:name w:val="Tiret 1"/>
    <w:basedOn w:val="Point1"/>
    <w:pPr>
      <w:numPr>
        <w:numId w:val="27"/>
      </w:numPr>
    </w:pPr>
  </w:style>
  <w:style w:type="paragraph" w:customStyle="1" w:styleId="Tiret2">
    <w:name w:val="Tiret 2"/>
    <w:basedOn w:val="Point2"/>
    <w:pPr>
      <w:numPr>
        <w:numId w:val="28"/>
      </w:numPr>
    </w:pPr>
  </w:style>
  <w:style w:type="paragraph" w:customStyle="1" w:styleId="Tiret3">
    <w:name w:val="Tiret 3"/>
    <w:basedOn w:val="Point3"/>
    <w:pPr>
      <w:numPr>
        <w:numId w:val="29"/>
      </w:numPr>
    </w:pPr>
  </w:style>
  <w:style w:type="paragraph" w:customStyle="1" w:styleId="Tiret4">
    <w:name w:val="Tiret 4"/>
    <w:basedOn w:val="Point4"/>
    <w:pPr>
      <w:numPr>
        <w:numId w:val="30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1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1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1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1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3"/>
      </w:numPr>
    </w:pPr>
  </w:style>
  <w:style w:type="paragraph" w:customStyle="1" w:styleId="Point1number">
    <w:name w:val="Point 1 (number)"/>
    <w:basedOn w:val="Normal"/>
    <w:pPr>
      <w:numPr>
        <w:ilvl w:val="2"/>
        <w:numId w:val="33"/>
      </w:numPr>
    </w:pPr>
  </w:style>
  <w:style w:type="paragraph" w:customStyle="1" w:styleId="Point2number">
    <w:name w:val="Point 2 (number)"/>
    <w:basedOn w:val="Normal"/>
    <w:pPr>
      <w:numPr>
        <w:ilvl w:val="4"/>
        <w:numId w:val="33"/>
      </w:numPr>
    </w:pPr>
  </w:style>
  <w:style w:type="paragraph" w:customStyle="1" w:styleId="Point3number">
    <w:name w:val="Point 3 (number)"/>
    <w:basedOn w:val="Normal"/>
    <w:pPr>
      <w:numPr>
        <w:ilvl w:val="6"/>
        <w:numId w:val="33"/>
      </w:numPr>
    </w:pPr>
  </w:style>
  <w:style w:type="paragraph" w:customStyle="1" w:styleId="Point0letter">
    <w:name w:val="Point 0 (letter)"/>
    <w:basedOn w:val="Normal"/>
    <w:pPr>
      <w:numPr>
        <w:ilvl w:val="1"/>
        <w:numId w:val="33"/>
      </w:numPr>
    </w:pPr>
  </w:style>
  <w:style w:type="paragraph" w:customStyle="1" w:styleId="Point1letter">
    <w:name w:val="Point 1 (letter)"/>
    <w:basedOn w:val="Normal"/>
    <w:pPr>
      <w:numPr>
        <w:ilvl w:val="3"/>
        <w:numId w:val="33"/>
      </w:numPr>
    </w:pPr>
  </w:style>
  <w:style w:type="paragraph" w:customStyle="1" w:styleId="Point2letter">
    <w:name w:val="Point 2 (letter)"/>
    <w:basedOn w:val="Normal"/>
    <w:pPr>
      <w:numPr>
        <w:ilvl w:val="5"/>
        <w:numId w:val="33"/>
      </w:numPr>
    </w:pPr>
  </w:style>
  <w:style w:type="paragraph" w:customStyle="1" w:styleId="Point3letter">
    <w:name w:val="Point 3 (letter)"/>
    <w:basedOn w:val="Normal"/>
    <w:pPr>
      <w:numPr>
        <w:ilvl w:val="7"/>
        <w:numId w:val="33"/>
      </w:numPr>
    </w:pPr>
  </w:style>
  <w:style w:type="paragraph" w:customStyle="1" w:styleId="Point4letter">
    <w:name w:val="Point 4 (letter)"/>
    <w:basedOn w:val="Normal"/>
    <w:pPr>
      <w:numPr>
        <w:ilvl w:val="8"/>
        <w:numId w:val="33"/>
      </w:numPr>
    </w:pPr>
  </w:style>
  <w:style w:type="paragraph" w:customStyle="1" w:styleId="Bullet0">
    <w:name w:val="Bullet 0"/>
    <w:basedOn w:val="Normal"/>
    <w:pPr>
      <w:numPr>
        <w:numId w:val="34"/>
      </w:numPr>
    </w:pPr>
  </w:style>
  <w:style w:type="paragraph" w:customStyle="1" w:styleId="Bullet1">
    <w:name w:val="Bullet 1"/>
    <w:basedOn w:val="Normal"/>
    <w:pPr>
      <w:numPr>
        <w:numId w:val="35"/>
      </w:numPr>
    </w:pPr>
  </w:style>
  <w:style w:type="paragraph" w:customStyle="1" w:styleId="Bullet2">
    <w:name w:val="Bullet 2"/>
    <w:basedOn w:val="Normal"/>
    <w:pPr>
      <w:numPr>
        <w:numId w:val="36"/>
      </w:numPr>
    </w:pPr>
  </w:style>
  <w:style w:type="paragraph" w:customStyle="1" w:styleId="Bullet3">
    <w:name w:val="Bullet 3"/>
    <w:basedOn w:val="Normal"/>
    <w:pPr>
      <w:numPr>
        <w:numId w:val="37"/>
      </w:numPr>
    </w:pPr>
  </w:style>
  <w:style w:type="paragraph" w:customStyle="1" w:styleId="Bullet4">
    <w:name w:val="Bullet 4"/>
    <w:basedOn w:val="Normal"/>
    <w:pPr>
      <w:numPr>
        <w:numId w:val="38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9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07381-2154-4382-BDA9-897A331DE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9</Pages>
  <Words>2723</Words>
  <Characters>17162</Characters>
  <Application>Microsoft Office Word</Application>
  <DocSecurity>0</DocSecurity>
  <Lines>312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19793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ESCARTI CASTELL Immaculada (EEAS)</dc:creator>
  <cp:lastModifiedBy>DIGIT/A3</cp:lastModifiedBy>
  <cp:revision>7</cp:revision>
  <dcterms:created xsi:type="dcterms:W3CDTF">2018-06-21T13:33:00Z</dcterms:created>
  <dcterms:modified xsi:type="dcterms:W3CDTF">2018-07-06T12:23:00Z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COM/ANNEX/STATUT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SG-053</vt:lpwstr>
  </property>
  <property fmtid="{D5CDD505-2E9C-101B-9397-08002B2CF9AE}" pid="13" name="DQCStatus">
    <vt:lpwstr>Green (DQC version 03)</vt:lpwstr>
  </property>
</Properties>
</file>