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F1E408B-2A92-404A-9FA3-0282D917674C" style="width:451.55pt;height:406.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Основания и цели на предложението</w:t>
      </w:r>
    </w:p>
    <w:p>
      <w:pPr>
        <w:spacing w:after="0"/>
        <w:rPr>
          <w:noProof/>
        </w:rPr>
      </w:pPr>
      <w:r>
        <w:rPr>
          <w:noProof/>
        </w:rPr>
        <w:t>Преразгледаната европейска политика за съседство (ЕПС)</w:t>
      </w:r>
      <w:r>
        <w:rPr>
          <w:rStyle w:val="FootnoteReference"/>
          <w:noProof/>
        </w:rPr>
        <w:footnoteReference w:id="1"/>
      </w:r>
      <w:r>
        <w:rPr>
          <w:noProof/>
        </w:rPr>
        <w:t>, приета през ноември 2015 г., предвижда нова рамка за определяне на двустранните отношения с държавите партньори. В случая на Тунис този нов подход намира израз в документа „Консолидиране на привилегированото партньорство ЕС—Тунис: стратегически приоритети за периода 2018—2020 г.“, който представлява основен отправен елемент за договаряне на ограничен набор от целенасочени политически приоритети за периода 2018—2020 г.</w:t>
      </w:r>
    </w:p>
    <w:p>
      <w:pPr>
        <w:spacing w:after="0"/>
        <w:rPr>
          <w:noProof/>
          <w:szCs w:val="24"/>
        </w:rPr>
      </w:pPr>
      <w:r>
        <w:rPr>
          <w:noProof/>
        </w:rPr>
        <w:t>Консултациите с Република Тунис започнаха през октомври 2017 г.  Този подход е в унисон с новата Глобална стратегия за външната политика и политиката на сигурност на Европейския съюз</w:t>
      </w:r>
      <w:r>
        <w:rPr>
          <w:rStyle w:val="FootnoteReference"/>
          <w:noProof/>
        </w:rPr>
        <w:footnoteReference w:id="2"/>
      </w:r>
      <w:r>
        <w:rPr>
          <w:noProof/>
        </w:rPr>
        <w:t>, която беше представена през юни 2016 г. от върховния представител.</w:t>
      </w:r>
    </w:p>
    <w:p>
      <w:pPr>
        <w:spacing w:after="0"/>
        <w:rPr>
          <w:noProof/>
          <w:szCs w:val="24"/>
          <w:highlight w:val="yellow"/>
        </w:rPr>
      </w:pPr>
      <w:r>
        <w:rPr>
          <w:noProof/>
        </w:rPr>
        <w:t>ЕС и Тунис се договориха да работят съвместно за подготвянето на документ, в който се определят „стратегическите приоритети“ за консолидиране на привилегированото партньорство. Това партньорство свидетелства за уникалността и динамиката на двустранните отношения между Тунис и ЕС. Целта на тези стратегически приоритети е да се потвърди тази уникалност и да се отрази споделената амбиция за задълбочаване на двустранните отношения във всички области и да се постигне напредък към все по-тясно прикрепване на Тунис към европейското пространство. Приоритетите се основават на петгодишния план за развитие на Тунис 2016—2020 г. и на съвместното съобщение на върховния представител и на Комисията „Засилване на подкрепата на ЕС за Тунис“ от 29 септември 2016 г. Този документ ще бъде също и отправната точка при изпълнението на програмирането на финансовото сътрудничество на ЕС — единната рамка за подкрепа от ЕС за Тунис, приета от Комисията на 18 август 2017 г. (документ C.2017 – 5637 – 1).</w:t>
      </w:r>
    </w:p>
    <w:p>
      <w:pPr>
        <w:spacing w:after="0"/>
        <w:rPr>
          <w:noProof/>
        </w:rPr>
      </w:pPr>
      <w:r>
        <w:rPr>
          <w:noProof/>
        </w:rPr>
        <w:t>Със „стратегическите приоритети“ се дава конкретен израз на привилегированото партньорство за периода 2018—2020 г. и те представляват основните ориентири за разработването на амбициозен модел за бъдещето на отношенията ЕС—Тунис след 2020 г. В същината на тези приоритети е създаването на перспективи за бъдещето за младите хора. В документа се поставя акцент върху ускоряването на социално-икономическите реформи, включително чрез подобряване на бизнес средата, както и сключването на задълбочено и всеобхватно споразумение за свободна търговия (ЗВССТ). Демократичният преход и доброто управление съставляват другия основен стълб при изпълнението на споразумението за асоцииране ЕС—Тунис. Двете страни се ангажират също така да засилят в предстоящите години сътрудничеството си в области като сигурността и борбата срещу тероризма, както и по отношение на миграцията и мобилността. Обвързването с ЕС се превърна за Тунис в стратегически избор и развитието на успешна и стабилна демокрация в Тунис е от взаимен стратегически интерес за двамата партньори.</w:t>
      </w:r>
    </w:p>
    <w:p>
      <w:pPr>
        <w:spacing w:after="0"/>
        <w:rPr>
          <w:noProof/>
        </w:rPr>
      </w:pPr>
      <w:r>
        <w:rPr>
          <w:noProof/>
        </w:rPr>
        <w:lastRenderedPageBreak/>
        <w:t xml:space="preserve">Партньорството ЕС—Тунис е съществен елемент от отношенията, тъй като темата за младите хора е хоризонтален въпрос. </w:t>
      </w:r>
    </w:p>
    <w:p>
      <w:pPr>
        <w:spacing w:after="0"/>
        <w:rPr>
          <w:noProof/>
          <w:szCs w:val="24"/>
        </w:rPr>
      </w:pPr>
      <w:r>
        <w:rPr>
          <w:noProof/>
        </w:rPr>
        <w:t>Стратегическите приоритети, идентифицирани в отношенията между ЕС и Тунис за периода 2018—2020 г., са следните:</w:t>
      </w:r>
    </w:p>
    <w:p>
      <w:pPr>
        <w:pStyle w:val="Point0number"/>
        <w:numPr>
          <w:ilvl w:val="0"/>
          <w:numId w:val="1"/>
        </w:numPr>
        <w:rPr>
          <w:noProof/>
        </w:rPr>
      </w:pPr>
      <w:r>
        <w:rPr>
          <w:noProof/>
        </w:rPr>
        <w:t>приобщаващо и устойчиво социално-икономическо развитие;</w:t>
      </w:r>
    </w:p>
    <w:p>
      <w:pPr>
        <w:pStyle w:val="Point0number"/>
        <w:numPr>
          <w:ilvl w:val="0"/>
          <w:numId w:val="1"/>
        </w:numPr>
        <w:rPr>
          <w:noProof/>
        </w:rPr>
      </w:pPr>
      <w:r>
        <w:rPr>
          <w:noProof/>
        </w:rPr>
        <w:t>демокрация, добро управление и права на човека;</w:t>
      </w:r>
    </w:p>
    <w:p>
      <w:pPr>
        <w:pStyle w:val="Point0number"/>
        <w:numPr>
          <w:ilvl w:val="0"/>
          <w:numId w:val="1"/>
        </w:numPr>
        <w:rPr>
          <w:noProof/>
        </w:rPr>
      </w:pPr>
      <w:r>
        <w:rPr>
          <w:noProof/>
        </w:rPr>
        <w:t>сближаване на народите, мобилност и миграция;</w:t>
      </w:r>
    </w:p>
    <w:p>
      <w:pPr>
        <w:pStyle w:val="Point0number"/>
        <w:numPr>
          <w:ilvl w:val="0"/>
          <w:numId w:val="1"/>
        </w:numPr>
        <w:rPr>
          <w:noProof/>
        </w:rPr>
      </w:pPr>
      <w:r>
        <w:rPr>
          <w:noProof/>
        </w:rPr>
        <w:t>сигурност и борба с тероризма.</w:t>
      </w:r>
    </w:p>
    <w:p>
      <w:pPr>
        <w:pStyle w:val="Text1"/>
        <w:rPr>
          <w:noProof/>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Стратегическите приоритети на отношенията ЕС—Тунис са първата двустранна рамка, одобрена в контекста на новата ЕПС, и са съгласувани с приоритетите и условията, определени в тази политика, а именно стабилизиране на държавите в съседство от политическа и икономическа гледна точка и от гледна точка на сигурността. Те са съобразени със Споразумението за асоцииране между ЕС и Тунис, което влезе в сила на 1 март 1998 г.</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Съответствие с другите политики на Съюза</w:t>
      </w:r>
    </w:p>
    <w:p>
      <w:pPr>
        <w:pBdr>
          <w:top w:val="nil"/>
          <w:left w:val="nil"/>
          <w:bottom w:val="nil"/>
          <w:right w:val="nil"/>
          <w:between w:val="nil"/>
          <w:bar w:val="nil"/>
        </w:pBdr>
        <w:spacing w:before="0" w:after="240"/>
        <w:rPr>
          <w:rFonts w:eastAsia="Arial Unicode MS"/>
          <w:noProof/>
        </w:rPr>
      </w:pPr>
      <w:r>
        <w:rPr>
          <w:noProof/>
        </w:rPr>
        <w:t>Стратегическите приоритети на отношенията ЕС—Тунис са отражение на дългогодишния ангажимент на ЕС към неговите средиземноморски партньори. Те също така са в съответствие с глобалната стратегия на ЕС, в която се призовава за интегриран подход към управлението на кризи, като се обединяват политиките на ЕС по отношение на хуманитарната помощ, управлението на рисковете от бедствия, по отношение на развитието, миграцията, търговията, инвестициите, инфраструктурата, образованието, здравеопазването и научните изследвания. В документа се вземат предвид по-конкретно насърчаването на правата на човека и доброто управление, устойчивото управление на природните ресурси, външното измерение на политиките на ЕС в областта на миграцията, повишеното внимание към международното сътрудничество за противодействие на тероризма и насилническия екстремизъм, както и предлаганите от търговията възможности за създаване на справедлив растеж и достойни работни места.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Правното основание на настоящото предложение е член 218, параграф 9 от Договора за функционирането на Европейския съюз (ДФЕС). Става дума за съвместно предложение за решение на Съвета на Европейския съюз относно позицията на Съюза в Съвета за асоцииране, създаден по силата на Евро-средиземноморското споразумение за асоцииране между Европейските общности и техните държави членки, от една страна, и Република Тунис, от друга страна, по отношение на приемането на препоръка относно стратегическите приоритети на привилегированото партньорство ЕС—Тунис.</w:t>
      </w:r>
    </w:p>
    <w:p>
      <w:pPr>
        <w:pBdr>
          <w:top w:val="nil"/>
          <w:left w:val="nil"/>
          <w:bottom w:val="nil"/>
          <w:right w:val="nil"/>
          <w:between w:val="nil"/>
          <w:bar w:val="nil"/>
        </w:pBdr>
        <w:spacing w:before="0" w:after="240"/>
        <w:rPr>
          <w:rFonts w:eastAsia="Arial Unicode MS"/>
          <w:noProof/>
        </w:rPr>
      </w:pPr>
      <w:r>
        <w:rPr>
          <w:noProof/>
        </w:rPr>
        <w:t xml:space="preserve">Предвижда се приоритетите за партньорство да бъдат приети на заседанието на Съвета за асоцииране между ЕС и Тунис на 15 май 2018 г., след приемане от Съвета на ЕС, въз основа на член 218, параграф 9 от ДФЕС, на позицията, която да заеме в Съвета за асоцииране. След като бъдат приети, стратегическите приоритети ще служат като </w:t>
      </w:r>
      <w:r>
        <w:rPr>
          <w:noProof/>
        </w:rPr>
        <w:lastRenderedPageBreak/>
        <w:t>насоки при програмирането на финансовото сътрудничество, предоставено от Съюза в рамките на Европейския инструмент за съседство.</w:t>
      </w:r>
    </w:p>
    <w:p>
      <w:pPr>
        <w:pStyle w:val="ManualHeading2"/>
        <w:rPr>
          <w:rFonts w:eastAsia="Arial Unicode MS"/>
          <w:noProof/>
          <w:u w:color="000000"/>
          <w:bdr w:val="nil"/>
        </w:rPr>
      </w:pPr>
      <w:r>
        <w:rPr>
          <w:noProof/>
        </w:rPr>
        <w:t>•</w:t>
      </w:r>
      <w:r>
        <w:rPr>
          <w:noProof/>
        </w:rPr>
        <w:tab/>
        <w:t>Субсидиарност (при неизключителна компетентност)</w:t>
      </w:r>
    </w:p>
    <w:p>
      <w:pPr>
        <w:pBdr>
          <w:top w:val="nil"/>
          <w:left w:val="nil"/>
          <w:bottom w:val="nil"/>
          <w:right w:val="nil"/>
          <w:between w:val="nil"/>
          <w:bar w:val="nil"/>
        </w:pBdr>
        <w:spacing w:before="0" w:after="240"/>
        <w:rPr>
          <w:rFonts w:eastAsia="Arial Unicode MS"/>
          <w:noProof/>
        </w:rPr>
      </w:pPr>
      <w:r>
        <w:rPr>
          <w:noProof/>
        </w:rPr>
        <w:t>Тъй като стратегическите приоритети се отнасят до отношенията между ЕС и Тунис, тези приоритети не могат да бъдат приети на национално равнище от държавите членки.</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В съответствие с член 218, параграф 9 от ДФЕС се изисква приемането на позиция на Съвета на ЕС с оглед на приемането на стратегическите приоритети от Съвета за асоцииране.</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В заключенията на Съвета от 14 декември 2015 г. относно прегледа на европейската политика за съседство</w:t>
      </w:r>
      <w:r>
        <w:rPr>
          <w:rStyle w:val="FootnoteReference"/>
          <w:noProof/>
        </w:rPr>
        <w:footnoteReference w:id="3"/>
      </w:r>
      <w:r>
        <w:rPr>
          <w:noProof/>
        </w:rPr>
        <w:t xml:space="preserve"> бе потвърдено „намерението през 2016 г. да се постави начало на нов етап на ангажираност с партньорите, което може да доведе до определяне на нови приоритети на партньорството, когато е целесъобразно, с акцент върху договорените приоритети и интереси“.</w:t>
      </w:r>
    </w:p>
    <w:p>
      <w:pPr>
        <w:pBdr>
          <w:top w:val="nil"/>
          <w:left w:val="nil"/>
          <w:bottom w:val="nil"/>
          <w:right w:val="nil"/>
          <w:between w:val="nil"/>
          <w:bar w:val="nil"/>
        </w:pBdr>
        <w:spacing w:before="0" w:after="240"/>
        <w:rPr>
          <w:rFonts w:eastAsia="Arial Unicode MS"/>
          <w:noProof/>
        </w:rPr>
      </w:pPr>
      <w:r>
        <w:rPr>
          <w:noProof/>
        </w:rPr>
        <w:t>Политическите ангажименти са най-подходящият инструмент за напредъка в тази насока; ново обвързващо международно споразумение с Тунис би довело до непропорционална процесуална тежест, като се има предвид периодът от време, който следва да бъде обхванат от стратегическите приоритети. От друга страна, обикновен меморандум за разбирателство не би имал необходимото йерархично нормативно ниво, за да послужи като основа за многогодишно програмиране на помощта, както се изисква в „плановете за действие или други равностойни съвместно договорени документи“, цитирани в член 3, параграф 2 от Регламента за създаване на Европейски инструмент за съседство</w:t>
      </w:r>
      <w:r>
        <w:rPr>
          <w:rStyle w:val="FootnoteReference"/>
          <w:noProof/>
        </w:rPr>
        <w:footnoteReference w:id="4"/>
      </w:r>
      <w:r>
        <w:rPr>
          <w:noProof/>
        </w:rPr>
        <w:t>.</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Консултация със заинтересованите страни</w:t>
      </w:r>
    </w:p>
    <w:p>
      <w:pPr>
        <w:pBdr>
          <w:top w:val="nil"/>
          <w:left w:val="nil"/>
          <w:bottom w:val="nil"/>
          <w:right w:val="nil"/>
          <w:between w:val="nil"/>
          <w:bar w:val="nil"/>
        </w:pBdr>
        <w:spacing w:before="0" w:after="240"/>
        <w:rPr>
          <w:noProof/>
        </w:rPr>
      </w:pPr>
      <w:r>
        <w:rPr>
          <w:noProof/>
        </w:rPr>
        <w:t>Този текст е изготвен в тясно сътрудничество с компетентните служби на Комисията и с представителите на държавите членки в работната група „Машрек и Магреб“ на Съвета, както и след обсъждане с тунизийските партньори.</w:t>
      </w:r>
    </w:p>
    <w:p>
      <w:pPr>
        <w:pBdr>
          <w:top w:val="nil"/>
          <w:left w:val="nil"/>
          <w:bottom w:val="nil"/>
          <w:right w:val="nil"/>
          <w:between w:val="nil"/>
          <w:bar w:val="nil"/>
        </w:pBdr>
        <w:spacing w:before="0" w:after="240"/>
        <w:rPr>
          <w:noProof/>
        </w:rPr>
      </w:pPr>
      <w:r>
        <w:rPr>
          <w:noProof/>
        </w:rPr>
        <w:t xml:space="preserve">Освен проведените в Тунис редовните консултации по тематиката на приоритетите, през март започна провеждането на консултации с гражданското общество в Брюксел и </w:t>
      </w:r>
      <w:r>
        <w:rPr>
          <w:noProof/>
        </w:rPr>
        <w:lastRenderedPageBreak/>
        <w:t>в Тунис. Основното заключение в изразените становища е нуждата да се гарантира непрекъснатата подкрепа от ЕС за осъществявания в Тунис процес на демократичен преход, за насърчаване на доброто управление и на правовата държава, за спазване на правата на човека, както и за засилване на ролята и участието на гражданското общество в процеса на политическо, икономическо и социално развитие, чрез ефективно прилагане на Конституцията на Тунис и на поетите от Тунис международни ангажименти. Гражданското общество потвърди също така значението на това да се работи със и за младите тунизийци, за да се насърчава достъпът до заетост. Всичко това беше взето предвид в текстовете в приложението.</w:t>
      </w:r>
    </w:p>
    <w:p>
      <w:pPr>
        <w:pBdr>
          <w:top w:val="nil"/>
          <w:left w:val="nil"/>
          <w:bottom w:val="nil"/>
          <w:right w:val="nil"/>
          <w:between w:val="nil"/>
          <w:bar w:val="nil"/>
        </w:pBdr>
        <w:spacing w:before="0" w:after="240"/>
        <w:rPr>
          <w:rFonts w:eastAsia="Arial Unicode MS"/>
          <w:noProof/>
        </w:rPr>
      </w:pPr>
      <w:r>
        <w:rPr>
          <w:noProof/>
        </w:rPr>
        <w:t>Тези консултации бяха проведени въз основа на насоките, формулирани в новата европейска политика за съседство.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Необходимият експертен опит по темата беше наличен вътрешно — в Брюксел, където е седалището на европейските институции, или в Тунис — в делегациите на ЕС.</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rPr>
          <w:noProof/>
        </w:rPr>
      </w:pPr>
      <w:r>
        <w:rPr>
          <w:noProof/>
        </w:rPr>
        <w:t>Не се прилага.</w:t>
      </w:r>
    </w:p>
    <w:p>
      <w:pPr>
        <w:pStyle w:val="ManualHeading2"/>
        <w:rPr>
          <w:rFonts w:eastAsia="Arial Unicode MS"/>
          <w:noProof/>
          <w:u w:color="000000"/>
          <w:bdr w:val="nil"/>
        </w:rPr>
      </w:pPr>
      <w:r>
        <w:rPr>
          <w:noProof/>
        </w:rPr>
        <w:t>•</w:t>
      </w:r>
      <w:r>
        <w:rPr>
          <w:noProof/>
        </w:rPr>
        <w:tab/>
        <w:t>Регулаторна пригодност и опростяване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Няма последици за основните права в държавите — членки на Европейския съюз.</w:t>
      </w:r>
    </w:p>
    <w:p>
      <w:pPr>
        <w:pBdr>
          <w:top w:val="nil"/>
          <w:left w:val="nil"/>
          <w:bottom w:val="nil"/>
          <w:right w:val="nil"/>
          <w:between w:val="nil"/>
          <w:bar w:val="nil"/>
        </w:pBdr>
        <w:spacing w:before="0" w:after="240"/>
        <w:rPr>
          <w:rFonts w:eastAsia="Arial Unicode MS"/>
          <w:noProof/>
          <w:szCs w:val="24"/>
        </w:rPr>
      </w:pPr>
      <w:r>
        <w:rPr>
          <w:noProof/>
        </w:rPr>
        <w:t>По отношение на основните права в Тунис един от стратегическите приоритети се отнася до укрепването в страната на демокрацията, доброто управление и правата на човека. ЕС и Тунис са установили открит и редовен диалог и тясно сътрудничество по въпроса за основните права. Двете страни ще продължат да засилват сътрудничеството си в тази област и през следващите години.</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Няма допълнително отражение върху бюджета извън вече предвиденото в предишните международни ангажименти на ЕС. Отражението върху бюджета се определя в единната рамка за подкрепа по Европейския инструмент за съседство (ЕИС) за периода 2017—2020 г.</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noProof/>
        </w:rPr>
      </w:pPr>
      <w:r>
        <w:rPr>
          <w:noProof/>
        </w:rPr>
        <w:t>Изпълнението на стратегическите приоритети на отношенията ЕС—Тунис ще подлежи на редовно наблюдение. Двете страни ще определят звена за контакт в съответните служби, за да се гарантира ефективното и взаимно изгодно изпълнение на приоритетите.</w:t>
      </w:r>
      <w:r>
        <w:rPr>
          <w:rFonts w:asciiTheme="minorBidi" w:hAnsiTheme="minorBidi"/>
          <w:noProof/>
        </w:rPr>
        <w:t xml:space="preserve"> </w:t>
      </w:r>
      <w:r>
        <w:rPr>
          <w:noProof/>
        </w:rPr>
        <w:t>За наблюдението ще допринесат и заседанията, свързани с двустранното сътрудничество между ЕС и Тунис, съгласно споразумението за асоцииране, по-конкретно на секторно равнище.</w:t>
      </w:r>
    </w:p>
    <w:p>
      <w:pPr>
        <w:pStyle w:val="ManualHeading1"/>
        <w:rPr>
          <w:noProof/>
        </w:rPr>
      </w:pPr>
      <w:r>
        <w:rPr>
          <w:noProof/>
        </w:rPr>
        <w:lastRenderedPageBreak/>
        <w:t xml:space="preserve">6. </w:t>
      </w:r>
      <w:r>
        <w:rPr>
          <w:noProof/>
        </w:rPr>
        <w:tab/>
        <w:t>РЕФЕРЕНТНИ ДОКУМЕНТИ</w:t>
      </w:r>
    </w:p>
    <w:p>
      <w:pPr>
        <w:pStyle w:val="Point0"/>
        <w:rPr>
          <w:noProof/>
        </w:rPr>
      </w:pPr>
      <w:r>
        <w:rPr>
          <w:noProof/>
        </w:rPr>
        <w:t>а)</w:t>
      </w:r>
      <w:r>
        <w:rPr>
          <w:noProof/>
        </w:rPr>
        <w:tab/>
        <w:t>Съвместно съобщение до Европейския парламент, Съвета, Европейския икономически и социален комитет и Комитета на регионите „Преглед на европейската политика за съседство“ (JOIN(2015) 50 final от 18.11.2015 г.); общо писмено становище на арабските страни от ЕПС, представено в Бейрут на 24 юни 2015 г. по време на Министерската конференция относно прегледа на европейската политика за съседство; заключения на Съвета от 14 декември 2015 г. относно прегледа на европейската политика за съседство.</w:t>
      </w:r>
    </w:p>
    <w:p>
      <w:pPr>
        <w:pStyle w:val="Point0"/>
        <w:rPr>
          <w:noProof/>
        </w:rPr>
      </w:pPr>
      <w:r>
        <w:rPr>
          <w:noProof/>
        </w:rPr>
        <w:t>б)</w:t>
      </w:r>
      <w:r>
        <w:rPr>
          <w:noProof/>
        </w:rPr>
        <w:tab/>
        <w:t>Регламент (ЕС) № 232/2014 на Европейския парламент и на Съвета от 11 март 2014 г. за създаване на Европейски инструмент за съседство (ОВ L 77, 15.3.2014 г.).</w:t>
      </w:r>
    </w:p>
    <w:p>
      <w:pPr>
        <w:pStyle w:val="Point0"/>
        <w:rPr>
          <w:noProof/>
        </w:rPr>
      </w:pPr>
      <w:r>
        <w:rPr>
          <w:noProof/>
        </w:rPr>
        <w:t>в)</w:t>
      </w:r>
      <w:r>
        <w:rPr>
          <w:noProof/>
        </w:rPr>
        <w:tab/>
        <w:t>Евро–средиземноморско споразумение за асоцииране между Европейските общности и техните държави членки, от една страна, и Република Тунис, от друга страна (ОВ L 097, 30.3.1998 г.).</w:t>
      </w:r>
    </w:p>
    <w:p>
      <w:pPr>
        <w:pStyle w:val="Point0"/>
        <w:rPr>
          <w:noProof/>
        </w:rPr>
        <w:sectPr>
          <w:footerReference w:type="default" r:id="rId16"/>
          <w:footerReference w:type="first" r:id="rId17"/>
          <w:pgSz w:w="11907" w:h="16839"/>
          <w:pgMar w:top="1134" w:right="1417" w:bottom="1134" w:left="1417" w:header="709" w:footer="709" w:gutter="0"/>
          <w:cols w:space="708"/>
          <w:docGrid w:linePitch="360"/>
        </w:sectPr>
      </w:pPr>
      <w:r>
        <w:rPr>
          <w:noProof/>
        </w:rPr>
        <w:t>г)</w:t>
      </w:r>
      <w:r>
        <w:rPr>
          <w:noProof/>
        </w:rPr>
        <w:tab/>
        <w:t>Съвместно съобщение до Европейския парламент и Съвета „Засилване на подкрепата на ЕС за Тунис“ (JOIN(2016) 47 final от 29.9.2016 г.); заключения на Съвета от 17 октомври 2016 г. относно Тунис, референтен документ 13056/16.</w:t>
      </w:r>
    </w:p>
    <w:p>
      <w:pPr>
        <w:pStyle w:val="Rfrenceinterinstitutionnelle"/>
        <w:rPr>
          <w:noProof/>
        </w:rPr>
      </w:pPr>
      <w:r>
        <w:rPr>
          <w:noProof/>
        </w:rPr>
        <w:lastRenderedPageBreak/>
        <w:t>2018/0120 (NLE)</w:t>
      </w:r>
    </w:p>
    <w:p>
      <w:pPr>
        <w:pStyle w:val="Statut"/>
        <w:rPr>
          <w:noProof/>
        </w:rPr>
      </w:pPr>
      <w:r>
        <w:rPr>
          <w:noProof/>
        </w:rPr>
        <w:t>Съвместно предложение за</w:t>
      </w:r>
    </w:p>
    <w:p>
      <w:pPr>
        <w:pStyle w:val="Typedudocument"/>
        <w:rPr>
          <w:noProof/>
        </w:rPr>
      </w:pPr>
      <w:r>
        <w:rPr>
          <w:noProof/>
        </w:rPr>
        <w:t>РЕШЕНИЕ НА СЪВЕТА</w:t>
      </w:r>
    </w:p>
    <w:p>
      <w:pPr>
        <w:pStyle w:val="Titreobjet"/>
        <w:rPr>
          <w:noProof/>
        </w:rPr>
      </w:pPr>
      <w:r>
        <w:rPr>
          <w:noProof/>
        </w:rPr>
        <w:t>относно позицията на Съюза в Съвета за асоцииране, създаден по силата на Евро-средиземноморското споразумение за асоцииране между Европейската общност и нейните държави членки, от една страна, и Република Тунис, от друга страна, по отношение на приемането на документа:</w:t>
      </w:r>
      <w:r>
        <w:rPr>
          <w:noProof/>
        </w:rPr>
        <w:br/>
        <w:t>„Консолидиране на привилегированото партньорство ЕС—Тунис:</w:t>
      </w:r>
      <w:r>
        <w:rPr>
          <w:noProof/>
        </w:rPr>
        <w:br/>
        <w:t>стратегически приоритети за периода 2018—2020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217 във връзка с член 218, параграф 9 от него,</w:t>
      </w:r>
    </w:p>
    <w:p>
      <w:pPr>
        <w:rPr>
          <w:noProof/>
        </w:rPr>
      </w:pPr>
      <w:r>
        <w:rPr>
          <w:noProof/>
        </w:rPr>
        <w:t>като взе предвид съвместното предложение на върховния представител на Съюза по въпросите на външните работи и политиката на сигурност и на Европейската комисия,</w:t>
      </w:r>
    </w:p>
    <w:p>
      <w:pPr>
        <w:rPr>
          <w:noProof/>
        </w:rPr>
      </w:pPr>
      <w:r>
        <w:rPr>
          <w:noProof/>
        </w:rPr>
        <w:t>като има предвид, че:</w:t>
      </w:r>
    </w:p>
    <w:p>
      <w:pPr>
        <w:pStyle w:val="ManualConsidrant"/>
        <w:rPr>
          <w:noProof/>
        </w:rPr>
      </w:pPr>
      <w:r>
        <w:t>(1)</w:t>
      </w:r>
      <w:r>
        <w:tab/>
      </w:r>
      <w:r>
        <w:rPr>
          <w:noProof/>
        </w:rPr>
        <w:t>Евро-средиземноморското споразумение за асоцииране между Европейската общност и нейните държави членки, от една страна, и Република Тунис, от друга страна, беше подписано на 17 юли 1995 г. и влезе в сила на 1 март 1998 г.</w:t>
      </w:r>
      <w:r>
        <w:rPr>
          <w:rStyle w:val="FootnoteReference"/>
          <w:noProof/>
        </w:rPr>
        <w:footnoteReference w:id="5"/>
      </w:r>
    </w:p>
    <w:p>
      <w:pPr>
        <w:pStyle w:val="ManualConsidrant"/>
        <w:rPr>
          <w:noProof/>
        </w:rPr>
      </w:pPr>
      <w:r>
        <w:t>(2)</w:t>
      </w:r>
      <w:r>
        <w:tab/>
      </w:r>
      <w:r>
        <w:rPr>
          <w:noProof/>
        </w:rPr>
        <w:t>Съвместното съобщение на върховния представител на Съюза по въпросите на външните работи и политиката на сигурност и на Европейската комисия от 18 ноември 2015 г. относно прегледа на европейската политика за съседство</w:t>
      </w:r>
      <w:r>
        <w:rPr>
          <w:rStyle w:val="FootnoteReference"/>
          <w:noProof/>
        </w:rPr>
        <w:footnoteReference w:id="6"/>
      </w:r>
      <w:r>
        <w:rPr>
          <w:noProof/>
        </w:rPr>
        <w:t xml:space="preserve"> беше приветствано в заключенията на Съвета от 14 декември 2015 г. В тези заключения Съветът по-конкретно потвърди намерението си през 2016 г. да постави началото на нов етап на ангажираност с партньорите, което може да доведе до определяне на нови приоритети на партньорството, когато е целесъобразно, с акцент върху взаимно договорени приоритети и интереси.</w:t>
      </w:r>
    </w:p>
    <w:p>
      <w:pPr>
        <w:pStyle w:val="ManualConsidrant"/>
        <w:rPr>
          <w:noProof/>
        </w:rPr>
      </w:pPr>
      <w:r>
        <w:t>(3)</w:t>
      </w:r>
      <w:r>
        <w:tab/>
      </w:r>
      <w:r>
        <w:rPr>
          <w:noProof/>
        </w:rPr>
        <w:t>Съвместното съобщение на върховния представител на Съюза по въпросите на външните работи и политиката на сигурност и на Европейската комисия от 29 септември 2016 г. относно засилване на подкрепата на ЕС за Тунис</w:t>
      </w:r>
      <w:r>
        <w:rPr>
          <w:rStyle w:val="FootnoteReference"/>
          <w:noProof/>
        </w:rPr>
        <w:footnoteReference w:id="7"/>
      </w:r>
      <w:r>
        <w:rPr>
          <w:noProof/>
        </w:rPr>
        <w:t xml:space="preserve"> беше приветствано в заключенията на Съвета от 17 октомври 2016 г. В него Съветът подновява ангажимента си за подпомагане на прехода в Тунис, подчертава изключителния характер на положението в Тунис и стратегическия интерес на ЕС да подкрепи създаването на демократичен Тунис, силен и стабилен сред </w:t>
      </w:r>
      <w:r>
        <w:rPr>
          <w:noProof/>
        </w:rPr>
        <w:lastRenderedPageBreak/>
        <w:t>съседните си държави, както и необходимостта политическият напредък да бъде придружен от същия по размах икономически напредък, и насърчава за тази цел мобилизирането на всички налични механизми на ЕС, както и засиления ангажимент на ЕС и на неговите държави членки, в тясно сътрудничество с тунизийските власти.</w:t>
      </w:r>
    </w:p>
    <w:p>
      <w:pPr>
        <w:pStyle w:val="ManualConsidrant"/>
        <w:rPr>
          <w:noProof/>
          <w:szCs w:val="24"/>
        </w:rPr>
      </w:pPr>
      <w:r>
        <w:t>(4)</w:t>
      </w:r>
      <w:r>
        <w:tab/>
      </w:r>
      <w:r>
        <w:rPr>
          <w:noProof/>
        </w:rPr>
        <w:t>ЕС и Тунис трябва да си сътрудничат за постигане на общата си цел, определена в рамките на стратегическите приоритети. Развитието на успешна и стабилна демокрация в Тунис е от взаимен стратегически интерес.</w:t>
      </w:r>
    </w:p>
    <w:p>
      <w:pPr>
        <w:pStyle w:val="ManualConsidrant"/>
        <w:rPr>
          <w:noProof/>
        </w:rPr>
      </w:pPr>
      <w:r>
        <w:t>(5)</w:t>
      </w:r>
      <w:r>
        <w:tab/>
      </w:r>
      <w:r>
        <w:rPr>
          <w:noProof/>
        </w:rPr>
        <w:t>Докато решават най-неотложните проблеми, ЕС и Тунис продължават да следват основните цели на дългосрочното си партньорство и да работят по-специално за създаването на перспективи за бъдещето за младите хора, за ускоряване на социално-икономическите реформи, както и за продължаване и засилване на процеса на демократичен преход,</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да се заеме от Съюза в Съвета за асоцииране, създаден по силата на Евро-средиземноморското споразумение за асоцииране между Европейската общност и нейните държави членки, от една страна, и Република Тунис, от друга страна, по отношение на приемането на документа: „Консолидиране на привилегированото партньорство ЕС—Тунис: стратегически приоритети за периода 2018—2020 г.“, се основава на приложения към настоящото решение текст.</w:t>
      </w:r>
    </w:p>
    <w:p>
      <w:pPr>
        <w:pStyle w:val="Titrearticle"/>
        <w:rPr>
          <w:noProof/>
        </w:rPr>
      </w:pPr>
      <w:r>
        <w:rPr>
          <w:noProof/>
        </w:rPr>
        <w:t>Член 2</w:t>
      </w:r>
    </w:p>
    <w:p>
      <w:pPr>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 xml:space="preserve">Заключения на Съвета от 14 декември 2015 г. относно прегледа на европейската политика за съседство; съобщение на Съвета за медиите № 926/15. </w:t>
      </w:r>
    </w:p>
    <w:p>
      <w:pPr>
        <w:pStyle w:val="FootnoteText"/>
        <w:rPr>
          <w:sz w:val="4"/>
          <w:szCs w:val="4"/>
          <w:lang w:val="ru-RU"/>
        </w:rPr>
      </w:pPr>
    </w:p>
  </w:footnote>
  <w:footnote w:id="2">
    <w:p>
      <w:pPr>
        <w:pStyle w:val="FootnoteText"/>
        <w:rPr>
          <w:lang w:val="ru-RU"/>
        </w:rPr>
      </w:pPr>
      <w:r>
        <w:rPr>
          <w:rStyle w:val="FootnoteReference"/>
        </w:rPr>
        <w:footnoteRef/>
      </w:r>
      <w:r>
        <w:tab/>
        <w:t>„Обща визия, общи действия: по-силна Европа. Глобална стратегия за външната политика и политиката на сигурност на Европейския съюз“.</w:t>
      </w:r>
    </w:p>
  </w:footnote>
  <w:footnote w:id="3">
    <w:p>
      <w:pPr>
        <w:pStyle w:val="FootnoteText"/>
        <w:rPr>
          <w:lang w:val="ru-RU"/>
        </w:rPr>
      </w:pPr>
      <w:r>
        <w:rPr>
          <w:rStyle w:val="FootnoteReference"/>
        </w:rPr>
        <w:footnoteRef/>
      </w:r>
      <w:r>
        <w:tab/>
        <w:t>Заключения на Съвета от 14 декември 2015 г. относно прегледа на европейската политика за съседство; съобщение на Съвета за медиите № 926/15.</w:t>
      </w:r>
    </w:p>
    <w:p>
      <w:pPr>
        <w:pStyle w:val="FootnoteText"/>
        <w:rPr>
          <w:sz w:val="10"/>
          <w:szCs w:val="10"/>
          <w:lang w:val="ru-RU"/>
        </w:rPr>
      </w:pPr>
    </w:p>
  </w:footnote>
  <w:footnote w:id="4">
    <w:p>
      <w:pPr>
        <w:pStyle w:val="FootnoteText"/>
        <w:rPr>
          <w:lang w:val="ru-RU"/>
        </w:rPr>
      </w:pPr>
      <w:r>
        <w:rPr>
          <w:rStyle w:val="FootnoteReference"/>
        </w:rPr>
        <w:footnoteRef/>
      </w:r>
      <w:r>
        <w:tab/>
        <w:t>Регламент (ЕС) № 232/2014 на Европейския парламент и на Съвета от 11 март 2014 г. за създаване на Европейски инструмент за съседство (ОВ L 77, 15.3.2014 г. стр. 27).</w:t>
      </w:r>
    </w:p>
  </w:footnote>
  <w:footnote w:id="5">
    <w:p>
      <w:pPr>
        <w:pStyle w:val="FootnoteText"/>
        <w:rPr>
          <w:lang w:val="ru-RU"/>
        </w:rPr>
      </w:pPr>
      <w:r>
        <w:rPr>
          <w:rStyle w:val="FootnoteReference"/>
        </w:rPr>
        <w:footnoteRef/>
      </w:r>
      <w:r>
        <w:tab/>
        <w:t>Евро–средиземноморско споразумение за асоцииране между Европейската общност и нейните държави членки, от една страна, и Република Тунис, от друга страна (ОВ L ...).</w:t>
      </w:r>
    </w:p>
    <w:p>
      <w:pPr>
        <w:pStyle w:val="FootnoteText"/>
        <w:rPr>
          <w:lang w:val="ru-RU"/>
        </w:rPr>
      </w:pPr>
    </w:p>
  </w:footnote>
  <w:footnote w:id="6">
    <w:p>
      <w:pPr>
        <w:pStyle w:val="FootnoteText"/>
        <w:rPr>
          <w:lang w:val="ru-RU"/>
        </w:rPr>
      </w:pPr>
      <w:r>
        <w:rPr>
          <w:rStyle w:val="FootnoteReference"/>
        </w:rPr>
        <w:footnoteRef/>
      </w:r>
      <w:r>
        <w:tab/>
        <w:t>Съвместно съобщение до Европейския парламент, Съвета, Европейския икономически и социален комитет и Комитета на регионите „Преглед на европейската политика за съседство“ (JOIN(2015) 50 final).</w:t>
      </w:r>
    </w:p>
  </w:footnote>
  <w:footnote w:id="7">
    <w:p>
      <w:pPr>
        <w:pStyle w:val="FootnoteText"/>
        <w:rPr>
          <w:lang w:val="ru-RU"/>
        </w:rPr>
      </w:pPr>
      <w:r>
        <w:rPr>
          <w:rStyle w:val="FootnoteReference"/>
        </w:rPr>
        <w:footnoteRef/>
      </w:r>
      <w:r>
        <w:tab/>
        <w:t>Съвместно съобщение до Европейския парламент, Съвета, Европейския икономически и социален комитет и Комитета на регионите „Преглед на европейската политика за съседство“ (JOIN(2015) 50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3ABB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AA83D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700C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1FE9E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D4F3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AEE0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5C8BFE"/>
    <w:lvl w:ilvl="0">
      <w:start w:val="1"/>
      <w:numFmt w:val="decimal"/>
      <w:pStyle w:val="ListNumber"/>
      <w:lvlText w:val="%1."/>
      <w:lvlJc w:val="left"/>
      <w:pPr>
        <w:tabs>
          <w:tab w:val="num" w:pos="360"/>
        </w:tabs>
        <w:ind w:left="360" w:hanging="360"/>
      </w:pPr>
    </w:lvl>
  </w:abstractNum>
  <w:abstractNum w:abstractNumId="7">
    <w:nsid w:val="FFFFFF89"/>
    <w:multiLevelType w:val="singleLevel"/>
    <w:tmpl w:val="9D88F0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6 14:21:1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F1E408B-2A92-404A-9FA3-0282D917674C"/>
    <w:docVar w:name="LW_COVERPAGE_TYPE" w:val="1"/>
    <w:docVar w:name="LW_CROSSREFERENCE" w:val="&lt;UNUSED&gt;"/>
    <w:docVar w:name="LW_DocType" w:val="COM"/>
    <w:docVar w:name="LW_EMISSION" w:val="2.5.2018"/>
    <w:docVar w:name="LW_EMISSION_ISODATE" w:val="2018-05-02"/>
    <w:docVar w:name="LW_EMISSION_LOCATION" w:val="BRX"/>
    <w:docVar w:name="LW_EMISSION_PREFIX" w:val="Брюксел, "/>
    <w:docVar w:name="LW_EMISSION_SUFFIX" w:val="&lt;EMPTY&gt;"/>
    <w:docVar w:name="LW_ID_DOCMODEL" w:val="SG-064"/>
    <w:docVar w:name="LW_ID_DOCSIGNATURE" w:val="SJ-019"/>
    <w:docVar w:name="LW_ID_DOCSTRUCTURE" w:val="COM/PL/ORG"/>
    <w:docVar w:name="LW_ID_DOCTYPE" w:val="SG-064"/>
    <w:docVar w:name="LW_ID_EXP.MOTIFS.NEW" w:val="EM_PL_"/>
    <w:docVar w:name="LW_ID_STATUT" w:val="SG-064"/>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I.NEW.CP" w:val="NLE"/>
    <w:docVar w:name="LW_REF.II.NEW.CP_NUMBER" w:val="0120"/>
    <w:docVar w:name="LW_REF.II.NEW.CP_YEAR" w:val="2018"/>
    <w:docVar w:name="LW_REF.INST.NEW" w:val="JOIN"/>
    <w:docVar w:name="LW_REF.INST.NEW_ADOPTED" w:val="final"/>
    <w:docVar w:name="LW_REF.INST.NEW_TEXT" w:val="(2018) 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7?\u1098?\u1074?\u1084?\u1077?\u1089?\u1090?\u1085?\u1086? \u1087?\u1088?\u1077?\u1076?\u1083?\u1086?\u1078?\u1077?\u1085?\u1080?\u1077? \u1079?\u1072?"/>
    <w:docVar w:name="LW_SUPERTITRE" w:val="&lt;UNUSED&gt;"/>
    <w:docVar w:name="LW_TITRE.OBJ.CP" w:val="\u1086?\u1090?\u1085?\u1086?\u1089?\u1085?\u1086? \u1087?\u1086?\u1079?\u1080?\u1094?\u1080?\u1103?\u1090?\u1072? \u1085?\u1072? \u1057?\u1098?\u1102?\u1079?\u1072? \u1074? \u1057?\u1098?\u1074?\u1077?\u1090?\u1072? \u1079?\u1072? \u1072?\u1089?\u1086?\u1094?\u1080?\u1080?\u1088?\u1072?\u1085?\u1077?, \u1089?\u1098?\u1079?\u1076?\u1072?\u1076?\u1077?\u1085? \u1087?\u1086? \u1089?\u1080?\u1083?\u1072?\u1090?\u1072? \u1085?\u1072? \u1045?\u1074?\u1088?\u1086?-\u1089?\u1088?\u1077?\u1076?\u1080?\u1079?\u1077?\u1084?\u1085?\u1086?\u1084?\u1086?\u1088?\u1089?\u1082?\u1086?\u1090?\u1086? \u1089?\u1087?\u1086?\u1088?\u1072?\u1079?\u1091?\u1084?\u1077?\u1085?\u1080?\u1077? \u1079?\u1072? \u1072?\u1089?\u1086?\u1094?\u1080?\u1080?\u1088?\u1072?\u1085?\u1077? \u1084?\u1077?\u1078?\u1076?\u1091? \u1045?\u1074?\u1088?\u1086?\u1087?\u1077?\u1081?\u1089?\u1082?\u1072?\u1090?\u1072? \u1086?\u1073?\u1097?\u1085?\u1086?\u1089?\u1090? \u1080? \u1085?\u1077?\u1081?\u1085?\u1080?\u1090?\u1077? \u1076?\u1098?\u1088?\u1078?\u1072?\u1074?\u1080? \u1095?\u1083?\u1077?\u1085?\u1082?\u1080?, \u1086?\u1090? \u1077?\u1076?\u1085?\u1072? \u1089?\u1090?\u1088?\u1072?\u1085?\u1072?, \u1080? \u1056?\u1077?\u1087?\u1091?\u1073?\u1083?\u1080?\u1082?\u1072? \u1058?\u1091?\u1085?\u1080?\u1089?, \u1086?\u1090? \u1076?\u1088?\u1091?\u1075?\u1072? \u1089?\u1090?\u1088?\u1072?\u1085?\u1072?, \u1087?\u1086? \u1086?\u1090?\u1085?\u1086?\u1096?\u1077?\u1085?\u1080?\u1077? \u1085?\u1072? \u1087?\u1088?\u1080?\u1077?\u1084?\u1072?\u1085?\u1077?\u1090?\u1086? \u1085?\u1072? \u1076?\u1086?\u1082?\u1091?\u1084?\u1077?\u1085?\u1090?\u1072?:_x000b_\u8222?\u1050?\u1086?\u1085?\u1089?\u1086?\u1083?\u1080?\u1076?\u1080?\u1088?\u1072?\u1085?\u1077? \u1085?\u1072? \u1087?\u1088?\u1080?\u1074?\u1080?\u1083?\u1077?\u1075?\u1080?\u1088?\u1086?\u1074?\u1072?\u1085?\u1086?\u1090?\u1086? \u1087?\u1072?\u1088?\u1090?\u1085?\u1100?\u1086?\u1088?\u1089?\u1090?\u1074?\u1086? \u1045?\u1057?\u8212?\u1058?\u1091?\u1085?\u1080?\u1089?:_x000b_\u1089?\u1090?\u1088?\u1072?\u1090?\u1077?\u1075?\u1080?\u1095?\u1077?\u1089?\u1082?\u1080? \u1087?\u1088?\u1080?\u1086?\u1088?\u1080?\u1090?\u1077?\u1090?\u1080? \u1079?\u1072? \u1087?\u1077?\u1088?\u1080?\u1086?\u1076?\u1072? 2018\u8212?2020 \u1075?.\u822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B7125-E143-4ECA-A294-FEB82FD9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2154</Words>
  <Characters>12754</Characters>
  <Application>Microsoft Office Word</Application>
  <DocSecurity>0</DocSecurity>
  <Lines>240</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2018-03-15T13:44:00Z</cp:lastPrinted>
  <dcterms:created xsi:type="dcterms:W3CDTF">2018-06-21T13:24:00Z</dcterms:created>
  <dcterms:modified xsi:type="dcterms:W3CDTF">2018-07-06T12:21:00Z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SG-064</vt:lpwstr>
  </property>
  <property fmtid="{D5CDD505-2E9C-101B-9397-08002B2CF9AE}" pid="10" name="DQCStatus">
    <vt:lpwstr>Green (DQC version 03)</vt:lpwstr>
  </property>
</Properties>
</file>