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charts/chart51.xml" ContentType="application/vnd.openxmlformats-officedocument.drawingml.chart+xml"/>
  <Override PartName="/word/theme/themeOverride51.xml" ContentType="application/vnd.openxmlformats-officedocument.themeOverride+xml"/>
  <Override PartName="/word/charts/chart52.xml" ContentType="application/vnd.openxmlformats-officedocument.drawingml.chart+xml"/>
  <Override PartName="/word/theme/themeOverride52.xml" ContentType="application/vnd.openxmlformats-officedocument.themeOverride+xml"/>
  <Override PartName="/word/charts/chart53.xml" ContentType="application/vnd.openxmlformats-officedocument.drawingml.chart+xml"/>
  <Override PartName="/word/theme/themeOverride53.xml" ContentType="application/vnd.openxmlformats-officedocument.themeOverride+xml"/>
  <Override PartName="/word/charts/chart54.xml" ContentType="application/vnd.openxmlformats-officedocument.drawingml.chart+xml"/>
  <Override PartName="/word/theme/themeOverride54.xml" ContentType="application/vnd.openxmlformats-officedocument.themeOverride+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charts/chart55.xml" ContentType="application/vnd.openxmlformats-officedocument.drawingml.chart+xml"/>
  <Override PartName="/word/theme/themeOverride55.xml" ContentType="application/vnd.openxmlformats-officedocument.themeOverride+xml"/>
  <Override PartName="/word/charts/chart56.xml" ContentType="application/vnd.openxmlformats-officedocument.drawingml.chart+xml"/>
  <Override PartName="/word/theme/themeOverride56.xml" ContentType="application/vnd.openxmlformats-officedocument.themeOverride+xml"/>
  <Override PartName="/word/charts/chart57.xml" ContentType="application/vnd.openxmlformats-officedocument.drawingml.chart+xml"/>
  <Override PartName="/word/theme/themeOverride57.xml" ContentType="application/vnd.openxmlformats-officedocument.themeOverride+xml"/>
  <Override PartName="/word/charts/chart58.xml" ContentType="application/vnd.openxmlformats-officedocument.drawingml.chart+xml"/>
  <Override PartName="/word/theme/themeOverride58.xml" ContentType="application/vnd.openxmlformats-officedocument.themeOverride+xml"/>
  <Override PartName="/word/charts/chart59.xml" ContentType="application/vnd.openxmlformats-officedocument.drawingml.chart+xml"/>
  <Override PartName="/word/theme/themeOverride59.xml" ContentType="application/vnd.openxmlformats-officedocument.themeOverride+xml"/>
  <Override PartName="/word/charts/chart60.xml" ContentType="application/vnd.openxmlformats-officedocument.drawingml.chart+xml"/>
  <Override PartName="/word/theme/themeOverride60.xml" ContentType="application/vnd.openxmlformats-officedocument.themeOverride+xml"/>
  <Override PartName="/word/charts/chart61.xml" ContentType="application/vnd.openxmlformats-officedocument.drawingml.chart+xml"/>
  <Override PartName="/word/theme/themeOverride61.xml" ContentType="application/vnd.openxmlformats-officedocument.themeOverride+xml"/>
  <Override PartName="/word/charts/chart62.xml" ContentType="application/vnd.openxmlformats-officedocument.drawingml.chart+xml"/>
  <Override PartName="/word/theme/themeOverride62.xml" ContentType="application/vnd.openxmlformats-officedocument.themeOverride+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charts/chart63.xml" ContentType="application/vnd.openxmlformats-officedocument.drawingml.chart+xml"/>
  <Override PartName="/word/theme/themeOverride63.xml" ContentType="application/vnd.openxmlformats-officedocument.themeOverride+xml"/>
  <Override PartName="/word/charts/chart64.xml" ContentType="application/vnd.openxmlformats-officedocument.drawingml.chart+xml"/>
  <Override PartName="/word/theme/themeOverride64.xml" ContentType="application/vnd.openxmlformats-officedocument.themeOverride+xml"/>
  <Override PartName="/word/charts/chart65.xml" ContentType="application/vnd.openxmlformats-officedocument.drawingml.chart+xml"/>
  <Override PartName="/word/theme/themeOverride65.xml" ContentType="application/vnd.openxmlformats-officedocument.themeOverride+xml"/>
  <Override PartName="/word/drawings/drawing1.xml" ContentType="application/vnd.openxmlformats-officedocument.drawingml.chartshapes+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charts/chart66.xml" ContentType="application/vnd.openxmlformats-officedocument.drawingml.chart+xml"/>
  <Override PartName="/word/theme/themeOverride66.xml" ContentType="application/vnd.openxmlformats-officedocument.themeOverride+xml"/>
  <Override PartName="/word/charts/chart67.xml" ContentType="application/vnd.openxmlformats-officedocument.drawingml.chart+xml"/>
  <Override PartName="/word/theme/themeOverride67.xml" ContentType="application/vnd.openxmlformats-officedocument.themeOverride+xml"/>
  <Override PartName="/word/charts/chart68.xml" ContentType="application/vnd.openxmlformats-officedocument.drawingml.chart+xml"/>
  <Override PartName="/word/theme/themeOverride68.xml" ContentType="application/vnd.openxmlformats-officedocument.themeOverride+xml"/>
  <Override PartName="/word/charts/chart69.xml" ContentType="application/vnd.openxmlformats-officedocument.drawingml.chart+xml"/>
  <Override PartName="/word/theme/themeOverride69.xml" ContentType="application/vnd.openxmlformats-officedocument.themeOverride+xml"/>
  <Override PartName="/word/charts/chart70.xml" ContentType="application/vnd.openxmlformats-officedocument.drawingml.chart+xml"/>
  <Override PartName="/word/theme/themeOverride70.xml" ContentType="application/vnd.openxmlformats-officedocument.themeOverride+xml"/>
  <Override PartName="/word/charts/chart71.xml" ContentType="application/vnd.openxmlformats-officedocument.drawingml.chart+xml"/>
  <Override PartName="/word/theme/themeOverride71.xml" ContentType="application/vnd.openxmlformats-officedocument.themeOverride+xml"/>
  <Override PartName="/word/charts/chart72.xml" ContentType="application/vnd.openxmlformats-officedocument.drawingml.chart+xml"/>
  <Override PartName="/word/theme/themeOverride72.xml" ContentType="application/vnd.openxmlformats-officedocument.themeOverride+xml"/>
  <Override PartName="/word/charts/chart73.xml" ContentType="application/vnd.openxmlformats-officedocument.drawingml.chart+xml"/>
  <Override PartName="/word/theme/themeOverride73.xml" ContentType="application/vnd.openxmlformats-officedocument.themeOverride+xml"/>
  <Override PartName="/word/charts/chart74.xml" ContentType="application/vnd.openxmlformats-officedocument.drawingml.chart+xml"/>
  <Override PartName="/word/theme/themeOverride74.xml" ContentType="application/vnd.openxmlformats-officedocument.themeOverride+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charts/chart75.xml" ContentType="application/vnd.openxmlformats-officedocument.drawingml.chart+xml"/>
  <Override PartName="/word/theme/themeOverride75.xml" ContentType="application/vnd.openxmlformats-officedocument.themeOverride+xml"/>
  <Override PartName="/word/charts/chart76.xml" ContentType="application/vnd.openxmlformats-officedocument.drawingml.chart+xml"/>
  <Override PartName="/word/theme/themeOverride76.xml" ContentType="application/vnd.openxmlformats-officedocument.themeOverride+xml"/>
  <Override PartName="/word/charts/chart77.xml" ContentType="application/vnd.openxmlformats-officedocument.drawingml.chart+xml"/>
  <Override PartName="/word/theme/themeOverride77.xml" ContentType="application/vnd.openxmlformats-officedocument.themeOverride+xml"/>
  <Override PartName="/word/charts/chart78.xml" ContentType="application/vnd.openxmlformats-officedocument.drawingml.chart+xml"/>
  <Override PartName="/word/theme/themeOverride78.xml" ContentType="application/vnd.openxmlformats-officedocument.themeOverride+xml"/>
  <Override PartName="/word/charts/chart79.xml" ContentType="application/vnd.openxmlformats-officedocument.drawingml.chart+xml"/>
  <Override PartName="/word/theme/themeOverride79.xml" ContentType="application/vnd.openxmlformats-officedocument.themeOverride+xml"/>
  <Override PartName="/word/charts/chart80.xml" ContentType="application/vnd.openxmlformats-officedocument.drawingml.chart+xml"/>
  <Override PartName="/word/theme/themeOverride80.xml" ContentType="application/vnd.openxmlformats-officedocument.themeOverride+xml"/>
  <Override PartName="/word/charts/chart81.xml" ContentType="application/vnd.openxmlformats-officedocument.drawingml.chart+xml"/>
  <Override PartName="/word/theme/themeOverride81.xml" ContentType="application/vnd.openxmlformats-officedocument.themeOverride+xml"/>
  <Override PartName="/word/charts/chart82.xml" ContentType="application/vnd.openxmlformats-officedocument.drawingml.chart+xml"/>
  <Override PartName="/word/theme/themeOverride82.xml" ContentType="application/vnd.openxmlformats-officedocument.themeOverride+xml"/>
  <Override PartName="/word/charts/chart83.xml" ContentType="application/vnd.openxmlformats-officedocument.drawingml.chart+xml"/>
  <Override PartName="/word/theme/themeOverride83.xml" ContentType="application/vnd.openxmlformats-officedocument.themeOverride+xml"/>
  <Override PartName="/word/charts/chart84.xml" ContentType="application/vnd.openxmlformats-officedocument.drawingml.chart+xml"/>
  <Override PartName="/word/theme/themeOverride84.xml" ContentType="application/vnd.openxmlformats-officedocument.themeOverride+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charts/chart85.xml" ContentType="application/vnd.openxmlformats-officedocument.drawingml.chart+xml"/>
  <Override PartName="/word/theme/themeOverride85.xml" ContentType="application/vnd.openxmlformats-officedocument.themeOverride+xml"/>
  <Override PartName="/word/charts/chart86.xml" ContentType="application/vnd.openxmlformats-officedocument.drawingml.chart+xml"/>
  <Override PartName="/word/theme/themeOverride86.xml" ContentType="application/vnd.openxmlformats-officedocument.themeOverride+xml"/>
  <Override PartName="/word/charts/chart87.xml" ContentType="application/vnd.openxmlformats-officedocument.drawingml.chart+xml"/>
  <Override PartName="/word/theme/themeOverride87.xml" ContentType="application/vnd.openxmlformats-officedocument.themeOverride+xml"/>
  <Override PartName="/word/charts/chart88.xml" ContentType="application/vnd.openxmlformats-officedocument.drawingml.chart+xml"/>
  <Override PartName="/word/theme/themeOverride88.xml" ContentType="application/vnd.openxmlformats-officedocument.themeOverride+xml"/>
  <Override PartName="/word/charts/chart89.xml" ContentType="application/vnd.openxmlformats-officedocument.drawingml.chart+xml"/>
  <Override PartName="/word/theme/themeOverride89.xml" ContentType="application/vnd.openxmlformats-officedocument.themeOverride+xml"/>
  <Override PartName="/word/charts/chart90.xml" ContentType="application/vnd.openxmlformats-officedocument.drawingml.chart+xml"/>
  <Override PartName="/word/theme/themeOverride90.xml" ContentType="application/vnd.openxmlformats-officedocument.themeOverride+xml"/>
  <Override PartName="/word/charts/chart91.xml" ContentType="application/vnd.openxmlformats-officedocument.drawingml.chart+xml"/>
  <Override PartName="/word/theme/themeOverride91.xml" ContentType="application/vnd.openxmlformats-officedocument.themeOverride+xml"/>
  <Override PartName="/word/charts/chart92.xml" ContentType="application/vnd.openxmlformats-officedocument.drawingml.chart+xml"/>
  <Override PartName="/word/theme/themeOverride92.xml" ContentType="application/vnd.openxmlformats-officedocument.themeOverride+xml"/>
  <Override PartName="/word/charts/chart93.xml" ContentType="application/vnd.openxmlformats-officedocument.drawingml.chart+xml"/>
  <Override PartName="/word/theme/themeOverride93.xml" ContentType="application/vnd.openxmlformats-officedocument.themeOverride+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1F7" w:rsidRDefault="00E24EFF" w:rsidP="00E24EFF">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44CF7CA1-B0B8-443F-A8C7-F0A5EE3ECAE8" style="width:450.75pt;height:403.5pt">
            <v:imagedata r:id="rId8" o:title=""/>
          </v:shape>
        </w:pict>
      </w:r>
    </w:p>
    <w:bookmarkEnd w:id="0"/>
    <w:p w:rsidR="00E201F7" w:rsidRDefault="00E201F7">
      <w:pPr>
        <w:rPr>
          <w:noProof/>
        </w:rPr>
        <w:sectPr w:rsidR="00E201F7" w:rsidSect="00E24EFF">
          <w:headerReference w:type="even" r:id="rId9"/>
          <w:headerReference w:type="default" r:id="rId10"/>
          <w:footerReference w:type="even" r:id="rId11"/>
          <w:footerReference w:type="default" r:id="rId12"/>
          <w:headerReference w:type="first" r:id="rId13"/>
          <w:footerReference w:type="first" r:id="rId14"/>
          <w:footnotePr>
            <w:numRestart w:val="eachSect"/>
          </w:footnotePr>
          <w:pgSz w:w="11907" w:h="16839" w:code="9"/>
          <w:pgMar w:top="1134" w:right="1417" w:bottom="1134" w:left="1417" w:header="709" w:footer="709" w:gutter="0"/>
          <w:pgNumType w:start="1"/>
          <w:cols w:space="720"/>
          <w:docGrid w:linePitch="326"/>
        </w:sectPr>
      </w:pPr>
    </w:p>
    <w:bookmarkStart w:id="1" w:name="_GoBack"/>
    <w:bookmarkEnd w:id="1"/>
    <w:p w:rsidR="00E201F7" w:rsidRDefault="00E24EFF">
      <w:pPr>
        <w:pStyle w:val="TOC1"/>
        <w:rPr>
          <w:rFonts w:ascii="Arial" w:eastAsiaTheme="minorEastAsia" w:hAnsi="Arial" w:cs="Arial"/>
          <w:caps w:val="0"/>
          <w:noProof/>
          <w:sz w:val="20"/>
          <w:szCs w:val="20"/>
        </w:rPr>
      </w:pPr>
      <w:r>
        <w:rPr>
          <w:rFonts w:ascii="Arial" w:hAnsi="Arial" w:cs="Arial"/>
          <w:caps w:val="0"/>
          <w:noProof/>
          <w:sz w:val="20"/>
          <w:szCs w:val="20"/>
        </w:rPr>
        <w:lastRenderedPageBreak/>
        <w:fldChar w:fldCharType="begin"/>
      </w:r>
      <w:r>
        <w:rPr>
          <w:rFonts w:ascii="Arial" w:hAnsi="Arial" w:cs="Arial"/>
          <w:caps w:val="0"/>
          <w:noProof/>
          <w:sz w:val="20"/>
          <w:szCs w:val="20"/>
        </w:rPr>
        <w:instrText xml:space="preserve"> TOC \o "1-1" \h \z \u </w:instrText>
      </w:r>
      <w:r>
        <w:rPr>
          <w:rFonts w:ascii="Arial" w:hAnsi="Arial" w:cs="Arial"/>
          <w:caps w:val="0"/>
          <w:noProof/>
          <w:sz w:val="20"/>
          <w:szCs w:val="20"/>
        </w:rPr>
        <w:fldChar w:fldCharType="separate"/>
      </w:r>
      <w:hyperlink w:anchor="_Toc510016524" w:history="1">
        <w:r>
          <w:rPr>
            <w:rStyle w:val="Hyperlink"/>
            <w:rFonts w:ascii="Arial" w:hAnsi="Arial" w:cs="Arial"/>
            <w:caps w:val="0"/>
            <w:noProof/>
            <w:sz w:val="20"/>
            <w:szCs w:val="20"/>
          </w:rPr>
          <w:t>Agriculture and rural development</w:t>
        </w:r>
        <w:r>
          <w:rPr>
            <w:rFonts w:ascii="Arial" w:hAnsi="Arial" w:cs="Arial"/>
            <w:caps w:val="0"/>
            <w:noProof/>
            <w:webHidden/>
            <w:sz w:val="20"/>
            <w:szCs w:val="20"/>
          </w:rPr>
          <w:tab/>
        </w:r>
        <w:r>
          <w:rPr>
            <w:rFonts w:ascii="Arial" w:hAnsi="Arial" w:cs="Arial"/>
            <w:caps w:val="0"/>
            <w:noProof/>
            <w:webHidden/>
            <w:sz w:val="20"/>
            <w:szCs w:val="20"/>
          </w:rPr>
          <w:fldChar w:fldCharType="begin"/>
        </w:r>
        <w:r>
          <w:rPr>
            <w:rFonts w:ascii="Arial" w:hAnsi="Arial" w:cs="Arial"/>
            <w:caps w:val="0"/>
            <w:noProof/>
            <w:webHidden/>
            <w:sz w:val="20"/>
            <w:szCs w:val="20"/>
          </w:rPr>
          <w:instrText xml:space="preserve"> PAGEREF _Toc510016524 \h </w:instrText>
        </w:r>
        <w:r>
          <w:rPr>
            <w:rFonts w:ascii="Arial" w:hAnsi="Arial" w:cs="Arial"/>
            <w:caps w:val="0"/>
            <w:noProof/>
            <w:webHidden/>
            <w:sz w:val="20"/>
            <w:szCs w:val="20"/>
          </w:rPr>
        </w:r>
        <w:r>
          <w:rPr>
            <w:rFonts w:ascii="Arial" w:hAnsi="Arial" w:cs="Arial"/>
            <w:caps w:val="0"/>
            <w:noProof/>
            <w:webHidden/>
            <w:sz w:val="20"/>
            <w:szCs w:val="20"/>
          </w:rPr>
          <w:fldChar w:fldCharType="separate"/>
        </w:r>
        <w:r>
          <w:rPr>
            <w:rFonts w:ascii="Arial" w:hAnsi="Arial" w:cs="Arial"/>
            <w:caps w:val="0"/>
            <w:noProof/>
            <w:webHidden/>
            <w:sz w:val="20"/>
            <w:szCs w:val="20"/>
          </w:rPr>
          <w:t>2</w:t>
        </w:r>
        <w:r>
          <w:rPr>
            <w:rFonts w:ascii="Arial" w:hAnsi="Arial" w:cs="Arial"/>
            <w:caps w:val="0"/>
            <w:noProof/>
            <w:webHidden/>
            <w:sz w:val="20"/>
            <w:szCs w:val="20"/>
          </w:rPr>
          <w:fldChar w:fldCharType="end"/>
        </w:r>
      </w:hyperlink>
    </w:p>
    <w:p w:rsidR="00E201F7" w:rsidRDefault="00E24EFF">
      <w:pPr>
        <w:pStyle w:val="TOC1"/>
        <w:rPr>
          <w:rFonts w:ascii="Arial" w:eastAsiaTheme="minorEastAsia" w:hAnsi="Arial" w:cs="Arial"/>
          <w:caps w:val="0"/>
          <w:noProof/>
          <w:sz w:val="20"/>
          <w:szCs w:val="20"/>
        </w:rPr>
      </w:pPr>
      <w:hyperlink w:anchor="_Toc510016525" w:history="1">
        <w:r>
          <w:rPr>
            <w:rStyle w:val="Hyperlink"/>
            <w:rFonts w:ascii="Arial" w:hAnsi="Arial" w:cs="Arial"/>
            <w:caps w:val="0"/>
            <w:noProof/>
            <w:sz w:val="20"/>
            <w:szCs w:val="20"/>
          </w:rPr>
          <w:t>Communications networks, content and technology</w:t>
        </w:r>
        <w:r>
          <w:rPr>
            <w:rFonts w:ascii="Arial" w:hAnsi="Arial" w:cs="Arial"/>
            <w:caps w:val="0"/>
            <w:noProof/>
            <w:webHidden/>
            <w:sz w:val="20"/>
            <w:szCs w:val="20"/>
          </w:rPr>
          <w:tab/>
        </w:r>
        <w:r>
          <w:rPr>
            <w:rFonts w:ascii="Arial" w:hAnsi="Arial" w:cs="Arial"/>
            <w:caps w:val="0"/>
            <w:noProof/>
            <w:webHidden/>
            <w:sz w:val="20"/>
            <w:szCs w:val="20"/>
          </w:rPr>
          <w:fldChar w:fldCharType="begin"/>
        </w:r>
        <w:r>
          <w:rPr>
            <w:rFonts w:ascii="Arial" w:hAnsi="Arial" w:cs="Arial"/>
            <w:caps w:val="0"/>
            <w:noProof/>
            <w:webHidden/>
            <w:sz w:val="20"/>
            <w:szCs w:val="20"/>
          </w:rPr>
          <w:instrText xml:space="preserve"> PAGEREF _Toc510016525 \h </w:instrText>
        </w:r>
        <w:r>
          <w:rPr>
            <w:rFonts w:ascii="Arial" w:hAnsi="Arial" w:cs="Arial"/>
            <w:caps w:val="0"/>
            <w:noProof/>
            <w:webHidden/>
            <w:sz w:val="20"/>
            <w:szCs w:val="20"/>
          </w:rPr>
        </w:r>
        <w:r>
          <w:rPr>
            <w:rFonts w:ascii="Arial" w:hAnsi="Arial" w:cs="Arial"/>
            <w:caps w:val="0"/>
            <w:noProof/>
            <w:webHidden/>
            <w:sz w:val="20"/>
            <w:szCs w:val="20"/>
          </w:rPr>
          <w:fldChar w:fldCharType="separate"/>
        </w:r>
        <w:r>
          <w:rPr>
            <w:rFonts w:ascii="Arial" w:hAnsi="Arial" w:cs="Arial"/>
            <w:caps w:val="0"/>
            <w:noProof/>
            <w:webHidden/>
            <w:sz w:val="20"/>
            <w:szCs w:val="20"/>
          </w:rPr>
          <w:t>6</w:t>
        </w:r>
        <w:r>
          <w:rPr>
            <w:rFonts w:ascii="Arial" w:hAnsi="Arial" w:cs="Arial"/>
            <w:caps w:val="0"/>
            <w:noProof/>
            <w:webHidden/>
            <w:sz w:val="20"/>
            <w:szCs w:val="20"/>
          </w:rPr>
          <w:fldChar w:fldCharType="end"/>
        </w:r>
      </w:hyperlink>
    </w:p>
    <w:p w:rsidR="00E201F7" w:rsidRDefault="00E24EFF">
      <w:pPr>
        <w:pStyle w:val="TOC1"/>
        <w:rPr>
          <w:rFonts w:ascii="Arial" w:eastAsiaTheme="minorEastAsia" w:hAnsi="Arial" w:cs="Arial"/>
          <w:caps w:val="0"/>
          <w:noProof/>
          <w:sz w:val="20"/>
          <w:szCs w:val="20"/>
        </w:rPr>
      </w:pPr>
      <w:hyperlink w:anchor="_Toc510016526" w:history="1">
        <w:r>
          <w:rPr>
            <w:rStyle w:val="Hyperlink"/>
            <w:rFonts w:ascii="Arial" w:hAnsi="Arial" w:cs="Arial"/>
            <w:caps w:val="0"/>
            <w:noProof/>
            <w:sz w:val="20"/>
            <w:szCs w:val="20"/>
          </w:rPr>
          <w:t>Employment, social affairs and inclusion</w:t>
        </w:r>
        <w:r>
          <w:rPr>
            <w:rFonts w:ascii="Arial" w:hAnsi="Arial" w:cs="Arial"/>
            <w:caps w:val="0"/>
            <w:noProof/>
            <w:webHidden/>
            <w:sz w:val="20"/>
            <w:szCs w:val="20"/>
          </w:rPr>
          <w:tab/>
        </w:r>
        <w:r>
          <w:rPr>
            <w:rFonts w:ascii="Arial" w:hAnsi="Arial" w:cs="Arial"/>
            <w:caps w:val="0"/>
            <w:noProof/>
            <w:webHidden/>
            <w:sz w:val="20"/>
            <w:szCs w:val="20"/>
          </w:rPr>
          <w:fldChar w:fldCharType="begin"/>
        </w:r>
        <w:r>
          <w:rPr>
            <w:rFonts w:ascii="Arial" w:hAnsi="Arial" w:cs="Arial"/>
            <w:caps w:val="0"/>
            <w:noProof/>
            <w:webHidden/>
            <w:sz w:val="20"/>
            <w:szCs w:val="20"/>
          </w:rPr>
          <w:instrText xml:space="preserve"> PAGEREF _Toc510016526 \h </w:instrText>
        </w:r>
        <w:r>
          <w:rPr>
            <w:rFonts w:ascii="Arial" w:hAnsi="Arial" w:cs="Arial"/>
            <w:caps w:val="0"/>
            <w:noProof/>
            <w:webHidden/>
            <w:sz w:val="20"/>
            <w:szCs w:val="20"/>
          </w:rPr>
        </w:r>
        <w:r>
          <w:rPr>
            <w:rFonts w:ascii="Arial" w:hAnsi="Arial" w:cs="Arial"/>
            <w:caps w:val="0"/>
            <w:noProof/>
            <w:webHidden/>
            <w:sz w:val="20"/>
            <w:szCs w:val="20"/>
          </w:rPr>
          <w:fldChar w:fldCharType="separate"/>
        </w:r>
        <w:r>
          <w:rPr>
            <w:rFonts w:ascii="Arial" w:hAnsi="Arial" w:cs="Arial"/>
            <w:caps w:val="0"/>
            <w:noProof/>
            <w:webHidden/>
            <w:sz w:val="20"/>
            <w:szCs w:val="20"/>
          </w:rPr>
          <w:t>12</w:t>
        </w:r>
        <w:r>
          <w:rPr>
            <w:rFonts w:ascii="Arial" w:hAnsi="Arial" w:cs="Arial"/>
            <w:caps w:val="0"/>
            <w:noProof/>
            <w:webHidden/>
            <w:sz w:val="20"/>
            <w:szCs w:val="20"/>
          </w:rPr>
          <w:fldChar w:fldCharType="end"/>
        </w:r>
      </w:hyperlink>
    </w:p>
    <w:p w:rsidR="00E201F7" w:rsidRDefault="00E24EFF">
      <w:pPr>
        <w:pStyle w:val="TOC1"/>
        <w:rPr>
          <w:rFonts w:ascii="Arial" w:eastAsiaTheme="minorEastAsia" w:hAnsi="Arial" w:cs="Arial"/>
          <w:caps w:val="0"/>
          <w:noProof/>
          <w:sz w:val="20"/>
          <w:szCs w:val="20"/>
        </w:rPr>
      </w:pPr>
      <w:hyperlink w:anchor="_Toc510016527" w:history="1">
        <w:r>
          <w:rPr>
            <w:rStyle w:val="Hyperlink"/>
            <w:rFonts w:ascii="Arial" w:hAnsi="Arial" w:cs="Arial"/>
            <w:caps w:val="0"/>
            <w:noProof/>
            <w:sz w:val="20"/>
            <w:szCs w:val="20"/>
          </w:rPr>
          <w:t>Energy</w:t>
        </w:r>
        <w:r>
          <w:rPr>
            <w:rFonts w:ascii="Arial" w:hAnsi="Arial" w:cs="Arial"/>
            <w:caps w:val="0"/>
            <w:noProof/>
            <w:webHidden/>
            <w:sz w:val="20"/>
            <w:szCs w:val="20"/>
          </w:rPr>
          <w:tab/>
        </w:r>
        <w:r>
          <w:rPr>
            <w:rFonts w:ascii="Arial" w:hAnsi="Arial" w:cs="Arial"/>
            <w:caps w:val="0"/>
            <w:noProof/>
            <w:webHidden/>
            <w:sz w:val="20"/>
            <w:szCs w:val="20"/>
          </w:rPr>
          <w:fldChar w:fldCharType="begin"/>
        </w:r>
        <w:r>
          <w:rPr>
            <w:rFonts w:ascii="Arial" w:hAnsi="Arial" w:cs="Arial"/>
            <w:caps w:val="0"/>
            <w:noProof/>
            <w:webHidden/>
            <w:sz w:val="20"/>
            <w:szCs w:val="20"/>
          </w:rPr>
          <w:instrText xml:space="preserve"> PAGEREF _Toc510016527 \h </w:instrText>
        </w:r>
        <w:r>
          <w:rPr>
            <w:rFonts w:ascii="Arial" w:hAnsi="Arial" w:cs="Arial"/>
            <w:caps w:val="0"/>
            <w:noProof/>
            <w:webHidden/>
            <w:sz w:val="20"/>
            <w:szCs w:val="20"/>
          </w:rPr>
        </w:r>
        <w:r>
          <w:rPr>
            <w:rFonts w:ascii="Arial" w:hAnsi="Arial" w:cs="Arial"/>
            <w:caps w:val="0"/>
            <w:noProof/>
            <w:webHidden/>
            <w:sz w:val="20"/>
            <w:szCs w:val="20"/>
          </w:rPr>
          <w:fldChar w:fldCharType="separate"/>
        </w:r>
        <w:r>
          <w:rPr>
            <w:rFonts w:ascii="Arial" w:hAnsi="Arial" w:cs="Arial"/>
            <w:caps w:val="0"/>
            <w:noProof/>
            <w:webHidden/>
            <w:sz w:val="20"/>
            <w:szCs w:val="20"/>
          </w:rPr>
          <w:t>18</w:t>
        </w:r>
        <w:r>
          <w:rPr>
            <w:rFonts w:ascii="Arial" w:hAnsi="Arial" w:cs="Arial"/>
            <w:caps w:val="0"/>
            <w:noProof/>
            <w:webHidden/>
            <w:sz w:val="20"/>
            <w:szCs w:val="20"/>
          </w:rPr>
          <w:fldChar w:fldCharType="end"/>
        </w:r>
      </w:hyperlink>
    </w:p>
    <w:p w:rsidR="00E201F7" w:rsidRDefault="00E24EFF">
      <w:pPr>
        <w:pStyle w:val="TOC1"/>
        <w:rPr>
          <w:rFonts w:ascii="Arial" w:eastAsiaTheme="minorEastAsia" w:hAnsi="Arial" w:cs="Arial"/>
          <w:caps w:val="0"/>
          <w:noProof/>
          <w:sz w:val="20"/>
          <w:szCs w:val="20"/>
        </w:rPr>
      </w:pPr>
      <w:hyperlink w:anchor="_Toc510016528" w:history="1">
        <w:r>
          <w:rPr>
            <w:rStyle w:val="Hyperlink"/>
            <w:rFonts w:ascii="Arial" w:hAnsi="Arial" w:cs="Arial"/>
            <w:caps w:val="0"/>
            <w:noProof/>
            <w:sz w:val="20"/>
            <w:szCs w:val="20"/>
          </w:rPr>
          <w:t>Environment</w:t>
        </w:r>
        <w:r>
          <w:rPr>
            <w:rFonts w:ascii="Arial" w:hAnsi="Arial" w:cs="Arial"/>
            <w:caps w:val="0"/>
            <w:noProof/>
            <w:webHidden/>
            <w:sz w:val="20"/>
            <w:szCs w:val="20"/>
          </w:rPr>
          <w:tab/>
        </w:r>
        <w:r>
          <w:rPr>
            <w:rFonts w:ascii="Arial" w:hAnsi="Arial" w:cs="Arial"/>
            <w:caps w:val="0"/>
            <w:noProof/>
            <w:webHidden/>
            <w:sz w:val="20"/>
            <w:szCs w:val="20"/>
          </w:rPr>
          <w:fldChar w:fldCharType="begin"/>
        </w:r>
        <w:r>
          <w:rPr>
            <w:rFonts w:ascii="Arial" w:hAnsi="Arial" w:cs="Arial"/>
            <w:caps w:val="0"/>
            <w:noProof/>
            <w:webHidden/>
            <w:sz w:val="20"/>
            <w:szCs w:val="20"/>
          </w:rPr>
          <w:instrText xml:space="preserve"> PAGEREF _Toc510016528 \h </w:instrText>
        </w:r>
        <w:r>
          <w:rPr>
            <w:rFonts w:ascii="Arial" w:hAnsi="Arial" w:cs="Arial"/>
            <w:caps w:val="0"/>
            <w:noProof/>
            <w:webHidden/>
            <w:sz w:val="20"/>
            <w:szCs w:val="20"/>
          </w:rPr>
        </w:r>
        <w:r>
          <w:rPr>
            <w:rFonts w:ascii="Arial" w:hAnsi="Arial" w:cs="Arial"/>
            <w:caps w:val="0"/>
            <w:noProof/>
            <w:webHidden/>
            <w:sz w:val="20"/>
            <w:szCs w:val="20"/>
          </w:rPr>
          <w:fldChar w:fldCharType="separate"/>
        </w:r>
        <w:r>
          <w:rPr>
            <w:rFonts w:ascii="Arial" w:hAnsi="Arial" w:cs="Arial"/>
            <w:caps w:val="0"/>
            <w:noProof/>
            <w:webHidden/>
            <w:sz w:val="20"/>
            <w:szCs w:val="20"/>
          </w:rPr>
          <w:t>24</w:t>
        </w:r>
        <w:r>
          <w:rPr>
            <w:rFonts w:ascii="Arial" w:hAnsi="Arial" w:cs="Arial"/>
            <w:caps w:val="0"/>
            <w:noProof/>
            <w:webHidden/>
            <w:sz w:val="20"/>
            <w:szCs w:val="20"/>
          </w:rPr>
          <w:fldChar w:fldCharType="end"/>
        </w:r>
      </w:hyperlink>
    </w:p>
    <w:p w:rsidR="00E201F7" w:rsidRDefault="00E24EFF">
      <w:pPr>
        <w:pStyle w:val="TOC1"/>
        <w:rPr>
          <w:rFonts w:ascii="Arial" w:eastAsiaTheme="minorEastAsia" w:hAnsi="Arial" w:cs="Arial"/>
          <w:caps w:val="0"/>
          <w:noProof/>
          <w:sz w:val="20"/>
          <w:szCs w:val="20"/>
        </w:rPr>
      </w:pPr>
      <w:hyperlink w:anchor="_Toc510016529" w:history="1">
        <w:r>
          <w:rPr>
            <w:rStyle w:val="Hyperlink"/>
            <w:rFonts w:ascii="Arial" w:hAnsi="Arial" w:cs="Arial"/>
            <w:caps w:val="0"/>
            <w:noProof/>
            <w:sz w:val="20"/>
            <w:szCs w:val="20"/>
          </w:rPr>
          <w:t xml:space="preserve">Financial stability, financial </w:t>
        </w:r>
        <w:r>
          <w:rPr>
            <w:rStyle w:val="Hyperlink"/>
            <w:rFonts w:ascii="Arial" w:hAnsi="Arial" w:cs="Arial"/>
            <w:caps w:val="0"/>
            <w:noProof/>
            <w:sz w:val="20"/>
            <w:szCs w:val="20"/>
          </w:rPr>
          <w:t>services and Capital Markets Union</w:t>
        </w:r>
        <w:r>
          <w:rPr>
            <w:rFonts w:ascii="Arial" w:hAnsi="Arial" w:cs="Arial"/>
            <w:caps w:val="0"/>
            <w:noProof/>
            <w:webHidden/>
            <w:sz w:val="20"/>
            <w:szCs w:val="20"/>
          </w:rPr>
          <w:tab/>
        </w:r>
        <w:r>
          <w:rPr>
            <w:rFonts w:ascii="Arial" w:hAnsi="Arial" w:cs="Arial"/>
            <w:caps w:val="0"/>
            <w:noProof/>
            <w:webHidden/>
            <w:sz w:val="20"/>
            <w:szCs w:val="20"/>
          </w:rPr>
          <w:fldChar w:fldCharType="begin"/>
        </w:r>
        <w:r>
          <w:rPr>
            <w:rFonts w:ascii="Arial" w:hAnsi="Arial" w:cs="Arial"/>
            <w:caps w:val="0"/>
            <w:noProof/>
            <w:webHidden/>
            <w:sz w:val="20"/>
            <w:szCs w:val="20"/>
          </w:rPr>
          <w:instrText xml:space="preserve"> PAGEREF _Toc510016529 \h </w:instrText>
        </w:r>
        <w:r>
          <w:rPr>
            <w:rFonts w:ascii="Arial" w:hAnsi="Arial" w:cs="Arial"/>
            <w:caps w:val="0"/>
            <w:noProof/>
            <w:webHidden/>
            <w:sz w:val="20"/>
            <w:szCs w:val="20"/>
          </w:rPr>
        </w:r>
        <w:r>
          <w:rPr>
            <w:rFonts w:ascii="Arial" w:hAnsi="Arial" w:cs="Arial"/>
            <w:caps w:val="0"/>
            <w:noProof/>
            <w:webHidden/>
            <w:sz w:val="20"/>
            <w:szCs w:val="20"/>
          </w:rPr>
          <w:fldChar w:fldCharType="separate"/>
        </w:r>
        <w:r>
          <w:rPr>
            <w:rFonts w:ascii="Arial" w:hAnsi="Arial" w:cs="Arial"/>
            <w:caps w:val="0"/>
            <w:noProof/>
            <w:webHidden/>
            <w:sz w:val="20"/>
            <w:szCs w:val="20"/>
          </w:rPr>
          <w:t>35</w:t>
        </w:r>
        <w:r>
          <w:rPr>
            <w:rFonts w:ascii="Arial" w:hAnsi="Arial" w:cs="Arial"/>
            <w:caps w:val="0"/>
            <w:noProof/>
            <w:webHidden/>
            <w:sz w:val="20"/>
            <w:szCs w:val="20"/>
          </w:rPr>
          <w:fldChar w:fldCharType="end"/>
        </w:r>
      </w:hyperlink>
    </w:p>
    <w:p w:rsidR="00E201F7" w:rsidRDefault="00E24EFF">
      <w:pPr>
        <w:pStyle w:val="TOC1"/>
        <w:rPr>
          <w:rFonts w:ascii="Arial" w:eastAsiaTheme="minorEastAsia" w:hAnsi="Arial" w:cs="Arial"/>
          <w:caps w:val="0"/>
          <w:noProof/>
          <w:sz w:val="20"/>
          <w:szCs w:val="20"/>
        </w:rPr>
      </w:pPr>
      <w:hyperlink w:anchor="_Toc510016530" w:history="1">
        <w:r>
          <w:rPr>
            <w:rStyle w:val="Hyperlink"/>
            <w:rFonts w:ascii="Arial" w:hAnsi="Arial" w:cs="Arial"/>
            <w:caps w:val="0"/>
            <w:noProof/>
            <w:sz w:val="20"/>
            <w:szCs w:val="20"/>
          </w:rPr>
          <w:t>Health and food safety</w:t>
        </w:r>
        <w:r>
          <w:rPr>
            <w:rFonts w:ascii="Arial" w:hAnsi="Arial" w:cs="Arial"/>
            <w:caps w:val="0"/>
            <w:noProof/>
            <w:webHidden/>
            <w:sz w:val="20"/>
            <w:szCs w:val="20"/>
          </w:rPr>
          <w:tab/>
        </w:r>
        <w:r>
          <w:rPr>
            <w:rFonts w:ascii="Arial" w:hAnsi="Arial" w:cs="Arial"/>
            <w:caps w:val="0"/>
            <w:noProof/>
            <w:webHidden/>
            <w:sz w:val="20"/>
            <w:szCs w:val="20"/>
          </w:rPr>
          <w:fldChar w:fldCharType="begin"/>
        </w:r>
        <w:r>
          <w:rPr>
            <w:rFonts w:ascii="Arial" w:hAnsi="Arial" w:cs="Arial"/>
            <w:caps w:val="0"/>
            <w:noProof/>
            <w:webHidden/>
            <w:sz w:val="20"/>
            <w:szCs w:val="20"/>
          </w:rPr>
          <w:instrText xml:space="preserve"> PAGEREF _Toc510016530 \h </w:instrText>
        </w:r>
        <w:r>
          <w:rPr>
            <w:rFonts w:ascii="Arial" w:hAnsi="Arial" w:cs="Arial"/>
            <w:caps w:val="0"/>
            <w:noProof/>
            <w:webHidden/>
            <w:sz w:val="20"/>
            <w:szCs w:val="20"/>
          </w:rPr>
        </w:r>
        <w:r>
          <w:rPr>
            <w:rFonts w:ascii="Arial" w:hAnsi="Arial" w:cs="Arial"/>
            <w:caps w:val="0"/>
            <w:noProof/>
            <w:webHidden/>
            <w:sz w:val="20"/>
            <w:szCs w:val="20"/>
          </w:rPr>
          <w:fldChar w:fldCharType="separate"/>
        </w:r>
        <w:r>
          <w:rPr>
            <w:rFonts w:ascii="Arial" w:hAnsi="Arial" w:cs="Arial"/>
            <w:caps w:val="0"/>
            <w:noProof/>
            <w:webHidden/>
            <w:sz w:val="20"/>
            <w:szCs w:val="20"/>
          </w:rPr>
          <w:t>41</w:t>
        </w:r>
        <w:r>
          <w:rPr>
            <w:rFonts w:ascii="Arial" w:hAnsi="Arial" w:cs="Arial"/>
            <w:caps w:val="0"/>
            <w:noProof/>
            <w:webHidden/>
            <w:sz w:val="20"/>
            <w:szCs w:val="20"/>
          </w:rPr>
          <w:fldChar w:fldCharType="end"/>
        </w:r>
      </w:hyperlink>
    </w:p>
    <w:p w:rsidR="00E201F7" w:rsidRDefault="00E24EFF">
      <w:pPr>
        <w:pStyle w:val="TOC1"/>
        <w:rPr>
          <w:rFonts w:ascii="Arial" w:eastAsiaTheme="minorEastAsia" w:hAnsi="Arial" w:cs="Arial"/>
          <w:caps w:val="0"/>
          <w:noProof/>
          <w:sz w:val="20"/>
          <w:szCs w:val="20"/>
        </w:rPr>
      </w:pPr>
      <w:hyperlink w:anchor="_Toc510016531" w:history="1">
        <w:r>
          <w:rPr>
            <w:rStyle w:val="Hyperlink"/>
            <w:rFonts w:ascii="Arial" w:hAnsi="Arial" w:cs="Arial"/>
            <w:caps w:val="0"/>
            <w:noProof/>
            <w:sz w:val="20"/>
            <w:szCs w:val="20"/>
          </w:rPr>
          <w:t>Internal market, industry, entrepreneurship and SMEs</w:t>
        </w:r>
        <w:r>
          <w:rPr>
            <w:rFonts w:ascii="Arial" w:hAnsi="Arial" w:cs="Arial"/>
            <w:caps w:val="0"/>
            <w:noProof/>
            <w:webHidden/>
            <w:sz w:val="20"/>
            <w:szCs w:val="20"/>
          </w:rPr>
          <w:tab/>
        </w:r>
        <w:r>
          <w:rPr>
            <w:rFonts w:ascii="Arial" w:hAnsi="Arial" w:cs="Arial"/>
            <w:caps w:val="0"/>
            <w:noProof/>
            <w:webHidden/>
            <w:sz w:val="20"/>
            <w:szCs w:val="20"/>
          </w:rPr>
          <w:fldChar w:fldCharType="begin"/>
        </w:r>
        <w:r>
          <w:rPr>
            <w:rFonts w:ascii="Arial" w:hAnsi="Arial" w:cs="Arial"/>
            <w:caps w:val="0"/>
            <w:noProof/>
            <w:webHidden/>
            <w:sz w:val="20"/>
            <w:szCs w:val="20"/>
          </w:rPr>
          <w:instrText xml:space="preserve"> PAGEREF _Toc510016531 \h </w:instrText>
        </w:r>
        <w:r>
          <w:rPr>
            <w:rFonts w:ascii="Arial" w:hAnsi="Arial" w:cs="Arial"/>
            <w:caps w:val="0"/>
            <w:noProof/>
            <w:webHidden/>
            <w:sz w:val="20"/>
            <w:szCs w:val="20"/>
          </w:rPr>
        </w:r>
        <w:r>
          <w:rPr>
            <w:rFonts w:ascii="Arial" w:hAnsi="Arial" w:cs="Arial"/>
            <w:caps w:val="0"/>
            <w:noProof/>
            <w:webHidden/>
            <w:sz w:val="20"/>
            <w:szCs w:val="20"/>
          </w:rPr>
          <w:fldChar w:fldCharType="separate"/>
        </w:r>
        <w:r>
          <w:rPr>
            <w:rFonts w:ascii="Arial" w:hAnsi="Arial" w:cs="Arial"/>
            <w:caps w:val="0"/>
            <w:noProof/>
            <w:webHidden/>
            <w:sz w:val="20"/>
            <w:szCs w:val="20"/>
          </w:rPr>
          <w:t>46</w:t>
        </w:r>
        <w:r>
          <w:rPr>
            <w:rFonts w:ascii="Arial" w:hAnsi="Arial" w:cs="Arial"/>
            <w:caps w:val="0"/>
            <w:noProof/>
            <w:webHidden/>
            <w:sz w:val="20"/>
            <w:szCs w:val="20"/>
          </w:rPr>
          <w:fldChar w:fldCharType="end"/>
        </w:r>
      </w:hyperlink>
    </w:p>
    <w:p w:rsidR="00E201F7" w:rsidRDefault="00E24EFF">
      <w:pPr>
        <w:pStyle w:val="TOC1"/>
        <w:rPr>
          <w:rFonts w:ascii="Arial" w:eastAsiaTheme="minorEastAsia" w:hAnsi="Arial" w:cs="Arial"/>
          <w:caps w:val="0"/>
          <w:noProof/>
          <w:sz w:val="20"/>
          <w:szCs w:val="20"/>
        </w:rPr>
      </w:pPr>
      <w:hyperlink w:anchor="_Toc510016532" w:history="1">
        <w:r>
          <w:rPr>
            <w:rStyle w:val="Hyperlink"/>
            <w:rFonts w:ascii="Arial" w:hAnsi="Arial" w:cs="Arial"/>
            <w:caps w:val="0"/>
            <w:noProof/>
            <w:sz w:val="20"/>
            <w:szCs w:val="20"/>
          </w:rPr>
          <w:t>Justice and co</w:t>
        </w:r>
        <w:r>
          <w:rPr>
            <w:rStyle w:val="Hyperlink"/>
            <w:rFonts w:ascii="Arial" w:hAnsi="Arial" w:cs="Arial"/>
            <w:caps w:val="0"/>
            <w:noProof/>
            <w:sz w:val="20"/>
            <w:szCs w:val="20"/>
          </w:rPr>
          <w:t>nsumers</w:t>
        </w:r>
        <w:r>
          <w:rPr>
            <w:rFonts w:ascii="Arial" w:hAnsi="Arial" w:cs="Arial"/>
            <w:caps w:val="0"/>
            <w:noProof/>
            <w:webHidden/>
            <w:sz w:val="20"/>
            <w:szCs w:val="20"/>
          </w:rPr>
          <w:tab/>
        </w:r>
        <w:r>
          <w:rPr>
            <w:rFonts w:ascii="Arial" w:hAnsi="Arial" w:cs="Arial"/>
            <w:caps w:val="0"/>
            <w:noProof/>
            <w:webHidden/>
            <w:sz w:val="20"/>
            <w:szCs w:val="20"/>
          </w:rPr>
          <w:fldChar w:fldCharType="begin"/>
        </w:r>
        <w:r>
          <w:rPr>
            <w:rFonts w:ascii="Arial" w:hAnsi="Arial" w:cs="Arial"/>
            <w:caps w:val="0"/>
            <w:noProof/>
            <w:webHidden/>
            <w:sz w:val="20"/>
            <w:szCs w:val="20"/>
          </w:rPr>
          <w:instrText xml:space="preserve"> PAGEREF _Toc510016532 \h </w:instrText>
        </w:r>
        <w:r>
          <w:rPr>
            <w:rFonts w:ascii="Arial" w:hAnsi="Arial" w:cs="Arial"/>
            <w:caps w:val="0"/>
            <w:noProof/>
            <w:webHidden/>
            <w:sz w:val="20"/>
            <w:szCs w:val="20"/>
          </w:rPr>
        </w:r>
        <w:r>
          <w:rPr>
            <w:rFonts w:ascii="Arial" w:hAnsi="Arial" w:cs="Arial"/>
            <w:caps w:val="0"/>
            <w:noProof/>
            <w:webHidden/>
            <w:sz w:val="20"/>
            <w:szCs w:val="20"/>
          </w:rPr>
          <w:fldChar w:fldCharType="separate"/>
        </w:r>
        <w:r>
          <w:rPr>
            <w:rFonts w:ascii="Arial" w:hAnsi="Arial" w:cs="Arial"/>
            <w:caps w:val="0"/>
            <w:noProof/>
            <w:webHidden/>
            <w:sz w:val="20"/>
            <w:szCs w:val="20"/>
          </w:rPr>
          <w:t>52</w:t>
        </w:r>
        <w:r>
          <w:rPr>
            <w:rFonts w:ascii="Arial" w:hAnsi="Arial" w:cs="Arial"/>
            <w:caps w:val="0"/>
            <w:noProof/>
            <w:webHidden/>
            <w:sz w:val="20"/>
            <w:szCs w:val="20"/>
          </w:rPr>
          <w:fldChar w:fldCharType="end"/>
        </w:r>
      </w:hyperlink>
    </w:p>
    <w:p w:rsidR="00E201F7" w:rsidRDefault="00E24EFF">
      <w:pPr>
        <w:pStyle w:val="TOC1"/>
        <w:rPr>
          <w:rFonts w:ascii="Arial" w:eastAsiaTheme="minorEastAsia" w:hAnsi="Arial" w:cs="Arial"/>
          <w:caps w:val="0"/>
          <w:noProof/>
          <w:sz w:val="20"/>
          <w:szCs w:val="20"/>
        </w:rPr>
      </w:pPr>
      <w:hyperlink w:anchor="_Toc510016533" w:history="1">
        <w:r>
          <w:rPr>
            <w:rStyle w:val="Hyperlink"/>
            <w:rFonts w:ascii="Arial" w:hAnsi="Arial" w:cs="Arial"/>
            <w:caps w:val="0"/>
            <w:noProof/>
            <w:sz w:val="20"/>
            <w:szCs w:val="20"/>
          </w:rPr>
          <w:t>Maritime affairs and fisheries</w:t>
        </w:r>
        <w:r>
          <w:rPr>
            <w:rFonts w:ascii="Arial" w:hAnsi="Arial" w:cs="Arial"/>
            <w:caps w:val="0"/>
            <w:noProof/>
            <w:webHidden/>
            <w:sz w:val="20"/>
            <w:szCs w:val="20"/>
          </w:rPr>
          <w:tab/>
        </w:r>
        <w:r>
          <w:rPr>
            <w:rFonts w:ascii="Arial" w:hAnsi="Arial" w:cs="Arial"/>
            <w:caps w:val="0"/>
            <w:noProof/>
            <w:webHidden/>
            <w:sz w:val="20"/>
            <w:szCs w:val="20"/>
          </w:rPr>
          <w:fldChar w:fldCharType="begin"/>
        </w:r>
        <w:r>
          <w:rPr>
            <w:rFonts w:ascii="Arial" w:hAnsi="Arial" w:cs="Arial"/>
            <w:caps w:val="0"/>
            <w:noProof/>
            <w:webHidden/>
            <w:sz w:val="20"/>
            <w:szCs w:val="20"/>
          </w:rPr>
          <w:instrText xml:space="preserve"> PAGEREF _Toc510016533 \h </w:instrText>
        </w:r>
        <w:r>
          <w:rPr>
            <w:rFonts w:ascii="Arial" w:hAnsi="Arial" w:cs="Arial"/>
            <w:caps w:val="0"/>
            <w:noProof/>
            <w:webHidden/>
            <w:sz w:val="20"/>
            <w:szCs w:val="20"/>
          </w:rPr>
        </w:r>
        <w:r>
          <w:rPr>
            <w:rFonts w:ascii="Arial" w:hAnsi="Arial" w:cs="Arial"/>
            <w:caps w:val="0"/>
            <w:noProof/>
            <w:webHidden/>
            <w:sz w:val="20"/>
            <w:szCs w:val="20"/>
          </w:rPr>
          <w:fldChar w:fldCharType="separate"/>
        </w:r>
        <w:r>
          <w:rPr>
            <w:rFonts w:ascii="Arial" w:hAnsi="Arial" w:cs="Arial"/>
            <w:caps w:val="0"/>
            <w:noProof/>
            <w:webHidden/>
            <w:sz w:val="20"/>
            <w:szCs w:val="20"/>
          </w:rPr>
          <w:t>60</w:t>
        </w:r>
        <w:r>
          <w:rPr>
            <w:rFonts w:ascii="Arial" w:hAnsi="Arial" w:cs="Arial"/>
            <w:caps w:val="0"/>
            <w:noProof/>
            <w:webHidden/>
            <w:sz w:val="20"/>
            <w:szCs w:val="20"/>
          </w:rPr>
          <w:fldChar w:fldCharType="end"/>
        </w:r>
      </w:hyperlink>
    </w:p>
    <w:p w:rsidR="00E201F7" w:rsidRDefault="00E24EFF">
      <w:pPr>
        <w:pStyle w:val="TOC1"/>
        <w:rPr>
          <w:rFonts w:ascii="Arial" w:eastAsiaTheme="minorEastAsia" w:hAnsi="Arial" w:cs="Arial"/>
          <w:caps w:val="0"/>
          <w:noProof/>
          <w:sz w:val="20"/>
          <w:szCs w:val="20"/>
        </w:rPr>
      </w:pPr>
      <w:hyperlink w:anchor="_Toc510016534" w:history="1">
        <w:r>
          <w:rPr>
            <w:rStyle w:val="Hyperlink"/>
            <w:rFonts w:ascii="Arial" w:hAnsi="Arial" w:cs="Arial"/>
            <w:caps w:val="0"/>
            <w:noProof/>
            <w:sz w:val="20"/>
            <w:szCs w:val="20"/>
          </w:rPr>
          <w:t>Migration and home affairs</w:t>
        </w:r>
        <w:r>
          <w:rPr>
            <w:rFonts w:ascii="Arial" w:hAnsi="Arial" w:cs="Arial"/>
            <w:caps w:val="0"/>
            <w:noProof/>
            <w:webHidden/>
            <w:sz w:val="20"/>
            <w:szCs w:val="20"/>
          </w:rPr>
          <w:tab/>
        </w:r>
        <w:r>
          <w:rPr>
            <w:rFonts w:ascii="Arial" w:hAnsi="Arial" w:cs="Arial"/>
            <w:caps w:val="0"/>
            <w:noProof/>
            <w:webHidden/>
            <w:sz w:val="20"/>
            <w:szCs w:val="20"/>
          </w:rPr>
          <w:fldChar w:fldCharType="begin"/>
        </w:r>
        <w:r>
          <w:rPr>
            <w:rFonts w:ascii="Arial" w:hAnsi="Arial" w:cs="Arial"/>
            <w:caps w:val="0"/>
            <w:noProof/>
            <w:webHidden/>
            <w:sz w:val="20"/>
            <w:szCs w:val="20"/>
          </w:rPr>
          <w:instrText xml:space="preserve"> PAGEREF _Toc510016534 \h </w:instrText>
        </w:r>
        <w:r>
          <w:rPr>
            <w:rFonts w:ascii="Arial" w:hAnsi="Arial" w:cs="Arial"/>
            <w:caps w:val="0"/>
            <w:noProof/>
            <w:webHidden/>
            <w:sz w:val="20"/>
            <w:szCs w:val="20"/>
          </w:rPr>
        </w:r>
        <w:r>
          <w:rPr>
            <w:rFonts w:ascii="Arial" w:hAnsi="Arial" w:cs="Arial"/>
            <w:caps w:val="0"/>
            <w:noProof/>
            <w:webHidden/>
            <w:sz w:val="20"/>
            <w:szCs w:val="20"/>
          </w:rPr>
          <w:fldChar w:fldCharType="separate"/>
        </w:r>
        <w:r>
          <w:rPr>
            <w:rFonts w:ascii="Arial" w:hAnsi="Arial" w:cs="Arial"/>
            <w:caps w:val="0"/>
            <w:noProof/>
            <w:webHidden/>
            <w:sz w:val="20"/>
            <w:szCs w:val="20"/>
          </w:rPr>
          <w:t>63</w:t>
        </w:r>
        <w:r>
          <w:rPr>
            <w:rFonts w:ascii="Arial" w:hAnsi="Arial" w:cs="Arial"/>
            <w:caps w:val="0"/>
            <w:noProof/>
            <w:webHidden/>
            <w:sz w:val="20"/>
            <w:szCs w:val="20"/>
          </w:rPr>
          <w:fldChar w:fldCharType="end"/>
        </w:r>
      </w:hyperlink>
    </w:p>
    <w:p w:rsidR="00E201F7" w:rsidRDefault="00E24EFF">
      <w:pPr>
        <w:pStyle w:val="TOC1"/>
        <w:rPr>
          <w:rFonts w:ascii="Arial" w:eastAsiaTheme="minorEastAsia" w:hAnsi="Arial" w:cs="Arial"/>
          <w:caps w:val="0"/>
          <w:noProof/>
          <w:sz w:val="20"/>
          <w:szCs w:val="20"/>
        </w:rPr>
      </w:pPr>
      <w:hyperlink w:anchor="_Toc510016535" w:history="1">
        <w:r>
          <w:rPr>
            <w:rStyle w:val="Hyperlink"/>
            <w:rFonts w:ascii="Arial" w:hAnsi="Arial" w:cs="Arial"/>
            <w:caps w:val="0"/>
            <w:noProof/>
            <w:sz w:val="20"/>
            <w:szCs w:val="20"/>
          </w:rPr>
          <w:t>Mobility and transport</w:t>
        </w:r>
        <w:r>
          <w:rPr>
            <w:rFonts w:ascii="Arial" w:hAnsi="Arial" w:cs="Arial"/>
            <w:caps w:val="0"/>
            <w:noProof/>
            <w:webHidden/>
            <w:sz w:val="20"/>
            <w:szCs w:val="20"/>
          </w:rPr>
          <w:tab/>
        </w:r>
        <w:r>
          <w:rPr>
            <w:rFonts w:ascii="Arial" w:hAnsi="Arial" w:cs="Arial"/>
            <w:caps w:val="0"/>
            <w:noProof/>
            <w:webHidden/>
            <w:sz w:val="20"/>
            <w:szCs w:val="20"/>
          </w:rPr>
          <w:fldChar w:fldCharType="begin"/>
        </w:r>
        <w:r>
          <w:rPr>
            <w:rFonts w:ascii="Arial" w:hAnsi="Arial" w:cs="Arial"/>
            <w:caps w:val="0"/>
            <w:noProof/>
            <w:webHidden/>
            <w:sz w:val="20"/>
            <w:szCs w:val="20"/>
          </w:rPr>
          <w:instrText xml:space="preserve"> PAGEREF _Toc510016535 \h </w:instrText>
        </w:r>
        <w:r>
          <w:rPr>
            <w:rFonts w:ascii="Arial" w:hAnsi="Arial" w:cs="Arial"/>
            <w:caps w:val="0"/>
            <w:noProof/>
            <w:webHidden/>
            <w:sz w:val="20"/>
            <w:szCs w:val="20"/>
          </w:rPr>
        </w:r>
        <w:r>
          <w:rPr>
            <w:rFonts w:ascii="Arial" w:hAnsi="Arial" w:cs="Arial"/>
            <w:caps w:val="0"/>
            <w:noProof/>
            <w:webHidden/>
            <w:sz w:val="20"/>
            <w:szCs w:val="20"/>
          </w:rPr>
          <w:fldChar w:fldCharType="separate"/>
        </w:r>
        <w:r>
          <w:rPr>
            <w:rFonts w:ascii="Arial" w:hAnsi="Arial" w:cs="Arial"/>
            <w:caps w:val="0"/>
            <w:noProof/>
            <w:webHidden/>
            <w:sz w:val="20"/>
            <w:szCs w:val="20"/>
          </w:rPr>
          <w:t>72</w:t>
        </w:r>
        <w:r>
          <w:rPr>
            <w:rFonts w:ascii="Arial" w:hAnsi="Arial" w:cs="Arial"/>
            <w:caps w:val="0"/>
            <w:noProof/>
            <w:webHidden/>
            <w:sz w:val="20"/>
            <w:szCs w:val="20"/>
          </w:rPr>
          <w:fldChar w:fldCharType="end"/>
        </w:r>
      </w:hyperlink>
    </w:p>
    <w:p w:rsidR="00E201F7" w:rsidRDefault="00E24EFF">
      <w:pPr>
        <w:pStyle w:val="TOC1"/>
        <w:rPr>
          <w:rFonts w:ascii="Arial" w:eastAsiaTheme="minorEastAsia" w:hAnsi="Arial" w:cs="Arial"/>
          <w:caps w:val="0"/>
          <w:noProof/>
          <w:sz w:val="20"/>
          <w:szCs w:val="20"/>
        </w:rPr>
      </w:pPr>
      <w:hyperlink w:anchor="_Toc510016536" w:history="1">
        <w:r>
          <w:rPr>
            <w:rStyle w:val="Hyperlink"/>
            <w:rFonts w:ascii="Arial" w:hAnsi="Arial" w:cs="Arial"/>
            <w:caps w:val="0"/>
            <w:noProof/>
            <w:sz w:val="20"/>
            <w:szCs w:val="20"/>
          </w:rPr>
          <w:t>Taxation and customs union</w:t>
        </w:r>
        <w:r>
          <w:rPr>
            <w:rFonts w:ascii="Arial" w:hAnsi="Arial" w:cs="Arial"/>
            <w:caps w:val="0"/>
            <w:noProof/>
            <w:webHidden/>
            <w:sz w:val="20"/>
            <w:szCs w:val="20"/>
          </w:rPr>
          <w:tab/>
        </w:r>
        <w:r>
          <w:rPr>
            <w:rFonts w:ascii="Arial" w:hAnsi="Arial" w:cs="Arial"/>
            <w:caps w:val="0"/>
            <w:noProof/>
            <w:webHidden/>
            <w:sz w:val="20"/>
            <w:szCs w:val="20"/>
          </w:rPr>
          <w:fldChar w:fldCharType="begin"/>
        </w:r>
        <w:r>
          <w:rPr>
            <w:rFonts w:ascii="Arial" w:hAnsi="Arial" w:cs="Arial"/>
            <w:caps w:val="0"/>
            <w:noProof/>
            <w:webHidden/>
            <w:sz w:val="20"/>
            <w:szCs w:val="20"/>
          </w:rPr>
          <w:instrText xml:space="preserve"> PAGEREF _Toc510016536 \h </w:instrText>
        </w:r>
        <w:r>
          <w:rPr>
            <w:rFonts w:ascii="Arial" w:hAnsi="Arial" w:cs="Arial"/>
            <w:caps w:val="0"/>
            <w:noProof/>
            <w:webHidden/>
            <w:sz w:val="20"/>
            <w:szCs w:val="20"/>
          </w:rPr>
        </w:r>
        <w:r>
          <w:rPr>
            <w:rFonts w:ascii="Arial" w:hAnsi="Arial" w:cs="Arial"/>
            <w:caps w:val="0"/>
            <w:noProof/>
            <w:webHidden/>
            <w:sz w:val="20"/>
            <w:szCs w:val="20"/>
          </w:rPr>
          <w:fldChar w:fldCharType="separate"/>
        </w:r>
        <w:r>
          <w:rPr>
            <w:rFonts w:ascii="Arial" w:hAnsi="Arial" w:cs="Arial"/>
            <w:caps w:val="0"/>
            <w:noProof/>
            <w:webHidden/>
            <w:sz w:val="20"/>
            <w:szCs w:val="20"/>
          </w:rPr>
          <w:t>80</w:t>
        </w:r>
        <w:r>
          <w:rPr>
            <w:rFonts w:ascii="Arial" w:hAnsi="Arial" w:cs="Arial"/>
            <w:caps w:val="0"/>
            <w:noProof/>
            <w:webHidden/>
            <w:sz w:val="20"/>
            <w:szCs w:val="20"/>
          </w:rPr>
          <w:fldChar w:fldCharType="end"/>
        </w:r>
      </w:hyperlink>
    </w:p>
    <w:p w:rsidR="00E201F7" w:rsidRDefault="00E24EFF">
      <w:pPr>
        <w:pStyle w:val="TOC1"/>
        <w:rPr>
          <w:rFonts w:ascii="Arial" w:eastAsiaTheme="minorEastAsia" w:hAnsi="Arial" w:cs="Arial"/>
          <w:caps w:val="0"/>
          <w:noProof/>
          <w:sz w:val="20"/>
          <w:szCs w:val="20"/>
        </w:rPr>
      </w:pPr>
      <w:hyperlink w:anchor="_Toc510016537" w:history="1">
        <w:r>
          <w:rPr>
            <w:rStyle w:val="Hyperlink"/>
            <w:rFonts w:ascii="Arial" w:hAnsi="Arial" w:cs="Arial"/>
            <w:caps w:val="0"/>
            <w:noProof/>
            <w:sz w:val="20"/>
            <w:szCs w:val="20"/>
          </w:rPr>
          <w:t>Methodology and explanations</w:t>
        </w:r>
        <w:r>
          <w:rPr>
            <w:rFonts w:ascii="Arial" w:hAnsi="Arial" w:cs="Arial"/>
            <w:caps w:val="0"/>
            <w:noProof/>
            <w:webHidden/>
            <w:sz w:val="20"/>
            <w:szCs w:val="20"/>
          </w:rPr>
          <w:tab/>
        </w:r>
        <w:r>
          <w:rPr>
            <w:rFonts w:ascii="Arial" w:hAnsi="Arial" w:cs="Arial"/>
            <w:caps w:val="0"/>
            <w:noProof/>
            <w:webHidden/>
            <w:sz w:val="20"/>
            <w:szCs w:val="20"/>
          </w:rPr>
          <w:fldChar w:fldCharType="begin"/>
        </w:r>
        <w:r>
          <w:rPr>
            <w:rFonts w:ascii="Arial" w:hAnsi="Arial" w:cs="Arial"/>
            <w:caps w:val="0"/>
            <w:noProof/>
            <w:webHidden/>
            <w:sz w:val="20"/>
            <w:szCs w:val="20"/>
          </w:rPr>
          <w:instrText xml:space="preserve"> PAGEREF _Toc510016537 \h </w:instrText>
        </w:r>
        <w:r>
          <w:rPr>
            <w:rFonts w:ascii="Arial" w:hAnsi="Arial" w:cs="Arial"/>
            <w:caps w:val="0"/>
            <w:noProof/>
            <w:webHidden/>
            <w:sz w:val="20"/>
            <w:szCs w:val="20"/>
          </w:rPr>
        </w:r>
        <w:r>
          <w:rPr>
            <w:rFonts w:ascii="Arial" w:hAnsi="Arial" w:cs="Arial"/>
            <w:caps w:val="0"/>
            <w:noProof/>
            <w:webHidden/>
            <w:sz w:val="20"/>
            <w:szCs w:val="20"/>
          </w:rPr>
          <w:fldChar w:fldCharType="separate"/>
        </w:r>
        <w:r>
          <w:rPr>
            <w:rFonts w:ascii="Arial" w:hAnsi="Arial" w:cs="Arial"/>
            <w:caps w:val="0"/>
            <w:noProof/>
            <w:webHidden/>
            <w:sz w:val="20"/>
            <w:szCs w:val="20"/>
          </w:rPr>
          <w:t>90</w:t>
        </w:r>
        <w:r>
          <w:rPr>
            <w:rFonts w:ascii="Arial" w:hAnsi="Arial" w:cs="Arial"/>
            <w:caps w:val="0"/>
            <w:noProof/>
            <w:webHidden/>
            <w:sz w:val="20"/>
            <w:szCs w:val="20"/>
          </w:rPr>
          <w:fldChar w:fldCharType="end"/>
        </w:r>
      </w:hyperlink>
    </w:p>
    <w:p w:rsidR="00E201F7" w:rsidRDefault="00E24EFF">
      <w:pPr>
        <w:pStyle w:val="TOC1"/>
        <w:rPr>
          <w:rFonts w:cs="Arial"/>
          <w:smallCaps/>
          <w:noProof/>
          <w:sz w:val="20"/>
        </w:rPr>
      </w:pPr>
      <w:r>
        <w:rPr>
          <w:rFonts w:ascii="Arial" w:hAnsi="Arial" w:cs="Arial"/>
          <w:caps w:val="0"/>
          <w:noProof/>
          <w:sz w:val="20"/>
          <w:szCs w:val="20"/>
        </w:rPr>
        <w:fldChar w:fldCharType="end"/>
      </w:r>
    </w:p>
    <w:p w:rsidR="00E201F7" w:rsidRDefault="00E201F7">
      <w:pPr>
        <w:pStyle w:val="MemberStateHeader"/>
        <w:rPr>
          <w:rFonts w:cs="Arial"/>
          <w:noProof/>
        </w:rPr>
      </w:pPr>
    </w:p>
    <w:p w:rsidR="00E201F7" w:rsidRDefault="00E201F7">
      <w:pPr>
        <w:pStyle w:val="MemberStateHeader"/>
        <w:rPr>
          <w:noProof/>
        </w:rPr>
      </w:pPr>
    </w:p>
    <w:p w:rsidR="00E201F7" w:rsidRDefault="00E201F7">
      <w:pPr>
        <w:pStyle w:val="MemberStateHeader"/>
        <w:rPr>
          <w:noProof/>
        </w:rPr>
      </w:pPr>
    </w:p>
    <w:p w:rsidR="00E201F7" w:rsidRDefault="00E201F7">
      <w:pPr>
        <w:pStyle w:val="MemberStateHeader"/>
        <w:rPr>
          <w:noProof/>
        </w:rPr>
      </w:pPr>
    </w:p>
    <w:p w:rsidR="00E201F7" w:rsidRDefault="00E201F7">
      <w:pPr>
        <w:pStyle w:val="MemberStateHeader"/>
        <w:rPr>
          <w:noProof/>
        </w:rPr>
      </w:pPr>
    </w:p>
    <w:p w:rsidR="00E201F7" w:rsidRDefault="00E201F7">
      <w:pPr>
        <w:pStyle w:val="MemberStateHeader"/>
        <w:rPr>
          <w:noProof/>
        </w:rPr>
      </w:pPr>
    </w:p>
    <w:p w:rsidR="00E201F7" w:rsidRDefault="00E201F7">
      <w:pPr>
        <w:pStyle w:val="MemberStateHeader"/>
        <w:rPr>
          <w:noProof/>
        </w:rPr>
      </w:pPr>
    </w:p>
    <w:p w:rsidR="00E201F7" w:rsidRDefault="00E201F7">
      <w:pPr>
        <w:pStyle w:val="MemberStateHeader"/>
        <w:rPr>
          <w:noProof/>
        </w:rPr>
      </w:pPr>
    </w:p>
    <w:p w:rsidR="00E201F7" w:rsidRDefault="00E201F7">
      <w:pPr>
        <w:pStyle w:val="MemberStateHeader"/>
        <w:rPr>
          <w:noProof/>
        </w:rPr>
      </w:pPr>
    </w:p>
    <w:p w:rsidR="00E201F7" w:rsidRDefault="00E201F7">
      <w:pPr>
        <w:pStyle w:val="MemberStateHeader"/>
        <w:rPr>
          <w:noProof/>
        </w:rPr>
      </w:pPr>
    </w:p>
    <w:p w:rsidR="00E201F7" w:rsidRDefault="00E201F7">
      <w:pPr>
        <w:pStyle w:val="MemberStateHeader"/>
        <w:rPr>
          <w:noProof/>
        </w:rPr>
      </w:pPr>
    </w:p>
    <w:p w:rsidR="00E201F7" w:rsidRDefault="00E201F7">
      <w:pPr>
        <w:pStyle w:val="MemberStateHeader"/>
        <w:rPr>
          <w:noProof/>
        </w:rPr>
      </w:pPr>
    </w:p>
    <w:p w:rsidR="00E201F7" w:rsidRDefault="00E201F7">
      <w:pPr>
        <w:pStyle w:val="MemberStateHeader"/>
        <w:rPr>
          <w:noProof/>
        </w:rPr>
      </w:pPr>
    </w:p>
    <w:p w:rsidR="00E201F7" w:rsidRDefault="00E24EFF">
      <w:pPr>
        <w:pStyle w:val="MemberStateHeader"/>
        <w:rPr>
          <w:noProof/>
          <w:color w:val="auto"/>
        </w:rPr>
        <w:sectPr w:rsidR="00E201F7">
          <w:headerReference w:type="even" r:id="rId15"/>
          <w:headerReference w:type="default" r:id="rId16"/>
          <w:footerReference w:type="even" r:id="rId17"/>
          <w:footerReference w:type="default" r:id="rId18"/>
          <w:headerReference w:type="first" r:id="rId19"/>
          <w:footerReference w:type="first" r:id="rId20"/>
          <w:footnotePr>
            <w:numRestart w:val="eachSect"/>
          </w:footnotePr>
          <w:pgSz w:w="11907" w:h="16839" w:code="9"/>
          <w:pgMar w:top="1702" w:right="1275" w:bottom="737" w:left="1418" w:header="567" w:footer="352" w:gutter="0"/>
          <w:pgNumType w:start="1"/>
          <w:cols w:space="720"/>
          <w:titlePg/>
          <w:docGrid w:linePitch="326"/>
        </w:sectPr>
      </w:pPr>
      <w:r>
        <w:rPr>
          <w:rFonts w:cs="Arial"/>
          <w:noProof/>
          <w:color w:val="auto"/>
          <w:sz w:val="20"/>
        </w:rPr>
        <w:t xml:space="preserve">This document provides an overview of the policy areas in which the most significant </w:t>
      </w:r>
      <w:r>
        <w:rPr>
          <w:rFonts w:cs="Arial"/>
          <w:noProof/>
          <w:color w:val="auto"/>
          <w:sz w:val="20"/>
        </w:rPr>
        <w:t>developments related to infringements of EU law took place in 2017.</w:t>
      </w:r>
    </w:p>
    <w:p w:rsidR="00E201F7" w:rsidRDefault="00E24EFF">
      <w:pPr>
        <w:pStyle w:val="Heading1"/>
        <w:spacing w:after="0"/>
        <w:ind w:left="0"/>
        <w:rPr>
          <w:rFonts w:ascii="Arial" w:hAnsi="Arial" w:cs="Arial"/>
          <w:noProof/>
        </w:rPr>
      </w:pPr>
      <w:bookmarkStart w:id="2" w:name="_Toc443057931"/>
      <w:bookmarkStart w:id="3" w:name="_Toc475524729"/>
      <w:bookmarkStart w:id="4" w:name="_Toc475529496"/>
      <w:bookmarkStart w:id="5" w:name="_Toc475529535"/>
      <w:bookmarkStart w:id="6" w:name="_Toc475529863"/>
      <w:bookmarkStart w:id="7" w:name="_Toc475550828"/>
      <w:bookmarkStart w:id="8" w:name="_Toc475551368"/>
      <w:bookmarkStart w:id="9" w:name="_Toc507510312"/>
      <w:bookmarkStart w:id="10" w:name="_Toc507517726"/>
      <w:bookmarkStart w:id="11" w:name="_Toc507520107"/>
      <w:bookmarkStart w:id="12" w:name="_Toc510016524"/>
      <w:r>
        <w:rPr>
          <w:rFonts w:ascii="Arial" w:hAnsi="Arial" w:cs="Arial"/>
          <w:noProof/>
        </w:rPr>
        <w:lastRenderedPageBreak/>
        <w:t>Agriculture and rural development</w:t>
      </w:r>
      <w:bookmarkEnd w:id="2"/>
      <w:bookmarkEnd w:id="3"/>
      <w:bookmarkEnd w:id="4"/>
      <w:bookmarkEnd w:id="5"/>
      <w:bookmarkEnd w:id="6"/>
      <w:bookmarkEnd w:id="7"/>
      <w:bookmarkEnd w:id="8"/>
      <w:bookmarkEnd w:id="9"/>
      <w:bookmarkEnd w:id="10"/>
      <w:bookmarkEnd w:id="11"/>
      <w:bookmarkEnd w:id="12"/>
    </w:p>
    <w:p w:rsidR="00E201F7" w:rsidRDefault="00E24EFF">
      <w:pPr>
        <w:pStyle w:val="kop2"/>
        <w:rPr>
          <w:noProof/>
        </w:rPr>
      </w:pPr>
      <w:r>
        <w:rPr>
          <w:noProof/>
        </w:rPr>
        <w:t>COMPLAINTS</w:t>
      </w:r>
    </w:p>
    <w:p w:rsidR="00E201F7" w:rsidRDefault="00E24EFF">
      <w:pPr>
        <w:numPr>
          <w:ilvl w:val="0"/>
          <w:numId w:val="31"/>
        </w:numPr>
        <w:spacing w:before="240"/>
        <w:ind w:left="714" w:hanging="357"/>
        <w:jc w:val="left"/>
        <w:outlineLvl w:val="1"/>
        <w:rPr>
          <w:rFonts w:ascii="Arial" w:hAnsi="Arial" w:cs="Arial"/>
          <w:noProof/>
          <w:color w:val="002060"/>
          <w:sz w:val="22"/>
        </w:rPr>
      </w:pPr>
      <w:bookmarkStart w:id="13" w:name="_Toc434503194"/>
      <w:r>
        <w:rPr>
          <w:rFonts w:ascii="Arial" w:hAnsi="Arial" w:cs="Arial"/>
          <w:noProof/>
          <w:color w:val="002060"/>
          <w:sz w:val="22"/>
        </w:rPr>
        <w:t>New complaints received from members of the public (2013-2017)</w:t>
      </w:r>
      <w:bookmarkEnd w:id="13"/>
    </w:p>
    <w:p w:rsidR="00E201F7" w:rsidRDefault="00E24EFF">
      <w:pPr>
        <w:pStyle w:val="Basis"/>
        <w:rPr>
          <w:noProof/>
          <w:lang w:val="en-GB"/>
        </w:rPr>
      </w:pPr>
      <w:r>
        <w:rPr>
          <w:noProof/>
          <w:lang w:val="en-GB"/>
        </w:rPr>
        <w:drawing>
          <wp:inline distT="0" distB="0" distL="0" distR="0" wp14:anchorId="2D3E5EE6" wp14:editId="4CCB602A">
            <wp:extent cx="4612640" cy="1960880"/>
            <wp:effectExtent l="0" t="0" r="16510" b="20320"/>
            <wp:docPr id="99"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201F7" w:rsidRDefault="00E24EFF">
      <w:pPr>
        <w:numPr>
          <w:ilvl w:val="0"/>
          <w:numId w:val="31"/>
        </w:numPr>
        <w:spacing w:before="120"/>
        <w:ind w:left="714" w:hanging="357"/>
        <w:jc w:val="left"/>
        <w:outlineLvl w:val="1"/>
        <w:rPr>
          <w:rFonts w:ascii="Arial" w:hAnsi="Arial" w:cs="Arial"/>
          <w:noProof/>
          <w:color w:val="002060"/>
          <w:sz w:val="22"/>
        </w:rPr>
      </w:pPr>
      <w:r>
        <w:rPr>
          <w:rFonts w:ascii="Arial" w:hAnsi="Arial" w:cs="Arial"/>
          <w:noProof/>
          <w:color w:val="002060"/>
          <w:sz w:val="22"/>
        </w:rPr>
        <w:t>Public complaints open at year-end</w:t>
      </w:r>
    </w:p>
    <w:tbl>
      <w:tblPr>
        <w:tblW w:w="0" w:type="auto"/>
        <w:jc w:val="center"/>
        <w:tblLook w:val="04A0" w:firstRow="1" w:lastRow="0" w:firstColumn="1" w:lastColumn="0" w:noHBand="0" w:noVBand="1"/>
      </w:tblPr>
      <w:tblGrid>
        <w:gridCol w:w="1697"/>
        <w:gridCol w:w="460"/>
        <w:gridCol w:w="5310"/>
      </w:tblGrid>
      <w:tr w:rsidR="00E201F7">
        <w:trPr>
          <w:trHeight w:val="403"/>
          <w:jc w:val="center"/>
        </w:trPr>
        <w:tc>
          <w:tcPr>
            <w:tcW w:w="1697" w:type="dxa"/>
            <w:shd w:val="clear" w:color="auto" w:fill="auto"/>
            <w:vAlign w:val="center"/>
          </w:tcPr>
          <w:p w:rsidR="00E201F7" w:rsidRDefault="00E24EFF">
            <w:pPr>
              <w:pStyle w:val="Body"/>
              <w:spacing w:after="0"/>
              <w:ind w:firstLine="0"/>
              <w:jc w:val="right"/>
              <w:rPr>
                <w:rFonts w:ascii="Arial" w:hAnsi="Arial" w:cs="Arial"/>
                <w:noProof/>
                <w:color w:val="548DD4"/>
                <w:sz w:val="22"/>
                <w:szCs w:val="28"/>
                <w:lang w:val="en-GB"/>
              </w:rPr>
            </w:pPr>
            <w:r>
              <w:rPr>
                <w:rFonts w:ascii="Arial" w:hAnsi="Arial" w:cs="Arial"/>
                <w:noProof/>
                <w:color w:val="548DD4"/>
                <w:sz w:val="22"/>
                <w:szCs w:val="28"/>
                <w:lang w:val="en-GB"/>
              </w:rPr>
              <w:t>62</w:t>
            </w:r>
          </w:p>
        </w:tc>
        <w:tc>
          <w:tcPr>
            <w:tcW w:w="460" w:type="dxa"/>
            <w:shd w:val="clear" w:color="auto" w:fill="auto"/>
            <w:vAlign w:val="center"/>
          </w:tcPr>
          <w:p w:rsidR="00E201F7" w:rsidRDefault="00E24EFF">
            <w:pPr>
              <w:pStyle w:val="Body"/>
              <w:spacing w:after="0"/>
              <w:ind w:firstLine="0"/>
              <w:jc w:val="right"/>
              <w:rPr>
                <w:rFonts w:ascii="Arial" w:hAnsi="Arial" w:cs="Arial"/>
                <w:noProof/>
                <w:color w:val="548DD4"/>
                <w:sz w:val="22"/>
                <w:szCs w:val="28"/>
                <w:lang w:val="en-GB"/>
              </w:rPr>
            </w:pPr>
            <w:r>
              <w:rPr>
                <w:rFonts w:ascii="Arial" w:hAnsi="Arial" w:cs="Arial"/>
                <w:noProof/>
                <w:color w:val="548DD4"/>
                <w:sz w:val="22"/>
                <w:szCs w:val="28"/>
                <w:lang w:val="en-GB"/>
              </w:rPr>
              <w:t>&gt;</w:t>
            </w:r>
          </w:p>
        </w:tc>
        <w:tc>
          <w:tcPr>
            <w:tcW w:w="5310" w:type="dxa"/>
            <w:shd w:val="clear" w:color="auto" w:fill="auto"/>
            <w:vAlign w:val="center"/>
          </w:tcPr>
          <w:p w:rsidR="00E201F7" w:rsidRDefault="00E24EFF">
            <w:pPr>
              <w:pStyle w:val="Body"/>
              <w:spacing w:after="0"/>
              <w:ind w:firstLine="0"/>
              <w:jc w:val="left"/>
              <w:rPr>
                <w:rFonts w:ascii="Arial" w:hAnsi="Arial" w:cs="Arial"/>
                <w:noProof/>
                <w:color w:val="548DD4"/>
                <w:sz w:val="22"/>
                <w:szCs w:val="28"/>
                <w:lang w:val="en-GB"/>
              </w:rPr>
            </w:pPr>
            <w:r>
              <w:rPr>
                <w:rFonts w:ascii="Arial" w:hAnsi="Arial" w:cs="Arial"/>
                <w:noProof/>
                <w:color w:val="548DD4"/>
                <w:sz w:val="22"/>
                <w:szCs w:val="28"/>
                <w:lang w:val="en-GB"/>
              </w:rPr>
              <w:t>Complaints open at end-2016</w:t>
            </w:r>
          </w:p>
        </w:tc>
      </w:tr>
      <w:tr w:rsidR="00E201F7">
        <w:trPr>
          <w:trHeight w:val="403"/>
          <w:jc w:val="center"/>
        </w:trPr>
        <w:tc>
          <w:tcPr>
            <w:tcW w:w="1697" w:type="dxa"/>
            <w:shd w:val="clear" w:color="auto" w:fill="auto"/>
            <w:vAlign w:val="center"/>
          </w:tcPr>
          <w:p w:rsidR="00E201F7" w:rsidRDefault="00E24EFF">
            <w:pPr>
              <w:pStyle w:val="Body"/>
              <w:spacing w:after="0"/>
              <w:ind w:firstLine="0"/>
              <w:jc w:val="right"/>
              <w:rPr>
                <w:rFonts w:ascii="Arial" w:hAnsi="Arial" w:cs="Arial"/>
                <w:noProof/>
                <w:color w:val="548DD4"/>
                <w:sz w:val="22"/>
                <w:szCs w:val="28"/>
                <w:lang w:val="en-GB"/>
              </w:rPr>
            </w:pPr>
            <w:r>
              <w:rPr>
                <w:rFonts w:ascii="Arial" w:hAnsi="Arial" w:cs="Arial"/>
                <w:noProof/>
                <w:color w:val="548DD4"/>
                <w:sz w:val="22"/>
                <w:szCs w:val="28"/>
                <w:lang w:val="en-GB"/>
              </w:rPr>
              <w:t>97</w:t>
            </w:r>
          </w:p>
        </w:tc>
        <w:tc>
          <w:tcPr>
            <w:tcW w:w="460" w:type="dxa"/>
            <w:shd w:val="clear" w:color="auto" w:fill="auto"/>
            <w:vAlign w:val="center"/>
          </w:tcPr>
          <w:p w:rsidR="00E201F7" w:rsidRDefault="00E24EFF">
            <w:pPr>
              <w:pStyle w:val="Body"/>
              <w:spacing w:after="0"/>
              <w:ind w:firstLine="0"/>
              <w:jc w:val="right"/>
              <w:rPr>
                <w:rFonts w:ascii="Arial" w:hAnsi="Arial" w:cs="Arial"/>
                <w:noProof/>
                <w:color w:val="548DD4"/>
                <w:sz w:val="22"/>
                <w:szCs w:val="28"/>
                <w:lang w:val="en-GB"/>
              </w:rPr>
            </w:pPr>
            <w:r>
              <w:rPr>
                <w:rFonts w:ascii="Arial" w:hAnsi="Arial" w:cs="Arial"/>
                <w:noProof/>
                <w:color w:val="548DD4"/>
                <w:sz w:val="22"/>
                <w:szCs w:val="28"/>
                <w:lang w:val="en-GB"/>
              </w:rPr>
              <w:t>&gt;</w:t>
            </w:r>
          </w:p>
        </w:tc>
        <w:tc>
          <w:tcPr>
            <w:tcW w:w="5310" w:type="dxa"/>
            <w:shd w:val="clear" w:color="auto" w:fill="auto"/>
            <w:vAlign w:val="center"/>
          </w:tcPr>
          <w:p w:rsidR="00E201F7" w:rsidRDefault="00E24EFF">
            <w:pPr>
              <w:pStyle w:val="Body"/>
              <w:spacing w:after="0"/>
              <w:ind w:firstLine="0"/>
              <w:jc w:val="left"/>
              <w:rPr>
                <w:rFonts w:ascii="Arial" w:hAnsi="Arial" w:cs="Arial"/>
                <w:noProof/>
                <w:color w:val="548DD4"/>
                <w:sz w:val="22"/>
                <w:szCs w:val="28"/>
                <w:lang w:val="en-GB"/>
              </w:rPr>
            </w:pPr>
            <w:r>
              <w:rPr>
                <w:rFonts w:ascii="Arial" w:hAnsi="Arial" w:cs="Arial"/>
                <w:noProof/>
                <w:color w:val="548DD4"/>
                <w:sz w:val="22"/>
                <w:szCs w:val="28"/>
                <w:lang w:val="en-GB"/>
              </w:rPr>
              <w:t xml:space="preserve">New </w:t>
            </w:r>
            <w:r>
              <w:rPr>
                <w:rFonts w:ascii="Arial" w:hAnsi="Arial" w:cs="Arial"/>
                <w:noProof/>
                <w:color w:val="548DD4"/>
                <w:sz w:val="22"/>
                <w:szCs w:val="28"/>
                <w:lang w:val="en-GB"/>
              </w:rPr>
              <w:t>complaints registered in 2017</w:t>
            </w:r>
          </w:p>
        </w:tc>
      </w:tr>
      <w:tr w:rsidR="00E201F7">
        <w:trPr>
          <w:trHeight w:val="403"/>
          <w:jc w:val="center"/>
        </w:trPr>
        <w:tc>
          <w:tcPr>
            <w:tcW w:w="1697" w:type="dxa"/>
            <w:tcBorders>
              <w:bottom w:val="single" w:sz="24" w:space="0" w:color="548DD4"/>
            </w:tcBorders>
            <w:shd w:val="clear" w:color="auto" w:fill="auto"/>
            <w:vAlign w:val="center"/>
          </w:tcPr>
          <w:p w:rsidR="00E201F7" w:rsidRDefault="00E24EFF">
            <w:pPr>
              <w:pStyle w:val="Body"/>
              <w:spacing w:after="0"/>
              <w:ind w:firstLine="0"/>
              <w:jc w:val="right"/>
              <w:rPr>
                <w:rFonts w:ascii="Arial" w:hAnsi="Arial" w:cs="Arial"/>
                <w:noProof/>
                <w:color w:val="548DD4"/>
                <w:sz w:val="22"/>
                <w:szCs w:val="28"/>
                <w:lang w:val="en-GB"/>
              </w:rPr>
            </w:pPr>
            <w:r>
              <w:rPr>
                <w:rFonts w:ascii="Arial" w:hAnsi="Arial" w:cs="Arial"/>
                <w:noProof/>
                <w:color w:val="548DD4"/>
                <w:sz w:val="22"/>
                <w:szCs w:val="28"/>
                <w:lang w:val="en-GB"/>
              </w:rPr>
              <w:t>119</w:t>
            </w:r>
          </w:p>
        </w:tc>
        <w:tc>
          <w:tcPr>
            <w:tcW w:w="460" w:type="dxa"/>
            <w:shd w:val="clear" w:color="auto" w:fill="auto"/>
            <w:vAlign w:val="center"/>
          </w:tcPr>
          <w:p w:rsidR="00E201F7" w:rsidRDefault="00E24EFF">
            <w:pPr>
              <w:pStyle w:val="Body"/>
              <w:spacing w:after="0"/>
              <w:ind w:firstLine="0"/>
              <w:jc w:val="right"/>
              <w:rPr>
                <w:rFonts w:ascii="Arial" w:hAnsi="Arial" w:cs="Arial"/>
                <w:noProof/>
                <w:color w:val="548DD4"/>
                <w:sz w:val="22"/>
                <w:szCs w:val="28"/>
                <w:lang w:val="en-GB"/>
              </w:rPr>
            </w:pPr>
            <w:r>
              <w:rPr>
                <w:rFonts w:ascii="Arial" w:hAnsi="Arial" w:cs="Arial"/>
                <w:noProof/>
                <w:color w:val="548DD4"/>
                <w:sz w:val="22"/>
                <w:szCs w:val="28"/>
                <w:lang w:val="en-GB"/>
              </w:rPr>
              <w:t>&gt;</w:t>
            </w:r>
          </w:p>
        </w:tc>
        <w:tc>
          <w:tcPr>
            <w:tcW w:w="5310" w:type="dxa"/>
            <w:shd w:val="clear" w:color="auto" w:fill="auto"/>
            <w:vAlign w:val="center"/>
          </w:tcPr>
          <w:p w:rsidR="00E201F7" w:rsidRDefault="00E24EFF">
            <w:pPr>
              <w:pStyle w:val="Body"/>
              <w:spacing w:after="0"/>
              <w:ind w:firstLine="0"/>
              <w:jc w:val="left"/>
              <w:rPr>
                <w:rFonts w:ascii="Arial" w:hAnsi="Arial" w:cs="Arial"/>
                <w:noProof/>
                <w:color w:val="548DD4"/>
                <w:sz w:val="22"/>
                <w:szCs w:val="28"/>
                <w:lang w:val="en-GB"/>
              </w:rPr>
            </w:pPr>
            <w:r>
              <w:rPr>
                <w:rFonts w:ascii="Arial" w:hAnsi="Arial" w:cs="Arial"/>
                <w:noProof/>
                <w:color w:val="548DD4"/>
                <w:sz w:val="22"/>
                <w:szCs w:val="28"/>
                <w:lang w:val="en-GB"/>
              </w:rPr>
              <w:t>Complaints handled in 2017</w:t>
            </w:r>
          </w:p>
        </w:tc>
      </w:tr>
      <w:tr w:rsidR="00E201F7">
        <w:trPr>
          <w:trHeight w:val="403"/>
          <w:jc w:val="center"/>
        </w:trPr>
        <w:tc>
          <w:tcPr>
            <w:tcW w:w="1697" w:type="dxa"/>
            <w:tcBorders>
              <w:top w:val="single" w:sz="24" w:space="0" w:color="548DD4"/>
            </w:tcBorders>
            <w:shd w:val="clear" w:color="auto" w:fill="auto"/>
            <w:vAlign w:val="center"/>
          </w:tcPr>
          <w:p w:rsidR="00E201F7" w:rsidRDefault="00E24EFF">
            <w:pPr>
              <w:pStyle w:val="Body"/>
              <w:spacing w:after="0"/>
              <w:ind w:firstLine="0"/>
              <w:jc w:val="right"/>
              <w:rPr>
                <w:rFonts w:ascii="Arial" w:hAnsi="Arial" w:cs="Arial"/>
                <w:noProof/>
                <w:color w:val="C00000"/>
                <w:sz w:val="22"/>
                <w:szCs w:val="28"/>
                <w:lang w:val="en-GB"/>
              </w:rPr>
            </w:pPr>
            <w:r>
              <w:rPr>
                <w:rFonts w:ascii="Arial" w:hAnsi="Arial" w:cs="Arial"/>
                <w:noProof/>
                <w:color w:val="C00000"/>
                <w:sz w:val="22"/>
                <w:szCs w:val="28"/>
                <w:lang w:val="en-GB"/>
              </w:rPr>
              <w:t>= 40</w:t>
            </w:r>
          </w:p>
        </w:tc>
        <w:tc>
          <w:tcPr>
            <w:tcW w:w="460" w:type="dxa"/>
            <w:shd w:val="clear" w:color="auto" w:fill="auto"/>
            <w:vAlign w:val="center"/>
          </w:tcPr>
          <w:p w:rsidR="00E201F7" w:rsidRDefault="00E24EFF">
            <w:pPr>
              <w:pStyle w:val="Body"/>
              <w:spacing w:after="0"/>
              <w:ind w:firstLine="0"/>
              <w:jc w:val="right"/>
              <w:rPr>
                <w:rFonts w:ascii="Arial" w:hAnsi="Arial" w:cs="Arial"/>
                <w:noProof/>
                <w:color w:val="548DD4"/>
                <w:sz w:val="22"/>
                <w:szCs w:val="28"/>
                <w:lang w:val="en-GB"/>
              </w:rPr>
            </w:pPr>
            <w:r>
              <w:rPr>
                <w:rFonts w:ascii="Arial" w:hAnsi="Arial" w:cs="Arial"/>
                <w:noProof/>
                <w:color w:val="548DD4"/>
                <w:sz w:val="22"/>
                <w:szCs w:val="28"/>
                <w:lang w:val="en-GB"/>
              </w:rPr>
              <w:t>&gt;</w:t>
            </w:r>
          </w:p>
        </w:tc>
        <w:tc>
          <w:tcPr>
            <w:tcW w:w="5310" w:type="dxa"/>
            <w:shd w:val="clear" w:color="auto" w:fill="auto"/>
            <w:vAlign w:val="center"/>
          </w:tcPr>
          <w:p w:rsidR="00E201F7" w:rsidRDefault="00E24EFF">
            <w:pPr>
              <w:pStyle w:val="Body"/>
              <w:spacing w:after="0"/>
              <w:ind w:firstLine="0"/>
              <w:jc w:val="left"/>
              <w:rPr>
                <w:rFonts w:ascii="Arial" w:hAnsi="Arial" w:cs="Arial"/>
                <w:noProof/>
                <w:color w:val="548DD4"/>
                <w:sz w:val="22"/>
                <w:szCs w:val="28"/>
                <w:lang w:val="en-GB"/>
              </w:rPr>
            </w:pPr>
            <w:r>
              <w:rPr>
                <w:rFonts w:ascii="Arial" w:hAnsi="Arial" w:cs="Arial"/>
                <w:noProof/>
                <w:color w:val="548DD4"/>
                <w:sz w:val="22"/>
                <w:szCs w:val="28"/>
                <w:lang w:val="en-GB"/>
              </w:rPr>
              <w:t>Complaints open at end-2017</w:t>
            </w:r>
          </w:p>
        </w:tc>
      </w:tr>
    </w:tbl>
    <w:p w:rsidR="00E201F7" w:rsidRDefault="00E24EFF">
      <w:pPr>
        <w:numPr>
          <w:ilvl w:val="0"/>
          <w:numId w:val="31"/>
        </w:numPr>
        <w:spacing w:before="240"/>
        <w:ind w:left="714" w:hanging="357"/>
        <w:jc w:val="left"/>
        <w:outlineLvl w:val="1"/>
        <w:rPr>
          <w:rFonts w:ascii="Arial" w:hAnsi="Arial" w:cs="Arial"/>
          <w:noProof/>
          <w:color w:val="002060"/>
          <w:sz w:val="22"/>
        </w:rPr>
      </w:pPr>
      <w:r>
        <w:rPr>
          <w:rFonts w:ascii="Arial" w:hAnsi="Arial" w:cs="Arial"/>
          <w:noProof/>
          <w:color w:val="002060"/>
          <w:sz w:val="22"/>
        </w:rPr>
        <w:t>New complaints registered in 2017: main policy sectors</w:t>
      </w:r>
    </w:p>
    <w:p w:rsidR="00E201F7" w:rsidRDefault="00E24EFF">
      <w:pPr>
        <w:ind w:left="720"/>
        <w:rPr>
          <w:rFonts w:ascii="Verdana" w:hAnsi="Verdana"/>
          <w:noProof/>
          <w:sz w:val="20"/>
        </w:rPr>
      </w:pPr>
      <w:r>
        <w:rPr>
          <w:rFonts w:ascii="Verdana" w:hAnsi="Verdana"/>
          <w:noProof/>
          <w:sz w:val="20"/>
        </w:rPr>
        <w:drawing>
          <wp:inline distT="0" distB="0" distL="0" distR="0" wp14:anchorId="31351775" wp14:editId="5CD1A211">
            <wp:extent cx="4582160" cy="2499360"/>
            <wp:effectExtent l="0" t="0" r="27940" b="15240"/>
            <wp:docPr id="98"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rFonts w:ascii="Verdana" w:hAnsi="Verdana"/>
          <w:noProof/>
          <w:sz w:val="20"/>
        </w:rPr>
        <w:br w:type="page"/>
      </w:r>
    </w:p>
    <w:p w:rsidR="00E201F7" w:rsidRDefault="00E24EFF">
      <w:pPr>
        <w:pStyle w:val="kop2"/>
        <w:rPr>
          <w:noProof/>
        </w:rPr>
      </w:pPr>
      <w:r>
        <w:rPr>
          <w:noProof/>
        </w:rPr>
        <w:lastRenderedPageBreak/>
        <w:t>EU PILOT</w:t>
      </w:r>
    </w:p>
    <w:p w:rsidR="00E201F7" w:rsidRDefault="00E24EFF">
      <w:pPr>
        <w:numPr>
          <w:ilvl w:val="0"/>
          <w:numId w:val="32"/>
        </w:numPr>
        <w:spacing w:before="120"/>
        <w:ind w:left="714" w:hanging="357"/>
        <w:jc w:val="left"/>
        <w:outlineLvl w:val="1"/>
        <w:rPr>
          <w:rFonts w:ascii="Arial" w:hAnsi="Arial" w:cs="Arial"/>
          <w:noProof/>
          <w:color w:val="002060"/>
          <w:sz w:val="22"/>
        </w:rPr>
      </w:pPr>
      <w:bookmarkStart w:id="14" w:name="_Toc434503197"/>
      <w:r>
        <w:rPr>
          <w:rFonts w:ascii="Arial" w:hAnsi="Arial" w:cs="Arial"/>
          <w:noProof/>
          <w:color w:val="002060"/>
          <w:sz w:val="22"/>
        </w:rPr>
        <w:t>New EU Pilot files (2013-2017)</w:t>
      </w:r>
      <w:bookmarkEnd w:id="14"/>
    </w:p>
    <w:p w:rsidR="00E201F7" w:rsidRDefault="00E24EFF">
      <w:pPr>
        <w:pStyle w:val="Basis"/>
        <w:rPr>
          <w:noProof/>
          <w:lang w:val="en-GB"/>
        </w:rPr>
      </w:pPr>
      <w:r>
        <w:rPr>
          <w:b/>
          <w:i/>
          <w:noProof/>
          <w:lang w:val="en-GB"/>
        </w:rPr>
        <w:drawing>
          <wp:inline distT="0" distB="0" distL="0" distR="0" wp14:anchorId="714359B6" wp14:editId="3FD59EC4">
            <wp:extent cx="4592320" cy="1696720"/>
            <wp:effectExtent l="0" t="0" r="17780" b="17780"/>
            <wp:docPr id="97"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201F7" w:rsidRDefault="00E24EFF">
      <w:pPr>
        <w:numPr>
          <w:ilvl w:val="0"/>
          <w:numId w:val="32"/>
        </w:numPr>
        <w:spacing w:before="240"/>
        <w:ind w:left="714" w:hanging="357"/>
        <w:jc w:val="left"/>
        <w:outlineLvl w:val="1"/>
        <w:rPr>
          <w:rFonts w:ascii="Arial" w:hAnsi="Arial" w:cs="Arial"/>
          <w:noProof/>
          <w:color w:val="002060"/>
          <w:sz w:val="22"/>
        </w:rPr>
      </w:pPr>
      <w:r>
        <w:rPr>
          <w:rFonts w:ascii="Arial" w:hAnsi="Arial" w:cs="Arial"/>
          <w:noProof/>
          <w:color w:val="002060"/>
          <w:sz w:val="22"/>
        </w:rPr>
        <w:t>EU Pilot files open at year-end</w:t>
      </w:r>
    </w:p>
    <w:p w:rsidR="00E201F7" w:rsidRDefault="00E24EFF">
      <w:pPr>
        <w:ind w:left="720"/>
        <w:rPr>
          <w:rFonts w:ascii="Arial" w:hAnsi="Arial" w:cs="Arial"/>
          <w:noProof/>
          <w:sz w:val="20"/>
        </w:rPr>
      </w:pPr>
      <w:bookmarkStart w:id="15" w:name="_Toc434503199"/>
      <w:r>
        <w:rPr>
          <w:rFonts w:ascii="Arial" w:hAnsi="Arial" w:cs="Arial"/>
          <w:noProof/>
          <w:sz w:val="20"/>
        </w:rPr>
        <w:t xml:space="preserve">At the end of 2017, 17 </w:t>
      </w:r>
      <w:r>
        <w:rPr>
          <w:rFonts w:ascii="Arial" w:hAnsi="Arial" w:cs="Arial"/>
          <w:noProof/>
          <w:sz w:val="20"/>
        </w:rPr>
        <w:t>EU Pilot files remained open.</w:t>
      </w:r>
    </w:p>
    <w:p w:rsidR="00E201F7" w:rsidRDefault="00E24EFF">
      <w:pPr>
        <w:numPr>
          <w:ilvl w:val="0"/>
          <w:numId w:val="32"/>
        </w:numPr>
        <w:spacing w:before="240"/>
        <w:ind w:left="714" w:hanging="357"/>
        <w:jc w:val="left"/>
        <w:outlineLvl w:val="1"/>
        <w:rPr>
          <w:noProof/>
          <w:color w:val="002060"/>
          <w:szCs w:val="24"/>
        </w:rPr>
      </w:pPr>
      <w:bookmarkStart w:id="16" w:name="_Toc434503200"/>
      <w:bookmarkEnd w:id="15"/>
      <w:r>
        <w:rPr>
          <w:rFonts w:ascii="Arial" w:hAnsi="Arial" w:cs="Arial"/>
          <w:noProof/>
          <w:color w:val="002060"/>
          <w:sz w:val="22"/>
        </w:rPr>
        <w:t>EU Pilot files: resolution rate for policies (2013-</w:t>
      </w:r>
      <w:bookmarkEnd w:id="16"/>
      <w:r>
        <w:rPr>
          <w:rFonts w:ascii="Arial" w:hAnsi="Arial" w:cs="Arial"/>
          <w:noProof/>
          <w:color w:val="002060"/>
          <w:sz w:val="22"/>
        </w:rPr>
        <w:t>2017)</w:t>
      </w:r>
    </w:p>
    <w:p w:rsidR="00E201F7" w:rsidRDefault="00E24EFF">
      <w:pPr>
        <w:pStyle w:val="Basis"/>
        <w:rPr>
          <w:noProof/>
          <w:lang w:val="en-GB"/>
        </w:rPr>
      </w:pPr>
      <w:r>
        <w:rPr>
          <w:noProof/>
          <w:color w:val="00B050"/>
          <w:lang w:val="en-GB"/>
        </w:rPr>
        <w:drawing>
          <wp:inline distT="0" distB="0" distL="0" distR="0" wp14:anchorId="0138A497" wp14:editId="750EF118">
            <wp:extent cx="4594860" cy="2118360"/>
            <wp:effectExtent l="0" t="0" r="15240" b="15240"/>
            <wp:docPr id="109"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201F7" w:rsidRDefault="00E24EFF">
      <w:pPr>
        <w:pStyle w:val="kop2"/>
        <w:rPr>
          <w:noProof/>
        </w:rPr>
      </w:pPr>
      <w:r>
        <w:rPr>
          <w:noProof/>
        </w:rPr>
        <w:t>OWN-INITIATIVE CASES</w:t>
      </w:r>
    </w:p>
    <w:p w:rsidR="00E201F7" w:rsidRDefault="00E24EFF">
      <w:pPr>
        <w:ind w:left="360" w:hanging="3"/>
        <w:rPr>
          <w:rFonts w:ascii="Arial" w:hAnsi="Arial" w:cs="Arial"/>
          <w:noProof/>
          <w:sz w:val="22"/>
        </w:rPr>
      </w:pPr>
      <w:r>
        <w:rPr>
          <w:rFonts w:ascii="Arial" w:hAnsi="Arial" w:cs="Arial"/>
          <w:noProof/>
          <w:sz w:val="22"/>
        </w:rPr>
        <w:t>New own-initiative infringement cases</w:t>
      </w:r>
    </w:p>
    <w:p w:rsidR="00E201F7" w:rsidRDefault="00E24EFF">
      <w:pPr>
        <w:pStyle w:val="Basis"/>
        <w:rPr>
          <w:rFonts w:cs="Arial"/>
          <w:noProof/>
          <w:lang w:val="en-GB"/>
        </w:rPr>
      </w:pPr>
      <w:r>
        <w:rPr>
          <w:rFonts w:ascii="Arial" w:hAnsi="Arial" w:cs="Arial"/>
          <w:noProof/>
          <w:lang w:val="en-GB"/>
        </w:rPr>
        <w:t xml:space="preserve">In 2017, the Commission opened own-initiative infringement cases for non-compliance with the rules on </w:t>
      </w:r>
      <w:r>
        <w:rPr>
          <w:rFonts w:ascii="Arial" w:hAnsi="Arial" w:cs="Arial"/>
          <w:noProof/>
          <w:lang w:val="en-GB"/>
        </w:rPr>
        <w:t>protected designations of origin.</w:t>
      </w:r>
    </w:p>
    <w:p w:rsidR="00E201F7" w:rsidRDefault="00E24EFF">
      <w:pPr>
        <w:pStyle w:val="kop2"/>
        <w:rPr>
          <w:noProof/>
        </w:rPr>
      </w:pPr>
      <w:r>
        <w:rPr>
          <w:noProof/>
        </w:rPr>
        <w:t>INFRINGEMENT CASES</w:t>
      </w:r>
    </w:p>
    <w:p w:rsidR="00E201F7" w:rsidRDefault="00E24EFF">
      <w:pPr>
        <w:ind w:firstLine="357"/>
        <w:rPr>
          <w:rFonts w:ascii="Arial" w:hAnsi="Arial" w:cs="Arial"/>
          <w:noProof/>
          <w:sz w:val="22"/>
        </w:rPr>
      </w:pPr>
      <w:bookmarkStart w:id="17" w:name="_Toc434503204"/>
      <w:r>
        <w:rPr>
          <w:rFonts w:ascii="Arial" w:hAnsi="Arial" w:cs="Arial"/>
          <w:noProof/>
          <w:sz w:val="22"/>
        </w:rPr>
        <w:t>Key infringement cases and referrals to the Court</w:t>
      </w:r>
      <w:bookmarkEnd w:id="17"/>
    </w:p>
    <w:p w:rsidR="00E201F7" w:rsidRDefault="00E24EFF">
      <w:pPr>
        <w:pStyle w:val="Lijstje"/>
        <w:numPr>
          <w:ilvl w:val="0"/>
          <w:numId w:val="26"/>
        </w:numPr>
        <w:spacing w:after="120"/>
        <w:ind w:left="1200" w:hanging="360"/>
        <w:rPr>
          <w:rFonts w:ascii="Arial" w:hAnsi="Arial" w:cs="Arial"/>
          <w:noProof/>
          <w:lang w:val="en-GB"/>
        </w:rPr>
      </w:pPr>
      <w:r>
        <w:rPr>
          <w:rFonts w:ascii="Arial" w:hAnsi="Arial" w:cs="Arial"/>
          <w:noProof/>
          <w:lang w:val="en-GB"/>
        </w:rPr>
        <w:t>The Commission opened 8 new infringement cases in 2017. These concern:</w:t>
      </w:r>
    </w:p>
    <w:p w:rsidR="00E201F7" w:rsidRDefault="00E24EFF">
      <w:pPr>
        <w:pStyle w:val="Lijstje"/>
        <w:numPr>
          <w:ilvl w:val="0"/>
          <w:numId w:val="65"/>
        </w:numPr>
        <w:tabs>
          <w:tab w:val="left" w:pos="1800"/>
          <w:tab w:val="left" w:pos="2040"/>
        </w:tabs>
        <w:spacing w:after="120"/>
        <w:ind w:left="1800"/>
        <w:rPr>
          <w:rFonts w:ascii="Arial" w:hAnsi="Arial"/>
          <w:noProof/>
          <w:lang w:val="en-GB"/>
        </w:rPr>
      </w:pPr>
      <w:r>
        <w:rPr>
          <w:rFonts w:ascii="Arial" w:hAnsi="Arial" w:cs="Arial"/>
          <w:i/>
          <w:noProof/>
          <w:lang w:val="en-GB"/>
        </w:rPr>
        <w:t>Bulgaria, Italy, Cyprus, Luxembourg, Portugal, Romania, Finland and United Kingdom</w:t>
      </w:r>
      <w:r>
        <w:rPr>
          <w:rFonts w:ascii="Arial" w:hAnsi="Arial" w:cs="Arial"/>
          <w:noProof/>
          <w:lang w:val="en-GB"/>
        </w:rPr>
        <w:t>: non-communication of national measures transposing the Directive on caseins and caseinates</w:t>
      </w:r>
      <w:r>
        <w:rPr>
          <w:rStyle w:val="FootnoteReference"/>
          <w:noProof/>
          <w:lang w:val="en-GB"/>
        </w:rPr>
        <w:footnoteReference w:id="1"/>
      </w:r>
      <w:r>
        <w:rPr>
          <w:rFonts w:ascii="Arial" w:hAnsi="Arial" w:cs="Arial"/>
          <w:noProof/>
          <w:lang w:val="en-GB"/>
        </w:rPr>
        <w:t>;</w:t>
      </w:r>
    </w:p>
    <w:p w:rsidR="00E201F7" w:rsidRDefault="00E24EFF">
      <w:pPr>
        <w:pStyle w:val="Lijstje"/>
        <w:numPr>
          <w:ilvl w:val="0"/>
          <w:numId w:val="26"/>
        </w:numPr>
        <w:spacing w:after="120"/>
        <w:ind w:left="1200" w:hanging="360"/>
        <w:rPr>
          <w:rFonts w:cs="Arial"/>
          <w:noProof/>
          <w:lang w:val="en-GB"/>
        </w:rPr>
      </w:pPr>
      <w:r>
        <w:rPr>
          <w:rFonts w:ascii="Arial" w:hAnsi="Arial" w:cs="Arial"/>
          <w:noProof/>
          <w:lang w:val="en-GB"/>
        </w:rPr>
        <w:t>The Commission did not refer any cases to the Court under Article 258 TFEU.</w:t>
      </w:r>
    </w:p>
    <w:p w:rsidR="00E201F7" w:rsidRDefault="00E24EFF">
      <w:pPr>
        <w:pStyle w:val="Lijstje"/>
        <w:numPr>
          <w:ilvl w:val="0"/>
          <w:numId w:val="26"/>
        </w:numPr>
        <w:spacing w:after="120"/>
        <w:ind w:left="1200" w:hanging="360"/>
        <w:rPr>
          <w:rFonts w:ascii="Arial" w:hAnsi="Arial" w:cs="Arial"/>
          <w:noProof/>
          <w:lang w:val="en-GB"/>
        </w:rPr>
      </w:pPr>
      <w:r>
        <w:rPr>
          <w:rFonts w:ascii="Arial" w:hAnsi="Arial" w:cs="Arial"/>
          <w:noProof/>
          <w:lang w:val="en-GB"/>
        </w:rPr>
        <w:t>The Commission did not refer any cases to the Court under Article 260(2) TFEU.</w:t>
      </w:r>
    </w:p>
    <w:p w:rsidR="00E201F7" w:rsidRDefault="00E24EFF">
      <w:pPr>
        <w:pStyle w:val="kop2"/>
        <w:rPr>
          <w:noProof/>
        </w:rPr>
      </w:pPr>
      <w:r>
        <w:rPr>
          <w:noProof/>
        </w:rPr>
        <w:t xml:space="preserve">EARLY </w:t>
      </w:r>
      <w:r>
        <w:rPr>
          <w:noProof/>
        </w:rPr>
        <w:t>RESOLUTION OF INFRINGEMENT CASES</w:t>
      </w:r>
    </w:p>
    <w:p w:rsidR="00E201F7" w:rsidRDefault="00E24EFF">
      <w:pPr>
        <w:ind w:firstLine="357"/>
        <w:rPr>
          <w:rFonts w:ascii="Arial" w:hAnsi="Arial" w:cs="Arial"/>
          <w:noProof/>
          <w:sz w:val="22"/>
        </w:rPr>
      </w:pPr>
      <w:bookmarkStart w:id="18" w:name="_Toc434503208"/>
      <w:r>
        <w:rPr>
          <w:rFonts w:ascii="Arial" w:hAnsi="Arial" w:cs="Arial"/>
          <w:noProof/>
          <w:sz w:val="22"/>
        </w:rPr>
        <w:t xml:space="preserve">Major cases closed without a Court judgment in </w:t>
      </w:r>
      <w:bookmarkEnd w:id="18"/>
      <w:r>
        <w:rPr>
          <w:rFonts w:ascii="Arial" w:hAnsi="Arial" w:cs="Arial"/>
          <w:noProof/>
          <w:sz w:val="22"/>
        </w:rPr>
        <w:t>2017</w:t>
      </w:r>
    </w:p>
    <w:p w:rsidR="00E201F7" w:rsidRDefault="00E24EFF">
      <w:pPr>
        <w:pStyle w:val="Basis"/>
        <w:rPr>
          <w:rFonts w:ascii="Arial" w:hAnsi="Arial" w:cs="Arial"/>
          <w:noProof/>
          <w:lang w:val="en-GB"/>
        </w:rPr>
      </w:pPr>
      <w:r>
        <w:rPr>
          <w:rFonts w:ascii="Arial" w:hAnsi="Arial" w:cs="Arial"/>
          <w:noProof/>
          <w:lang w:val="en-GB"/>
        </w:rPr>
        <w:t>These concerned:</w:t>
      </w:r>
    </w:p>
    <w:p w:rsidR="00E201F7" w:rsidRDefault="00E24EFF">
      <w:pPr>
        <w:pStyle w:val="Lijstje"/>
        <w:numPr>
          <w:ilvl w:val="0"/>
          <w:numId w:val="65"/>
        </w:numPr>
        <w:tabs>
          <w:tab w:val="left" w:pos="1200"/>
        </w:tabs>
        <w:spacing w:after="120"/>
        <w:ind w:left="1200"/>
        <w:rPr>
          <w:rFonts w:cs="Arial"/>
          <w:noProof/>
          <w:lang w:val="en-GB"/>
        </w:rPr>
      </w:pPr>
      <w:r>
        <w:rPr>
          <w:rFonts w:ascii="Arial" w:hAnsi="Arial" w:cs="Arial"/>
          <w:i/>
          <w:noProof/>
          <w:lang w:val="en-GB"/>
        </w:rPr>
        <w:t>Bulgaria, Luxembourg, Portugal, Romania</w:t>
      </w:r>
      <w:r>
        <w:rPr>
          <w:rFonts w:cs="Arial"/>
          <w:i/>
          <w:noProof/>
          <w:lang w:val="en-GB"/>
        </w:rPr>
        <w:t xml:space="preserve"> and</w:t>
      </w:r>
      <w:r>
        <w:rPr>
          <w:rFonts w:ascii="Arial" w:hAnsi="Arial" w:cs="Arial"/>
          <w:i/>
          <w:noProof/>
          <w:lang w:val="en-GB"/>
        </w:rPr>
        <w:t xml:space="preserve"> Finland</w:t>
      </w:r>
      <w:r>
        <w:rPr>
          <w:rFonts w:ascii="Arial" w:hAnsi="Arial" w:cs="Arial"/>
          <w:noProof/>
          <w:lang w:val="en-GB"/>
        </w:rPr>
        <w:t>: non-communication of national measures transposing the Directive on caseins and caseinates</w:t>
      </w:r>
      <w:r>
        <w:rPr>
          <w:rStyle w:val="FootnoteReference"/>
          <w:noProof/>
          <w:lang w:val="en-GB"/>
        </w:rPr>
        <w:footnoteReference w:id="2"/>
      </w:r>
      <w:r>
        <w:rPr>
          <w:rFonts w:ascii="Arial" w:hAnsi="Arial" w:cs="Arial"/>
          <w:noProof/>
          <w:lang w:val="en-GB"/>
        </w:rPr>
        <w:t>.</w:t>
      </w:r>
    </w:p>
    <w:p w:rsidR="00E201F7" w:rsidRDefault="00E24EFF">
      <w:pPr>
        <w:pStyle w:val="kop2"/>
        <w:rPr>
          <w:noProof/>
        </w:rPr>
      </w:pPr>
      <w:r>
        <w:rPr>
          <w:noProof/>
        </w:rPr>
        <w:t>IMPORTAN</w:t>
      </w:r>
      <w:r>
        <w:rPr>
          <w:noProof/>
        </w:rPr>
        <w:t>T JUDGMENTS</w:t>
      </w:r>
    </w:p>
    <w:p w:rsidR="00E201F7" w:rsidRDefault="00E24EFF">
      <w:pPr>
        <w:numPr>
          <w:ilvl w:val="0"/>
          <w:numId w:val="91"/>
        </w:numPr>
        <w:spacing w:before="120"/>
        <w:jc w:val="left"/>
        <w:outlineLvl w:val="1"/>
        <w:rPr>
          <w:rFonts w:ascii="Arial" w:hAnsi="Arial" w:cs="Arial"/>
          <w:noProof/>
          <w:color w:val="002060"/>
          <w:sz w:val="22"/>
        </w:rPr>
      </w:pPr>
      <w:bookmarkStart w:id="19" w:name="_Toc434503209"/>
      <w:r>
        <w:rPr>
          <w:rFonts w:ascii="Arial" w:hAnsi="Arial" w:cs="Arial"/>
          <w:noProof/>
          <w:color w:val="002060"/>
          <w:sz w:val="22"/>
        </w:rPr>
        <w:t>Court rulings</w:t>
      </w:r>
      <w:bookmarkEnd w:id="19"/>
    </w:p>
    <w:p w:rsidR="00E201F7" w:rsidRDefault="00E24EFF">
      <w:pPr>
        <w:pStyle w:val="Basis"/>
        <w:rPr>
          <w:rFonts w:ascii="Arial" w:hAnsi="Arial" w:cs="Arial"/>
          <w:noProof/>
          <w:lang w:val="en-GB"/>
        </w:rPr>
      </w:pPr>
      <w:r>
        <w:rPr>
          <w:rFonts w:ascii="Arial" w:hAnsi="Arial" w:cs="Arial"/>
          <w:noProof/>
          <w:lang w:val="en-GB"/>
        </w:rPr>
        <w:t xml:space="preserve">There were no major Court rulings in </w:t>
      </w:r>
      <w:smartTag w:uri="urn:schemas-microsoft-com:office:smarttags" w:element="metricconverter">
        <w:smartTagPr>
          <w:attr w:name="ProductID" w:val="2017 in"/>
        </w:smartTagPr>
        <w:r>
          <w:rPr>
            <w:rFonts w:ascii="Arial" w:hAnsi="Arial" w:cs="Arial"/>
            <w:noProof/>
            <w:lang w:val="en-GB"/>
          </w:rPr>
          <w:t>2017 in</w:t>
        </w:r>
      </w:smartTag>
      <w:r>
        <w:rPr>
          <w:rFonts w:ascii="Arial" w:hAnsi="Arial" w:cs="Arial"/>
          <w:noProof/>
          <w:lang w:val="en-GB"/>
        </w:rPr>
        <w:t xml:space="preserve"> this area.</w:t>
      </w:r>
    </w:p>
    <w:p w:rsidR="00E201F7" w:rsidRDefault="00E24EFF">
      <w:pPr>
        <w:numPr>
          <w:ilvl w:val="0"/>
          <w:numId w:val="91"/>
        </w:numPr>
        <w:spacing w:before="120"/>
        <w:jc w:val="left"/>
        <w:outlineLvl w:val="1"/>
        <w:rPr>
          <w:rFonts w:ascii="Arial" w:hAnsi="Arial" w:cs="Arial"/>
          <w:noProof/>
          <w:color w:val="002060"/>
          <w:sz w:val="22"/>
        </w:rPr>
      </w:pPr>
      <w:bookmarkStart w:id="20" w:name="_Toc434503210"/>
      <w:r>
        <w:rPr>
          <w:rFonts w:ascii="Arial" w:hAnsi="Arial" w:cs="Arial"/>
          <w:noProof/>
          <w:color w:val="002060"/>
          <w:sz w:val="22"/>
        </w:rPr>
        <w:t>Preliminary rulings</w:t>
      </w:r>
      <w:bookmarkEnd w:id="20"/>
    </w:p>
    <w:p w:rsidR="00E201F7" w:rsidRDefault="00E24EFF">
      <w:pPr>
        <w:pStyle w:val="Basis"/>
        <w:rPr>
          <w:rFonts w:ascii="Arial" w:hAnsi="Arial" w:cs="Arial"/>
          <w:noProof/>
          <w:lang w:val="en-GB"/>
        </w:rPr>
      </w:pPr>
      <w:r>
        <w:rPr>
          <w:rFonts w:ascii="Arial" w:hAnsi="Arial" w:cs="Arial"/>
          <w:noProof/>
          <w:lang w:val="en-GB"/>
        </w:rPr>
        <w:t>The Court gave the following preliminary rulings.</w:t>
      </w:r>
    </w:p>
    <w:p w:rsidR="00E201F7" w:rsidRDefault="00E24EFF">
      <w:pPr>
        <w:pStyle w:val="Lijstje"/>
        <w:numPr>
          <w:ilvl w:val="0"/>
          <w:numId w:val="65"/>
        </w:numPr>
        <w:tabs>
          <w:tab w:val="left" w:pos="1200"/>
        </w:tabs>
        <w:spacing w:after="120"/>
        <w:ind w:left="1200"/>
        <w:rPr>
          <w:rFonts w:cs="Arial"/>
          <w:noProof/>
          <w:lang w:val="en-GB"/>
        </w:rPr>
      </w:pPr>
      <w:r>
        <w:rPr>
          <w:rFonts w:ascii="Arial" w:hAnsi="Arial" w:cs="Arial"/>
          <w:i/>
          <w:noProof/>
          <w:lang w:val="en-GB"/>
        </w:rPr>
        <w:t>Germany</w:t>
      </w:r>
      <w:r>
        <w:rPr>
          <w:rFonts w:ascii="Arial" w:hAnsi="Arial" w:cs="Arial"/>
          <w:noProof/>
          <w:lang w:val="en-GB"/>
        </w:rPr>
        <w:t>:</w:t>
      </w:r>
      <w:r>
        <w:rPr>
          <w:rFonts w:cs="Arial"/>
          <w:noProof/>
          <w:lang w:val="en-GB"/>
        </w:rPr>
        <w:t xml:space="preserve"> P</w:t>
      </w:r>
      <w:r>
        <w:rPr>
          <w:rFonts w:ascii="Arial" w:hAnsi="Arial" w:cs="Arial"/>
          <w:noProof/>
          <w:lang w:val="en-GB"/>
        </w:rPr>
        <w:t>urely plant-based products cannot, in principle, be marketed with designations such as ‘milk’,</w:t>
      </w:r>
      <w:r>
        <w:rPr>
          <w:rFonts w:ascii="Arial" w:hAnsi="Arial" w:cs="Arial"/>
          <w:noProof/>
          <w:lang w:val="en-GB"/>
        </w:rPr>
        <w:t xml:space="preserve"> ‘cream’, ‘butter’, ‘cheese’ or ‘yoghurt’, which are reserved by EU law for animal products. This prohibition applies even if those designations are accompanied by clarifying or descriptive terms indicating the plant origin of the product concerned. This p</w:t>
      </w:r>
      <w:r>
        <w:rPr>
          <w:rFonts w:ascii="Arial" w:hAnsi="Arial" w:cs="Arial"/>
          <w:noProof/>
          <w:lang w:val="en-GB"/>
        </w:rPr>
        <w:t>rohibition however does not apply if the product is mentioned on a list of exceptions set out in a Commission decision</w:t>
      </w:r>
      <w:r>
        <w:rPr>
          <w:rStyle w:val="FootnoteReference"/>
          <w:rFonts w:cs="Arial"/>
          <w:noProof/>
          <w:lang w:val="en-GB"/>
        </w:rPr>
        <w:footnoteReference w:id="3"/>
      </w:r>
      <w:r>
        <w:rPr>
          <w:rFonts w:ascii="Arial" w:hAnsi="Arial" w:cs="Arial"/>
          <w:noProof/>
          <w:lang w:val="en-GB"/>
        </w:rPr>
        <w:t>.</w:t>
      </w:r>
    </w:p>
    <w:p w:rsidR="00E201F7" w:rsidRDefault="00E24EFF">
      <w:pPr>
        <w:pStyle w:val="Lijstje"/>
        <w:numPr>
          <w:ilvl w:val="0"/>
          <w:numId w:val="65"/>
        </w:numPr>
        <w:tabs>
          <w:tab w:val="left" w:pos="1200"/>
        </w:tabs>
        <w:spacing w:after="120"/>
        <w:ind w:left="1200"/>
        <w:rPr>
          <w:rFonts w:ascii="Arial" w:hAnsi="Arial" w:cs="Arial"/>
          <w:noProof/>
          <w:lang w:val="en-GB"/>
        </w:rPr>
      </w:pPr>
      <w:r>
        <w:rPr>
          <w:rFonts w:ascii="Arial" w:hAnsi="Arial" w:cs="Arial"/>
          <w:i/>
          <w:noProof/>
          <w:lang w:val="en-GB"/>
        </w:rPr>
        <w:t>Germany</w:t>
      </w:r>
      <w:r>
        <w:rPr>
          <w:rFonts w:ascii="Arial" w:hAnsi="Arial" w:cs="Arial"/>
          <w:noProof/>
          <w:lang w:val="en-GB"/>
        </w:rPr>
        <w:t>:</w:t>
      </w:r>
      <w:r>
        <w:rPr>
          <w:noProof/>
          <w:lang w:val="en-GB"/>
        </w:rPr>
        <w:t xml:space="preserve"> A</w:t>
      </w:r>
      <w:r>
        <w:rPr>
          <w:rFonts w:ascii="Arial" w:hAnsi="Arial" w:cs="Arial"/>
          <w:noProof/>
          <w:lang w:val="en-GB"/>
        </w:rPr>
        <w:t xml:space="preserve"> sorbet may be sold under the name ‘Champagner Sorbet’ if it has, as one of its essential characteristics, a taste attributab</w:t>
      </w:r>
      <w:r>
        <w:rPr>
          <w:rFonts w:ascii="Arial" w:hAnsi="Arial" w:cs="Arial"/>
          <w:noProof/>
          <w:lang w:val="en-GB"/>
        </w:rPr>
        <w:t>le primarily to champagne. If that is the case, that product name does not take undue advantage (and therefore does not exploit the reputation) of the protected designation of origin (PDO) ‘champagne’. A PDO is protected not only against false or misleadin</w:t>
      </w:r>
      <w:r>
        <w:rPr>
          <w:rFonts w:ascii="Arial" w:hAnsi="Arial" w:cs="Arial"/>
          <w:noProof/>
          <w:lang w:val="en-GB"/>
        </w:rPr>
        <w:t>g indications which may create a false impression as to the origin of the product, but also against false or misleading indications relating to the nature or essential qualities of the product</w:t>
      </w:r>
      <w:r>
        <w:rPr>
          <w:rStyle w:val="FootnoteReference"/>
          <w:rFonts w:ascii="Arial" w:hAnsi="Arial" w:cs="Arial"/>
          <w:noProof/>
          <w:lang w:val="en-GB"/>
        </w:rPr>
        <w:footnoteReference w:id="4"/>
      </w:r>
      <w:r>
        <w:rPr>
          <w:rFonts w:ascii="Arial" w:hAnsi="Arial" w:cs="Arial"/>
          <w:noProof/>
          <w:lang w:val="en-GB"/>
        </w:rPr>
        <w:t>.</w:t>
      </w:r>
    </w:p>
    <w:p w:rsidR="00E201F7" w:rsidRDefault="00E24EFF">
      <w:pPr>
        <w:pStyle w:val="Lijstje"/>
        <w:numPr>
          <w:ilvl w:val="0"/>
          <w:numId w:val="65"/>
        </w:numPr>
        <w:tabs>
          <w:tab w:val="left" w:pos="1200"/>
        </w:tabs>
        <w:spacing w:after="120"/>
        <w:ind w:left="1200"/>
        <w:rPr>
          <w:rFonts w:ascii="Arial" w:hAnsi="Arial" w:cs="Arial"/>
          <w:noProof/>
          <w:lang w:val="en-GB"/>
        </w:rPr>
      </w:pPr>
      <w:r>
        <w:rPr>
          <w:rFonts w:ascii="Arial" w:hAnsi="Arial" w:cs="Arial"/>
          <w:i/>
          <w:noProof/>
          <w:lang w:val="en-GB"/>
        </w:rPr>
        <w:t>France</w:t>
      </w:r>
      <w:r>
        <w:rPr>
          <w:rFonts w:ascii="Arial" w:hAnsi="Arial" w:cs="Arial"/>
          <w:noProof/>
          <w:lang w:val="en-GB"/>
        </w:rPr>
        <w:t xml:space="preserve">: Concertation on price and quantities between several </w:t>
      </w:r>
      <w:r>
        <w:rPr>
          <w:rFonts w:ascii="Arial" w:hAnsi="Arial" w:cs="Arial"/>
          <w:noProof/>
          <w:lang w:val="en-GB"/>
        </w:rPr>
        <w:t>organisations of agricultural producers and associations of such organisations may constitute an agreement, decision or concerted practice for the purposes of competition law. However, such practice is permitted within the same producer organisation or ass</w:t>
      </w:r>
      <w:r>
        <w:rPr>
          <w:rFonts w:ascii="Arial" w:hAnsi="Arial" w:cs="Arial"/>
          <w:noProof/>
          <w:lang w:val="en-GB"/>
        </w:rPr>
        <w:t>ociation of producer organisations if it is proportionate to the objectives assigned to that organisation. Such practice is not proportionate to the objectives of stabilising prices and concentrating supply if the collective fixing of minimum sale prices w</w:t>
      </w:r>
      <w:r>
        <w:rPr>
          <w:rFonts w:ascii="Arial" w:hAnsi="Arial" w:cs="Arial"/>
          <w:noProof/>
          <w:lang w:val="en-GB"/>
        </w:rPr>
        <w:t>ithin a producer organisation or association of producer organisations:</w:t>
      </w:r>
    </w:p>
    <w:p w:rsidR="00E201F7" w:rsidRDefault="00E24EFF">
      <w:pPr>
        <w:pStyle w:val="Lijstje"/>
        <w:numPr>
          <w:ilvl w:val="0"/>
          <w:numId w:val="150"/>
        </w:numPr>
        <w:tabs>
          <w:tab w:val="left" w:pos="1560"/>
        </w:tabs>
        <w:spacing w:after="0"/>
        <w:ind w:left="1560" w:hanging="284"/>
        <w:rPr>
          <w:rFonts w:ascii="Arial" w:hAnsi="Arial" w:cs="Arial"/>
          <w:noProof/>
          <w:lang w:val="en-GB"/>
        </w:rPr>
      </w:pPr>
      <w:r>
        <w:rPr>
          <w:rFonts w:ascii="Arial" w:hAnsi="Arial" w:cs="Arial"/>
          <w:noProof/>
          <w:lang w:val="en-GB"/>
        </w:rPr>
        <w:t xml:space="preserve">does not allow producers to sell their own products at a lower price than those minimum prices; and </w:t>
      </w:r>
    </w:p>
    <w:p w:rsidR="00E201F7" w:rsidRDefault="00E24EFF">
      <w:pPr>
        <w:pStyle w:val="Lijstje"/>
        <w:numPr>
          <w:ilvl w:val="0"/>
          <w:numId w:val="150"/>
        </w:numPr>
        <w:tabs>
          <w:tab w:val="left" w:pos="1560"/>
        </w:tabs>
        <w:spacing w:after="0"/>
        <w:ind w:left="1560" w:hanging="284"/>
        <w:rPr>
          <w:rFonts w:ascii="Arial" w:hAnsi="Arial" w:cs="Arial"/>
          <w:noProof/>
          <w:lang w:val="en-GB"/>
        </w:rPr>
      </w:pPr>
      <w:r>
        <w:rPr>
          <w:rFonts w:ascii="Arial" w:hAnsi="Arial" w:cs="Arial"/>
          <w:noProof/>
          <w:lang w:val="en-GB"/>
        </w:rPr>
        <w:t xml:space="preserve">has the effect of reducing the already low level of competition in the markets for </w:t>
      </w:r>
      <w:r>
        <w:rPr>
          <w:rFonts w:ascii="Arial" w:hAnsi="Arial" w:cs="Arial"/>
          <w:noProof/>
          <w:lang w:val="en-GB"/>
        </w:rPr>
        <w:t>agricultural products</w:t>
      </w:r>
      <w:r>
        <w:rPr>
          <w:rStyle w:val="FootnoteReference"/>
          <w:rFonts w:ascii="Arial" w:hAnsi="Arial" w:cs="Arial"/>
          <w:noProof/>
          <w:lang w:val="en-GB"/>
        </w:rPr>
        <w:footnoteReference w:id="5"/>
      </w:r>
      <w:r>
        <w:rPr>
          <w:rFonts w:ascii="Arial" w:hAnsi="Arial" w:cs="Arial"/>
          <w:noProof/>
          <w:lang w:val="en-GB"/>
        </w:rPr>
        <w:t>.</w:t>
      </w:r>
    </w:p>
    <w:p w:rsidR="00E201F7" w:rsidRDefault="00E24EFF">
      <w:pPr>
        <w:spacing w:after="0"/>
        <w:jc w:val="left"/>
        <w:rPr>
          <w:rFonts w:ascii="Arial" w:eastAsia="MS Gothic" w:hAnsi="Arial" w:cs="Arial"/>
          <w:caps/>
          <w:noProof/>
          <w:color w:val="4F81BD"/>
          <w:kern w:val="20"/>
          <w:szCs w:val="24"/>
        </w:rPr>
      </w:pPr>
      <w:r>
        <w:rPr>
          <w:noProof/>
        </w:rPr>
        <w:br w:type="page"/>
      </w:r>
    </w:p>
    <w:p w:rsidR="00E201F7" w:rsidRDefault="00E24EFF">
      <w:pPr>
        <w:pStyle w:val="kop2"/>
        <w:rPr>
          <w:noProof/>
        </w:rPr>
      </w:pPr>
      <w:r>
        <w:rPr>
          <w:noProof/>
        </w:rPr>
        <w:t>Outlook</w:t>
      </w:r>
    </w:p>
    <w:p w:rsidR="00E201F7" w:rsidRDefault="00E24EFF">
      <w:pPr>
        <w:ind w:firstLine="357"/>
        <w:rPr>
          <w:rFonts w:ascii="Arial" w:hAnsi="Arial" w:cs="Arial"/>
          <w:noProof/>
          <w:sz w:val="22"/>
        </w:rPr>
      </w:pPr>
      <w:bookmarkStart w:id="21" w:name="_Toc434503211"/>
      <w:r>
        <w:rPr>
          <w:rFonts w:ascii="Arial" w:hAnsi="Arial" w:cs="Arial"/>
          <w:noProof/>
          <w:sz w:val="22"/>
        </w:rPr>
        <w:t>Important implementation work in 2018 includes:</w:t>
      </w:r>
      <w:bookmarkEnd w:id="21"/>
    </w:p>
    <w:p w:rsidR="00E201F7" w:rsidRDefault="00E24EFF">
      <w:pPr>
        <w:pStyle w:val="ListParagraph"/>
        <w:numPr>
          <w:ilvl w:val="0"/>
          <w:numId w:val="25"/>
        </w:numPr>
        <w:ind w:left="1200"/>
        <w:rPr>
          <w:rFonts w:ascii="Arial" w:eastAsia="Calibri" w:hAnsi="Arial" w:cs="Arial"/>
          <w:noProof/>
          <w:sz w:val="20"/>
        </w:rPr>
      </w:pPr>
      <w:r>
        <w:rPr>
          <w:rFonts w:ascii="Arial" w:eastAsia="Calibri" w:hAnsi="Arial" w:cs="Arial"/>
          <w:noProof/>
          <w:sz w:val="20"/>
        </w:rPr>
        <w:t>monitoring compliance with recent rulings of the Court of Justice;</w:t>
      </w:r>
    </w:p>
    <w:p w:rsidR="00E201F7" w:rsidRDefault="00E24EFF">
      <w:pPr>
        <w:pStyle w:val="ListParagraph"/>
        <w:numPr>
          <w:ilvl w:val="0"/>
          <w:numId w:val="25"/>
        </w:numPr>
        <w:ind w:left="1200"/>
        <w:rPr>
          <w:rFonts w:ascii="Arial" w:hAnsi="Arial" w:cs="Arial"/>
          <w:noProof/>
          <w:sz w:val="20"/>
        </w:rPr>
      </w:pPr>
      <w:r>
        <w:rPr>
          <w:rFonts w:ascii="Arial" w:hAnsi="Arial" w:cs="Arial"/>
          <w:noProof/>
          <w:sz w:val="20"/>
        </w:rPr>
        <w:t xml:space="preserve">pursuing legal action against Member States for failing to apply the common agricultural policy rules </w:t>
      </w:r>
      <w:r>
        <w:rPr>
          <w:rFonts w:ascii="Arial" w:hAnsi="Arial" w:cs="Arial"/>
          <w:noProof/>
          <w:sz w:val="20"/>
        </w:rPr>
        <w:t>correctly, in particular the mechanisms of the common market organisation and the direct payments regime;</w:t>
      </w:r>
    </w:p>
    <w:p w:rsidR="00E201F7" w:rsidRDefault="00E24EFF">
      <w:pPr>
        <w:pStyle w:val="ListParagraph"/>
        <w:numPr>
          <w:ilvl w:val="0"/>
          <w:numId w:val="25"/>
        </w:numPr>
        <w:ind w:left="1200"/>
        <w:rPr>
          <w:rFonts w:ascii="Arial" w:hAnsi="Arial" w:cs="Arial"/>
          <w:noProof/>
          <w:sz w:val="20"/>
        </w:rPr>
      </w:pPr>
      <w:r>
        <w:rPr>
          <w:rFonts w:ascii="Arial" w:hAnsi="Arial" w:cs="Arial"/>
          <w:noProof/>
          <w:sz w:val="20"/>
        </w:rPr>
        <w:t>continuing to make use of the clearance of accounts procedure in the agricultural sector to convince Member States to adapt their management and contr</w:t>
      </w:r>
      <w:r>
        <w:rPr>
          <w:rFonts w:ascii="Arial" w:hAnsi="Arial" w:cs="Arial"/>
          <w:noProof/>
          <w:sz w:val="20"/>
        </w:rPr>
        <w:t>ol systems if an infringement is detected under conformity audit mechanisms.</w:t>
      </w:r>
    </w:p>
    <w:p w:rsidR="00E201F7" w:rsidRDefault="00E201F7">
      <w:pPr>
        <w:rPr>
          <w:rFonts w:cs="Arial"/>
          <w:noProof/>
          <w:sz w:val="20"/>
        </w:rPr>
        <w:sectPr w:rsidR="00E201F7">
          <w:headerReference w:type="even" r:id="rId25"/>
          <w:headerReference w:type="default" r:id="rId26"/>
          <w:footerReference w:type="even" r:id="rId27"/>
          <w:footerReference w:type="default" r:id="rId28"/>
          <w:headerReference w:type="first" r:id="rId29"/>
          <w:footerReference w:type="first" r:id="rId30"/>
          <w:footnotePr>
            <w:numRestart w:val="eachSect"/>
          </w:footnotePr>
          <w:pgSz w:w="11907" w:h="16839" w:code="9"/>
          <w:pgMar w:top="1843" w:right="1275" w:bottom="737" w:left="1418" w:header="567" w:footer="352" w:gutter="0"/>
          <w:cols w:space="720"/>
          <w:titlePg/>
          <w:docGrid w:linePitch="326"/>
        </w:sectPr>
      </w:pPr>
    </w:p>
    <w:p w:rsidR="00E201F7" w:rsidRDefault="00E24EFF">
      <w:pPr>
        <w:pStyle w:val="Heading1"/>
        <w:spacing w:after="0"/>
        <w:ind w:left="0"/>
        <w:rPr>
          <w:rFonts w:ascii="Arial" w:hAnsi="Arial" w:cs="Arial"/>
          <w:noProof/>
        </w:rPr>
      </w:pPr>
      <w:bookmarkStart w:id="22" w:name="_Toc443057934"/>
      <w:bookmarkStart w:id="23" w:name="_Toc475524731"/>
      <w:bookmarkStart w:id="24" w:name="_Toc475529498"/>
      <w:bookmarkStart w:id="25" w:name="_Toc475529537"/>
      <w:bookmarkStart w:id="26" w:name="_Toc475529865"/>
      <w:bookmarkStart w:id="27" w:name="_Toc475550830"/>
      <w:bookmarkStart w:id="28" w:name="_Toc475551370"/>
      <w:bookmarkStart w:id="29" w:name="_Toc507510313"/>
      <w:bookmarkStart w:id="30" w:name="_Toc507517727"/>
      <w:bookmarkStart w:id="31" w:name="_Toc507520108"/>
      <w:bookmarkStart w:id="32" w:name="_Toc510016525"/>
      <w:r>
        <w:rPr>
          <w:rFonts w:ascii="Arial" w:hAnsi="Arial" w:cs="Arial"/>
          <w:noProof/>
        </w:rPr>
        <w:t>Communications networks, content and technology</w:t>
      </w:r>
      <w:bookmarkEnd w:id="22"/>
      <w:bookmarkEnd w:id="23"/>
      <w:bookmarkEnd w:id="24"/>
      <w:bookmarkEnd w:id="25"/>
      <w:bookmarkEnd w:id="26"/>
      <w:bookmarkEnd w:id="27"/>
      <w:bookmarkEnd w:id="28"/>
      <w:bookmarkEnd w:id="29"/>
      <w:bookmarkEnd w:id="30"/>
      <w:bookmarkEnd w:id="31"/>
      <w:bookmarkEnd w:id="32"/>
    </w:p>
    <w:p w:rsidR="00E201F7" w:rsidRDefault="00E24EFF">
      <w:pPr>
        <w:pStyle w:val="kop2"/>
        <w:numPr>
          <w:ilvl w:val="0"/>
          <w:numId w:val="96"/>
        </w:numPr>
        <w:rPr>
          <w:noProof/>
        </w:rPr>
      </w:pPr>
      <w:r>
        <w:rPr>
          <w:noProof/>
        </w:rPr>
        <w:t>COMPLAINTS</w:t>
      </w:r>
    </w:p>
    <w:p w:rsidR="00E201F7" w:rsidRDefault="00E24EFF">
      <w:pPr>
        <w:numPr>
          <w:ilvl w:val="0"/>
          <w:numId w:val="92"/>
        </w:numPr>
        <w:spacing w:before="120"/>
        <w:jc w:val="left"/>
        <w:outlineLvl w:val="1"/>
        <w:rPr>
          <w:rFonts w:ascii="Arial" w:hAnsi="Arial" w:cs="Arial"/>
          <w:noProof/>
          <w:color w:val="002060"/>
          <w:sz w:val="22"/>
        </w:rPr>
      </w:pPr>
      <w:r>
        <w:rPr>
          <w:rFonts w:ascii="Arial" w:hAnsi="Arial" w:cs="Arial"/>
          <w:noProof/>
          <w:color w:val="002060"/>
          <w:sz w:val="22"/>
        </w:rPr>
        <w:t>New complaints received from members of the public (2013-2017)</w:t>
      </w:r>
    </w:p>
    <w:p w:rsidR="00E201F7" w:rsidRDefault="00E24EFF">
      <w:pPr>
        <w:ind w:left="720"/>
        <w:rPr>
          <w:rFonts w:ascii="Verdana" w:hAnsi="Verdana"/>
          <w:noProof/>
          <w:sz w:val="20"/>
        </w:rPr>
      </w:pPr>
      <w:r>
        <w:rPr>
          <w:rFonts w:ascii="Verdana" w:hAnsi="Verdana"/>
          <w:noProof/>
          <w:sz w:val="20"/>
        </w:rPr>
        <w:drawing>
          <wp:inline distT="0" distB="0" distL="0" distR="0" wp14:anchorId="5944276B" wp14:editId="26A92949">
            <wp:extent cx="4612640" cy="1879600"/>
            <wp:effectExtent l="0" t="0" r="0" b="0"/>
            <wp:docPr id="351"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201F7" w:rsidRDefault="00E24EFF">
      <w:pPr>
        <w:numPr>
          <w:ilvl w:val="0"/>
          <w:numId w:val="92"/>
        </w:numPr>
        <w:spacing w:before="240"/>
        <w:ind w:left="714" w:hanging="357"/>
        <w:jc w:val="left"/>
        <w:outlineLvl w:val="1"/>
        <w:rPr>
          <w:rFonts w:ascii="Arial" w:hAnsi="Arial" w:cs="Arial"/>
          <w:noProof/>
          <w:color w:val="002060"/>
          <w:sz w:val="22"/>
        </w:rPr>
      </w:pPr>
      <w:r>
        <w:rPr>
          <w:rFonts w:ascii="Arial" w:hAnsi="Arial" w:cs="Arial"/>
          <w:noProof/>
          <w:color w:val="002060"/>
          <w:sz w:val="22"/>
        </w:rPr>
        <w:t>Public complaints open at year-end</w:t>
      </w:r>
    </w:p>
    <w:tbl>
      <w:tblPr>
        <w:tblW w:w="0" w:type="auto"/>
        <w:jc w:val="center"/>
        <w:tblLook w:val="04A0" w:firstRow="1" w:lastRow="0" w:firstColumn="1" w:lastColumn="0" w:noHBand="0" w:noVBand="1"/>
      </w:tblPr>
      <w:tblGrid>
        <w:gridCol w:w="1697"/>
        <w:gridCol w:w="381"/>
        <w:gridCol w:w="5310"/>
      </w:tblGrid>
      <w:tr w:rsidR="00E201F7">
        <w:trPr>
          <w:trHeight w:val="403"/>
          <w:jc w:val="center"/>
        </w:trPr>
        <w:tc>
          <w:tcPr>
            <w:tcW w:w="1697" w:type="dxa"/>
            <w:shd w:val="clear" w:color="auto" w:fill="auto"/>
            <w:vAlign w:val="center"/>
          </w:tcPr>
          <w:p w:rsidR="00E201F7" w:rsidRDefault="00E24EFF">
            <w:pPr>
              <w:spacing w:after="0"/>
              <w:jc w:val="right"/>
              <w:rPr>
                <w:rFonts w:ascii="Arial" w:hAnsi="Arial"/>
                <w:noProof/>
                <w:color w:val="548DD4"/>
                <w:sz w:val="22"/>
              </w:rPr>
            </w:pPr>
            <w:r>
              <w:rPr>
                <w:rFonts w:ascii="Arial" w:hAnsi="Arial"/>
                <w:noProof/>
                <w:color w:val="548DD4"/>
                <w:sz w:val="22"/>
              </w:rPr>
              <w:t>87</w:t>
            </w:r>
          </w:p>
        </w:tc>
        <w:tc>
          <w:tcPr>
            <w:tcW w:w="381" w:type="dxa"/>
            <w:shd w:val="clear" w:color="auto" w:fill="auto"/>
            <w:vAlign w:val="center"/>
          </w:tcPr>
          <w:p w:rsidR="00E201F7" w:rsidRDefault="00E24EFF">
            <w:pPr>
              <w:spacing w:after="0"/>
              <w:jc w:val="right"/>
              <w:rPr>
                <w:rFonts w:ascii="Arial" w:hAnsi="Arial"/>
                <w:noProof/>
                <w:color w:val="548DD4"/>
                <w:sz w:val="22"/>
              </w:rPr>
            </w:pPr>
            <w:r>
              <w:rPr>
                <w:rFonts w:ascii="Arial" w:hAnsi="Arial"/>
                <w:noProof/>
                <w:color w:val="548DD4"/>
                <w:sz w:val="22"/>
              </w:rPr>
              <w:t>&gt;</w:t>
            </w:r>
          </w:p>
        </w:tc>
        <w:tc>
          <w:tcPr>
            <w:tcW w:w="5310" w:type="dxa"/>
            <w:shd w:val="clear" w:color="auto" w:fill="auto"/>
            <w:vAlign w:val="center"/>
          </w:tcPr>
          <w:p w:rsidR="00E201F7" w:rsidRDefault="00E24EFF">
            <w:pPr>
              <w:spacing w:after="0"/>
              <w:jc w:val="left"/>
              <w:rPr>
                <w:rFonts w:ascii="Arial" w:hAnsi="Arial"/>
                <w:noProof/>
                <w:color w:val="548DD4"/>
                <w:sz w:val="22"/>
              </w:rPr>
            </w:pPr>
            <w:r>
              <w:rPr>
                <w:rFonts w:ascii="Arial" w:hAnsi="Arial"/>
                <w:noProof/>
                <w:color w:val="548DD4"/>
                <w:sz w:val="22"/>
              </w:rPr>
              <w:t>Complaints open at end-2016</w:t>
            </w:r>
          </w:p>
        </w:tc>
      </w:tr>
      <w:tr w:rsidR="00E201F7">
        <w:trPr>
          <w:trHeight w:val="403"/>
          <w:jc w:val="center"/>
        </w:trPr>
        <w:tc>
          <w:tcPr>
            <w:tcW w:w="1697" w:type="dxa"/>
            <w:shd w:val="clear" w:color="auto" w:fill="auto"/>
            <w:vAlign w:val="center"/>
          </w:tcPr>
          <w:p w:rsidR="00E201F7" w:rsidRDefault="00E24EFF">
            <w:pPr>
              <w:spacing w:after="0"/>
              <w:jc w:val="right"/>
              <w:rPr>
                <w:rFonts w:ascii="Arial" w:hAnsi="Arial"/>
                <w:noProof/>
                <w:color w:val="548DD4"/>
                <w:sz w:val="22"/>
              </w:rPr>
            </w:pPr>
            <w:r>
              <w:rPr>
                <w:rFonts w:ascii="Arial" w:hAnsi="Arial"/>
                <w:noProof/>
                <w:color w:val="548DD4"/>
                <w:sz w:val="22"/>
              </w:rPr>
              <w:t>84</w:t>
            </w:r>
          </w:p>
        </w:tc>
        <w:tc>
          <w:tcPr>
            <w:tcW w:w="381" w:type="dxa"/>
            <w:shd w:val="clear" w:color="auto" w:fill="auto"/>
            <w:vAlign w:val="center"/>
          </w:tcPr>
          <w:p w:rsidR="00E201F7" w:rsidRDefault="00E24EFF">
            <w:pPr>
              <w:spacing w:after="0"/>
              <w:jc w:val="right"/>
              <w:rPr>
                <w:rFonts w:ascii="Arial" w:hAnsi="Arial"/>
                <w:noProof/>
                <w:color w:val="548DD4"/>
                <w:sz w:val="22"/>
              </w:rPr>
            </w:pPr>
            <w:r>
              <w:rPr>
                <w:rFonts w:ascii="Arial" w:hAnsi="Arial"/>
                <w:noProof/>
                <w:color w:val="548DD4"/>
                <w:sz w:val="22"/>
              </w:rPr>
              <w:t>&gt;</w:t>
            </w:r>
          </w:p>
        </w:tc>
        <w:tc>
          <w:tcPr>
            <w:tcW w:w="5310" w:type="dxa"/>
            <w:shd w:val="clear" w:color="auto" w:fill="auto"/>
            <w:vAlign w:val="center"/>
          </w:tcPr>
          <w:p w:rsidR="00E201F7" w:rsidRDefault="00E24EFF">
            <w:pPr>
              <w:spacing w:after="0"/>
              <w:jc w:val="left"/>
              <w:rPr>
                <w:rFonts w:ascii="Arial" w:hAnsi="Arial"/>
                <w:noProof/>
                <w:color w:val="548DD4"/>
                <w:sz w:val="22"/>
              </w:rPr>
            </w:pPr>
            <w:r>
              <w:rPr>
                <w:rFonts w:ascii="Arial" w:hAnsi="Arial"/>
                <w:noProof/>
                <w:color w:val="548DD4"/>
                <w:sz w:val="22"/>
              </w:rPr>
              <w:t>New complaints registered in 2017</w:t>
            </w:r>
          </w:p>
        </w:tc>
      </w:tr>
      <w:tr w:rsidR="00E201F7">
        <w:trPr>
          <w:trHeight w:val="403"/>
          <w:jc w:val="center"/>
        </w:trPr>
        <w:tc>
          <w:tcPr>
            <w:tcW w:w="1697" w:type="dxa"/>
            <w:shd w:val="clear" w:color="auto" w:fill="auto"/>
            <w:vAlign w:val="center"/>
          </w:tcPr>
          <w:p w:rsidR="00E201F7" w:rsidRDefault="00E24EFF">
            <w:pPr>
              <w:spacing w:after="0"/>
              <w:jc w:val="right"/>
              <w:rPr>
                <w:rFonts w:ascii="Arial" w:hAnsi="Arial"/>
                <w:noProof/>
                <w:color w:val="548DD4"/>
                <w:sz w:val="22"/>
              </w:rPr>
            </w:pPr>
            <w:r>
              <w:rPr>
                <w:rFonts w:ascii="Arial" w:hAnsi="Arial"/>
                <w:noProof/>
                <w:color w:val="548DD4"/>
                <w:sz w:val="22"/>
              </w:rPr>
              <w:t>66</w:t>
            </w:r>
          </w:p>
        </w:tc>
        <w:tc>
          <w:tcPr>
            <w:tcW w:w="381" w:type="dxa"/>
            <w:shd w:val="clear" w:color="auto" w:fill="auto"/>
            <w:vAlign w:val="center"/>
          </w:tcPr>
          <w:p w:rsidR="00E201F7" w:rsidRDefault="00E24EFF">
            <w:pPr>
              <w:spacing w:after="0"/>
              <w:jc w:val="right"/>
              <w:rPr>
                <w:rFonts w:ascii="Arial" w:hAnsi="Arial"/>
                <w:noProof/>
                <w:color w:val="548DD4"/>
                <w:sz w:val="22"/>
              </w:rPr>
            </w:pPr>
            <w:r>
              <w:rPr>
                <w:rFonts w:ascii="Arial" w:hAnsi="Arial"/>
                <w:noProof/>
                <w:color w:val="548DD4"/>
                <w:sz w:val="22"/>
              </w:rPr>
              <w:t>&gt;</w:t>
            </w:r>
          </w:p>
        </w:tc>
        <w:tc>
          <w:tcPr>
            <w:tcW w:w="5310" w:type="dxa"/>
            <w:shd w:val="clear" w:color="auto" w:fill="auto"/>
            <w:vAlign w:val="center"/>
          </w:tcPr>
          <w:p w:rsidR="00E201F7" w:rsidRDefault="00E24EFF">
            <w:pPr>
              <w:spacing w:after="0"/>
              <w:jc w:val="left"/>
              <w:rPr>
                <w:rFonts w:ascii="Arial" w:hAnsi="Arial"/>
                <w:noProof/>
                <w:color w:val="548DD4"/>
                <w:sz w:val="22"/>
              </w:rPr>
            </w:pPr>
            <w:r>
              <w:rPr>
                <w:rFonts w:ascii="Arial" w:hAnsi="Arial"/>
                <w:noProof/>
                <w:color w:val="548DD4"/>
                <w:sz w:val="22"/>
              </w:rPr>
              <w:t>Complaints handled in 2017</w:t>
            </w:r>
          </w:p>
        </w:tc>
      </w:tr>
      <w:tr w:rsidR="00E201F7">
        <w:trPr>
          <w:trHeight w:val="403"/>
          <w:jc w:val="center"/>
        </w:trPr>
        <w:tc>
          <w:tcPr>
            <w:tcW w:w="1697" w:type="dxa"/>
            <w:shd w:val="clear" w:color="auto" w:fill="auto"/>
            <w:vAlign w:val="center"/>
          </w:tcPr>
          <w:p w:rsidR="00E201F7" w:rsidRDefault="00E24EFF">
            <w:pPr>
              <w:spacing w:after="0"/>
              <w:jc w:val="right"/>
              <w:rPr>
                <w:rFonts w:ascii="Arial" w:hAnsi="Arial"/>
                <w:noProof/>
                <w:color w:val="C00000"/>
                <w:sz w:val="22"/>
              </w:rPr>
            </w:pPr>
            <w:r>
              <w:rPr>
                <w:rFonts w:ascii="Arial" w:hAnsi="Arial"/>
                <w:noProof/>
                <w:color w:val="C00000"/>
                <w:sz w:val="22"/>
              </w:rPr>
              <w:t>= 105</w:t>
            </w:r>
          </w:p>
        </w:tc>
        <w:tc>
          <w:tcPr>
            <w:tcW w:w="381" w:type="dxa"/>
            <w:shd w:val="clear" w:color="auto" w:fill="auto"/>
            <w:vAlign w:val="center"/>
          </w:tcPr>
          <w:p w:rsidR="00E201F7" w:rsidRDefault="00E24EFF">
            <w:pPr>
              <w:spacing w:after="0"/>
              <w:jc w:val="right"/>
              <w:rPr>
                <w:rFonts w:ascii="Arial" w:hAnsi="Arial"/>
                <w:noProof/>
                <w:color w:val="548DD4"/>
                <w:sz w:val="22"/>
              </w:rPr>
            </w:pPr>
            <w:r>
              <w:rPr>
                <w:rFonts w:ascii="Arial" w:hAnsi="Arial"/>
                <w:noProof/>
                <w:color w:val="548DD4"/>
                <w:sz w:val="22"/>
              </w:rPr>
              <w:t>&gt;</w:t>
            </w:r>
          </w:p>
        </w:tc>
        <w:tc>
          <w:tcPr>
            <w:tcW w:w="5310" w:type="dxa"/>
            <w:shd w:val="clear" w:color="auto" w:fill="auto"/>
            <w:vAlign w:val="center"/>
          </w:tcPr>
          <w:p w:rsidR="00E201F7" w:rsidRDefault="00E24EFF">
            <w:pPr>
              <w:spacing w:after="0"/>
              <w:jc w:val="left"/>
              <w:rPr>
                <w:rFonts w:ascii="Arial" w:hAnsi="Arial"/>
                <w:noProof/>
                <w:color w:val="548DD4"/>
                <w:sz w:val="22"/>
              </w:rPr>
            </w:pPr>
            <w:r>
              <w:rPr>
                <w:rFonts w:ascii="Arial" w:hAnsi="Arial"/>
                <w:noProof/>
                <w:color w:val="548DD4"/>
                <w:sz w:val="22"/>
              </w:rPr>
              <w:t>Complaints open at end-2017</w:t>
            </w:r>
          </w:p>
        </w:tc>
      </w:tr>
    </w:tbl>
    <w:p w:rsidR="00E201F7" w:rsidRDefault="00E24EFF">
      <w:pPr>
        <w:numPr>
          <w:ilvl w:val="0"/>
          <w:numId w:val="92"/>
        </w:numPr>
        <w:spacing w:before="240"/>
        <w:ind w:left="714" w:hanging="357"/>
        <w:jc w:val="left"/>
        <w:outlineLvl w:val="1"/>
        <w:rPr>
          <w:rFonts w:ascii="Arial" w:hAnsi="Arial" w:cs="Arial"/>
          <w:noProof/>
          <w:color w:val="002060"/>
          <w:sz w:val="22"/>
        </w:rPr>
      </w:pPr>
      <w:r>
        <w:rPr>
          <w:rFonts w:ascii="Arial" w:hAnsi="Arial" w:cs="Arial"/>
          <w:noProof/>
          <w:color w:val="002060"/>
          <w:sz w:val="22"/>
        </w:rPr>
        <w:t>New complaints registered in 2017: main policy sectors</w:t>
      </w:r>
    </w:p>
    <w:p w:rsidR="00E201F7" w:rsidRDefault="00E24EFF">
      <w:pPr>
        <w:ind w:left="720"/>
        <w:rPr>
          <w:rFonts w:ascii="Verdana" w:hAnsi="Verdana"/>
          <w:noProof/>
          <w:sz w:val="20"/>
        </w:rPr>
      </w:pPr>
      <w:r>
        <w:rPr>
          <w:rFonts w:ascii="Verdana" w:hAnsi="Verdana"/>
          <w:noProof/>
          <w:sz w:val="20"/>
        </w:rPr>
        <w:drawing>
          <wp:inline distT="0" distB="0" distL="0" distR="0" wp14:anchorId="42A1A133" wp14:editId="4DB1E689">
            <wp:extent cx="4795520" cy="2479040"/>
            <wp:effectExtent l="0" t="0" r="24130" b="16510"/>
            <wp:docPr id="350" name="Objec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201F7" w:rsidRDefault="00E24EFF">
      <w:pPr>
        <w:spacing w:after="0"/>
        <w:jc w:val="left"/>
        <w:rPr>
          <w:rFonts w:ascii="Verdana" w:hAnsi="Verdana"/>
          <w:noProof/>
          <w:sz w:val="20"/>
        </w:rPr>
      </w:pPr>
      <w:r>
        <w:rPr>
          <w:rFonts w:ascii="Verdana" w:hAnsi="Verdana"/>
          <w:noProof/>
          <w:sz w:val="20"/>
        </w:rPr>
        <w:br w:type="page"/>
      </w:r>
    </w:p>
    <w:p w:rsidR="00E201F7" w:rsidRDefault="00E24EFF">
      <w:pPr>
        <w:pStyle w:val="kop2"/>
        <w:rPr>
          <w:noProof/>
        </w:rPr>
      </w:pPr>
      <w:r>
        <w:rPr>
          <w:noProof/>
        </w:rPr>
        <w:t>EU PILOT</w:t>
      </w:r>
    </w:p>
    <w:p w:rsidR="00E201F7" w:rsidRDefault="00E24EFF">
      <w:pPr>
        <w:numPr>
          <w:ilvl w:val="0"/>
          <w:numId w:val="93"/>
        </w:numPr>
        <w:spacing w:before="120"/>
        <w:jc w:val="left"/>
        <w:outlineLvl w:val="1"/>
        <w:rPr>
          <w:rFonts w:ascii="Arial" w:hAnsi="Arial" w:cs="Arial"/>
          <w:noProof/>
          <w:color w:val="002060"/>
          <w:sz w:val="22"/>
        </w:rPr>
      </w:pPr>
      <w:r>
        <w:rPr>
          <w:rFonts w:ascii="Arial" w:hAnsi="Arial" w:cs="Arial"/>
          <w:noProof/>
          <w:color w:val="002060"/>
          <w:sz w:val="22"/>
        </w:rPr>
        <w:t>New EU Pilot files (2013-2017)</w:t>
      </w:r>
    </w:p>
    <w:p w:rsidR="00E201F7" w:rsidRDefault="00E24EFF">
      <w:pPr>
        <w:ind w:left="720"/>
        <w:rPr>
          <w:rFonts w:ascii="Verdana" w:hAnsi="Verdana"/>
          <w:noProof/>
          <w:sz w:val="20"/>
        </w:rPr>
      </w:pPr>
      <w:r>
        <w:rPr>
          <w:rFonts w:ascii="Verdana" w:hAnsi="Verdana"/>
          <w:noProof/>
          <w:sz w:val="20"/>
        </w:rPr>
        <w:drawing>
          <wp:inline distT="0" distB="0" distL="0" distR="0" wp14:anchorId="3CE5FAC6" wp14:editId="5DD25213">
            <wp:extent cx="4632960" cy="2032000"/>
            <wp:effectExtent l="0" t="0" r="15240" b="25400"/>
            <wp:docPr id="349"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201F7" w:rsidRDefault="00E24EFF">
      <w:pPr>
        <w:numPr>
          <w:ilvl w:val="0"/>
          <w:numId w:val="93"/>
        </w:numPr>
        <w:spacing w:before="240"/>
        <w:ind w:left="714" w:hanging="357"/>
        <w:jc w:val="left"/>
        <w:outlineLvl w:val="1"/>
        <w:rPr>
          <w:rFonts w:ascii="Arial" w:hAnsi="Arial" w:cs="Arial"/>
          <w:noProof/>
          <w:color w:val="002060"/>
          <w:sz w:val="22"/>
        </w:rPr>
      </w:pPr>
      <w:r>
        <w:rPr>
          <w:rFonts w:ascii="Arial" w:hAnsi="Arial" w:cs="Arial"/>
          <w:noProof/>
          <w:color w:val="002060"/>
          <w:sz w:val="22"/>
        </w:rPr>
        <w:t xml:space="preserve">EU Pilot files </w:t>
      </w:r>
      <w:r>
        <w:rPr>
          <w:rFonts w:ascii="Arial" w:hAnsi="Arial" w:cs="Arial"/>
          <w:noProof/>
          <w:color w:val="002060"/>
          <w:sz w:val="22"/>
        </w:rPr>
        <w:t>open at year-end</w:t>
      </w:r>
    </w:p>
    <w:p w:rsidR="00E201F7" w:rsidRDefault="00E24EFF">
      <w:pPr>
        <w:pStyle w:val="ListParagraph"/>
        <w:rPr>
          <w:rFonts w:ascii="Arial" w:hAnsi="Arial"/>
          <w:noProof/>
          <w:sz w:val="20"/>
        </w:rPr>
      </w:pPr>
      <w:r>
        <w:rPr>
          <w:rFonts w:ascii="Arial" w:hAnsi="Arial"/>
          <w:noProof/>
          <w:sz w:val="20"/>
        </w:rPr>
        <w:t>At the end of 2017, 29 EU Pilot files remained open.</w:t>
      </w:r>
    </w:p>
    <w:p w:rsidR="00E201F7" w:rsidRDefault="00E24EFF">
      <w:pPr>
        <w:numPr>
          <w:ilvl w:val="0"/>
          <w:numId w:val="93"/>
        </w:numPr>
        <w:spacing w:before="240"/>
        <w:ind w:left="714" w:hanging="357"/>
        <w:jc w:val="left"/>
        <w:outlineLvl w:val="1"/>
        <w:rPr>
          <w:noProof/>
          <w:color w:val="002060"/>
        </w:rPr>
      </w:pPr>
      <w:r>
        <w:rPr>
          <w:rFonts w:ascii="Arial" w:hAnsi="Arial" w:cs="Arial"/>
          <w:noProof/>
          <w:color w:val="002060"/>
          <w:sz w:val="22"/>
        </w:rPr>
        <w:t>New EU Pilot files opened in 2017: main policy sectors</w:t>
      </w:r>
    </w:p>
    <w:p w:rsidR="00E201F7" w:rsidRDefault="00E24EFF">
      <w:pPr>
        <w:ind w:left="720"/>
        <w:rPr>
          <w:rFonts w:ascii="Verdana" w:hAnsi="Verdana"/>
          <w:noProof/>
          <w:sz w:val="20"/>
        </w:rPr>
      </w:pPr>
      <w:r>
        <w:rPr>
          <w:rFonts w:ascii="Verdana" w:hAnsi="Verdana"/>
          <w:noProof/>
          <w:sz w:val="20"/>
        </w:rPr>
        <w:drawing>
          <wp:inline distT="0" distB="0" distL="0" distR="0" wp14:anchorId="68A37C11" wp14:editId="62DB77DB">
            <wp:extent cx="4612640" cy="2387600"/>
            <wp:effectExtent l="0" t="0" r="16510" b="12700"/>
            <wp:docPr id="348"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rFonts w:ascii="Verdana" w:hAnsi="Verdana"/>
          <w:noProof/>
          <w:sz w:val="20"/>
        </w:rPr>
        <w:br w:type="page"/>
      </w:r>
    </w:p>
    <w:p w:rsidR="00E201F7" w:rsidRDefault="00E24EFF">
      <w:pPr>
        <w:numPr>
          <w:ilvl w:val="0"/>
          <w:numId w:val="93"/>
        </w:numPr>
        <w:spacing w:before="120"/>
        <w:jc w:val="left"/>
        <w:outlineLvl w:val="1"/>
        <w:rPr>
          <w:rFonts w:ascii="Arial" w:hAnsi="Arial" w:cs="Arial"/>
          <w:noProof/>
          <w:color w:val="002060"/>
          <w:sz w:val="22"/>
        </w:rPr>
      </w:pPr>
      <w:r>
        <w:rPr>
          <w:rFonts w:ascii="Arial" w:hAnsi="Arial" w:cs="Arial"/>
          <w:noProof/>
          <w:color w:val="002060"/>
          <w:sz w:val="22"/>
        </w:rPr>
        <w:t>EU Pilot files: resolution rate for policies (2013-2017)</w:t>
      </w:r>
    </w:p>
    <w:p w:rsidR="00E201F7" w:rsidRDefault="00E24EFF">
      <w:pPr>
        <w:ind w:left="720"/>
        <w:rPr>
          <w:rFonts w:ascii="Verdana" w:hAnsi="Verdana"/>
          <w:noProof/>
          <w:sz w:val="20"/>
        </w:rPr>
      </w:pPr>
      <w:r>
        <w:rPr>
          <w:rFonts w:ascii="Verdana" w:hAnsi="Verdana"/>
          <w:noProof/>
          <w:color w:val="00B050"/>
          <w:sz w:val="20"/>
        </w:rPr>
        <w:drawing>
          <wp:inline distT="0" distB="0" distL="0" distR="0" wp14:anchorId="18920B0A" wp14:editId="35BE497D">
            <wp:extent cx="4592320" cy="2387600"/>
            <wp:effectExtent l="0" t="0" r="17780" b="12700"/>
            <wp:docPr id="108"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201F7" w:rsidRDefault="00E24EFF">
      <w:pPr>
        <w:pStyle w:val="kop2"/>
        <w:rPr>
          <w:noProof/>
        </w:rPr>
      </w:pPr>
      <w:r>
        <w:rPr>
          <w:noProof/>
        </w:rPr>
        <w:t>OWN-INITIATIVE CASES</w:t>
      </w:r>
    </w:p>
    <w:p w:rsidR="00E201F7" w:rsidRDefault="00E24EFF">
      <w:pPr>
        <w:spacing w:after="60"/>
        <w:ind w:left="360"/>
        <w:jc w:val="left"/>
        <w:outlineLvl w:val="1"/>
        <w:rPr>
          <w:rFonts w:ascii="Arial" w:hAnsi="Arial" w:cs="Arial"/>
          <w:noProof/>
          <w:color w:val="002060"/>
          <w:sz w:val="22"/>
        </w:rPr>
      </w:pPr>
      <w:r>
        <w:rPr>
          <w:rFonts w:ascii="Arial" w:hAnsi="Arial" w:cs="Arial"/>
          <w:noProof/>
          <w:color w:val="002060"/>
          <w:sz w:val="22"/>
        </w:rPr>
        <w:t>New own-initiative infringement cases</w:t>
      </w:r>
    </w:p>
    <w:p w:rsidR="00E201F7" w:rsidRDefault="00E24EFF">
      <w:pPr>
        <w:pStyle w:val="Basis"/>
        <w:spacing w:before="120"/>
        <w:rPr>
          <w:rFonts w:ascii="Arial" w:hAnsi="Arial" w:cs="Arial"/>
          <w:noProof/>
          <w:lang w:val="en-GB"/>
        </w:rPr>
      </w:pPr>
      <w:r>
        <w:rPr>
          <w:rFonts w:ascii="Arial" w:hAnsi="Arial" w:cs="Arial"/>
          <w:noProof/>
          <w:lang w:val="en-GB"/>
        </w:rPr>
        <w:t>In 2017, t</w:t>
      </w:r>
      <w:r>
        <w:rPr>
          <w:rFonts w:ascii="Arial" w:hAnsi="Arial" w:cs="Arial"/>
          <w:noProof/>
          <w:lang w:val="en-GB"/>
        </w:rPr>
        <w:t>he Commission opened own-initiative infringement cases over:</w:t>
      </w:r>
    </w:p>
    <w:p w:rsidR="00E201F7" w:rsidRDefault="00E24EFF">
      <w:pPr>
        <w:pStyle w:val="ListParagraph"/>
        <w:numPr>
          <w:ilvl w:val="0"/>
          <w:numId w:val="70"/>
        </w:numPr>
        <w:ind w:left="1200"/>
        <w:rPr>
          <w:rFonts w:ascii="Arial" w:hAnsi="Arial" w:cs="Arial"/>
          <w:noProof/>
          <w:sz w:val="20"/>
          <w:lang w:bidi="en-US"/>
        </w:rPr>
      </w:pPr>
      <w:r>
        <w:rPr>
          <w:rFonts w:ascii="Arial" w:hAnsi="Arial" w:cs="Arial"/>
          <w:noProof/>
          <w:sz w:val="20"/>
          <w:lang w:bidi="en-US"/>
        </w:rPr>
        <w:t>delays in carrying out market reviews, contrary to the obligations under the Framework Directive for electronic communications</w:t>
      </w:r>
      <w:r>
        <w:rPr>
          <w:rStyle w:val="FootnoteReference"/>
          <w:rFonts w:ascii="Arial" w:hAnsi="Arial" w:cs="Arial"/>
          <w:noProof/>
          <w:sz w:val="20"/>
          <w:lang w:bidi="en-US"/>
        </w:rPr>
        <w:footnoteReference w:id="6"/>
      </w:r>
      <w:r>
        <w:rPr>
          <w:rFonts w:ascii="Arial" w:hAnsi="Arial" w:cs="Arial"/>
          <w:noProof/>
          <w:sz w:val="20"/>
          <w:lang w:bidi="en-US"/>
        </w:rPr>
        <w:t>;</w:t>
      </w:r>
    </w:p>
    <w:p w:rsidR="00E201F7" w:rsidRDefault="00E24EFF">
      <w:pPr>
        <w:pStyle w:val="ListParagraph"/>
        <w:numPr>
          <w:ilvl w:val="0"/>
          <w:numId w:val="70"/>
        </w:numPr>
        <w:ind w:left="1200"/>
        <w:rPr>
          <w:rFonts w:ascii="Arial" w:hAnsi="Arial" w:cs="Arial"/>
          <w:noProof/>
          <w:sz w:val="20"/>
          <w:lang w:bidi="en-US"/>
        </w:rPr>
      </w:pPr>
      <w:r>
        <w:rPr>
          <w:rFonts w:ascii="Arial" w:hAnsi="Arial" w:cs="Arial"/>
          <w:noProof/>
          <w:sz w:val="20"/>
          <w:lang w:bidi="en-US"/>
        </w:rPr>
        <w:t xml:space="preserve">non-compliance with the requirements on electronic identification </w:t>
      </w:r>
      <w:r>
        <w:rPr>
          <w:rFonts w:ascii="Arial" w:hAnsi="Arial" w:cs="Arial"/>
          <w:noProof/>
          <w:sz w:val="20"/>
          <w:lang w:bidi="en-US"/>
        </w:rPr>
        <w:t>and trust services for electronic transactions in the internal market</w:t>
      </w:r>
      <w:r>
        <w:rPr>
          <w:rStyle w:val="FootnoteReference"/>
          <w:rFonts w:ascii="Arial" w:hAnsi="Arial" w:cs="Arial"/>
          <w:noProof/>
          <w:sz w:val="20"/>
          <w:lang w:bidi="en-US"/>
        </w:rPr>
        <w:footnoteReference w:id="7"/>
      </w:r>
      <w:r>
        <w:rPr>
          <w:rFonts w:ascii="Arial" w:hAnsi="Arial" w:cs="Arial"/>
          <w:noProof/>
          <w:sz w:val="20"/>
          <w:lang w:bidi="en-US"/>
        </w:rPr>
        <w:t>;</w:t>
      </w:r>
    </w:p>
    <w:p w:rsidR="00E201F7" w:rsidRDefault="00E24EFF">
      <w:pPr>
        <w:pStyle w:val="ListParagraph"/>
        <w:numPr>
          <w:ilvl w:val="0"/>
          <w:numId w:val="70"/>
        </w:numPr>
        <w:ind w:left="1200"/>
        <w:rPr>
          <w:rFonts w:ascii="Arial" w:hAnsi="Arial" w:cs="Arial"/>
          <w:noProof/>
          <w:sz w:val="20"/>
          <w:lang w:bidi="en-US"/>
        </w:rPr>
      </w:pPr>
      <w:r>
        <w:rPr>
          <w:rFonts w:ascii="Arial" w:hAnsi="Arial" w:cs="Arial"/>
          <w:noProof/>
          <w:sz w:val="20"/>
          <w:lang w:bidi="en-US"/>
        </w:rPr>
        <w:t>non-compliance with the Collective Rights Management Directive</w:t>
      </w:r>
      <w:r>
        <w:rPr>
          <w:rStyle w:val="FootnoteReference"/>
          <w:rFonts w:ascii="Arial" w:hAnsi="Arial" w:cs="Arial"/>
          <w:noProof/>
          <w:sz w:val="20"/>
          <w:lang w:bidi="en-US"/>
        </w:rPr>
        <w:footnoteReference w:id="8"/>
      </w:r>
      <w:r>
        <w:rPr>
          <w:rFonts w:ascii="Arial" w:hAnsi="Arial" w:cs="Arial"/>
          <w:noProof/>
          <w:sz w:val="20"/>
          <w:lang w:bidi="en-US"/>
        </w:rPr>
        <w:t>.</w:t>
      </w:r>
    </w:p>
    <w:p w:rsidR="00E201F7" w:rsidRDefault="00E24EFF">
      <w:pPr>
        <w:pStyle w:val="kop2"/>
        <w:rPr>
          <w:noProof/>
        </w:rPr>
      </w:pPr>
      <w:r>
        <w:rPr>
          <w:noProof/>
        </w:rPr>
        <w:t>INFRINGEMENT CASES</w:t>
      </w:r>
    </w:p>
    <w:p w:rsidR="00E201F7" w:rsidRDefault="00E24EFF">
      <w:pPr>
        <w:numPr>
          <w:ilvl w:val="0"/>
          <w:numId w:val="94"/>
        </w:numPr>
        <w:spacing w:before="120"/>
        <w:jc w:val="left"/>
        <w:outlineLvl w:val="1"/>
        <w:rPr>
          <w:rFonts w:ascii="Arial" w:hAnsi="Arial" w:cs="Arial"/>
          <w:noProof/>
          <w:color w:val="002060"/>
          <w:sz w:val="22"/>
        </w:rPr>
      </w:pPr>
      <w:r>
        <w:rPr>
          <w:rFonts w:ascii="Arial" w:hAnsi="Arial" w:cs="Arial"/>
          <w:noProof/>
          <w:color w:val="002060"/>
          <w:sz w:val="22"/>
        </w:rPr>
        <w:t>Infringement cases open on 31 December (2013-2017)</w:t>
      </w:r>
    </w:p>
    <w:p w:rsidR="00E201F7" w:rsidRDefault="00E24EFF">
      <w:pPr>
        <w:ind w:left="720"/>
        <w:rPr>
          <w:rFonts w:ascii="Verdana" w:hAnsi="Verdana"/>
          <w:noProof/>
          <w:sz w:val="20"/>
          <w:u w:val="single"/>
        </w:rPr>
      </w:pPr>
      <w:r>
        <w:rPr>
          <w:rFonts w:ascii="Verdana" w:hAnsi="Verdana"/>
          <w:noProof/>
          <w:sz w:val="20"/>
        </w:rPr>
        <w:drawing>
          <wp:inline distT="0" distB="0" distL="0" distR="0" wp14:anchorId="6016057E" wp14:editId="47DD9EBF">
            <wp:extent cx="4612640" cy="2123440"/>
            <wp:effectExtent l="0" t="0" r="0" b="0"/>
            <wp:docPr id="339" name="Grafie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201F7" w:rsidRDefault="00E24EFF">
      <w:pPr>
        <w:spacing w:after="0"/>
        <w:jc w:val="left"/>
        <w:rPr>
          <w:rFonts w:ascii="Arial" w:hAnsi="Arial" w:cs="Arial"/>
          <w:noProof/>
          <w:color w:val="002060"/>
          <w:sz w:val="22"/>
        </w:rPr>
      </w:pPr>
      <w:r>
        <w:rPr>
          <w:rFonts w:ascii="Arial" w:hAnsi="Arial" w:cs="Arial"/>
          <w:noProof/>
          <w:color w:val="002060"/>
          <w:sz w:val="22"/>
        </w:rPr>
        <w:br w:type="page"/>
      </w:r>
    </w:p>
    <w:p w:rsidR="00E201F7" w:rsidRDefault="00E24EFF">
      <w:pPr>
        <w:numPr>
          <w:ilvl w:val="0"/>
          <w:numId w:val="94"/>
        </w:numPr>
        <w:spacing w:before="120"/>
        <w:jc w:val="left"/>
        <w:outlineLvl w:val="1"/>
        <w:rPr>
          <w:rFonts w:ascii="Arial" w:hAnsi="Arial" w:cs="Arial"/>
          <w:noProof/>
          <w:color w:val="002060"/>
          <w:sz w:val="22"/>
        </w:rPr>
      </w:pPr>
      <w:r>
        <w:rPr>
          <w:rFonts w:ascii="Arial" w:hAnsi="Arial" w:cs="Arial"/>
          <w:noProof/>
          <w:color w:val="002060"/>
          <w:sz w:val="22"/>
        </w:rPr>
        <w:t xml:space="preserve">Infringement cases open on 31 December 2017: </w:t>
      </w:r>
      <w:r>
        <w:rPr>
          <w:rFonts w:ascii="Arial" w:hAnsi="Arial" w:cs="Arial"/>
          <w:noProof/>
          <w:color w:val="002060"/>
          <w:sz w:val="22"/>
        </w:rPr>
        <w:t>main policy sectors</w:t>
      </w:r>
    </w:p>
    <w:p w:rsidR="00E201F7" w:rsidRDefault="00E24EFF">
      <w:pPr>
        <w:spacing w:before="120"/>
        <w:ind w:left="720"/>
        <w:jc w:val="left"/>
        <w:outlineLvl w:val="1"/>
        <w:rPr>
          <w:rFonts w:ascii="Arial" w:hAnsi="Arial" w:cs="Arial"/>
          <w:noProof/>
          <w:color w:val="002060"/>
          <w:sz w:val="22"/>
        </w:rPr>
      </w:pPr>
      <w:r>
        <w:rPr>
          <w:noProof/>
        </w:rPr>
        <w:drawing>
          <wp:inline distT="0" distB="0" distL="0" distR="0" wp14:anchorId="1C1FD56A" wp14:editId="0C4AF6B0">
            <wp:extent cx="4549140" cy="2263140"/>
            <wp:effectExtent l="0" t="0" r="22860" b="22860"/>
            <wp:docPr id="117"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201F7" w:rsidRDefault="00E24EFF">
      <w:pPr>
        <w:numPr>
          <w:ilvl w:val="0"/>
          <w:numId w:val="94"/>
        </w:numPr>
        <w:spacing w:before="120"/>
        <w:jc w:val="left"/>
        <w:outlineLvl w:val="1"/>
        <w:rPr>
          <w:rFonts w:ascii="Arial" w:hAnsi="Arial" w:cs="Arial"/>
          <w:noProof/>
          <w:color w:val="002060"/>
          <w:sz w:val="22"/>
        </w:rPr>
      </w:pPr>
      <w:r>
        <w:rPr>
          <w:rFonts w:ascii="Arial" w:hAnsi="Arial" w:cs="Arial"/>
          <w:noProof/>
          <w:color w:val="002060"/>
          <w:sz w:val="22"/>
        </w:rPr>
        <w:t>New infringement cases opened in 2017: main policy sectors</w:t>
      </w:r>
    </w:p>
    <w:p w:rsidR="00E201F7" w:rsidRDefault="00E24EFF">
      <w:pPr>
        <w:ind w:left="720"/>
        <w:rPr>
          <w:rFonts w:ascii="Verdana" w:hAnsi="Verdana"/>
          <w:noProof/>
          <w:sz w:val="20"/>
        </w:rPr>
      </w:pPr>
      <w:r>
        <w:rPr>
          <w:rFonts w:ascii="Verdana" w:hAnsi="Verdana"/>
          <w:noProof/>
          <w:sz w:val="20"/>
        </w:rPr>
        <w:drawing>
          <wp:inline distT="0" distB="0" distL="0" distR="0" wp14:anchorId="32E673BD" wp14:editId="4DF2DD2C">
            <wp:extent cx="4561840" cy="2245360"/>
            <wp:effectExtent l="0" t="0" r="10160" b="21590"/>
            <wp:docPr id="337"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201F7" w:rsidRDefault="00E24EFF">
      <w:pPr>
        <w:numPr>
          <w:ilvl w:val="0"/>
          <w:numId w:val="94"/>
        </w:numPr>
        <w:spacing w:before="120"/>
        <w:jc w:val="left"/>
        <w:outlineLvl w:val="1"/>
        <w:rPr>
          <w:rFonts w:ascii="Arial" w:hAnsi="Arial" w:cs="Arial"/>
          <w:noProof/>
          <w:color w:val="002060"/>
          <w:sz w:val="22"/>
        </w:rPr>
      </w:pPr>
      <w:r>
        <w:rPr>
          <w:rFonts w:ascii="Arial" w:hAnsi="Arial" w:cs="Arial"/>
          <w:noProof/>
          <w:color w:val="002060"/>
          <w:sz w:val="22"/>
        </w:rPr>
        <w:t>Key infringement cases and referrals to the Court</w:t>
      </w:r>
    </w:p>
    <w:p w:rsidR="00E201F7" w:rsidRDefault="00E24EFF">
      <w:pPr>
        <w:pStyle w:val="Lijstje"/>
        <w:numPr>
          <w:ilvl w:val="0"/>
          <w:numId w:val="42"/>
        </w:numPr>
        <w:spacing w:after="120"/>
        <w:ind w:left="1200" w:hanging="360"/>
        <w:rPr>
          <w:rFonts w:ascii="Arial" w:hAnsi="Arial" w:cs="Arial"/>
          <w:noProof/>
          <w:lang w:val="en-GB"/>
        </w:rPr>
      </w:pPr>
      <w:r>
        <w:rPr>
          <w:rFonts w:ascii="Arial" w:hAnsi="Arial" w:cs="Arial"/>
          <w:noProof/>
          <w:lang w:val="en-GB"/>
        </w:rPr>
        <w:t>The Commission opened 9 new infringement cases in 2017. These, and other major ongoing infringement cases, include the foll</w:t>
      </w:r>
      <w:r>
        <w:rPr>
          <w:rFonts w:ascii="Arial" w:hAnsi="Arial" w:cs="Arial"/>
          <w:noProof/>
          <w:lang w:val="en-GB"/>
        </w:rPr>
        <w:t>owing:</w:t>
      </w:r>
    </w:p>
    <w:p w:rsidR="00E201F7" w:rsidRDefault="00E24EFF">
      <w:pPr>
        <w:pStyle w:val="Lijstje2"/>
        <w:ind w:left="1800"/>
        <w:rPr>
          <w:rFonts w:ascii="Arial" w:hAnsi="Arial" w:cs="Arial"/>
          <w:noProof/>
          <w:lang w:val="en-GB"/>
        </w:rPr>
      </w:pPr>
      <w:r>
        <w:rPr>
          <w:rFonts w:ascii="Arial" w:hAnsi="Arial" w:cs="Arial"/>
          <w:bCs/>
          <w:i/>
          <w:noProof/>
          <w:lang w:val="en-GB"/>
        </w:rPr>
        <w:t>Belgium, Ireland, Spain, Hungary, Poland, Romania, Slovenia</w:t>
      </w:r>
      <w:r>
        <w:rPr>
          <w:rFonts w:ascii="Arial" w:hAnsi="Arial" w:cs="Arial"/>
          <w:bCs/>
          <w:noProof/>
          <w:lang w:val="en-GB"/>
        </w:rPr>
        <w:t xml:space="preserve">: failure to notify measures </w:t>
      </w:r>
      <w:r>
        <w:rPr>
          <w:rFonts w:ascii="Arial" w:hAnsi="Arial" w:cs="Arial"/>
          <w:noProof/>
          <w:lang w:val="en-GB"/>
        </w:rPr>
        <w:t xml:space="preserve">under the </w:t>
      </w:r>
      <w:r>
        <w:rPr>
          <w:rFonts w:ascii="Arial" w:hAnsi="Arial" w:cs="Arial"/>
          <w:bCs/>
          <w:noProof/>
          <w:lang w:val="en-GB"/>
        </w:rPr>
        <w:t>Framework Directive for electronic communications</w:t>
      </w:r>
      <w:r>
        <w:rPr>
          <w:rStyle w:val="FootnoteReference"/>
          <w:rFonts w:ascii="Arial" w:hAnsi="Arial" w:cs="Arial"/>
          <w:bCs/>
          <w:noProof/>
          <w:lang w:val="en-GB"/>
        </w:rPr>
        <w:footnoteReference w:id="9"/>
      </w:r>
      <w:r>
        <w:rPr>
          <w:rFonts w:ascii="Arial" w:hAnsi="Arial" w:cs="Arial"/>
          <w:bCs/>
          <w:noProof/>
          <w:lang w:val="en-GB"/>
        </w:rPr>
        <w:t>;</w:t>
      </w:r>
    </w:p>
    <w:p w:rsidR="00E201F7" w:rsidRDefault="00E24EFF">
      <w:pPr>
        <w:pStyle w:val="Lijstje2"/>
        <w:ind w:left="1800"/>
        <w:rPr>
          <w:rFonts w:ascii="Arial" w:hAnsi="Arial" w:cs="Arial"/>
          <w:noProof/>
          <w:lang w:val="en-GB"/>
        </w:rPr>
      </w:pPr>
      <w:r>
        <w:rPr>
          <w:rFonts w:ascii="Arial" w:hAnsi="Arial" w:cs="Arial"/>
          <w:i/>
          <w:noProof/>
          <w:lang w:val="en-GB"/>
        </w:rPr>
        <w:t xml:space="preserve">Poland: </w:t>
      </w:r>
      <w:r>
        <w:rPr>
          <w:rFonts w:ascii="Arial" w:hAnsi="Arial" w:cs="Arial"/>
          <w:noProof/>
          <w:lang w:val="en-GB"/>
        </w:rPr>
        <w:t>non-transposition of the Cable and Satellite Directive</w:t>
      </w:r>
      <w:r>
        <w:rPr>
          <w:rStyle w:val="FootnoteReference"/>
          <w:rFonts w:ascii="Arial" w:hAnsi="Arial" w:cs="Arial"/>
          <w:noProof/>
          <w:lang w:val="en-GB"/>
        </w:rPr>
        <w:footnoteReference w:id="10"/>
      </w:r>
      <w:r>
        <w:rPr>
          <w:rFonts w:ascii="Arial" w:hAnsi="Arial" w:cs="Arial"/>
          <w:noProof/>
          <w:lang w:val="en-GB"/>
        </w:rPr>
        <w:t>;</w:t>
      </w:r>
    </w:p>
    <w:p w:rsidR="00E201F7" w:rsidRDefault="00E24EFF">
      <w:pPr>
        <w:pStyle w:val="Lijstje2"/>
        <w:ind w:left="1800"/>
        <w:rPr>
          <w:rFonts w:ascii="Arial" w:hAnsi="Arial" w:cs="Arial"/>
          <w:noProof/>
          <w:lang w:val="en-GB"/>
        </w:rPr>
      </w:pPr>
      <w:r>
        <w:rPr>
          <w:rFonts w:ascii="Arial" w:hAnsi="Arial" w:cs="Arial"/>
          <w:i/>
          <w:noProof/>
          <w:lang w:val="en-GB"/>
        </w:rPr>
        <w:t>Romania:</w:t>
      </w:r>
      <w:r>
        <w:rPr>
          <w:rFonts w:ascii="Arial" w:eastAsia="Times New Roman" w:hAnsi="Arial" w:cs="Arial"/>
          <w:b/>
          <w:bCs/>
          <w:noProof/>
          <w:kern w:val="0"/>
          <w:sz w:val="22"/>
          <w:lang w:val="en-GB"/>
        </w:rPr>
        <w:t xml:space="preserve"> </w:t>
      </w:r>
      <w:r>
        <w:rPr>
          <w:rFonts w:ascii="Arial" w:eastAsia="Times New Roman" w:hAnsi="Arial" w:cs="Arial"/>
          <w:bCs/>
          <w:noProof/>
          <w:kern w:val="0"/>
          <w:lang w:val="en-GB"/>
        </w:rPr>
        <w:t>non-compliance with</w:t>
      </w:r>
      <w:r>
        <w:rPr>
          <w:rFonts w:ascii="Arial" w:eastAsia="Times New Roman" w:hAnsi="Arial" w:cs="Arial"/>
          <w:b/>
          <w:bCs/>
          <w:noProof/>
          <w:kern w:val="0"/>
          <w:sz w:val="22"/>
          <w:lang w:val="en-GB"/>
        </w:rPr>
        <w:t xml:space="preserve"> </w:t>
      </w:r>
      <w:r>
        <w:rPr>
          <w:rFonts w:ascii="Arial" w:eastAsia="Times New Roman" w:hAnsi="Arial" w:cs="Arial"/>
          <w:bCs/>
          <w:noProof/>
          <w:kern w:val="0"/>
          <w:lang w:val="en-GB"/>
        </w:rPr>
        <w:t>the</w:t>
      </w:r>
      <w:r>
        <w:rPr>
          <w:rFonts w:ascii="Arial" w:eastAsia="Times New Roman" w:hAnsi="Arial" w:cs="Arial"/>
          <w:b/>
          <w:bCs/>
          <w:noProof/>
          <w:kern w:val="0"/>
          <w:sz w:val="22"/>
          <w:lang w:val="en-GB"/>
        </w:rPr>
        <w:t xml:space="preserve"> </w:t>
      </w:r>
      <w:r>
        <w:rPr>
          <w:rFonts w:ascii="Arial" w:hAnsi="Arial" w:cs="Arial"/>
          <w:bCs/>
          <w:noProof/>
          <w:lang w:val="en-GB"/>
        </w:rPr>
        <w:t>Collective Rights Management Directive</w:t>
      </w:r>
      <w:r>
        <w:rPr>
          <w:rStyle w:val="FootnoteReference"/>
          <w:rFonts w:ascii="Arial" w:hAnsi="Arial" w:cs="Arial"/>
          <w:bCs/>
          <w:noProof/>
          <w:lang w:val="en-GB"/>
        </w:rPr>
        <w:footnoteReference w:id="11"/>
      </w:r>
      <w:r>
        <w:rPr>
          <w:rFonts w:ascii="Arial" w:hAnsi="Arial" w:cs="Arial"/>
          <w:bCs/>
          <w:noProof/>
          <w:lang w:val="en-GB"/>
        </w:rPr>
        <w:t>;</w:t>
      </w:r>
    </w:p>
    <w:p w:rsidR="00E201F7" w:rsidRDefault="00E24EFF">
      <w:pPr>
        <w:pStyle w:val="Lijstje2"/>
        <w:ind w:left="1800"/>
        <w:rPr>
          <w:rFonts w:ascii="Arial" w:hAnsi="Arial" w:cs="Arial"/>
          <w:noProof/>
          <w:lang w:val="en-GB"/>
        </w:rPr>
      </w:pPr>
      <w:r>
        <w:rPr>
          <w:rFonts w:ascii="Arial" w:hAnsi="Arial" w:cs="Arial"/>
          <w:i/>
          <w:noProof/>
          <w:lang w:val="en-GB"/>
        </w:rPr>
        <w:t xml:space="preserve">Slovakia: </w:t>
      </w:r>
      <w:r>
        <w:rPr>
          <w:rFonts w:ascii="Arial" w:hAnsi="Arial" w:cs="Arial"/>
          <w:noProof/>
          <w:lang w:val="en-GB"/>
        </w:rPr>
        <w:t>non-compliance with the Regulation on electronic identification and trust services for electronic transactions in the internal market (eIDAS Regulation)</w:t>
      </w:r>
      <w:r>
        <w:rPr>
          <w:rStyle w:val="FootnoteReference"/>
          <w:rFonts w:ascii="Arial" w:hAnsi="Arial" w:cs="Arial"/>
          <w:noProof/>
          <w:lang w:val="en-GB"/>
        </w:rPr>
        <w:footnoteReference w:id="12"/>
      </w:r>
      <w:r>
        <w:rPr>
          <w:rFonts w:ascii="Arial" w:hAnsi="Arial" w:cs="Arial"/>
          <w:noProof/>
          <w:lang w:val="en-GB"/>
        </w:rPr>
        <w:t>.</w:t>
      </w:r>
    </w:p>
    <w:p w:rsidR="00E201F7" w:rsidRDefault="00E24EFF">
      <w:pPr>
        <w:pStyle w:val="Lijstje"/>
        <w:numPr>
          <w:ilvl w:val="0"/>
          <w:numId w:val="42"/>
        </w:numPr>
        <w:spacing w:after="120"/>
        <w:ind w:left="1200" w:hanging="360"/>
        <w:rPr>
          <w:rFonts w:ascii="Arial" w:hAnsi="Arial" w:cs="Arial"/>
          <w:noProof/>
          <w:lang w:val="en-GB"/>
        </w:rPr>
      </w:pPr>
      <w:r>
        <w:rPr>
          <w:rFonts w:ascii="Arial" w:hAnsi="Arial" w:cs="Arial"/>
          <w:noProof/>
          <w:lang w:val="en-GB"/>
        </w:rPr>
        <w:t>The Commission did not refer any cases to the Cour</w:t>
      </w:r>
      <w:r>
        <w:rPr>
          <w:rFonts w:ascii="Arial" w:hAnsi="Arial" w:cs="Arial"/>
          <w:noProof/>
          <w:lang w:val="en-GB"/>
        </w:rPr>
        <w:t>t under Article 258 TFEU.</w:t>
      </w:r>
    </w:p>
    <w:p w:rsidR="00E201F7" w:rsidRDefault="00E24EFF">
      <w:pPr>
        <w:pStyle w:val="Lijstje"/>
        <w:numPr>
          <w:ilvl w:val="0"/>
          <w:numId w:val="42"/>
        </w:numPr>
        <w:spacing w:after="120"/>
        <w:ind w:left="1200" w:hanging="360"/>
        <w:rPr>
          <w:rFonts w:ascii="Arial" w:hAnsi="Arial" w:cs="Arial"/>
          <w:noProof/>
          <w:lang w:val="en-GB"/>
        </w:rPr>
      </w:pPr>
      <w:r>
        <w:rPr>
          <w:rFonts w:ascii="Arial" w:hAnsi="Arial"/>
          <w:noProof/>
          <w:lang w:val="en-GB"/>
        </w:rPr>
        <w:t>The Commission did not refer any cases to the Court under Article 260(2)</w:t>
      </w:r>
      <w:r>
        <w:rPr>
          <w:rFonts w:ascii="Arial" w:hAnsi="Arial" w:cs="Arial"/>
          <w:noProof/>
          <w:lang w:val="en-GB"/>
        </w:rPr>
        <w:t xml:space="preserve"> TFEU.</w:t>
      </w:r>
    </w:p>
    <w:p w:rsidR="00E201F7" w:rsidRDefault="00E24EFF">
      <w:pPr>
        <w:pStyle w:val="kop2"/>
        <w:rPr>
          <w:noProof/>
        </w:rPr>
      </w:pPr>
      <w:r>
        <w:rPr>
          <w:noProof/>
        </w:rPr>
        <w:t>TRANSPOSITION OF DIRECTIVES</w:t>
      </w:r>
    </w:p>
    <w:p w:rsidR="00E201F7" w:rsidRDefault="00E24EFF">
      <w:pPr>
        <w:numPr>
          <w:ilvl w:val="0"/>
          <w:numId w:val="95"/>
        </w:numPr>
        <w:spacing w:before="120"/>
        <w:jc w:val="left"/>
        <w:outlineLvl w:val="1"/>
        <w:rPr>
          <w:rFonts w:ascii="Arial" w:hAnsi="Arial" w:cs="Arial"/>
          <w:noProof/>
          <w:color w:val="002060"/>
          <w:sz w:val="22"/>
        </w:rPr>
      </w:pPr>
      <w:r>
        <w:rPr>
          <w:rFonts w:ascii="Arial" w:hAnsi="Arial" w:cs="Arial"/>
          <w:noProof/>
          <w:color w:val="002060"/>
          <w:sz w:val="22"/>
        </w:rPr>
        <w:t>New late transposition infringement cases (2013-2017)</w:t>
      </w:r>
    </w:p>
    <w:p w:rsidR="00E201F7" w:rsidRDefault="00E24EFF">
      <w:pPr>
        <w:ind w:left="720"/>
        <w:rPr>
          <w:rFonts w:ascii="Verdana" w:hAnsi="Verdana"/>
          <w:noProof/>
          <w:sz w:val="20"/>
        </w:rPr>
      </w:pPr>
      <w:r>
        <w:rPr>
          <w:rFonts w:ascii="Verdana" w:hAnsi="Verdana"/>
          <w:noProof/>
          <w:sz w:val="20"/>
        </w:rPr>
        <w:drawing>
          <wp:inline distT="0" distB="0" distL="0" distR="0" wp14:anchorId="791BADB5" wp14:editId="35E3F8F5">
            <wp:extent cx="4429760" cy="2001520"/>
            <wp:effectExtent l="0" t="0" r="0" b="0"/>
            <wp:docPr id="336" name="Grafiek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201F7" w:rsidRDefault="00E24EFF">
      <w:pPr>
        <w:numPr>
          <w:ilvl w:val="0"/>
          <w:numId w:val="95"/>
        </w:numPr>
        <w:spacing w:before="360"/>
        <w:ind w:left="714" w:hanging="357"/>
        <w:jc w:val="left"/>
        <w:outlineLvl w:val="1"/>
        <w:rPr>
          <w:rFonts w:ascii="Arial" w:hAnsi="Arial" w:cs="Arial"/>
          <w:noProof/>
          <w:color w:val="002060"/>
          <w:sz w:val="22"/>
        </w:rPr>
      </w:pPr>
      <w:r>
        <w:rPr>
          <w:rFonts w:ascii="Arial" w:hAnsi="Arial" w:cs="Arial"/>
          <w:noProof/>
          <w:color w:val="002060"/>
          <w:sz w:val="22"/>
        </w:rPr>
        <w:t xml:space="preserve">New late transposition infringement cases opened in 2017: main </w:t>
      </w:r>
      <w:r>
        <w:rPr>
          <w:rFonts w:ascii="Arial" w:hAnsi="Arial" w:cs="Arial"/>
          <w:noProof/>
          <w:color w:val="002060"/>
          <w:sz w:val="22"/>
        </w:rPr>
        <w:t>policy sectors</w:t>
      </w:r>
    </w:p>
    <w:p w:rsidR="00E201F7" w:rsidRDefault="00E24EFF">
      <w:pPr>
        <w:ind w:left="720"/>
        <w:rPr>
          <w:rFonts w:ascii="Arial" w:hAnsi="Arial" w:cs="Arial"/>
          <w:noProof/>
        </w:rPr>
      </w:pPr>
      <w:r>
        <w:rPr>
          <w:rFonts w:ascii="Arial" w:hAnsi="Arial" w:cs="Arial"/>
          <w:noProof/>
          <w:sz w:val="20"/>
        </w:rPr>
        <w:t>The Commission did not open any new late transposition infringement cases.</w:t>
      </w:r>
    </w:p>
    <w:p w:rsidR="00E201F7" w:rsidRDefault="00E24EFF">
      <w:pPr>
        <w:numPr>
          <w:ilvl w:val="0"/>
          <w:numId w:val="95"/>
        </w:numPr>
        <w:spacing w:before="360"/>
        <w:ind w:left="714" w:hanging="357"/>
        <w:jc w:val="left"/>
        <w:outlineLvl w:val="1"/>
        <w:rPr>
          <w:rFonts w:ascii="Arial" w:hAnsi="Arial" w:cs="Arial"/>
          <w:noProof/>
          <w:color w:val="002060"/>
          <w:sz w:val="22"/>
        </w:rPr>
      </w:pPr>
      <w:r>
        <w:rPr>
          <w:rFonts w:ascii="Arial" w:hAnsi="Arial" w:cs="Arial"/>
          <w:noProof/>
          <w:color w:val="002060"/>
          <w:sz w:val="22"/>
        </w:rPr>
        <w:t>Key infringement cases and referrals to the Court</w:t>
      </w:r>
    </w:p>
    <w:p w:rsidR="00E201F7" w:rsidRDefault="00E24EFF">
      <w:pPr>
        <w:numPr>
          <w:ilvl w:val="0"/>
          <w:numId w:val="56"/>
        </w:numPr>
        <w:spacing w:after="120"/>
        <w:ind w:left="1200" w:hanging="360"/>
        <w:rPr>
          <w:rFonts w:ascii="Arial" w:eastAsia="Calibri" w:hAnsi="Arial" w:cs="Arial"/>
          <w:noProof/>
          <w:kern w:val="20"/>
          <w:sz w:val="20"/>
        </w:rPr>
      </w:pPr>
      <w:r>
        <w:rPr>
          <w:rFonts w:ascii="Arial" w:eastAsia="Calibri" w:hAnsi="Arial" w:cs="Arial"/>
          <w:noProof/>
          <w:kern w:val="20"/>
          <w:sz w:val="20"/>
        </w:rPr>
        <w:t xml:space="preserve">The Commission did not open any cases for late transposition in </w:t>
      </w:r>
      <w:smartTag w:uri="urn:schemas-microsoft-com:office:smarttags" w:element="metricconverter">
        <w:smartTagPr>
          <w:attr w:name="ProductID" w:val="2017 in"/>
        </w:smartTagPr>
        <w:r>
          <w:rPr>
            <w:rFonts w:ascii="Arial" w:eastAsia="Calibri" w:hAnsi="Arial" w:cs="Arial"/>
            <w:noProof/>
            <w:kern w:val="20"/>
            <w:sz w:val="20"/>
          </w:rPr>
          <w:t>2017 in</w:t>
        </w:r>
      </w:smartTag>
      <w:r>
        <w:rPr>
          <w:rFonts w:ascii="Arial" w:eastAsia="Calibri" w:hAnsi="Arial" w:cs="Arial"/>
          <w:noProof/>
          <w:kern w:val="20"/>
          <w:sz w:val="20"/>
        </w:rPr>
        <w:t xml:space="preserve"> this area;</w:t>
      </w:r>
    </w:p>
    <w:p w:rsidR="00E201F7" w:rsidRDefault="00E24EFF">
      <w:pPr>
        <w:numPr>
          <w:ilvl w:val="0"/>
          <w:numId w:val="56"/>
        </w:numPr>
        <w:spacing w:after="120"/>
        <w:ind w:left="1200" w:hanging="360"/>
        <w:rPr>
          <w:rFonts w:ascii="Arial" w:eastAsia="Calibri" w:hAnsi="Arial" w:cs="Arial"/>
          <w:noProof/>
          <w:kern w:val="20"/>
          <w:sz w:val="20"/>
        </w:rPr>
      </w:pPr>
      <w:r>
        <w:rPr>
          <w:rFonts w:ascii="Arial" w:eastAsia="Calibri" w:hAnsi="Arial" w:cs="Arial"/>
          <w:noProof/>
          <w:kern w:val="20"/>
          <w:sz w:val="20"/>
        </w:rPr>
        <w:t>The Commission referred two cases</w:t>
      </w:r>
      <w:r>
        <w:rPr>
          <w:rFonts w:ascii="Arial" w:eastAsia="Calibri" w:hAnsi="Arial" w:cs="Arial"/>
          <w:noProof/>
          <w:kern w:val="20"/>
          <w:sz w:val="20"/>
        </w:rPr>
        <w:t xml:space="preserve"> to the Court under Articles 258 and 260(3) TFEU. They concerned:</w:t>
      </w:r>
    </w:p>
    <w:p w:rsidR="00E201F7" w:rsidRDefault="00E24EFF">
      <w:pPr>
        <w:numPr>
          <w:ilvl w:val="0"/>
          <w:numId w:val="24"/>
        </w:numPr>
        <w:spacing w:after="200"/>
        <w:ind w:left="1800"/>
        <w:contextualSpacing/>
        <w:rPr>
          <w:rFonts w:ascii="Arial" w:eastAsia="Calibri" w:hAnsi="Arial" w:cs="Arial"/>
          <w:noProof/>
          <w:kern w:val="20"/>
          <w:sz w:val="20"/>
        </w:rPr>
      </w:pPr>
      <w:r>
        <w:rPr>
          <w:rFonts w:ascii="Arial" w:eastAsia="Calibri" w:hAnsi="Arial" w:cs="Arial"/>
          <w:i/>
          <w:noProof/>
          <w:kern w:val="20"/>
          <w:sz w:val="20"/>
        </w:rPr>
        <w:t xml:space="preserve">Belgium and </w:t>
      </w:r>
      <w:smartTag w:uri="urn:schemas-microsoft-com:office:smarttags" w:element="country-region">
        <w:smartTag w:uri="urn:schemas-microsoft-com:office:smarttags" w:element="place">
          <w:r>
            <w:rPr>
              <w:rFonts w:ascii="Arial" w:eastAsia="Calibri" w:hAnsi="Arial" w:cs="Arial"/>
              <w:i/>
              <w:noProof/>
              <w:kern w:val="20"/>
              <w:sz w:val="20"/>
            </w:rPr>
            <w:t>Slovakia</w:t>
          </w:r>
        </w:smartTag>
      </w:smartTag>
      <w:r>
        <w:rPr>
          <w:rFonts w:ascii="Arial" w:eastAsia="Calibri" w:hAnsi="Arial" w:cs="Arial"/>
          <w:noProof/>
          <w:kern w:val="20"/>
          <w:sz w:val="20"/>
        </w:rPr>
        <w:t>: non-communication of measures transposing the Broadband Cost Reduction Directive</w:t>
      </w:r>
      <w:r>
        <w:rPr>
          <w:rStyle w:val="FootnoteReference"/>
          <w:rFonts w:ascii="Arial" w:eastAsia="Calibri" w:hAnsi="Arial" w:cs="Arial"/>
          <w:noProof/>
          <w:kern w:val="20"/>
          <w:sz w:val="20"/>
        </w:rPr>
        <w:footnoteReference w:id="13"/>
      </w:r>
      <w:r>
        <w:rPr>
          <w:rFonts w:ascii="Arial" w:eastAsia="Calibri" w:hAnsi="Arial" w:cs="Arial"/>
          <w:noProof/>
          <w:kern w:val="20"/>
          <w:sz w:val="20"/>
        </w:rPr>
        <w:t>.</w:t>
      </w:r>
    </w:p>
    <w:p w:rsidR="00E201F7" w:rsidRDefault="00E24EFF">
      <w:pPr>
        <w:pStyle w:val="kop2"/>
        <w:rPr>
          <w:noProof/>
        </w:rPr>
      </w:pPr>
      <w:r>
        <w:rPr>
          <w:noProof/>
        </w:rPr>
        <w:t>EARLY RESOLUTION OF INFRINGEMENT CASES</w:t>
      </w:r>
    </w:p>
    <w:p w:rsidR="00E201F7" w:rsidRDefault="00E24EFF">
      <w:pPr>
        <w:spacing w:after="60"/>
        <w:ind w:left="360"/>
        <w:jc w:val="left"/>
        <w:outlineLvl w:val="1"/>
        <w:rPr>
          <w:rFonts w:ascii="Arial" w:hAnsi="Arial" w:cs="Arial"/>
          <w:noProof/>
          <w:color w:val="002060"/>
          <w:sz w:val="22"/>
        </w:rPr>
      </w:pPr>
      <w:r>
        <w:rPr>
          <w:rFonts w:ascii="Arial" w:hAnsi="Arial" w:cs="Arial"/>
          <w:noProof/>
          <w:color w:val="002060"/>
          <w:sz w:val="22"/>
        </w:rPr>
        <w:t>Major cases closed without a Court judgment in</w:t>
      </w:r>
      <w:r>
        <w:rPr>
          <w:rFonts w:ascii="Arial" w:hAnsi="Arial" w:cs="Arial"/>
          <w:noProof/>
          <w:color w:val="002060"/>
          <w:sz w:val="22"/>
        </w:rPr>
        <w:t xml:space="preserve"> 2017</w:t>
      </w:r>
    </w:p>
    <w:p w:rsidR="00E201F7" w:rsidRDefault="00E24EFF">
      <w:pPr>
        <w:spacing w:before="120" w:after="120"/>
        <w:ind w:left="720"/>
        <w:rPr>
          <w:rFonts w:ascii="Arial" w:hAnsi="Arial" w:cs="Arial"/>
          <w:noProof/>
          <w:sz w:val="20"/>
          <w:szCs w:val="20"/>
        </w:rPr>
      </w:pPr>
      <w:r>
        <w:rPr>
          <w:rFonts w:ascii="Arial" w:hAnsi="Arial" w:cs="Arial"/>
          <w:noProof/>
          <w:sz w:val="20"/>
          <w:szCs w:val="20"/>
        </w:rPr>
        <w:t>These concerned:</w:t>
      </w:r>
    </w:p>
    <w:p w:rsidR="00E201F7" w:rsidRDefault="00E24EFF">
      <w:pPr>
        <w:pStyle w:val="ListParagraph"/>
        <w:numPr>
          <w:ilvl w:val="0"/>
          <w:numId w:val="81"/>
        </w:numPr>
        <w:spacing w:after="120"/>
        <w:ind w:left="1800"/>
        <w:rPr>
          <w:rFonts w:ascii="Arial" w:hAnsi="Arial" w:cs="Arial"/>
          <w:noProof/>
          <w:sz w:val="20"/>
          <w:szCs w:val="20"/>
        </w:rPr>
      </w:pPr>
      <w:r>
        <w:rPr>
          <w:rFonts w:ascii="Arial" w:hAnsi="Arial" w:cs="Arial"/>
          <w:i/>
          <w:noProof/>
          <w:sz w:val="20"/>
          <w:szCs w:val="20"/>
        </w:rPr>
        <w:t>Bulgari</w:t>
      </w:r>
      <w:r>
        <w:rPr>
          <w:rFonts w:ascii="Arial" w:hAnsi="Arial" w:cs="Arial"/>
          <w:noProof/>
          <w:sz w:val="20"/>
          <w:szCs w:val="20"/>
        </w:rPr>
        <w:t xml:space="preserve">a </w:t>
      </w:r>
      <w:r>
        <w:rPr>
          <w:rFonts w:ascii="Arial" w:hAnsi="Arial" w:cs="Arial"/>
          <w:i/>
          <w:noProof/>
          <w:sz w:val="20"/>
          <w:szCs w:val="20"/>
        </w:rPr>
        <w:t xml:space="preserve">and </w:t>
      </w:r>
      <w:smartTag w:uri="urn:schemas-microsoft-com:office:smarttags" w:element="country-region">
        <w:smartTag w:uri="urn:schemas-microsoft-com:office:smarttags" w:element="place">
          <w:r>
            <w:rPr>
              <w:rFonts w:ascii="Arial" w:hAnsi="Arial" w:cs="Arial"/>
              <w:i/>
              <w:noProof/>
              <w:sz w:val="20"/>
              <w:szCs w:val="20"/>
            </w:rPr>
            <w:t>Lithuania</w:t>
          </w:r>
        </w:smartTag>
      </w:smartTag>
      <w:r>
        <w:rPr>
          <w:rFonts w:ascii="Arial" w:hAnsi="Arial" w:cs="Arial"/>
          <w:noProof/>
          <w:sz w:val="20"/>
          <w:szCs w:val="20"/>
        </w:rPr>
        <w:t>:</w:t>
      </w:r>
      <w:r>
        <w:rPr>
          <w:rFonts w:ascii="Arial" w:hAnsi="Arial" w:cs="Arial"/>
          <w:noProof/>
          <w:color w:val="18399C"/>
          <w:sz w:val="20"/>
          <w:szCs w:val="20"/>
        </w:rPr>
        <w:t xml:space="preserve"> </w:t>
      </w:r>
      <w:r>
        <w:rPr>
          <w:rFonts w:ascii="Arial" w:hAnsi="Arial" w:cs="Arial"/>
          <w:noProof/>
          <w:sz w:val="20"/>
          <w:szCs w:val="20"/>
        </w:rPr>
        <w:t>non-conformity with the Audiovisual Media Services Directive</w:t>
      </w:r>
      <w:r>
        <w:rPr>
          <w:rStyle w:val="FootnoteReference"/>
          <w:rFonts w:ascii="Arial" w:hAnsi="Arial" w:cs="Arial"/>
          <w:noProof/>
          <w:sz w:val="20"/>
          <w:szCs w:val="20"/>
        </w:rPr>
        <w:footnoteReference w:id="14"/>
      </w:r>
      <w:r>
        <w:rPr>
          <w:rFonts w:ascii="Arial" w:hAnsi="Arial" w:cs="Arial"/>
          <w:noProof/>
          <w:sz w:val="20"/>
          <w:szCs w:val="20"/>
        </w:rPr>
        <w:t>;</w:t>
      </w:r>
    </w:p>
    <w:p w:rsidR="00E201F7" w:rsidRDefault="00E24EFF">
      <w:pPr>
        <w:pStyle w:val="ListParagraph"/>
        <w:numPr>
          <w:ilvl w:val="0"/>
          <w:numId w:val="81"/>
        </w:numPr>
        <w:spacing w:after="120"/>
        <w:ind w:left="1800"/>
        <w:rPr>
          <w:rFonts w:ascii="Arial" w:hAnsi="Arial" w:cs="Arial"/>
          <w:noProof/>
          <w:sz w:val="20"/>
          <w:szCs w:val="20"/>
        </w:rPr>
      </w:pPr>
      <w:r>
        <w:rPr>
          <w:rFonts w:ascii="Arial" w:hAnsi="Arial" w:cs="Arial"/>
          <w:i/>
          <w:noProof/>
          <w:sz w:val="20"/>
          <w:szCs w:val="20"/>
        </w:rPr>
        <w:t>United Kingdom</w:t>
      </w:r>
      <w:r>
        <w:rPr>
          <w:rFonts w:ascii="Arial" w:hAnsi="Arial" w:cs="Arial"/>
          <w:noProof/>
          <w:sz w:val="20"/>
          <w:szCs w:val="20"/>
        </w:rPr>
        <w:t>: non-conformity with the Directive on harmonisation of certain aspects of copyright and related acts</w:t>
      </w:r>
      <w:r>
        <w:rPr>
          <w:rStyle w:val="FootnoteReference"/>
          <w:rFonts w:ascii="Arial" w:hAnsi="Arial" w:cs="Arial"/>
          <w:noProof/>
          <w:sz w:val="20"/>
          <w:szCs w:val="20"/>
        </w:rPr>
        <w:footnoteReference w:id="15"/>
      </w:r>
      <w:r>
        <w:rPr>
          <w:rFonts w:ascii="Arial" w:hAnsi="Arial" w:cs="Arial"/>
          <w:noProof/>
          <w:sz w:val="20"/>
          <w:szCs w:val="20"/>
        </w:rPr>
        <w:t>.</w:t>
      </w:r>
    </w:p>
    <w:p w:rsidR="00E201F7" w:rsidRDefault="00E24EFF">
      <w:pPr>
        <w:pStyle w:val="kop2"/>
        <w:rPr>
          <w:noProof/>
        </w:rPr>
      </w:pPr>
      <w:r>
        <w:rPr>
          <w:noProof/>
        </w:rPr>
        <w:t>IMPORTANT JUDGMENTS</w:t>
      </w:r>
    </w:p>
    <w:p w:rsidR="00E201F7" w:rsidRDefault="00E24EFF">
      <w:pPr>
        <w:numPr>
          <w:ilvl w:val="0"/>
          <w:numId w:val="97"/>
        </w:numPr>
        <w:spacing w:before="120"/>
        <w:jc w:val="left"/>
        <w:outlineLvl w:val="1"/>
        <w:rPr>
          <w:rFonts w:ascii="Arial" w:hAnsi="Arial" w:cs="Arial"/>
          <w:noProof/>
          <w:color w:val="002060"/>
          <w:sz w:val="22"/>
        </w:rPr>
      </w:pPr>
      <w:r>
        <w:rPr>
          <w:rFonts w:ascii="Arial" w:hAnsi="Arial" w:cs="Arial"/>
          <w:noProof/>
          <w:color w:val="002060"/>
          <w:sz w:val="22"/>
        </w:rPr>
        <w:t xml:space="preserve">Court </w:t>
      </w:r>
      <w:r>
        <w:rPr>
          <w:rFonts w:ascii="Arial" w:hAnsi="Arial" w:cs="Arial"/>
          <w:noProof/>
          <w:color w:val="002060"/>
          <w:sz w:val="22"/>
        </w:rPr>
        <w:t>rulings</w:t>
      </w:r>
    </w:p>
    <w:p w:rsidR="00E201F7" w:rsidRDefault="00E24EFF">
      <w:pPr>
        <w:ind w:left="720"/>
        <w:rPr>
          <w:rFonts w:ascii="Arial" w:hAnsi="Arial" w:cs="Arial"/>
          <w:noProof/>
          <w:sz w:val="20"/>
        </w:rPr>
      </w:pPr>
      <w:r>
        <w:rPr>
          <w:rFonts w:ascii="Arial" w:hAnsi="Arial" w:cs="Arial"/>
          <w:noProof/>
          <w:sz w:val="20"/>
        </w:rPr>
        <w:t xml:space="preserve">There were no major Court rulings in </w:t>
      </w:r>
      <w:smartTag w:uri="urn:schemas-microsoft-com:office:smarttags" w:element="metricconverter">
        <w:smartTagPr>
          <w:attr w:name="ProductID" w:val="2017 in"/>
        </w:smartTagPr>
        <w:r>
          <w:rPr>
            <w:rFonts w:ascii="Arial" w:hAnsi="Arial" w:cs="Arial"/>
            <w:noProof/>
            <w:sz w:val="20"/>
          </w:rPr>
          <w:t>2017 in</w:t>
        </w:r>
      </w:smartTag>
      <w:r>
        <w:rPr>
          <w:rFonts w:ascii="Arial" w:hAnsi="Arial" w:cs="Arial"/>
          <w:noProof/>
          <w:sz w:val="20"/>
        </w:rPr>
        <w:t xml:space="preserve"> this area.</w:t>
      </w:r>
    </w:p>
    <w:p w:rsidR="00E201F7" w:rsidRDefault="00E24EFF">
      <w:pPr>
        <w:numPr>
          <w:ilvl w:val="0"/>
          <w:numId w:val="97"/>
        </w:numPr>
        <w:spacing w:before="120"/>
        <w:jc w:val="left"/>
        <w:outlineLvl w:val="1"/>
        <w:rPr>
          <w:rFonts w:ascii="Arial" w:hAnsi="Arial" w:cs="Arial"/>
          <w:noProof/>
          <w:color w:val="002060"/>
          <w:sz w:val="22"/>
        </w:rPr>
      </w:pPr>
      <w:r>
        <w:rPr>
          <w:rFonts w:ascii="Arial" w:hAnsi="Arial" w:cs="Arial"/>
          <w:noProof/>
          <w:color w:val="002060"/>
          <w:sz w:val="22"/>
        </w:rPr>
        <w:t>Preliminary rulings</w:t>
      </w:r>
    </w:p>
    <w:p w:rsidR="00E201F7" w:rsidRDefault="00E24EFF">
      <w:pPr>
        <w:pStyle w:val="Basis"/>
        <w:ind w:left="360" w:firstLine="360"/>
        <w:rPr>
          <w:rFonts w:ascii="Arial" w:hAnsi="Arial" w:cs="Arial"/>
          <w:noProof/>
          <w:lang w:val="en-GB"/>
        </w:rPr>
      </w:pPr>
      <w:r>
        <w:rPr>
          <w:rFonts w:ascii="Arial" w:hAnsi="Arial" w:cs="Arial"/>
          <w:noProof/>
          <w:lang w:val="en-GB"/>
        </w:rPr>
        <w:t>The Court gave the following preliminary rulings.</w:t>
      </w:r>
    </w:p>
    <w:p w:rsidR="00E201F7" w:rsidRDefault="00E24EFF">
      <w:pPr>
        <w:pStyle w:val="Lijstje2"/>
        <w:spacing w:before="120" w:after="120"/>
        <w:ind w:left="1196" w:hanging="357"/>
        <w:contextualSpacing w:val="0"/>
        <w:rPr>
          <w:rFonts w:ascii="Arial" w:hAnsi="Arial" w:cs="Arial"/>
          <w:noProof/>
          <w:lang w:val="en-GB"/>
        </w:rPr>
      </w:pPr>
      <w:r>
        <w:rPr>
          <w:rFonts w:ascii="Arial" w:hAnsi="Arial" w:cs="Arial"/>
          <w:i/>
          <w:noProof/>
          <w:lang w:val="en-GB"/>
        </w:rPr>
        <w:t xml:space="preserve">Italy: </w:t>
      </w:r>
      <w:r>
        <w:rPr>
          <w:rFonts w:ascii="Arial" w:hAnsi="Arial" w:cs="Arial"/>
          <w:noProof/>
          <w:lang w:val="en-GB"/>
        </w:rPr>
        <w:t xml:space="preserve">An online platform allowing users to store copies of TV programmes in a private cloud space cannot be deemed </w:t>
      </w:r>
      <w:r>
        <w:rPr>
          <w:rFonts w:ascii="Arial" w:hAnsi="Arial" w:cs="Arial"/>
          <w:noProof/>
          <w:lang w:val="en-GB"/>
        </w:rPr>
        <w:t>covered by the private copying exception. This exception applies to the reproduction right, but not the right to make available a protected work. EU rules</w:t>
      </w:r>
      <w:r>
        <w:rPr>
          <w:rStyle w:val="FootnoteReference"/>
          <w:rFonts w:ascii="Arial" w:hAnsi="Arial" w:cs="Arial"/>
          <w:noProof/>
          <w:lang w:val="en-GB"/>
        </w:rPr>
        <w:footnoteReference w:id="16"/>
      </w:r>
      <w:r>
        <w:rPr>
          <w:rFonts w:ascii="Arial" w:hAnsi="Arial" w:cs="Arial"/>
          <w:noProof/>
          <w:lang w:val="en-GB"/>
        </w:rPr>
        <w:t xml:space="preserve"> preclude national legislation which permits a commercial undertaking to provide private individuals </w:t>
      </w:r>
      <w:r>
        <w:rPr>
          <w:rFonts w:ascii="Arial" w:hAnsi="Arial" w:cs="Arial"/>
          <w:noProof/>
          <w:lang w:val="en-GB"/>
        </w:rPr>
        <w:t>with a cloud service for the remote recording of private copies of works protected by copyright, by means of a computer system, by actively involving itself in the recording, without the right holder’s consent</w:t>
      </w:r>
      <w:r>
        <w:rPr>
          <w:rStyle w:val="FootnoteReference"/>
          <w:rFonts w:ascii="Arial" w:hAnsi="Arial" w:cs="Arial"/>
          <w:noProof/>
          <w:lang w:val="en-GB"/>
        </w:rPr>
        <w:footnoteReference w:id="17"/>
      </w:r>
      <w:r>
        <w:rPr>
          <w:noProof/>
          <w:lang w:val="en-GB"/>
        </w:rPr>
        <w:t>.</w:t>
      </w:r>
    </w:p>
    <w:p w:rsidR="00E201F7" w:rsidRDefault="00E24EFF">
      <w:pPr>
        <w:pStyle w:val="Lijstje2"/>
        <w:spacing w:before="120" w:after="120"/>
        <w:ind w:left="1196" w:hanging="357"/>
        <w:contextualSpacing w:val="0"/>
        <w:rPr>
          <w:rFonts w:ascii="Arial" w:hAnsi="Arial" w:cs="Arial"/>
          <w:i/>
          <w:noProof/>
          <w:lang w:val="en-GB"/>
        </w:rPr>
      </w:pPr>
      <w:r>
        <w:rPr>
          <w:rFonts w:ascii="Arial" w:hAnsi="Arial" w:cs="Arial"/>
          <w:i/>
          <w:noProof/>
          <w:lang w:val="en-GB"/>
        </w:rPr>
        <w:t xml:space="preserve">Netherlands: </w:t>
      </w:r>
      <w:r>
        <w:rPr>
          <w:rFonts w:ascii="Arial" w:hAnsi="Arial" w:cs="Arial"/>
          <w:noProof/>
          <w:lang w:val="en-GB"/>
        </w:rPr>
        <w:t xml:space="preserve">The </w:t>
      </w:r>
      <w:smartTag w:uri="urn:schemas-microsoft-com:office:smarttags" w:element="place">
        <w:smartTag w:uri="urn:schemas-microsoft-com:office:smarttags" w:element="PlaceName">
          <w:r>
            <w:rPr>
              <w:rFonts w:ascii="Arial" w:hAnsi="Arial" w:cs="Arial"/>
              <w:noProof/>
              <w:lang w:val="en-GB"/>
            </w:rPr>
            <w:t>Pirate</w:t>
          </w:r>
        </w:smartTag>
        <w:r>
          <w:rPr>
            <w:rFonts w:ascii="Arial" w:hAnsi="Arial" w:cs="Arial"/>
            <w:noProof/>
            <w:lang w:val="en-GB"/>
          </w:rPr>
          <w:t xml:space="preserve"> </w:t>
        </w:r>
        <w:smartTag w:uri="urn:schemas-microsoft-com:office:smarttags" w:element="PlaceType">
          <w:r>
            <w:rPr>
              <w:rFonts w:ascii="Arial" w:hAnsi="Arial" w:cs="Arial"/>
              <w:noProof/>
              <w:lang w:val="en-GB"/>
            </w:rPr>
            <w:t>Bay</w:t>
          </w:r>
        </w:smartTag>
      </w:smartTag>
      <w:r>
        <w:rPr>
          <w:rFonts w:ascii="Arial" w:hAnsi="Arial" w:cs="Arial"/>
          <w:noProof/>
          <w:lang w:val="en-GB"/>
        </w:rPr>
        <w:t xml:space="preserve"> platform, by off</w:t>
      </w:r>
      <w:r>
        <w:rPr>
          <w:rFonts w:ascii="Arial" w:hAnsi="Arial" w:cs="Arial"/>
          <w:noProof/>
          <w:lang w:val="en-GB"/>
        </w:rPr>
        <w:t>ering a search feature, categorising files, deleting faulty trackers, filtering out some types of content, and making advertising revenues plays an essential role in making protected works available to the public and as such engages in communication to the</w:t>
      </w:r>
      <w:r>
        <w:rPr>
          <w:rFonts w:ascii="Arial" w:hAnsi="Arial" w:cs="Arial"/>
          <w:noProof/>
          <w:lang w:val="en-GB"/>
        </w:rPr>
        <w:t xml:space="preserve"> public. In other words the platform is considered to play an essential role, and to intervene, in providing access to copyright-protected content</w:t>
      </w:r>
      <w:r>
        <w:rPr>
          <w:rStyle w:val="FootnoteReference"/>
          <w:rFonts w:ascii="Arial" w:hAnsi="Arial" w:cs="Arial"/>
          <w:noProof/>
          <w:lang w:val="en-GB"/>
        </w:rPr>
        <w:footnoteReference w:id="18"/>
      </w:r>
      <w:r>
        <w:rPr>
          <w:rFonts w:ascii="Arial" w:hAnsi="Arial" w:cs="Arial"/>
          <w:i/>
          <w:noProof/>
          <w:lang w:val="en-GB"/>
        </w:rPr>
        <w:t>.</w:t>
      </w:r>
    </w:p>
    <w:p w:rsidR="00E201F7" w:rsidRDefault="00E24EFF">
      <w:pPr>
        <w:pStyle w:val="Lijstje2"/>
        <w:spacing w:before="120" w:after="120"/>
        <w:ind w:left="1196" w:hanging="357"/>
        <w:contextualSpacing w:val="0"/>
        <w:rPr>
          <w:rFonts w:ascii="Arial" w:hAnsi="Arial" w:cs="Arial"/>
          <w:i/>
          <w:noProof/>
          <w:lang w:val="en-GB"/>
        </w:rPr>
      </w:pPr>
      <w:r>
        <w:rPr>
          <w:rFonts w:ascii="Arial" w:hAnsi="Arial" w:cs="Arial"/>
          <w:i/>
          <w:noProof/>
          <w:lang w:val="en-GB"/>
        </w:rPr>
        <w:t xml:space="preserve">Poland: </w:t>
      </w:r>
      <w:r>
        <w:rPr>
          <w:rFonts w:ascii="Arial" w:hAnsi="Arial" w:cs="Arial"/>
          <w:noProof/>
          <w:lang w:val="en-GB"/>
        </w:rPr>
        <w:t>The case concerns a situation where a national regulatory authority imposes an obligation regarding</w:t>
      </w:r>
      <w:r>
        <w:rPr>
          <w:rFonts w:ascii="Arial" w:hAnsi="Arial" w:cs="Arial"/>
          <w:noProof/>
          <w:lang w:val="en-GB"/>
        </w:rPr>
        <w:t xml:space="preserve"> cost orientation of prices on an operator designated as having significant market power on a specific market. The Court held that in such a case the national authority may set the prices of the services covered by such an obligation below the level of the</w:t>
      </w:r>
      <w:r>
        <w:rPr>
          <w:rFonts w:ascii="Arial" w:hAnsi="Arial" w:cs="Arial"/>
          <w:noProof/>
          <w:lang w:val="en-GB"/>
        </w:rPr>
        <w:t xml:space="preserve"> costs incurred by that operator to provide them, if those costs are higher than the costs of an efficient operator</w:t>
      </w:r>
      <w:r>
        <w:rPr>
          <w:rStyle w:val="FootnoteReference"/>
          <w:noProof/>
          <w:lang w:val="en-GB"/>
        </w:rPr>
        <w:footnoteReference w:id="19"/>
      </w:r>
      <w:r>
        <w:rPr>
          <w:rFonts w:ascii="Arial" w:hAnsi="Arial" w:cs="Arial"/>
          <w:i/>
          <w:noProof/>
          <w:lang w:val="en-GB"/>
        </w:rPr>
        <w:t>.</w:t>
      </w:r>
    </w:p>
    <w:p w:rsidR="00E201F7" w:rsidRDefault="00E24EFF">
      <w:pPr>
        <w:pStyle w:val="kop2"/>
        <w:rPr>
          <w:noProof/>
        </w:rPr>
      </w:pPr>
      <w:r>
        <w:rPr>
          <w:noProof/>
        </w:rPr>
        <w:t>Outlook</w:t>
      </w:r>
    </w:p>
    <w:p w:rsidR="00E201F7" w:rsidRDefault="00E24EFF">
      <w:pPr>
        <w:spacing w:after="120"/>
        <w:ind w:left="357"/>
        <w:jc w:val="left"/>
        <w:outlineLvl w:val="1"/>
        <w:rPr>
          <w:rFonts w:ascii="Arial" w:hAnsi="Arial" w:cs="Arial"/>
          <w:noProof/>
          <w:color w:val="002060"/>
          <w:sz w:val="22"/>
        </w:rPr>
      </w:pPr>
      <w:r>
        <w:rPr>
          <w:rFonts w:ascii="Arial" w:hAnsi="Arial" w:cs="Arial"/>
          <w:noProof/>
          <w:color w:val="002060"/>
          <w:sz w:val="22"/>
        </w:rPr>
        <w:t>Important implementation work in 2018 includes:</w:t>
      </w:r>
    </w:p>
    <w:p w:rsidR="00E201F7" w:rsidRDefault="00E24EFF">
      <w:pPr>
        <w:numPr>
          <w:ilvl w:val="0"/>
          <w:numId w:val="25"/>
        </w:numPr>
        <w:autoSpaceDE w:val="0"/>
        <w:autoSpaceDN w:val="0"/>
        <w:adjustRightInd w:val="0"/>
        <w:spacing w:after="0"/>
        <w:ind w:left="1276" w:hanging="425"/>
        <w:rPr>
          <w:rFonts w:ascii="Arial" w:hAnsi="Arial" w:cs="Arial"/>
          <w:noProof/>
          <w:sz w:val="20"/>
          <w:szCs w:val="20"/>
        </w:rPr>
      </w:pPr>
      <w:r>
        <w:rPr>
          <w:rFonts w:ascii="Arial" w:hAnsi="Arial" w:cs="Arial"/>
          <w:noProof/>
          <w:sz w:val="20"/>
          <w:szCs w:val="20"/>
          <w:lang w:bidi="en-US"/>
        </w:rPr>
        <w:t>monitoring implementation of the Digital Single Market strategy;</w:t>
      </w:r>
    </w:p>
    <w:p w:rsidR="00E201F7" w:rsidRDefault="00E24EFF">
      <w:pPr>
        <w:numPr>
          <w:ilvl w:val="0"/>
          <w:numId w:val="25"/>
        </w:numPr>
        <w:autoSpaceDE w:val="0"/>
        <w:autoSpaceDN w:val="0"/>
        <w:adjustRightInd w:val="0"/>
        <w:spacing w:after="0"/>
        <w:ind w:left="1276" w:hanging="425"/>
        <w:rPr>
          <w:rFonts w:ascii="Arial" w:hAnsi="Arial" w:cs="Arial"/>
          <w:noProof/>
          <w:sz w:val="20"/>
          <w:szCs w:val="20"/>
        </w:rPr>
      </w:pPr>
      <w:r>
        <w:rPr>
          <w:rFonts w:ascii="Arial" w:hAnsi="Arial" w:cs="Arial"/>
          <w:noProof/>
          <w:sz w:val="20"/>
          <w:szCs w:val="20"/>
          <w:lang w:bidi="en-US"/>
        </w:rPr>
        <w:t xml:space="preserve">monitoring </w:t>
      </w:r>
      <w:r>
        <w:rPr>
          <w:rFonts w:ascii="Arial" w:hAnsi="Arial" w:cs="Arial"/>
          <w:noProof/>
          <w:sz w:val="20"/>
          <w:szCs w:val="20"/>
        </w:rPr>
        <w:t>the co</w:t>
      </w:r>
      <w:r>
        <w:rPr>
          <w:rFonts w:ascii="Arial" w:hAnsi="Arial" w:cs="Arial"/>
          <w:noProof/>
          <w:sz w:val="20"/>
          <w:szCs w:val="20"/>
        </w:rPr>
        <w:t>rrect application of EU law in the fields of the single market for telecommunications, with a focus on the correct application of the net neutrality and ‘roam like at home’ principles including measures concerning open internet access;</w:t>
      </w:r>
    </w:p>
    <w:p w:rsidR="00E201F7" w:rsidRDefault="00E24EFF">
      <w:pPr>
        <w:numPr>
          <w:ilvl w:val="0"/>
          <w:numId w:val="25"/>
        </w:numPr>
        <w:autoSpaceDE w:val="0"/>
        <w:autoSpaceDN w:val="0"/>
        <w:adjustRightInd w:val="0"/>
        <w:spacing w:after="0"/>
        <w:ind w:left="1276" w:hanging="425"/>
        <w:rPr>
          <w:rFonts w:ascii="Arial" w:hAnsi="Arial" w:cs="Arial"/>
          <w:noProof/>
          <w:sz w:val="20"/>
          <w:szCs w:val="20"/>
        </w:rPr>
      </w:pPr>
      <w:r>
        <w:rPr>
          <w:rFonts w:ascii="Arial" w:hAnsi="Arial" w:cs="Arial"/>
          <w:noProof/>
          <w:sz w:val="20"/>
          <w:szCs w:val="20"/>
        </w:rPr>
        <w:t>monitoring complianc</w:t>
      </w:r>
      <w:r>
        <w:rPr>
          <w:rFonts w:ascii="Arial" w:hAnsi="Arial" w:cs="Arial"/>
          <w:noProof/>
          <w:sz w:val="20"/>
          <w:szCs w:val="20"/>
        </w:rPr>
        <w:t>e with the rules of the framework directives on the independence of national regulatory authorities.</w:t>
      </w:r>
    </w:p>
    <w:p w:rsidR="00E201F7" w:rsidRDefault="00E201F7">
      <w:pPr>
        <w:rPr>
          <w:noProof/>
        </w:rPr>
      </w:pPr>
    </w:p>
    <w:p w:rsidR="00E201F7" w:rsidRDefault="00E201F7">
      <w:pPr>
        <w:rPr>
          <w:rFonts w:cs="Arial"/>
          <w:noProof/>
          <w:sz w:val="20"/>
        </w:rPr>
        <w:sectPr w:rsidR="00E201F7">
          <w:headerReference w:type="even" r:id="rId40"/>
          <w:headerReference w:type="default" r:id="rId41"/>
          <w:footerReference w:type="even" r:id="rId42"/>
          <w:footerReference w:type="default" r:id="rId43"/>
          <w:headerReference w:type="first" r:id="rId44"/>
          <w:footerReference w:type="first" r:id="rId45"/>
          <w:footnotePr>
            <w:numRestart w:val="eachSect"/>
          </w:footnotePr>
          <w:pgSz w:w="11907" w:h="16839" w:code="9"/>
          <w:pgMar w:top="1985" w:right="1275" w:bottom="737" w:left="1418" w:header="567" w:footer="352" w:gutter="0"/>
          <w:cols w:space="720"/>
          <w:titlePg/>
          <w:docGrid w:linePitch="326"/>
        </w:sectPr>
      </w:pPr>
    </w:p>
    <w:p w:rsidR="00E201F7" w:rsidRDefault="00E24EFF">
      <w:pPr>
        <w:pStyle w:val="Heading1"/>
        <w:spacing w:after="0"/>
        <w:ind w:left="0"/>
        <w:rPr>
          <w:rFonts w:ascii="Arial" w:hAnsi="Arial" w:cs="Arial"/>
          <w:noProof/>
        </w:rPr>
      </w:pPr>
      <w:bookmarkStart w:id="33" w:name="_Toc443057936"/>
      <w:bookmarkStart w:id="34" w:name="_Toc475524732"/>
      <w:bookmarkStart w:id="35" w:name="_Toc475529499"/>
      <w:bookmarkStart w:id="36" w:name="_Toc475529538"/>
      <w:bookmarkStart w:id="37" w:name="_Toc475529866"/>
      <w:bookmarkStart w:id="38" w:name="_Toc475550831"/>
      <w:bookmarkStart w:id="39" w:name="_Toc475551371"/>
      <w:bookmarkStart w:id="40" w:name="_Toc507510314"/>
      <w:bookmarkStart w:id="41" w:name="_Toc507517728"/>
      <w:bookmarkStart w:id="42" w:name="_Toc507520109"/>
      <w:bookmarkStart w:id="43" w:name="_Toc510016526"/>
      <w:r>
        <w:rPr>
          <w:rFonts w:ascii="Arial" w:hAnsi="Arial" w:cs="Arial"/>
          <w:noProof/>
        </w:rPr>
        <w:t>Employment, social affairs and inclusion</w:t>
      </w:r>
      <w:bookmarkEnd w:id="33"/>
      <w:bookmarkEnd w:id="34"/>
      <w:bookmarkEnd w:id="35"/>
      <w:bookmarkEnd w:id="36"/>
      <w:bookmarkEnd w:id="37"/>
      <w:bookmarkEnd w:id="38"/>
      <w:bookmarkEnd w:id="39"/>
      <w:bookmarkEnd w:id="40"/>
      <w:bookmarkEnd w:id="41"/>
      <w:bookmarkEnd w:id="42"/>
      <w:bookmarkEnd w:id="43"/>
    </w:p>
    <w:p w:rsidR="00E201F7" w:rsidRDefault="00E24EFF">
      <w:pPr>
        <w:pStyle w:val="kop2"/>
        <w:numPr>
          <w:ilvl w:val="0"/>
          <w:numId w:val="82"/>
        </w:numPr>
        <w:rPr>
          <w:noProof/>
        </w:rPr>
      </w:pPr>
      <w:r>
        <w:rPr>
          <w:noProof/>
        </w:rPr>
        <w:t>COMPLAINTS</w:t>
      </w:r>
    </w:p>
    <w:p w:rsidR="00E201F7" w:rsidRDefault="00E24EFF">
      <w:pPr>
        <w:numPr>
          <w:ilvl w:val="0"/>
          <w:numId w:val="98"/>
        </w:numPr>
        <w:spacing w:before="120"/>
        <w:jc w:val="left"/>
        <w:outlineLvl w:val="1"/>
        <w:rPr>
          <w:rFonts w:ascii="Arial" w:hAnsi="Arial" w:cs="Arial"/>
          <w:noProof/>
          <w:color w:val="002060"/>
          <w:sz w:val="22"/>
        </w:rPr>
      </w:pPr>
      <w:r>
        <w:rPr>
          <w:rFonts w:ascii="Arial" w:hAnsi="Arial" w:cs="Arial"/>
          <w:noProof/>
          <w:color w:val="002060"/>
          <w:sz w:val="22"/>
        </w:rPr>
        <w:t>New complaints received from members of the public (2013-2017)</w:t>
      </w:r>
    </w:p>
    <w:p w:rsidR="00E201F7" w:rsidRDefault="00E24EFF">
      <w:pPr>
        <w:ind w:left="720"/>
        <w:rPr>
          <w:rFonts w:ascii="Verdana" w:hAnsi="Verdana"/>
          <w:noProof/>
          <w:sz w:val="20"/>
        </w:rPr>
      </w:pPr>
      <w:r>
        <w:rPr>
          <w:rFonts w:ascii="Verdana" w:hAnsi="Verdana"/>
          <w:noProof/>
          <w:sz w:val="20"/>
        </w:rPr>
        <w:drawing>
          <wp:inline distT="0" distB="0" distL="0" distR="0" wp14:anchorId="05D2A0C1" wp14:editId="7C6DC61B">
            <wp:extent cx="4592320" cy="2184400"/>
            <wp:effectExtent l="0" t="0" r="0" b="0"/>
            <wp:docPr id="335"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201F7" w:rsidRDefault="00E24EFF">
      <w:pPr>
        <w:numPr>
          <w:ilvl w:val="0"/>
          <w:numId w:val="98"/>
        </w:numPr>
        <w:spacing w:before="240"/>
        <w:ind w:left="714" w:hanging="357"/>
        <w:jc w:val="left"/>
        <w:outlineLvl w:val="1"/>
        <w:rPr>
          <w:rFonts w:ascii="Arial" w:hAnsi="Arial" w:cs="Arial"/>
          <w:noProof/>
          <w:color w:val="002060"/>
          <w:sz w:val="22"/>
        </w:rPr>
      </w:pPr>
      <w:r>
        <w:rPr>
          <w:rFonts w:ascii="Arial" w:hAnsi="Arial" w:cs="Arial"/>
          <w:noProof/>
          <w:color w:val="002060"/>
          <w:sz w:val="22"/>
        </w:rPr>
        <w:t xml:space="preserve">Public </w:t>
      </w:r>
      <w:r>
        <w:rPr>
          <w:rFonts w:ascii="Arial" w:hAnsi="Arial" w:cs="Arial"/>
          <w:noProof/>
          <w:color w:val="002060"/>
          <w:sz w:val="22"/>
        </w:rPr>
        <w:t>complaints open at year-end</w:t>
      </w:r>
    </w:p>
    <w:tbl>
      <w:tblPr>
        <w:tblW w:w="0" w:type="auto"/>
        <w:jc w:val="center"/>
        <w:tblLook w:val="04A0" w:firstRow="1" w:lastRow="0" w:firstColumn="1" w:lastColumn="0" w:noHBand="0" w:noVBand="1"/>
      </w:tblPr>
      <w:tblGrid>
        <w:gridCol w:w="1697"/>
        <w:gridCol w:w="460"/>
        <w:gridCol w:w="5310"/>
      </w:tblGrid>
      <w:tr w:rsidR="00E201F7">
        <w:trPr>
          <w:trHeight w:val="403"/>
          <w:jc w:val="center"/>
        </w:trPr>
        <w:tc>
          <w:tcPr>
            <w:tcW w:w="1697" w:type="dxa"/>
            <w:shd w:val="clear" w:color="auto" w:fill="auto"/>
            <w:vAlign w:val="center"/>
          </w:tcPr>
          <w:p w:rsidR="00E201F7" w:rsidRDefault="00E24EFF">
            <w:pPr>
              <w:spacing w:after="0"/>
              <w:jc w:val="right"/>
              <w:rPr>
                <w:rFonts w:ascii="Arial" w:hAnsi="Arial" w:cs="Arial"/>
                <w:noProof/>
                <w:color w:val="548DD4"/>
                <w:sz w:val="22"/>
              </w:rPr>
            </w:pPr>
            <w:r>
              <w:rPr>
                <w:rFonts w:ascii="Arial" w:hAnsi="Arial" w:cs="Arial"/>
                <w:noProof/>
                <w:color w:val="548DD4"/>
                <w:sz w:val="22"/>
              </w:rPr>
              <w:t>485</w:t>
            </w:r>
          </w:p>
        </w:tc>
        <w:tc>
          <w:tcPr>
            <w:tcW w:w="460" w:type="dxa"/>
            <w:shd w:val="clear" w:color="auto" w:fill="auto"/>
            <w:vAlign w:val="center"/>
          </w:tcPr>
          <w:p w:rsidR="00E201F7" w:rsidRDefault="00E24EFF">
            <w:pPr>
              <w:spacing w:after="0"/>
              <w:jc w:val="right"/>
              <w:rPr>
                <w:rFonts w:ascii="Arial" w:hAnsi="Arial" w:cs="Arial"/>
                <w:noProof/>
                <w:color w:val="548DD4"/>
                <w:sz w:val="22"/>
              </w:rPr>
            </w:pPr>
            <w:r>
              <w:rPr>
                <w:rFonts w:ascii="Arial" w:hAnsi="Arial" w:cs="Arial"/>
                <w:noProof/>
                <w:color w:val="548DD4"/>
                <w:sz w:val="22"/>
              </w:rPr>
              <w:t>&gt;</w:t>
            </w:r>
          </w:p>
        </w:tc>
        <w:tc>
          <w:tcPr>
            <w:tcW w:w="5310" w:type="dxa"/>
            <w:shd w:val="clear" w:color="auto" w:fill="auto"/>
            <w:vAlign w:val="center"/>
          </w:tcPr>
          <w:p w:rsidR="00E201F7" w:rsidRDefault="00E24EFF">
            <w:pPr>
              <w:spacing w:after="0"/>
              <w:jc w:val="left"/>
              <w:rPr>
                <w:rFonts w:ascii="Arial" w:hAnsi="Arial" w:cs="Arial"/>
                <w:noProof/>
                <w:color w:val="548DD4"/>
                <w:sz w:val="22"/>
              </w:rPr>
            </w:pPr>
            <w:r>
              <w:rPr>
                <w:rFonts w:ascii="Arial" w:hAnsi="Arial" w:cs="Arial"/>
                <w:noProof/>
                <w:color w:val="548DD4"/>
                <w:sz w:val="22"/>
              </w:rPr>
              <w:t>Complaints open at end-2017</w:t>
            </w:r>
          </w:p>
        </w:tc>
      </w:tr>
      <w:tr w:rsidR="00E201F7">
        <w:trPr>
          <w:trHeight w:val="403"/>
          <w:jc w:val="center"/>
        </w:trPr>
        <w:tc>
          <w:tcPr>
            <w:tcW w:w="1697" w:type="dxa"/>
            <w:shd w:val="clear" w:color="auto" w:fill="auto"/>
            <w:vAlign w:val="center"/>
          </w:tcPr>
          <w:p w:rsidR="00E201F7" w:rsidRDefault="00E24EFF">
            <w:pPr>
              <w:spacing w:after="0"/>
              <w:jc w:val="right"/>
              <w:rPr>
                <w:rFonts w:ascii="Arial" w:hAnsi="Arial" w:cs="Arial"/>
                <w:noProof/>
                <w:color w:val="548DD4"/>
                <w:sz w:val="22"/>
              </w:rPr>
            </w:pPr>
            <w:r>
              <w:rPr>
                <w:rFonts w:ascii="Arial" w:hAnsi="Arial" w:cs="Arial"/>
                <w:noProof/>
                <w:color w:val="548DD4"/>
                <w:sz w:val="22"/>
              </w:rPr>
              <w:t>484</w:t>
            </w:r>
          </w:p>
        </w:tc>
        <w:tc>
          <w:tcPr>
            <w:tcW w:w="460" w:type="dxa"/>
            <w:shd w:val="clear" w:color="auto" w:fill="auto"/>
            <w:vAlign w:val="center"/>
          </w:tcPr>
          <w:p w:rsidR="00E201F7" w:rsidRDefault="00E24EFF">
            <w:pPr>
              <w:spacing w:after="0"/>
              <w:jc w:val="right"/>
              <w:rPr>
                <w:rFonts w:ascii="Arial" w:hAnsi="Arial" w:cs="Arial"/>
                <w:noProof/>
                <w:color w:val="548DD4"/>
                <w:sz w:val="22"/>
              </w:rPr>
            </w:pPr>
            <w:r>
              <w:rPr>
                <w:rFonts w:ascii="Arial" w:hAnsi="Arial" w:cs="Arial"/>
                <w:noProof/>
                <w:color w:val="548DD4"/>
                <w:sz w:val="22"/>
              </w:rPr>
              <w:t>&gt;</w:t>
            </w:r>
          </w:p>
        </w:tc>
        <w:tc>
          <w:tcPr>
            <w:tcW w:w="5310" w:type="dxa"/>
            <w:shd w:val="clear" w:color="auto" w:fill="auto"/>
            <w:vAlign w:val="center"/>
          </w:tcPr>
          <w:p w:rsidR="00E201F7" w:rsidRDefault="00E24EFF">
            <w:pPr>
              <w:spacing w:after="0"/>
              <w:jc w:val="left"/>
              <w:rPr>
                <w:rFonts w:ascii="Arial" w:hAnsi="Arial" w:cs="Arial"/>
                <w:noProof/>
                <w:color w:val="548DD4"/>
                <w:sz w:val="22"/>
              </w:rPr>
            </w:pPr>
            <w:r>
              <w:rPr>
                <w:rFonts w:ascii="Arial" w:hAnsi="Arial" w:cs="Arial"/>
                <w:noProof/>
                <w:color w:val="548DD4"/>
                <w:sz w:val="22"/>
              </w:rPr>
              <w:t>New complaints registered in 2017</w:t>
            </w:r>
          </w:p>
        </w:tc>
      </w:tr>
      <w:tr w:rsidR="00E201F7">
        <w:trPr>
          <w:trHeight w:val="403"/>
          <w:jc w:val="center"/>
        </w:trPr>
        <w:tc>
          <w:tcPr>
            <w:tcW w:w="1697" w:type="dxa"/>
            <w:tcBorders>
              <w:bottom w:val="single" w:sz="24" w:space="0" w:color="548DD4"/>
            </w:tcBorders>
            <w:shd w:val="clear" w:color="auto" w:fill="auto"/>
            <w:vAlign w:val="center"/>
          </w:tcPr>
          <w:p w:rsidR="00E201F7" w:rsidRDefault="00E24EFF">
            <w:pPr>
              <w:spacing w:after="0"/>
              <w:jc w:val="right"/>
              <w:rPr>
                <w:rFonts w:ascii="Arial" w:hAnsi="Arial" w:cs="Arial"/>
                <w:noProof/>
                <w:color w:val="548DD4"/>
                <w:sz w:val="22"/>
              </w:rPr>
            </w:pPr>
            <w:r>
              <w:rPr>
                <w:rFonts w:ascii="Arial" w:hAnsi="Arial" w:cs="Arial"/>
                <w:noProof/>
                <w:color w:val="548DD4"/>
                <w:sz w:val="22"/>
              </w:rPr>
              <w:t>625</w:t>
            </w:r>
          </w:p>
        </w:tc>
        <w:tc>
          <w:tcPr>
            <w:tcW w:w="460" w:type="dxa"/>
            <w:shd w:val="clear" w:color="auto" w:fill="auto"/>
            <w:vAlign w:val="center"/>
          </w:tcPr>
          <w:p w:rsidR="00E201F7" w:rsidRDefault="00E24EFF">
            <w:pPr>
              <w:spacing w:after="0"/>
              <w:jc w:val="right"/>
              <w:rPr>
                <w:rFonts w:ascii="Arial" w:hAnsi="Arial" w:cs="Arial"/>
                <w:noProof/>
                <w:color w:val="548DD4"/>
                <w:sz w:val="22"/>
              </w:rPr>
            </w:pPr>
            <w:r>
              <w:rPr>
                <w:rFonts w:ascii="Arial" w:hAnsi="Arial" w:cs="Arial"/>
                <w:noProof/>
                <w:color w:val="548DD4"/>
                <w:sz w:val="22"/>
              </w:rPr>
              <w:t>&gt;</w:t>
            </w:r>
          </w:p>
        </w:tc>
        <w:tc>
          <w:tcPr>
            <w:tcW w:w="5310" w:type="dxa"/>
            <w:shd w:val="clear" w:color="auto" w:fill="auto"/>
            <w:vAlign w:val="center"/>
          </w:tcPr>
          <w:p w:rsidR="00E201F7" w:rsidRDefault="00E24EFF">
            <w:pPr>
              <w:spacing w:after="0"/>
              <w:jc w:val="left"/>
              <w:rPr>
                <w:rFonts w:ascii="Arial" w:hAnsi="Arial" w:cs="Arial"/>
                <w:noProof/>
                <w:color w:val="548DD4"/>
                <w:sz w:val="22"/>
              </w:rPr>
            </w:pPr>
            <w:r>
              <w:rPr>
                <w:rFonts w:ascii="Arial" w:hAnsi="Arial" w:cs="Arial"/>
                <w:noProof/>
                <w:color w:val="548DD4"/>
                <w:sz w:val="22"/>
              </w:rPr>
              <w:t>Complaints handled in 2017</w:t>
            </w:r>
          </w:p>
        </w:tc>
      </w:tr>
      <w:tr w:rsidR="00E201F7">
        <w:trPr>
          <w:trHeight w:val="403"/>
          <w:jc w:val="center"/>
        </w:trPr>
        <w:tc>
          <w:tcPr>
            <w:tcW w:w="1697" w:type="dxa"/>
            <w:tcBorders>
              <w:top w:val="single" w:sz="24" w:space="0" w:color="548DD4"/>
            </w:tcBorders>
            <w:shd w:val="clear" w:color="auto" w:fill="auto"/>
            <w:vAlign w:val="center"/>
          </w:tcPr>
          <w:p w:rsidR="00E201F7" w:rsidRDefault="00E24EFF">
            <w:pPr>
              <w:spacing w:after="0"/>
              <w:jc w:val="right"/>
              <w:rPr>
                <w:rFonts w:ascii="Arial" w:hAnsi="Arial" w:cs="Arial"/>
                <w:noProof/>
                <w:color w:val="C00000"/>
                <w:sz w:val="22"/>
              </w:rPr>
            </w:pPr>
            <w:r>
              <w:rPr>
                <w:rFonts w:ascii="Arial" w:hAnsi="Arial" w:cs="Arial"/>
                <w:noProof/>
                <w:color w:val="C00000"/>
                <w:sz w:val="22"/>
              </w:rPr>
              <w:t>= 344</w:t>
            </w:r>
          </w:p>
        </w:tc>
        <w:tc>
          <w:tcPr>
            <w:tcW w:w="460" w:type="dxa"/>
            <w:shd w:val="clear" w:color="auto" w:fill="auto"/>
            <w:vAlign w:val="center"/>
          </w:tcPr>
          <w:p w:rsidR="00E201F7" w:rsidRDefault="00E24EFF">
            <w:pPr>
              <w:spacing w:after="0"/>
              <w:jc w:val="right"/>
              <w:rPr>
                <w:rFonts w:ascii="Arial" w:hAnsi="Arial" w:cs="Arial"/>
                <w:noProof/>
                <w:color w:val="548DD4"/>
                <w:sz w:val="22"/>
              </w:rPr>
            </w:pPr>
            <w:r>
              <w:rPr>
                <w:rFonts w:ascii="Arial" w:hAnsi="Arial" w:cs="Arial"/>
                <w:noProof/>
                <w:color w:val="548DD4"/>
                <w:sz w:val="22"/>
              </w:rPr>
              <w:t>&gt;</w:t>
            </w:r>
          </w:p>
        </w:tc>
        <w:tc>
          <w:tcPr>
            <w:tcW w:w="5310" w:type="dxa"/>
            <w:shd w:val="clear" w:color="auto" w:fill="auto"/>
            <w:vAlign w:val="center"/>
          </w:tcPr>
          <w:p w:rsidR="00E201F7" w:rsidRDefault="00E24EFF">
            <w:pPr>
              <w:spacing w:after="0"/>
              <w:jc w:val="left"/>
              <w:rPr>
                <w:rFonts w:ascii="Arial" w:hAnsi="Arial" w:cs="Arial"/>
                <w:noProof/>
                <w:color w:val="548DD4"/>
                <w:sz w:val="22"/>
              </w:rPr>
            </w:pPr>
            <w:r>
              <w:rPr>
                <w:rFonts w:ascii="Arial" w:hAnsi="Arial" w:cs="Arial"/>
                <w:noProof/>
                <w:color w:val="548DD4"/>
                <w:sz w:val="22"/>
              </w:rPr>
              <w:t>Complaints open at end-2017</w:t>
            </w:r>
          </w:p>
        </w:tc>
      </w:tr>
    </w:tbl>
    <w:p w:rsidR="00E201F7" w:rsidRDefault="00E24EFF">
      <w:pPr>
        <w:numPr>
          <w:ilvl w:val="0"/>
          <w:numId w:val="98"/>
        </w:numPr>
        <w:spacing w:before="240"/>
        <w:ind w:left="714" w:hanging="357"/>
        <w:jc w:val="left"/>
        <w:outlineLvl w:val="1"/>
        <w:rPr>
          <w:rFonts w:ascii="Arial" w:hAnsi="Arial" w:cs="Arial"/>
          <w:noProof/>
          <w:color w:val="002060"/>
          <w:sz w:val="22"/>
        </w:rPr>
      </w:pPr>
      <w:r>
        <w:rPr>
          <w:rFonts w:ascii="Arial" w:hAnsi="Arial" w:cs="Arial"/>
          <w:noProof/>
          <w:color w:val="002060"/>
          <w:sz w:val="22"/>
        </w:rPr>
        <w:t>New complaints registered in 2017: main policy sectors</w:t>
      </w:r>
    </w:p>
    <w:p w:rsidR="00E201F7" w:rsidRDefault="00E24EFF">
      <w:pPr>
        <w:ind w:left="720"/>
        <w:rPr>
          <w:noProof/>
          <w:sz w:val="20"/>
        </w:rPr>
      </w:pPr>
      <w:r>
        <w:rPr>
          <w:rFonts w:ascii="Verdana" w:hAnsi="Verdana"/>
          <w:noProof/>
          <w:sz w:val="20"/>
        </w:rPr>
        <w:drawing>
          <wp:inline distT="0" distB="0" distL="0" distR="0" wp14:anchorId="1A55EA47" wp14:editId="6D0971FE">
            <wp:extent cx="4592320" cy="2387600"/>
            <wp:effectExtent l="0" t="0" r="17780" b="12700"/>
            <wp:docPr id="334"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201F7" w:rsidRDefault="00E24EFF">
      <w:pPr>
        <w:spacing w:after="0"/>
        <w:jc w:val="left"/>
        <w:rPr>
          <w:caps/>
          <w:noProof/>
          <w:color w:val="4F81BD"/>
          <w:szCs w:val="24"/>
        </w:rPr>
      </w:pPr>
      <w:r>
        <w:rPr>
          <w:caps/>
          <w:noProof/>
          <w:color w:val="4F81BD"/>
          <w:szCs w:val="24"/>
        </w:rPr>
        <w:br w:type="page"/>
      </w:r>
    </w:p>
    <w:p w:rsidR="00E201F7" w:rsidRDefault="00E24EFF">
      <w:pPr>
        <w:pStyle w:val="kop2"/>
        <w:rPr>
          <w:noProof/>
        </w:rPr>
      </w:pPr>
      <w:r>
        <w:rPr>
          <w:noProof/>
        </w:rPr>
        <w:t>EU PILOT</w:t>
      </w:r>
    </w:p>
    <w:p w:rsidR="00E201F7" w:rsidRDefault="00E24EFF">
      <w:pPr>
        <w:numPr>
          <w:ilvl w:val="0"/>
          <w:numId w:val="99"/>
        </w:numPr>
        <w:spacing w:before="120"/>
        <w:jc w:val="left"/>
        <w:outlineLvl w:val="1"/>
        <w:rPr>
          <w:rFonts w:ascii="Arial" w:hAnsi="Arial" w:cs="Arial"/>
          <w:noProof/>
          <w:color w:val="002060"/>
          <w:sz w:val="22"/>
        </w:rPr>
      </w:pPr>
      <w:r>
        <w:rPr>
          <w:rFonts w:ascii="Arial" w:hAnsi="Arial" w:cs="Arial"/>
          <w:noProof/>
          <w:color w:val="002060"/>
          <w:sz w:val="22"/>
        </w:rPr>
        <w:t xml:space="preserve">New EU Pilot </w:t>
      </w:r>
      <w:r>
        <w:rPr>
          <w:rFonts w:ascii="Arial" w:hAnsi="Arial" w:cs="Arial"/>
          <w:noProof/>
          <w:color w:val="002060"/>
          <w:sz w:val="22"/>
        </w:rPr>
        <w:t>files (2013-2017)</w:t>
      </w:r>
    </w:p>
    <w:p w:rsidR="00E201F7" w:rsidRDefault="00E24EFF">
      <w:pPr>
        <w:ind w:left="720"/>
        <w:rPr>
          <w:rFonts w:ascii="Verdana" w:hAnsi="Verdana"/>
          <w:noProof/>
          <w:sz w:val="20"/>
        </w:rPr>
      </w:pPr>
      <w:r>
        <w:rPr>
          <w:rFonts w:ascii="Verdana" w:hAnsi="Verdana"/>
          <w:noProof/>
          <w:sz w:val="20"/>
        </w:rPr>
        <w:drawing>
          <wp:inline distT="0" distB="0" distL="0" distR="0" wp14:anchorId="1E671310" wp14:editId="735314F7">
            <wp:extent cx="4592320" cy="2092960"/>
            <wp:effectExtent l="0" t="0" r="0" b="0"/>
            <wp:docPr id="333"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201F7" w:rsidRDefault="00E24EFF">
      <w:pPr>
        <w:numPr>
          <w:ilvl w:val="0"/>
          <w:numId w:val="99"/>
        </w:numPr>
        <w:spacing w:before="480"/>
        <w:ind w:left="714" w:hanging="357"/>
        <w:jc w:val="left"/>
        <w:outlineLvl w:val="1"/>
        <w:rPr>
          <w:rFonts w:ascii="Arial" w:hAnsi="Arial" w:cs="Arial"/>
          <w:noProof/>
          <w:color w:val="002060"/>
          <w:sz w:val="22"/>
        </w:rPr>
      </w:pPr>
      <w:r>
        <w:rPr>
          <w:rFonts w:ascii="Arial" w:hAnsi="Arial" w:cs="Arial"/>
          <w:noProof/>
          <w:color w:val="002060"/>
          <w:sz w:val="22"/>
        </w:rPr>
        <w:t>EU Pilot files open at year-end</w:t>
      </w:r>
    </w:p>
    <w:p w:rsidR="00E201F7" w:rsidRDefault="00E24EFF">
      <w:pPr>
        <w:pStyle w:val="ListParagraph"/>
        <w:rPr>
          <w:rFonts w:ascii="Arial" w:hAnsi="Arial" w:cs="Arial"/>
          <w:noProof/>
          <w:sz w:val="20"/>
          <w:szCs w:val="20"/>
        </w:rPr>
      </w:pPr>
      <w:r>
        <w:rPr>
          <w:rFonts w:ascii="Arial" w:hAnsi="Arial" w:cs="Arial"/>
          <w:noProof/>
          <w:sz w:val="20"/>
          <w:szCs w:val="20"/>
        </w:rPr>
        <w:t>At the end of 2017, 21 EU Pilot files remained open.</w:t>
      </w:r>
    </w:p>
    <w:p w:rsidR="00E201F7" w:rsidRDefault="00E24EFF">
      <w:pPr>
        <w:numPr>
          <w:ilvl w:val="0"/>
          <w:numId w:val="99"/>
        </w:numPr>
        <w:spacing w:before="240"/>
        <w:ind w:left="714" w:hanging="357"/>
        <w:jc w:val="left"/>
        <w:outlineLvl w:val="1"/>
        <w:rPr>
          <w:rFonts w:ascii="Arial" w:hAnsi="Arial" w:cs="Arial"/>
          <w:noProof/>
          <w:color w:val="002060"/>
          <w:sz w:val="22"/>
        </w:rPr>
      </w:pPr>
      <w:r>
        <w:rPr>
          <w:rFonts w:ascii="Arial" w:hAnsi="Arial" w:cs="Arial"/>
          <w:noProof/>
          <w:color w:val="002060"/>
          <w:sz w:val="22"/>
        </w:rPr>
        <w:t>EU Pilot files: resolution rate for policies (2013-2017)</w:t>
      </w:r>
    </w:p>
    <w:p w:rsidR="00E201F7" w:rsidRDefault="00E24EFF">
      <w:pPr>
        <w:ind w:left="720"/>
        <w:rPr>
          <w:rFonts w:ascii="Verdana" w:hAnsi="Verdana"/>
          <w:noProof/>
          <w:sz w:val="20"/>
        </w:rPr>
      </w:pPr>
      <w:r>
        <w:rPr>
          <w:noProof/>
          <w:color w:val="002060"/>
        </w:rPr>
        <w:t xml:space="preserve"> </w:t>
      </w:r>
      <w:r>
        <w:rPr>
          <w:rFonts w:ascii="Verdana" w:hAnsi="Verdana"/>
          <w:noProof/>
          <w:color w:val="00B050"/>
          <w:sz w:val="20"/>
        </w:rPr>
        <w:drawing>
          <wp:inline distT="0" distB="0" distL="0" distR="0" wp14:anchorId="555844DC" wp14:editId="365692CD">
            <wp:extent cx="4592320" cy="2235200"/>
            <wp:effectExtent l="0" t="0" r="0" b="0"/>
            <wp:docPr id="332"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201F7" w:rsidRDefault="00E24EFF">
      <w:pPr>
        <w:pStyle w:val="kop2"/>
        <w:rPr>
          <w:noProof/>
        </w:rPr>
      </w:pPr>
      <w:r>
        <w:rPr>
          <w:noProof/>
        </w:rPr>
        <w:t>OWN-INITIATIVE CASES</w:t>
      </w:r>
    </w:p>
    <w:p w:rsidR="00E201F7" w:rsidRDefault="00E24EFF">
      <w:pPr>
        <w:spacing w:after="60"/>
        <w:ind w:left="360"/>
        <w:jc w:val="left"/>
        <w:outlineLvl w:val="1"/>
        <w:rPr>
          <w:rFonts w:ascii="Arial" w:hAnsi="Arial" w:cs="Arial"/>
          <w:noProof/>
          <w:color w:val="002060"/>
          <w:sz w:val="22"/>
        </w:rPr>
      </w:pPr>
      <w:r>
        <w:rPr>
          <w:rFonts w:ascii="Arial" w:hAnsi="Arial" w:cs="Arial"/>
          <w:noProof/>
          <w:color w:val="002060"/>
          <w:sz w:val="22"/>
        </w:rPr>
        <w:t>New own-initiative infringement cases</w:t>
      </w:r>
    </w:p>
    <w:p w:rsidR="00E201F7" w:rsidRDefault="00E24EFF">
      <w:pPr>
        <w:pStyle w:val="ListParagraph"/>
        <w:spacing w:before="120"/>
        <w:rPr>
          <w:rFonts w:ascii="Arial" w:hAnsi="Arial" w:cs="Arial"/>
          <w:noProof/>
          <w:sz w:val="20"/>
          <w:szCs w:val="20"/>
        </w:rPr>
      </w:pPr>
      <w:r>
        <w:rPr>
          <w:rFonts w:ascii="Arial" w:hAnsi="Arial" w:cs="Arial"/>
          <w:noProof/>
          <w:sz w:val="20"/>
          <w:szCs w:val="20"/>
        </w:rPr>
        <w:t xml:space="preserve">In 2017 the Commission opened </w:t>
      </w:r>
      <w:r>
        <w:rPr>
          <w:rFonts w:ascii="Arial" w:hAnsi="Arial" w:cs="Arial"/>
          <w:noProof/>
          <w:sz w:val="20"/>
          <w:szCs w:val="20"/>
        </w:rPr>
        <w:t>own-initiative infringement cases over working conditions.</w:t>
      </w:r>
    </w:p>
    <w:p w:rsidR="00E201F7" w:rsidRDefault="00E24EFF">
      <w:pPr>
        <w:spacing w:after="0"/>
        <w:jc w:val="left"/>
        <w:rPr>
          <w:rFonts w:ascii="Arial" w:eastAsia="MS Gothic" w:hAnsi="Arial" w:cs="Arial"/>
          <w:caps/>
          <w:noProof/>
          <w:color w:val="4F81BD"/>
          <w:kern w:val="20"/>
          <w:szCs w:val="24"/>
        </w:rPr>
      </w:pPr>
      <w:r>
        <w:rPr>
          <w:noProof/>
        </w:rPr>
        <w:br w:type="page"/>
      </w:r>
    </w:p>
    <w:p w:rsidR="00E201F7" w:rsidRDefault="00E24EFF">
      <w:pPr>
        <w:pStyle w:val="kop2"/>
        <w:rPr>
          <w:noProof/>
        </w:rPr>
      </w:pPr>
      <w:r>
        <w:rPr>
          <w:noProof/>
        </w:rPr>
        <w:t>INFRINGEMENT CASES</w:t>
      </w:r>
    </w:p>
    <w:p w:rsidR="00E201F7" w:rsidRDefault="00E24EFF">
      <w:pPr>
        <w:numPr>
          <w:ilvl w:val="0"/>
          <w:numId w:val="100"/>
        </w:numPr>
        <w:spacing w:before="120"/>
        <w:jc w:val="left"/>
        <w:outlineLvl w:val="1"/>
        <w:rPr>
          <w:rFonts w:ascii="Arial" w:hAnsi="Arial" w:cs="Arial"/>
          <w:noProof/>
          <w:color w:val="002060"/>
          <w:sz w:val="22"/>
        </w:rPr>
      </w:pPr>
      <w:r>
        <w:rPr>
          <w:rFonts w:ascii="Arial" w:hAnsi="Arial" w:cs="Arial"/>
          <w:noProof/>
          <w:color w:val="002060"/>
          <w:sz w:val="22"/>
        </w:rPr>
        <w:t>Infringement cases open on 31 December (2013-2017)</w:t>
      </w:r>
    </w:p>
    <w:p w:rsidR="00E201F7" w:rsidRDefault="00E24EFF">
      <w:pPr>
        <w:ind w:left="720"/>
        <w:rPr>
          <w:rFonts w:ascii="Verdana" w:hAnsi="Verdana"/>
          <w:noProof/>
          <w:sz w:val="20"/>
          <w:u w:val="single"/>
        </w:rPr>
      </w:pPr>
      <w:r>
        <w:rPr>
          <w:rFonts w:ascii="Verdana" w:hAnsi="Verdana"/>
          <w:noProof/>
          <w:sz w:val="20"/>
        </w:rPr>
        <w:drawing>
          <wp:inline distT="0" distB="0" distL="0" distR="0" wp14:anchorId="324A8503" wp14:editId="6FDD82F4">
            <wp:extent cx="4429760" cy="2001520"/>
            <wp:effectExtent l="0" t="0" r="0" b="0"/>
            <wp:docPr id="331" name="Grafiek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201F7" w:rsidRDefault="00E24EFF">
      <w:pPr>
        <w:numPr>
          <w:ilvl w:val="0"/>
          <w:numId w:val="100"/>
        </w:numPr>
        <w:spacing w:before="360"/>
        <w:ind w:left="714" w:hanging="357"/>
        <w:jc w:val="left"/>
        <w:outlineLvl w:val="1"/>
        <w:rPr>
          <w:rFonts w:ascii="Arial" w:hAnsi="Arial" w:cs="Arial"/>
          <w:noProof/>
          <w:color w:val="002060"/>
          <w:sz w:val="22"/>
        </w:rPr>
      </w:pPr>
      <w:r>
        <w:rPr>
          <w:rFonts w:ascii="Arial" w:hAnsi="Arial" w:cs="Arial"/>
          <w:noProof/>
          <w:color w:val="002060"/>
          <w:sz w:val="22"/>
        </w:rPr>
        <w:t>Infringement cases open on 31 December 2017: main policy sectors</w:t>
      </w:r>
    </w:p>
    <w:p w:rsidR="00E201F7" w:rsidRDefault="00E24EFF">
      <w:pPr>
        <w:ind w:left="720"/>
        <w:rPr>
          <w:rFonts w:ascii="Verdana" w:hAnsi="Verdana"/>
          <w:noProof/>
          <w:sz w:val="20"/>
        </w:rPr>
      </w:pPr>
      <w:r>
        <w:rPr>
          <w:rFonts w:ascii="Verdana" w:hAnsi="Verdana"/>
          <w:noProof/>
          <w:sz w:val="20"/>
        </w:rPr>
        <w:drawing>
          <wp:inline distT="0" distB="0" distL="0" distR="0" wp14:anchorId="1FF5B3B1" wp14:editId="2FFB5A1B">
            <wp:extent cx="4582160" cy="2225040"/>
            <wp:effectExtent l="0" t="0" r="27940" b="22860"/>
            <wp:docPr id="330" name="Objec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201F7" w:rsidRDefault="00E24EFF">
      <w:pPr>
        <w:numPr>
          <w:ilvl w:val="0"/>
          <w:numId w:val="100"/>
        </w:numPr>
        <w:spacing w:before="360"/>
        <w:ind w:left="714" w:hanging="357"/>
        <w:jc w:val="left"/>
        <w:outlineLvl w:val="1"/>
        <w:rPr>
          <w:rFonts w:ascii="Arial" w:hAnsi="Arial" w:cs="Arial"/>
          <w:noProof/>
          <w:color w:val="002060"/>
          <w:sz w:val="22"/>
        </w:rPr>
      </w:pPr>
      <w:r>
        <w:rPr>
          <w:rFonts w:ascii="Arial" w:hAnsi="Arial" w:cs="Arial"/>
          <w:noProof/>
          <w:color w:val="002060"/>
          <w:sz w:val="22"/>
        </w:rPr>
        <w:t xml:space="preserve">New infringement cases opened in 2017: main policy </w:t>
      </w:r>
      <w:r>
        <w:rPr>
          <w:rFonts w:ascii="Arial" w:hAnsi="Arial" w:cs="Arial"/>
          <w:noProof/>
          <w:color w:val="002060"/>
          <w:sz w:val="22"/>
        </w:rPr>
        <w:t>sectors</w:t>
      </w:r>
    </w:p>
    <w:p w:rsidR="00E201F7" w:rsidRDefault="00E24EFF">
      <w:pPr>
        <w:pStyle w:val="ListParagraph"/>
        <w:rPr>
          <w:rFonts w:ascii="Arial" w:hAnsi="Arial" w:cs="Arial"/>
          <w:noProof/>
          <w:sz w:val="20"/>
          <w:szCs w:val="20"/>
        </w:rPr>
      </w:pPr>
      <w:r>
        <w:rPr>
          <w:rFonts w:ascii="Arial" w:hAnsi="Arial" w:cs="Arial"/>
          <w:noProof/>
          <w:sz w:val="20"/>
          <w:szCs w:val="20"/>
        </w:rPr>
        <w:t>All 18 new infringement cases opened concerned working conditions.</w:t>
      </w:r>
    </w:p>
    <w:p w:rsidR="00E201F7" w:rsidRDefault="00E24EFF">
      <w:pPr>
        <w:numPr>
          <w:ilvl w:val="0"/>
          <w:numId w:val="100"/>
        </w:numPr>
        <w:spacing w:before="120"/>
        <w:jc w:val="left"/>
        <w:outlineLvl w:val="1"/>
        <w:rPr>
          <w:rFonts w:ascii="Arial" w:hAnsi="Arial" w:cs="Arial"/>
          <w:noProof/>
          <w:color w:val="002060"/>
          <w:sz w:val="22"/>
        </w:rPr>
      </w:pPr>
      <w:r>
        <w:rPr>
          <w:rFonts w:ascii="Arial" w:hAnsi="Arial" w:cs="Arial"/>
          <w:noProof/>
          <w:color w:val="002060"/>
          <w:sz w:val="22"/>
        </w:rPr>
        <w:t>Key infringement cases and referrals to the Court</w:t>
      </w:r>
    </w:p>
    <w:p w:rsidR="00E201F7" w:rsidRDefault="00E24EFF">
      <w:pPr>
        <w:pStyle w:val="Lijstje"/>
        <w:numPr>
          <w:ilvl w:val="0"/>
          <w:numId w:val="43"/>
        </w:numPr>
        <w:spacing w:after="120"/>
        <w:ind w:left="1276" w:hanging="425"/>
        <w:rPr>
          <w:rFonts w:ascii="Arial" w:hAnsi="Arial" w:cs="Arial"/>
          <w:noProof/>
          <w:lang w:val="en-GB"/>
        </w:rPr>
      </w:pPr>
      <w:r>
        <w:rPr>
          <w:rFonts w:ascii="Arial" w:hAnsi="Arial" w:cs="Arial"/>
          <w:noProof/>
          <w:lang w:val="en-GB"/>
        </w:rPr>
        <w:t>The Commission opened 18 new infringement cases in 2017. These, and other major ongoing infringement cases, include the following:</w:t>
      </w:r>
    </w:p>
    <w:p w:rsidR="00E201F7" w:rsidRDefault="00E24EFF">
      <w:pPr>
        <w:pStyle w:val="Lijstje2"/>
        <w:ind w:left="1800"/>
        <w:rPr>
          <w:rFonts w:ascii="Arial" w:hAnsi="Arial" w:cs="Arial"/>
          <w:noProof/>
          <w:lang w:val="en-GB"/>
        </w:rPr>
      </w:pPr>
      <w:r>
        <w:rPr>
          <w:rFonts w:ascii="Arial" w:hAnsi="Arial" w:cs="Arial"/>
          <w:i/>
          <w:noProof/>
          <w:lang w:val="en-GB"/>
        </w:rPr>
        <w:t>Bulgaria, Czech Republic, Germany, Estonia, Luxembourg, Poland, Romania, Finland, United Kingdom</w:t>
      </w:r>
      <w:r>
        <w:rPr>
          <w:rFonts w:ascii="Arial" w:hAnsi="Arial" w:cs="Arial"/>
          <w:noProof/>
          <w:lang w:val="en-GB"/>
        </w:rPr>
        <w:t>: failure to communicate national measures transposing the Directive on the organisation of working time in inland waterway transport</w:t>
      </w:r>
      <w:r>
        <w:rPr>
          <w:rStyle w:val="FootnoteReference"/>
          <w:rFonts w:ascii="Arial" w:hAnsi="Arial" w:cs="Arial"/>
          <w:noProof/>
          <w:lang w:val="en-GB"/>
        </w:rPr>
        <w:footnoteReference w:id="20"/>
      </w:r>
      <w:r>
        <w:rPr>
          <w:rFonts w:ascii="Arial" w:hAnsi="Arial" w:cs="Arial"/>
          <w:noProof/>
          <w:lang w:val="en-GB"/>
        </w:rPr>
        <w:t>;</w:t>
      </w:r>
    </w:p>
    <w:p w:rsidR="00E201F7" w:rsidRDefault="00E24EFF">
      <w:pPr>
        <w:pStyle w:val="Lijstje2"/>
        <w:ind w:left="1800"/>
        <w:rPr>
          <w:rFonts w:ascii="Arial" w:hAnsi="Arial" w:cs="Arial"/>
          <w:noProof/>
          <w:lang w:val="en-GB"/>
        </w:rPr>
      </w:pPr>
      <w:r>
        <w:rPr>
          <w:rFonts w:ascii="Arial" w:hAnsi="Arial" w:cs="Arial"/>
          <w:i/>
          <w:noProof/>
          <w:lang w:val="en-GB"/>
        </w:rPr>
        <w:t>Ireland, Greece, Croatia</w:t>
      </w:r>
      <w:r>
        <w:rPr>
          <w:rFonts w:ascii="Arial" w:hAnsi="Arial" w:cs="Arial"/>
          <w:i/>
          <w:noProof/>
          <w:lang w:val="en-GB"/>
        </w:rPr>
        <w:t xml:space="preserve">, Italy, Cyprus, Poland, Portugal, Romania, United Kingdom: </w:t>
      </w:r>
      <w:r>
        <w:rPr>
          <w:rFonts w:ascii="Arial" w:hAnsi="Arial" w:cs="Arial"/>
          <w:noProof/>
          <w:lang w:val="en-GB"/>
        </w:rPr>
        <w:t>failure to communicate national transposition measures for the Directive on seafarers</w:t>
      </w:r>
      <w:r>
        <w:rPr>
          <w:rStyle w:val="FootnoteReference"/>
          <w:rFonts w:ascii="Arial" w:hAnsi="Arial" w:cs="Arial"/>
          <w:noProof/>
          <w:lang w:val="en-GB"/>
        </w:rPr>
        <w:footnoteReference w:id="21"/>
      </w:r>
      <w:r>
        <w:rPr>
          <w:rFonts w:ascii="Arial" w:hAnsi="Arial" w:cs="Arial"/>
          <w:noProof/>
          <w:lang w:val="en-GB"/>
        </w:rPr>
        <w:t>.</w:t>
      </w:r>
    </w:p>
    <w:p w:rsidR="00E201F7" w:rsidRDefault="00E24EFF">
      <w:pPr>
        <w:pStyle w:val="Lijstje"/>
        <w:numPr>
          <w:ilvl w:val="0"/>
          <w:numId w:val="43"/>
        </w:numPr>
        <w:spacing w:after="120"/>
        <w:ind w:left="1276" w:hanging="425"/>
        <w:rPr>
          <w:rFonts w:ascii="Arial" w:hAnsi="Arial" w:cs="Arial"/>
          <w:noProof/>
          <w:lang w:val="en-GB"/>
        </w:rPr>
      </w:pPr>
      <w:r>
        <w:rPr>
          <w:rFonts w:ascii="Arial" w:hAnsi="Arial" w:cs="Arial"/>
          <w:noProof/>
          <w:lang w:val="en-GB"/>
        </w:rPr>
        <w:t>The Commission did not refer any cases to the Court under Article 258 TFEU.</w:t>
      </w:r>
    </w:p>
    <w:p w:rsidR="00E201F7" w:rsidRDefault="00E24EFF">
      <w:pPr>
        <w:pStyle w:val="Lijstje"/>
        <w:numPr>
          <w:ilvl w:val="0"/>
          <w:numId w:val="43"/>
        </w:numPr>
        <w:spacing w:after="120"/>
        <w:ind w:left="1276" w:hanging="425"/>
        <w:rPr>
          <w:rFonts w:ascii="Arial" w:hAnsi="Arial" w:cs="Arial"/>
          <w:noProof/>
          <w:lang w:val="en-GB"/>
        </w:rPr>
      </w:pPr>
      <w:r>
        <w:rPr>
          <w:rFonts w:ascii="Arial" w:hAnsi="Arial" w:cs="Arial"/>
          <w:noProof/>
          <w:lang w:val="en-GB"/>
        </w:rPr>
        <w:t>The Commission did not refer any</w:t>
      </w:r>
      <w:r>
        <w:rPr>
          <w:rFonts w:ascii="Arial" w:hAnsi="Arial" w:cs="Arial"/>
          <w:noProof/>
          <w:lang w:val="en-GB"/>
        </w:rPr>
        <w:t xml:space="preserve"> cases to the Court under Article 260(2) TFEU.</w:t>
      </w:r>
    </w:p>
    <w:p w:rsidR="00E201F7" w:rsidRDefault="00E24EFF">
      <w:pPr>
        <w:pStyle w:val="kop2"/>
        <w:rPr>
          <w:noProof/>
        </w:rPr>
      </w:pPr>
      <w:r>
        <w:rPr>
          <w:noProof/>
        </w:rPr>
        <w:t>TRANSPOSITION OF DIRECTIVES</w:t>
      </w:r>
    </w:p>
    <w:p w:rsidR="00E201F7" w:rsidRDefault="00E24EFF">
      <w:pPr>
        <w:numPr>
          <w:ilvl w:val="0"/>
          <w:numId w:val="101"/>
        </w:numPr>
        <w:spacing w:before="120"/>
        <w:jc w:val="left"/>
        <w:outlineLvl w:val="1"/>
        <w:rPr>
          <w:rFonts w:ascii="Arial" w:hAnsi="Arial" w:cs="Arial"/>
          <w:noProof/>
          <w:color w:val="002060"/>
          <w:sz w:val="22"/>
        </w:rPr>
      </w:pPr>
      <w:r>
        <w:rPr>
          <w:rFonts w:ascii="Arial" w:hAnsi="Arial" w:cs="Arial"/>
          <w:noProof/>
          <w:color w:val="002060"/>
          <w:sz w:val="22"/>
        </w:rPr>
        <w:t>New late transposition infringement cases (2013-2017)</w:t>
      </w:r>
    </w:p>
    <w:p w:rsidR="00E201F7" w:rsidRDefault="00E24EFF">
      <w:pPr>
        <w:ind w:firstLine="714"/>
        <w:rPr>
          <w:noProof/>
          <w:color w:val="002060"/>
        </w:rPr>
      </w:pPr>
      <w:r>
        <w:rPr>
          <w:noProof/>
        </w:rPr>
        <w:drawing>
          <wp:inline distT="0" distB="0" distL="0" distR="0" wp14:anchorId="58BC7840" wp14:editId="515E232A">
            <wp:extent cx="4592320" cy="2113280"/>
            <wp:effectExtent l="0" t="0" r="0" b="0"/>
            <wp:docPr id="329" name="Grafiek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201F7" w:rsidRDefault="00E24EFF">
      <w:pPr>
        <w:numPr>
          <w:ilvl w:val="0"/>
          <w:numId w:val="101"/>
        </w:numPr>
        <w:spacing w:before="360"/>
        <w:ind w:left="714" w:hanging="357"/>
        <w:jc w:val="left"/>
        <w:outlineLvl w:val="1"/>
        <w:rPr>
          <w:rFonts w:ascii="Arial" w:hAnsi="Arial" w:cs="Arial"/>
          <w:noProof/>
          <w:color w:val="002060"/>
          <w:sz w:val="22"/>
        </w:rPr>
      </w:pPr>
      <w:r>
        <w:rPr>
          <w:rFonts w:ascii="Arial" w:hAnsi="Arial" w:cs="Arial"/>
          <w:noProof/>
          <w:color w:val="002060"/>
          <w:sz w:val="22"/>
        </w:rPr>
        <w:t>New late transposition infringement cases opened in 2017: main policy sectors</w:t>
      </w:r>
    </w:p>
    <w:p w:rsidR="00E201F7" w:rsidRDefault="00E24EFF">
      <w:pPr>
        <w:ind w:firstLine="720"/>
        <w:rPr>
          <w:rFonts w:ascii="Arial" w:eastAsia="Calibri" w:hAnsi="Arial" w:cs="Arial"/>
          <w:noProof/>
          <w:kern w:val="20"/>
          <w:sz w:val="20"/>
        </w:rPr>
      </w:pPr>
      <w:r>
        <w:rPr>
          <w:rFonts w:ascii="Arial" w:eastAsia="Calibri" w:hAnsi="Arial" w:cs="Arial"/>
          <w:noProof/>
          <w:kern w:val="20"/>
          <w:sz w:val="20"/>
        </w:rPr>
        <w:t>All 18 new late transposition cases opened conc</w:t>
      </w:r>
      <w:r>
        <w:rPr>
          <w:rFonts w:ascii="Arial" w:eastAsia="Calibri" w:hAnsi="Arial" w:cs="Arial"/>
          <w:noProof/>
          <w:kern w:val="20"/>
          <w:sz w:val="20"/>
        </w:rPr>
        <w:t>erned working conditions.</w:t>
      </w:r>
    </w:p>
    <w:p w:rsidR="00E201F7" w:rsidRDefault="00E24EFF">
      <w:pPr>
        <w:numPr>
          <w:ilvl w:val="0"/>
          <w:numId w:val="101"/>
        </w:numPr>
        <w:spacing w:before="360"/>
        <w:ind w:left="714" w:hanging="357"/>
        <w:jc w:val="left"/>
        <w:outlineLvl w:val="1"/>
        <w:rPr>
          <w:rFonts w:ascii="Arial" w:hAnsi="Arial" w:cs="Arial"/>
          <w:noProof/>
          <w:color w:val="002060"/>
          <w:sz w:val="22"/>
        </w:rPr>
      </w:pPr>
      <w:r>
        <w:rPr>
          <w:rFonts w:ascii="Arial" w:hAnsi="Arial" w:cs="Arial"/>
          <w:noProof/>
          <w:color w:val="002060"/>
          <w:sz w:val="22"/>
        </w:rPr>
        <w:t>Key infringement cases and referrals to the Court</w:t>
      </w:r>
    </w:p>
    <w:p w:rsidR="00E201F7" w:rsidRDefault="00E24EFF">
      <w:pPr>
        <w:numPr>
          <w:ilvl w:val="0"/>
          <w:numId w:val="54"/>
        </w:numPr>
        <w:spacing w:after="120"/>
        <w:ind w:left="1276" w:hanging="425"/>
        <w:rPr>
          <w:rFonts w:ascii="Arial" w:eastAsia="Calibri" w:hAnsi="Arial" w:cs="Arial"/>
          <w:noProof/>
          <w:kern w:val="20"/>
          <w:sz w:val="20"/>
        </w:rPr>
      </w:pPr>
      <w:r>
        <w:rPr>
          <w:rFonts w:ascii="Arial" w:eastAsia="Calibri" w:hAnsi="Arial" w:cs="Arial"/>
          <w:noProof/>
          <w:kern w:val="20"/>
          <w:sz w:val="20"/>
        </w:rPr>
        <w:t>The Commission opened 18 cases for late transposition in 2017. They included:</w:t>
      </w:r>
    </w:p>
    <w:p w:rsidR="00E201F7" w:rsidRDefault="00E24EFF">
      <w:pPr>
        <w:pStyle w:val="Lijstje2"/>
        <w:ind w:left="1800"/>
        <w:rPr>
          <w:rFonts w:ascii="Arial" w:hAnsi="Arial" w:cs="Arial"/>
          <w:noProof/>
          <w:lang w:val="en-GB"/>
        </w:rPr>
      </w:pPr>
      <w:r>
        <w:rPr>
          <w:rFonts w:ascii="Arial" w:hAnsi="Arial" w:cs="Arial"/>
          <w:noProof/>
          <w:lang w:val="en-GB"/>
        </w:rPr>
        <w:t>the Directive on seafarers</w:t>
      </w:r>
      <w:r>
        <w:rPr>
          <w:rStyle w:val="FootnoteReference"/>
          <w:rFonts w:ascii="Arial" w:hAnsi="Arial" w:cs="Arial"/>
          <w:noProof/>
          <w:lang w:val="en-GB"/>
        </w:rPr>
        <w:footnoteReference w:id="22"/>
      </w:r>
      <w:r>
        <w:rPr>
          <w:rFonts w:ascii="Arial" w:hAnsi="Arial" w:cs="Arial"/>
          <w:noProof/>
          <w:lang w:val="en-GB"/>
        </w:rPr>
        <w:t>; and</w:t>
      </w:r>
    </w:p>
    <w:p w:rsidR="00E201F7" w:rsidRDefault="00E24EFF">
      <w:pPr>
        <w:pStyle w:val="Lijstje2"/>
        <w:ind w:left="1800"/>
        <w:rPr>
          <w:rFonts w:ascii="Arial" w:hAnsi="Arial" w:cs="Arial"/>
          <w:noProof/>
          <w:lang w:val="en-GB"/>
        </w:rPr>
      </w:pPr>
      <w:r>
        <w:rPr>
          <w:rFonts w:ascii="Arial" w:hAnsi="Arial" w:cs="Arial"/>
          <w:noProof/>
          <w:lang w:val="en-GB"/>
        </w:rPr>
        <w:t xml:space="preserve">the Directive on the organisation of working time in inland waterway </w:t>
      </w:r>
      <w:r>
        <w:rPr>
          <w:rFonts w:ascii="Arial" w:hAnsi="Arial" w:cs="Arial"/>
          <w:noProof/>
          <w:lang w:val="en-GB"/>
        </w:rPr>
        <w:t>transport</w:t>
      </w:r>
      <w:r>
        <w:rPr>
          <w:rStyle w:val="FootnoteReference"/>
          <w:rFonts w:ascii="Arial" w:hAnsi="Arial" w:cs="Arial"/>
          <w:noProof/>
          <w:lang w:val="en-GB"/>
        </w:rPr>
        <w:footnoteReference w:id="23"/>
      </w:r>
      <w:r>
        <w:rPr>
          <w:rFonts w:ascii="Arial" w:hAnsi="Arial" w:cs="Arial"/>
          <w:noProof/>
          <w:lang w:val="en-GB"/>
        </w:rPr>
        <w:t>;</w:t>
      </w:r>
    </w:p>
    <w:p w:rsidR="00E201F7" w:rsidRDefault="00E24EFF">
      <w:pPr>
        <w:numPr>
          <w:ilvl w:val="0"/>
          <w:numId w:val="54"/>
        </w:numPr>
        <w:spacing w:after="120"/>
        <w:ind w:left="1276" w:hanging="425"/>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rsidR="00E201F7" w:rsidRDefault="00E24EFF">
      <w:pPr>
        <w:pStyle w:val="kop2"/>
        <w:rPr>
          <w:noProof/>
        </w:rPr>
      </w:pPr>
      <w:r>
        <w:rPr>
          <w:noProof/>
        </w:rPr>
        <w:t>EARLY RESOLUTION OF INFRINGEMENT CASES</w:t>
      </w:r>
    </w:p>
    <w:p w:rsidR="00E201F7" w:rsidRDefault="00E24EFF">
      <w:pPr>
        <w:spacing w:after="60"/>
        <w:ind w:left="360"/>
        <w:jc w:val="left"/>
        <w:outlineLvl w:val="1"/>
        <w:rPr>
          <w:rFonts w:ascii="Arial" w:hAnsi="Arial" w:cs="Arial"/>
          <w:noProof/>
          <w:color w:val="002060"/>
          <w:sz w:val="22"/>
        </w:rPr>
      </w:pPr>
      <w:r>
        <w:rPr>
          <w:rFonts w:ascii="Arial" w:hAnsi="Arial" w:cs="Arial"/>
          <w:noProof/>
          <w:color w:val="002060"/>
          <w:sz w:val="22"/>
        </w:rPr>
        <w:t>Major cases closed without a Court judgment in 2017</w:t>
      </w:r>
    </w:p>
    <w:p w:rsidR="00E201F7" w:rsidRDefault="00E24EFF">
      <w:pPr>
        <w:autoSpaceDE w:val="0"/>
        <w:autoSpaceDN w:val="0"/>
        <w:adjustRightInd w:val="0"/>
        <w:spacing w:before="120" w:after="120"/>
        <w:ind w:left="720"/>
        <w:rPr>
          <w:rFonts w:ascii="Arial" w:hAnsi="Arial" w:cs="Arial"/>
          <w:noProof/>
          <w:sz w:val="20"/>
        </w:rPr>
      </w:pPr>
      <w:r>
        <w:rPr>
          <w:rFonts w:ascii="Arial" w:hAnsi="Arial" w:cs="Arial"/>
          <w:noProof/>
          <w:sz w:val="20"/>
        </w:rPr>
        <w:t>These concerned:</w:t>
      </w:r>
    </w:p>
    <w:p w:rsidR="00E201F7" w:rsidRDefault="00E24EFF">
      <w:pPr>
        <w:pStyle w:val="Lijstje2"/>
        <w:ind w:left="1200"/>
        <w:rPr>
          <w:rFonts w:ascii="Arial" w:hAnsi="Arial" w:cs="Arial"/>
          <w:noProof/>
          <w:lang w:val="en-GB"/>
        </w:rPr>
      </w:pPr>
      <w:r>
        <w:rPr>
          <w:rFonts w:ascii="Arial" w:hAnsi="Arial" w:cs="Arial"/>
          <w:i/>
          <w:noProof/>
          <w:lang w:val="en-GB"/>
        </w:rPr>
        <w:t>Spain</w:t>
      </w:r>
      <w:r>
        <w:rPr>
          <w:rFonts w:ascii="Arial" w:hAnsi="Arial" w:cs="Arial"/>
          <w:noProof/>
          <w:lang w:val="en-GB"/>
        </w:rPr>
        <w:t>: the adoption of amended transposition rul</w:t>
      </w:r>
      <w:r>
        <w:rPr>
          <w:rFonts w:ascii="Arial" w:hAnsi="Arial" w:cs="Arial"/>
          <w:noProof/>
          <w:lang w:val="en-GB"/>
        </w:rPr>
        <w:t>es applicable to all workers as well as specific texts applicable to police workers in line with the provisions of the Working Time Directive</w:t>
      </w:r>
      <w:r>
        <w:rPr>
          <w:rStyle w:val="FootnoteReference"/>
          <w:rFonts w:ascii="Arial" w:hAnsi="Arial" w:cs="Arial"/>
          <w:noProof/>
          <w:lang w:val="en-GB"/>
        </w:rPr>
        <w:footnoteReference w:id="24"/>
      </w:r>
      <w:r>
        <w:rPr>
          <w:rFonts w:ascii="Arial" w:hAnsi="Arial" w:cs="Arial"/>
          <w:noProof/>
          <w:lang w:val="en-GB"/>
        </w:rPr>
        <w:t xml:space="preserve"> on night work;</w:t>
      </w:r>
    </w:p>
    <w:p w:rsidR="00E201F7" w:rsidRDefault="00E24EFF">
      <w:pPr>
        <w:pStyle w:val="Lijstje2"/>
        <w:ind w:left="1200"/>
        <w:rPr>
          <w:rFonts w:ascii="Arial" w:hAnsi="Arial" w:cs="Arial"/>
          <w:noProof/>
          <w:lang w:val="en-GB"/>
        </w:rPr>
      </w:pPr>
      <w:r>
        <w:rPr>
          <w:rFonts w:ascii="Arial" w:hAnsi="Arial" w:cs="Arial"/>
          <w:i/>
          <w:noProof/>
          <w:lang w:val="en-GB"/>
        </w:rPr>
        <w:t>France</w:t>
      </w:r>
      <w:r>
        <w:rPr>
          <w:rFonts w:ascii="Arial" w:hAnsi="Arial" w:cs="Arial"/>
          <w:noProof/>
          <w:lang w:val="en-GB"/>
        </w:rPr>
        <w:t>: aligning the national law on police officers with the Working Time Directive</w:t>
      </w:r>
      <w:r>
        <w:rPr>
          <w:rStyle w:val="FootnoteReference"/>
          <w:rFonts w:ascii="Arial" w:hAnsi="Arial" w:cs="Arial"/>
          <w:noProof/>
          <w:lang w:val="en-GB"/>
        </w:rPr>
        <w:footnoteReference w:id="25"/>
      </w:r>
      <w:r>
        <w:rPr>
          <w:rFonts w:ascii="Arial" w:hAnsi="Arial" w:cs="Arial"/>
          <w:noProof/>
          <w:lang w:val="en-GB"/>
        </w:rPr>
        <w:t>;</w:t>
      </w:r>
    </w:p>
    <w:p w:rsidR="00E201F7" w:rsidRDefault="00E24EFF">
      <w:pPr>
        <w:pStyle w:val="Lijstje2"/>
        <w:ind w:left="1200"/>
        <w:rPr>
          <w:rFonts w:ascii="Arial" w:hAnsi="Arial" w:cs="Arial"/>
          <w:noProof/>
          <w:lang w:val="en-GB"/>
        </w:rPr>
      </w:pPr>
      <w:r>
        <w:rPr>
          <w:rFonts w:ascii="Arial" w:hAnsi="Arial" w:cs="Arial"/>
          <w:i/>
          <w:noProof/>
          <w:lang w:val="en-GB"/>
        </w:rPr>
        <w:t>Hungary</w:t>
      </w:r>
      <w:r>
        <w:rPr>
          <w:rFonts w:ascii="Arial" w:hAnsi="Arial" w:cs="Arial"/>
          <w:noProof/>
          <w:lang w:val="en-GB"/>
        </w:rPr>
        <w:t>: co</w:t>
      </w:r>
      <w:r>
        <w:rPr>
          <w:rFonts w:ascii="Arial" w:hAnsi="Arial" w:cs="Arial"/>
          <w:noProof/>
          <w:lang w:val="en-GB"/>
        </w:rPr>
        <w:t>nformity with the Working Time Directive</w:t>
      </w:r>
      <w:r>
        <w:rPr>
          <w:rStyle w:val="FootnoteReference"/>
          <w:rFonts w:ascii="Arial" w:hAnsi="Arial" w:cs="Arial"/>
          <w:noProof/>
          <w:lang w:val="en-GB"/>
        </w:rPr>
        <w:footnoteReference w:id="26"/>
      </w:r>
      <w:r>
        <w:rPr>
          <w:rFonts w:ascii="Arial" w:hAnsi="Arial" w:cs="Arial"/>
          <w:noProof/>
          <w:lang w:val="en-GB"/>
        </w:rPr>
        <w:t xml:space="preserve"> by amending the rules applying to workers on regular passenger transport services, regular inter-urban short-distance public transport services and uninterrupted transport services.</w:t>
      </w:r>
    </w:p>
    <w:p w:rsidR="00E201F7" w:rsidRDefault="00E24EFF">
      <w:pPr>
        <w:spacing w:after="0"/>
        <w:jc w:val="left"/>
        <w:rPr>
          <w:rFonts w:ascii="Arial" w:eastAsia="MS Gothic" w:hAnsi="Arial" w:cs="Arial"/>
          <w:caps/>
          <w:noProof/>
          <w:color w:val="4F81BD"/>
          <w:kern w:val="20"/>
          <w:szCs w:val="24"/>
        </w:rPr>
      </w:pPr>
      <w:r>
        <w:rPr>
          <w:noProof/>
        </w:rPr>
        <w:br w:type="page"/>
      </w:r>
    </w:p>
    <w:p w:rsidR="00E201F7" w:rsidRDefault="00E24EFF">
      <w:pPr>
        <w:pStyle w:val="kop2"/>
        <w:rPr>
          <w:noProof/>
        </w:rPr>
      </w:pPr>
      <w:r>
        <w:rPr>
          <w:noProof/>
        </w:rPr>
        <w:t>IMPORTANT JUDGMENTS</w:t>
      </w:r>
    </w:p>
    <w:p w:rsidR="00E201F7" w:rsidRDefault="00E24EFF">
      <w:pPr>
        <w:numPr>
          <w:ilvl w:val="0"/>
          <w:numId w:val="102"/>
        </w:numPr>
        <w:spacing w:before="120"/>
        <w:jc w:val="left"/>
        <w:outlineLvl w:val="1"/>
        <w:rPr>
          <w:rFonts w:ascii="Arial" w:hAnsi="Arial" w:cs="Arial"/>
          <w:noProof/>
          <w:color w:val="002060"/>
          <w:sz w:val="22"/>
        </w:rPr>
      </w:pPr>
      <w:r>
        <w:rPr>
          <w:rFonts w:ascii="Arial" w:hAnsi="Arial" w:cs="Arial"/>
          <w:noProof/>
          <w:color w:val="002060"/>
          <w:sz w:val="22"/>
        </w:rPr>
        <w:t xml:space="preserve">Court </w:t>
      </w:r>
      <w:r>
        <w:rPr>
          <w:rFonts w:ascii="Arial" w:hAnsi="Arial" w:cs="Arial"/>
          <w:noProof/>
          <w:color w:val="002060"/>
          <w:sz w:val="22"/>
        </w:rPr>
        <w:t>rulings</w:t>
      </w:r>
    </w:p>
    <w:p w:rsidR="00E201F7" w:rsidRDefault="00E24EFF">
      <w:pPr>
        <w:spacing w:after="120"/>
        <w:ind w:left="720"/>
        <w:rPr>
          <w:rFonts w:ascii="Arial" w:hAnsi="Arial" w:cs="Arial"/>
          <w:noProof/>
          <w:sz w:val="20"/>
        </w:rPr>
      </w:pPr>
      <w:r>
        <w:rPr>
          <w:rFonts w:ascii="Arial" w:hAnsi="Arial" w:cs="Arial"/>
          <w:noProof/>
          <w:sz w:val="20"/>
        </w:rPr>
        <w:t>There were no major Court rulings in 2017 in this area.</w:t>
      </w:r>
    </w:p>
    <w:p w:rsidR="00E201F7" w:rsidRDefault="00E24EFF">
      <w:pPr>
        <w:numPr>
          <w:ilvl w:val="0"/>
          <w:numId w:val="103"/>
        </w:numPr>
        <w:spacing w:after="60"/>
        <w:jc w:val="left"/>
        <w:outlineLvl w:val="1"/>
        <w:rPr>
          <w:rFonts w:ascii="Arial" w:hAnsi="Arial" w:cs="Arial"/>
          <w:noProof/>
          <w:color w:val="002060"/>
          <w:sz w:val="22"/>
        </w:rPr>
      </w:pPr>
      <w:r>
        <w:rPr>
          <w:rFonts w:ascii="Arial" w:hAnsi="Arial" w:cs="Arial"/>
          <w:noProof/>
          <w:color w:val="002060"/>
          <w:sz w:val="22"/>
        </w:rPr>
        <w:t>Preliminary rulings</w:t>
      </w:r>
    </w:p>
    <w:p w:rsidR="00E201F7" w:rsidRDefault="00E24EFF">
      <w:pPr>
        <w:pStyle w:val="Basis"/>
        <w:ind w:left="360" w:firstLine="360"/>
        <w:rPr>
          <w:rFonts w:ascii="Arial" w:hAnsi="Arial" w:cs="Arial"/>
          <w:noProof/>
          <w:lang w:val="en-GB"/>
        </w:rPr>
      </w:pPr>
      <w:r>
        <w:rPr>
          <w:rFonts w:ascii="Arial" w:hAnsi="Arial" w:cs="Arial"/>
          <w:noProof/>
          <w:lang w:val="en-GB"/>
        </w:rPr>
        <w:t>The Court gave the following preliminary rulings.</w:t>
      </w:r>
    </w:p>
    <w:p w:rsidR="00E201F7" w:rsidRDefault="00E24EFF">
      <w:pPr>
        <w:pStyle w:val="Lijstje2"/>
        <w:spacing w:before="120" w:after="120"/>
        <w:ind w:left="1200"/>
        <w:contextualSpacing w:val="0"/>
        <w:rPr>
          <w:rFonts w:ascii="Arial" w:hAnsi="Arial" w:cs="Arial"/>
          <w:noProof/>
          <w:lang w:val="en-GB"/>
        </w:rPr>
      </w:pPr>
      <w:r>
        <w:rPr>
          <w:rFonts w:ascii="Arial" w:hAnsi="Arial" w:cs="Arial"/>
          <w:i/>
          <w:noProof/>
          <w:lang w:val="en-GB"/>
        </w:rPr>
        <w:t>Germany</w:t>
      </w:r>
      <w:r>
        <w:rPr>
          <w:rFonts w:ascii="Arial" w:hAnsi="Arial" w:cs="Arial"/>
          <w:noProof/>
          <w:lang w:val="en-GB"/>
        </w:rPr>
        <w:t xml:space="preserve">: The representation and collective defence of the employees’ interests in the management or supervisory bodies of a company founded under national law is a non-harmonised and non-coordinated field from the point of view of EU law. A </w:t>
      </w:r>
      <w:smartTag w:uri="urn:schemas-microsoft-com:office:smarttags" w:element="place">
        <w:smartTag w:uri="urn:schemas-microsoft-com:office:smarttags" w:element="PlaceName">
          <w:r>
            <w:rPr>
              <w:rFonts w:ascii="Arial" w:hAnsi="Arial" w:cs="Arial"/>
              <w:noProof/>
              <w:lang w:val="en-GB"/>
            </w:rPr>
            <w:t>Member</w:t>
          </w:r>
        </w:smartTag>
        <w:r>
          <w:rPr>
            <w:rFonts w:ascii="Arial" w:hAnsi="Arial" w:cs="Arial"/>
            <w:noProof/>
            <w:lang w:val="en-GB"/>
          </w:rPr>
          <w:t xml:space="preserve"> </w:t>
        </w:r>
        <w:smartTag w:uri="urn:schemas-microsoft-com:office:smarttags" w:element="PlaceType">
          <w:r>
            <w:rPr>
              <w:rFonts w:ascii="Arial" w:hAnsi="Arial" w:cs="Arial"/>
              <w:noProof/>
              <w:lang w:val="en-GB"/>
            </w:rPr>
            <w:t>State</w:t>
          </w:r>
        </w:smartTag>
      </w:smartTag>
      <w:r>
        <w:rPr>
          <w:rFonts w:ascii="Arial" w:hAnsi="Arial" w:cs="Arial"/>
          <w:noProof/>
          <w:lang w:val="en-GB"/>
        </w:rPr>
        <w:t xml:space="preserve"> may there</w:t>
      </w:r>
      <w:r>
        <w:rPr>
          <w:rFonts w:ascii="Arial" w:hAnsi="Arial" w:cs="Arial"/>
          <w:noProof/>
          <w:lang w:val="en-GB"/>
        </w:rPr>
        <w:t>fore adopt legislation applicable only to workers employed by companies located in its national territory</w:t>
      </w:r>
      <w:r>
        <w:rPr>
          <w:rStyle w:val="FootnoteReference"/>
          <w:rFonts w:ascii="Arial" w:hAnsi="Arial" w:cs="Arial"/>
          <w:noProof/>
          <w:lang w:val="en-GB"/>
        </w:rPr>
        <w:footnoteReference w:id="27"/>
      </w:r>
      <w:r>
        <w:rPr>
          <w:rFonts w:ascii="Arial" w:hAnsi="Arial" w:cs="Arial"/>
          <w:noProof/>
          <w:lang w:val="en-GB"/>
        </w:rPr>
        <w:t>.</w:t>
      </w:r>
    </w:p>
    <w:p w:rsidR="00E201F7" w:rsidRDefault="00E24EFF">
      <w:pPr>
        <w:pStyle w:val="Lijstje2"/>
        <w:spacing w:before="120" w:after="120"/>
        <w:ind w:left="1200"/>
        <w:contextualSpacing w:val="0"/>
        <w:rPr>
          <w:rFonts w:ascii="Arial" w:hAnsi="Arial" w:cs="Arial"/>
          <w:noProof/>
          <w:lang w:val="en-GB"/>
        </w:rPr>
      </w:pPr>
      <w:r>
        <w:rPr>
          <w:rFonts w:ascii="Arial" w:hAnsi="Arial" w:cs="Arial"/>
          <w:i/>
          <w:noProof/>
          <w:lang w:val="en-GB"/>
        </w:rPr>
        <w:t>Spain</w:t>
      </w:r>
      <w:r>
        <w:rPr>
          <w:rFonts w:ascii="Arial" w:hAnsi="Arial" w:cs="Arial"/>
          <w:noProof/>
          <w:lang w:val="en-GB"/>
        </w:rPr>
        <w:t>: Under the Fixed-Term Work Directive</w:t>
      </w:r>
      <w:r>
        <w:rPr>
          <w:rStyle w:val="FootnoteReference"/>
          <w:rFonts w:ascii="Arial" w:hAnsi="Arial" w:cs="Arial"/>
          <w:noProof/>
          <w:lang w:val="en-GB"/>
        </w:rPr>
        <w:footnoteReference w:id="28"/>
      </w:r>
      <w:r>
        <w:rPr>
          <w:rFonts w:ascii="Arial" w:hAnsi="Arial" w:cs="Arial"/>
          <w:noProof/>
          <w:lang w:val="en-GB"/>
        </w:rPr>
        <w:t>, and as long as permanent workers are entitled to special leave until the end of their parliamentary ter</w:t>
      </w:r>
      <w:r>
        <w:rPr>
          <w:rFonts w:ascii="Arial" w:hAnsi="Arial" w:cs="Arial"/>
          <w:noProof/>
          <w:lang w:val="en-GB"/>
        </w:rPr>
        <w:t>m of office, such leave cannot be completely denied to fixed-term workers</w:t>
      </w:r>
      <w:r>
        <w:rPr>
          <w:rStyle w:val="FootnoteReference"/>
          <w:rFonts w:ascii="Arial" w:hAnsi="Arial" w:cs="Arial"/>
          <w:noProof/>
          <w:lang w:val="en-GB"/>
        </w:rPr>
        <w:footnoteReference w:id="29"/>
      </w:r>
      <w:r>
        <w:rPr>
          <w:rFonts w:ascii="Arial" w:hAnsi="Arial" w:cs="Arial"/>
          <w:noProof/>
          <w:lang w:val="en-GB"/>
        </w:rPr>
        <w:t>.</w:t>
      </w:r>
    </w:p>
    <w:p w:rsidR="00E201F7" w:rsidRDefault="00E24EFF">
      <w:pPr>
        <w:pStyle w:val="Lijstje2"/>
        <w:spacing w:before="120" w:after="120"/>
        <w:ind w:left="1200"/>
        <w:contextualSpacing w:val="0"/>
        <w:rPr>
          <w:rFonts w:ascii="Arial" w:hAnsi="Arial" w:cs="Arial"/>
          <w:noProof/>
          <w:lang w:val="en-GB"/>
        </w:rPr>
      </w:pPr>
      <w:r>
        <w:rPr>
          <w:rFonts w:ascii="Arial" w:hAnsi="Arial" w:cs="Arial"/>
          <w:i/>
          <w:noProof/>
          <w:lang w:val="en-GB"/>
        </w:rPr>
        <w:t>France</w:t>
      </w:r>
      <w:r>
        <w:rPr>
          <w:rFonts w:ascii="Arial" w:hAnsi="Arial" w:cs="Arial"/>
          <w:noProof/>
          <w:lang w:val="en-GB"/>
        </w:rPr>
        <w:t>: An E101 or A1 certificate issued by a competent authority in view of the posting of workers</w:t>
      </w:r>
      <w:r>
        <w:rPr>
          <w:rStyle w:val="FootnoteReference"/>
          <w:rFonts w:ascii="Arial" w:hAnsi="Arial" w:cs="Arial"/>
          <w:noProof/>
          <w:lang w:val="en-GB"/>
        </w:rPr>
        <w:footnoteReference w:id="30"/>
      </w:r>
      <w:r>
        <w:rPr>
          <w:rFonts w:ascii="Arial" w:hAnsi="Arial" w:cs="Arial"/>
          <w:noProof/>
          <w:lang w:val="en-GB"/>
        </w:rPr>
        <w:t xml:space="preserve"> is binding on both the social security institutions of the </w:t>
      </w:r>
      <w:smartTag w:uri="urn:schemas-microsoft-com:office:smarttags" w:element="PlaceName">
        <w:r>
          <w:rPr>
            <w:rFonts w:ascii="Arial" w:hAnsi="Arial" w:cs="Arial"/>
            <w:noProof/>
            <w:lang w:val="en-GB"/>
          </w:rPr>
          <w:t>Member</w:t>
        </w:r>
      </w:smartTag>
      <w:r>
        <w:rPr>
          <w:rFonts w:ascii="Arial" w:hAnsi="Arial" w:cs="Arial"/>
          <w:noProof/>
          <w:lang w:val="en-GB"/>
        </w:rPr>
        <w:t xml:space="preserve"> </w:t>
      </w:r>
      <w:smartTag w:uri="urn:schemas-microsoft-com:office:smarttags" w:element="PlaceType">
        <w:r>
          <w:rPr>
            <w:rFonts w:ascii="Arial" w:hAnsi="Arial" w:cs="Arial"/>
            <w:noProof/>
            <w:lang w:val="en-GB"/>
          </w:rPr>
          <w:t>State</w:t>
        </w:r>
      </w:smartTag>
      <w:r>
        <w:rPr>
          <w:rFonts w:ascii="Arial" w:hAnsi="Arial" w:cs="Arial"/>
          <w:noProof/>
          <w:lang w:val="en-GB"/>
        </w:rPr>
        <w:t xml:space="preserve"> in whic</w:t>
      </w:r>
      <w:r>
        <w:rPr>
          <w:rFonts w:ascii="Arial" w:hAnsi="Arial" w:cs="Arial"/>
          <w:noProof/>
          <w:lang w:val="en-GB"/>
        </w:rPr>
        <w:t xml:space="preserve">h the work is carried out and the courts of that </w:t>
      </w:r>
      <w:smartTag w:uri="urn:schemas-microsoft-com:office:smarttags" w:element="place">
        <w:smartTag w:uri="urn:schemas-microsoft-com:office:smarttags" w:element="PlaceName">
          <w:r>
            <w:rPr>
              <w:rFonts w:ascii="Arial" w:hAnsi="Arial" w:cs="Arial"/>
              <w:noProof/>
              <w:lang w:val="en-GB"/>
            </w:rPr>
            <w:t>Member</w:t>
          </w:r>
        </w:smartTag>
        <w:r>
          <w:rPr>
            <w:rFonts w:ascii="Arial" w:hAnsi="Arial" w:cs="Arial"/>
            <w:noProof/>
            <w:lang w:val="en-GB"/>
          </w:rPr>
          <w:t xml:space="preserve"> </w:t>
        </w:r>
        <w:smartTag w:uri="urn:schemas-microsoft-com:office:smarttags" w:element="PlaceType">
          <w:r>
            <w:rPr>
              <w:rFonts w:ascii="Arial" w:hAnsi="Arial" w:cs="Arial"/>
              <w:noProof/>
              <w:lang w:val="en-GB"/>
            </w:rPr>
            <w:t>State</w:t>
          </w:r>
        </w:smartTag>
      </w:smartTag>
      <w:r>
        <w:rPr>
          <w:rFonts w:ascii="Arial" w:hAnsi="Arial" w:cs="Arial"/>
          <w:noProof/>
          <w:lang w:val="en-GB"/>
        </w:rPr>
        <w:t>. This remains so even if those courts find that the worker’s employment conditions clearly demonstrate that he does not fall under the category of posted workers</w:t>
      </w:r>
      <w:r>
        <w:rPr>
          <w:rStyle w:val="FootnoteReference"/>
          <w:rFonts w:ascii="Arial" w:hAnsi="Arial" w:cs="Arial"/>
          <w:noProof/>
          <w:lang w:val="en-GB"/>
        </w:rPr>
        <w:footnoteReference w:id="31"/>
      </w:r>
      <w:r>
        <w:rPr>
          <w:rFonts w:ascii="Arial" w:hAnsi="Arial" w:cs="Arial"/>
          <w:noProof/>
          <w:lang w:val="en-GB"/>
        </w:rPr>
        <w:t>.</w:t>
      </w:r>
    </w:p>
    <w:p w:rsidR="00E201F7" w:rsidRDefault="00E24EFF">
      <w:pPr>
        <w:pStyle w:val="Lijstje2"/>
        <w:spacing w:before="120" w:after="120"/>
        <w:ind w:left="1200"/>
        <w:contextualSpacing w:val="0"/>
        <w:rPr>
          <w:rFonts w:ascii="Arial" w:hAnsi="Arial" w:cs="Arial"/>
          <w:noProof/>
          <w:lang w:val="en-GB"/>
        </w:rPr>
      </w:pPr>
      <w:r>
        <w:rPr>
          <w:rFonts w:ascii="Arial" w:hAnsi="Arial" w:cs="Arial"/>
          <w:i/>
          <w:noProof/>
          <w:lang w:val="en-GB"/>
        </w:rPr>
        <w:t>Netherlands</w:t>
      </w:r>
      <w:r>
        <w:rPr>
          <w:rFonts w:ascii="Arial" w:hAnsi="Arial" w:cs="Arial"/>
          <w:noProof/>
          <w:lang w:val="en-GB"/>
        </w:rPr>
        <w:t>: The Transfer of U</w:t>
      </w:r>
      <w:r>
        <w:rPr>
          <w:rFonts w:ascii="Arial" w:hAnsi="Arial" w:cs="Arial"/>
          <w:noProof/>
          <w:lang w:val="en-GB"/>
        </w:rPr>
        <w:t>ndertakings Directive</w:t>
      </w:r>
      <w:r>
        <w:rPr>
          <w:rStyle w:val="FootnoteReference"/>
          <w:rFonts w:ascii="Arial" w:hAnsi="Arial" w:cs="Arial"/>
          <w:noProof/>
          <w:lang w:val="en-GB"/>
        </w:rPr>
        <w:footnoteReference w:id="32"/>
      </w:r>
      <w:r>
        <w:rPr>
          <w:rFonts w:ascii="Arial" w:hAnsi="Arial" w:cs="Arial"/>
          <w:noProof/>
          <w:lang w:val="en-GB"/>
        </w:rPr>
        <w:t xml:space="preserve"> applies to a transfer that follows a declaration of insolvency when a ‘pre-pack’ notably aimed at ensuring the continuation of the activities of the undertaking by a third party is implemented</w:t>
      </w:r>
      <w:r>
        <w:rPr>
          <w:rStyle w:val="FootnoteReference"/>
          <w:rFonts w:ascii="Arial" w:hAnsi="Arial" w:cs="Arial"/>
          <w:noProof/>
          <w:lang w:val="en-GB"/>
        </w:rPr>
        <w:footnoteReference w:id="33"/>
      </w:r>
      <w:r>
        <w:rPr>
          <w:rFonts w:ascii="Arial" w:hAnsi="Arial" w:cs="Arial"/>
          <w:noProof/>
          <w:lang w:val="en-GB"/>
        </w:rPr>
        <w:t>.</w:t>
      </w:r>
    </w:p>
    <w:p w:rsidR="00E201F7" w:rsidRDefault="00E24EFF">
      <w:pPr>
        <w:pStyle w:val="Lijstje2"/>
        <w:spacing w:before="120" w:after="120"/>
        <w:ind w:left="1200"/>
        <w:contextualSpacing w:val="0"/>
        <w:rPr>
          <w:rFonts w:ascii="Arial" w:hAnsi="Arial" w:cs="Arial"/>
          <w:noProof/>
          <w:lang w:val="en-GB"/>
        </w:rPr>
      </w:pPr>
      <w:r>
        <w:rPr>
          <w:rFonts w:ascii="Arial" w:hAnsi="Arial" w:cs="Arial"/>
          <w:i/>
          <w:noProof/>
          <w:lang w:val="en-GB"/>
        </w:rPr>
        <w:t>Poland</w:t>
      </w:r>
      <w:r>
        <w:rPr>
          <w:rFonts w:ascii="Arial" w:hAnsi="Arial" w:cs="Arial"/>
          <w:noProof/>
          <w:lang w:val="en-GB"/>
        </w:rPr>
        <w:t xml:space="preserve">: Under the Collective </w:t>
      </w:r>
      <w:r>
        <w:rPr>
          <w:rFonts w:ascii="Arial" w:hAnsi="Arial" w:cs="Arial"/>
          <w:noProof/>
          <w:lang w:val="en-GB"/>
        </w:rPr>
        <w:t>Redundancies Directive</w:t>
      </w:r>
      <w:r>
        <w:rPr>
          <w:rStyle w:val="FootnoteReference"/>
          <w:rFonts w:ascii="Arial" w:hAnsi="Arial" w:cs="Arial"/>
          <w:noProof/>
          <w:lang w:val="en-GB"/>
        </w:rPr>
        <w:footnoteReference w:id="34"/>
      </w:r>
      <w:r>
        <w:rPr>
          <w:rFonts w:ascii="Arial" w:hAnsi="Arial" w:cs="Arial"/>
          <w:noProof/>
          <w:lang w:val="en-GB"/>
        </w:rPr>
        <w:t>, an employer is required to consult workers’ representatives when he intends, to the detriment of employees, to amend unilaterally the terms of remuneration, which, if refused by employees, will entail termination of their employmen</w:t>
      </w:r>
      <w:r>
        <w:rPr>
          <w:rFonts w:ascii="Arial" w:hAnsi="Arial" w:cs="Arial"/>
          <w:noProof/>
          <w:lang w:val="en-GB"/>
        </w:rPr>
        <w:t>t</w:t>
      </w:r>
      <w:r>
        <w:rPr>
          <w:rStyle w:val="FootnoteReference"/>
          <w:rFonts w:ascii="Arial" w:hAnsi="Arial" w:cs="Arial"/>
          <w:noProof/>
          <w:lang w:val="en-GB"/>
        </w:rPr>
        <w:footnoteReference w:id="35"/>
      </w:r>
      <w:r>
        <w:rPr>
          <w:rFonts w:ascii="Arial" w:hAnsi="Arial" w:cs="Arial"/>
          <w:noProof/>
          <w:lang w:val="en-GB"/>
        </w:rPr>
        <w:t>.</w:t>
      </w:r>
    </w:p>
    <w:p w:rsidR="00E201F7" w:rsidRDefault="00E24EFF">
      <w:pPr>
        <w:pStyle w:val="Lijstje2"/>
        <w:spacing w:before="120" w:after="120"/>
        <w:ind w:left="1200"/>
        <w:contextualSpacing w:val="0"/>
        <w:rPr>
          <w:rFonts w:ascii="Arial" w:hAnsi="Arial" w:cs="Arial"/>
          <w:noProof/>
          <w:lang w:val="en-GB"/>
        </w:rPr>
      </w:pPr>
      <w:r>
        <w:rPr>
          <w:rFonts w:ascii="Arial" w:hAnsi="Arial" w:cs="Arial"/>
          <w:i/>
          <w:noProof/>
          <w:lang w:val="en-GB"/>
        </w:rPr>
        <w:t>Portugal</w:t>
      </w:r>
      <w:r>
        <w:rPr>
          <w:rFonts w:ascii="Arial" w:hAnsi="Arial" w:cs="Arial"/>
          <w:noProof/>
          <w:lang w:val="en-GB"/>
        </w:rPr>
        <w:t>: EU law does not require the minimum uninterrupted weekly rest period to be provided no later than the day following a period of 6 consecutive working days, but requires it to be provided within each seven-day period</w:t>
      </w:r>
      <w:r>
        <w:rPr>
          <w:rStyle w:val="FootnoteReference"/>
          <w:rFonts w:ascii="Arial" w:hAnsi="Arial" w:cs="Arial"/>
          <w:noProof/>
          <w:lang w:val="en-GB"/>
        </w:rPr>
        <w:footnoteReference w:id="36"/>
      </w:r>
      <w:r>
        <w:rPr>
          <w:rFonts w:ascii="Arial" w:hAnsi="Arial" w:cs="Arial"/>
          <w:noProof/>
          <w:lang w:val="en-GB"/>
        </w:rPr>
        <w:t>.</w:t>
      </w:r>
    </w:p>
    <w:p w:rsidR="00E201F7" w:rsidRDefault="00E24EFF">
      <w:pPr>
        <w:pStyle w:val="Lijstje2"/>
        <w:spacing w:before="120" w:after="120"/>
        <w:ind w:left="1200"/>
        <w:contextualSpacing w:val="0"/>
        <w:rPr>
          <w:rFonts w:ascii="Arial" w:hAnsi="Arial" w:cs="Arial"/>
          <w:noProof/>
          <w:lang w:val="en-GB"/>
        </w:rPr>
      </w:pPr>
      <w:r>
        <w:rPr>
          <w:rFonts w:ascii="Arial" w:hAnsi="Arial" w:cs="Arial"/>
          <w:i/>
          <w:noProof/>
          <w:lang w:val="en-GB"/>
        </w:rPr>
        <w:t>Slovakia:</w:t>
      </w:r>
      <w:r>
        <w:rPr>
          <w:rFonts w:ascii="Arial" w:hAnsi="Arial" w:cs="Arial"/>
          <w:noProof/>
          <w:lang w:val="en-GB"/>
        </w:rPr>
        <w:t xml:space="preserve"> Under the EU s</w:t>
      </w:r>
      <w:r>
        <w:rPr>
          <w:rFonts w:ascii="Arial" w:hAnsi="Arial" w:cs="Arial"/>
          <w:noProof/>
          <w:lang w:val="en-GB"/>
        </w:rPr>
        <w:t>ocial security coordination rules</w:t>
      </w:r>
      <w:r>
        <w:rPr>
          <w:rStyle w:val="FootnoteReference"/>
          <w:rFonts w:ascii="Arial" w:hAnsi="Arial" w:cs="Arial"/>
          <w:noProof/>
          <w:lang w:val="en-GB"/>
        </w:rPr>
        <w:footnoteReference w:id="37"/>
      </w:r>
      <w:r>
        <w:rPr>
          <w:rFonts w:ascii="Arial" w:hAnsi="Arial" w:cs="Arial"/>
          <w:noProof/>
          <w:lang w:val="en-GB"/>
        </w:rPr>
        <w:t>, a person working as self-employed in one Member State and performing only marginal activities as an employed person in another is to be covered by the social security legislation of the first Member State. Marginal activ</w:t>
      </w:r>
      <w:r>
        <w:rPr>
          <w:rFonts w:ascii="Arial" w:hAnsi="Arial" w:cs="Arial"/>
          <w:noProof/>
          <w:lang w:val="en-GB"/>
        </w:rPr>
        <w:t>ities performed in the other Member State are not to be taken into consideration for determining the applicable legislation</w:t>
      </w:r>
      <w:r>
        <w:rPr>
          <w:rStyle w:val="FootnoteReference"/>
          <w:rFonts w:ascii="Arial" w:hAnsi="Arial" w:cs="Arial"/>
          <w:noProof/>
          <w:lang w:val="en-GB"/>
        </w:rPr>
        <w:footnoteReference w:id="38"/>
      </w:r>
      <w:r>
        <w:rPr>
          <w:rFonts w:ascii="Arial" w:hAnsi="Arial" w:cs="Arial"/>
          <w:noProof/>
          <w:lang w:val="en-GB"/>
        </w:rPr>
        <w:t>.</w:t>
      </w:r>
    </w:p>
    <w:p w:rsidR="00E201F7" w:rsidRDefault="00E24EFF">
      <w:pPr>
        <w:pStyle w:val="Lijstje2"/>
        <w:spacing w:before="120" w:after="120"/>
        <w:ind w:left="1200"/>
        <w:contextualSpacing w:val="0"/>
        <w:rPr>
          <w:rFonts w:ascii="Arial" w:hAnsi="Arial"/>
          <w:noProof/>
          <w:lang w:val="en-GB"/>
        </w:rPr>
      </w:pPr>
      <w:r>
        <w:rPr>
          <w:rFonts w:ascii="Arial" w:hAnsi="Arial" w:cs="Arial"/>
          <w:i/>
          <w:noProof/>
          <w:lang w:val="en-GB"/>
        </w:rPr>
        <w:t>Finland</w:t>
      </w:r>
      <w:r>
        <w:rPr>
          <w:rFonts w:ascii="Arial" w:hAnsi="Arial"/>
          <w:noProof/>
          <w:lang w:val="en-GB"/>
        </w:rPr>
        <w:t>: The provisions of the Working Time Directive</w:t>
      </w:r>
      <w:r>
        <w:rPr>
          <w:rStyle w:val="FootnoteReference"/>
          <w:rFonts w:ascii="Arial" w:hAnsi="Arial"/>
          <w:noProof/>
          <w:lang w:val="en-GB"/>
        </w:rPr>
        <w:footnoteReference w:id="39"/>
      </w:r>
      <w:r>
        <w:rPr>
          <w:rFonts w:ascii="Arial" w:hAnsi="Arial"/>
          <w:noProof/>
          <w:lang w:val="en-GB"/>
        </w:rPr>
        <w:t xml:space="preserve"> on working time and rest periods are applicable to ‘relief parents’</w:t>
      </w:r>
      <w:r>
        <w:rPr>
          <w:rStyle w:val="FootnoteReference"/>
          <w:rFonts w:ascii="Arial" w:hAnsi="Arial" w:cs="Arial"/>
          <w:noProof/>
          <w:lang w:val="en-GB"/>
        </w:rPr>
        <w:footnoteReference w:id="40"/>
      </w:r>
      <w:r>
        <w:rPr>
          <w:rFonts w:ascii="Arial" w:hAnsi="Arial"/>
          <w:noProof/>
          <w:lang w:val="en-GB"/>
        </w:rPr>
        <w:t xml:space="preserve"> unless</w:t>
      </w:r>
      <w:r>
        <w:rPr>
          <w:rFonts w:ascii="Arial" w:hAnsi="Arial"/>
          <w:noProof/>
          <w:lang w:val="en-GB"/>
        </w:rPr>
        <w:t xml:space="preserve"> their working time as a whole is not measured or predetermined or may be determined by the worker himself</w:t>
      </w:r>
      <w:r>
        <w:rPr>
          <w:rStyle w:val="FootnoteReference"/>
          <w:rFonts w:ascii="Arial" w:hAnsi="Arial" w:cs="Arial"/>
          <w:noProof/>
          <w:lang w:val="en-GB"/>
        </w:rPr>
        <w:footnoteReference w:id="41"/>
      </w:r>
      <w:r>
        <w:rPr>
          <w:rFonts w:ascii="Arial" w:hAnsi="Arial"/>
          <w:noProof/>
          <w:lang w:val="en-GB"/>
        </w:rPr>
        <w:t>.</w:t>
      </w:r>
    </w:p>
    <w:p w:rsidR="00E201F7" w:rsidRDefault="00E24EFF">
      <w:pPr>
        <w:pStyle w:val="Lijstje2"/>
        <w:spacing w:before="120" w:after="120"/>
        <w:ind w:left="1200"/>
        <w:contextualSpacing w:val="0"/>
        <w:rPr>
          <w:rFonts w:ascii="Arial" w:hAnsi="Arial" w:cs="Arial"/>
          <w:noProof/>
          <w:lang w:val="en-GB"/>
        </w:rPr>
      </w:pPr>
      <w:r>
        <w:rPr>
          <w:rFonts w:ascii="Arial" w:hAnsi="Arial"/>
          <w:i/>
          <w:noProof/>
          <w:lang w:val="en-GB"/>
        </w:rPr>
        <w:t>United Kingdom</w:t>
      </w:r>
      <w:r>
        <w:rPr>
          <w:rFonts w:ascii="Arial" w:hAnsi="Arial" w:cs="Arial"/>
          <w:noProof/>
          <w:lang w:val="en-GB"/>
        </w:rPr>
        <w:t>: Under the Working Time Directive</w:t>
      </w:r>
      <w:r>
        <w:rPr>
          <w:rStyle w:val="FootnoteReference"/>
          <w:rFonts w:ascii="Arial" w:hAnsi="Arial" w:cs="Arial"/>
          <w:noProof/>
          <w:lang w:val="en-GB"/>
        </w:rPr>
        <w:footnoteReference w:id="42"/>
      </w:r>
      <w:r>
        <w:rPr>
          <w:rFonts w:ascii="Arial" w:hAnsi="Arial" w:cs="Arial"/>
          <w:noProof/>
          <w:lang w:val="en-GB"/>
        </w:rPr>
        <w:t xml:space="preserve">, a worker must be able to carry over and accumulate unexercised rights to paid annual leave when </w:t>
      </w:r>
      <w:r>
        <w:rPr>
          <w:rFonts w:ascii="Arial" w:hAnsi="Arial" w:cs="Arial"/>
          <w:noProof/>
          <w:lang w:val="en-GB"/>
        </w:rPr>
        <w:t>an employer does not put that worker in a position in which he is able to exercise his right to paid annual leave. The Directive precludes the requirement that the worker must take leave before establishing whether he has the right to be paid in respect of</w:t>
      </w:r>
      <w:r>
        <w:rPr>
          <w:rFonts w:ascii="Arial" w:hAnsi="Arial" w:cs="Arial"/>
          <w:noProof/>
          <w:lang w:val="en-GB"/>
        </w:rPr>
        <w:t xml:space="preserve"> that leave</w:t>
      </w:r>
      <w:r>
        <w:rPr>
          <w:rStyle w:val="FootnoteReference"/>
          <w:rFonts w:ascii="Arial" w:hAnsi="Arial" w:cs="Arial"/>
          <w:noProof/>
          <w:lang w:val="en-GB"/>
        </w:rPr>
        <w:footnoteReference w:id="43"/>
      </w:r>
      <w:r>
        <w:rPr>
          <w:rFonts w:ascii="Arial" w:hAnsi="Arial" w:cs="Arial"/>
          <w:noProof/>
          <w:lang w:val="en-GB"/>
        </w:rPr>
        <w:t>.</w:t>
      </w:r>
    </w:p>
    <w:p w:rsidR="00E201F7" w:rsidRDefault="00E24EFF">
      <w:pPr>
        <w:pStyle w:val="kop2"/>
        <w:rPr>
          <w:noProof/>
        </w:rPr>
      </w:pPr>
      <w:r>
        <w:rPr>
          <w:noProof/>
        </w:rPr>
        <w:t>Outlook</w:t>
      </w:r>
    </w:p>
    <w:p w:rsidR="00E201F7" w:rsidRDefault="00E24EFF">
      <w:pPr>
        <w:spacing w:after="60"/>
        <w:ind w:left="360"/>
        <w:jc w:val="left"/>
        <w:outlineLvl w:val="1"/>
        <w:rPr>
          <w:rFonts w:ascii="Arial" w:hAnsi="Arial" w:cs="Arial"/>
          <w:noProof/>
          <w:color w:val="31849B"/>
          <w:sz w:val="22"/>
        </w:rPr>
      </w:pPr>
      <w:r>
        <w:rPr>
          <w:rFonts w:ascii="Arial" w:hAnsi="Arial" w:cs="Arial"/>
          <w:noProof/>
          <w:color w:val="002060"/>
          <w:sz w:val="22"/>
        </w:rPr>
        <w:t>Important implementation work in 2018 includes:</w:t>
      </w:r>
    </w:p>
    <w:p w:rsidR="00E201F7" w:rsidRDefault="00E24EFF">
      <w:pPr>
        <w:numPr>
          <w:ilvl w:val="0"/>
          <w:numId w:val="25"/>
        </w:numPr>
        <w:ind w:left="1276" w:hanging="425"/>
        <w:contextualSpacing/>
        <w:rPr>
          <w:rFonts w:ascii="Arial" w:hAnsi="Arial" w:cs="Arial"/>
          <w:noProof/>
          <w:sz w:val="20"/>
          <w:szCs w:val="20"/>
        </w:rPr>
      </w:pPr>
      <w:r>
        <w:rPr>
          <w:rFonts w:ascii="Arial" w:hAnsi="Arial" w:cs="Arial"/>
          <w:noProof/>
          <w:sz w:val="20"/>
        </w:rPr>
        <w:t>monitoring the correct transposition of Directives on enforcement of free movement of workers</w:t>
      </w:r>
      <w:r>
        <w:rPr>
          <w:rStyle w:val="FootnoteReference"/>
          <w:rFonts w:ascii="Arial" w:hAnsi="Arial" w:cs="Arial"/>
          <w:noProof/>
          <w:sz w:val="20"/>
        </w:rPr>
        <w:footnoteReference w:id="44"/>
      </w:r>
      <w:r>
        <w:rPr>
          <w:rFonts w:ascii="Arial" w:hAnsi="Arial" w:cs="Arial"/>
          <w:noProof/>
          <w:sz w:val="20"/>
        </w:rPr>
        <w:t>, on enforcement of posting of workers</w:t>
      </w:r>
      <w:r>
        <w:rPr>
          <w:rStyle w:val="FootnoteReference"/>
          <w:rFonts w:ascii="Arial" w:hAnsi="Arial" w:cs="Arial"/>
          <w:noProof/>
          <w:sz w:val="20"/>
        </w:rPr>
        <w:footnoteReference w:id="45"/>
      </w:r>
      <w:r>
        <w:rPr>
          <w:rFonts w:ascii="Arial" w:hAnsi="Arial" w:cs="Arial"/>
          <w:noProof/>
          <w:sz w:val="20"/>
        </w:rPr>
        <w:t xml:space="preserve"> on the alignment of Directives on classification, labelling and packaging of substances and mixtures</w:t>
      </w:r>
      <w:r>
        <w:rPr>
          <w:rStyle w:val="FootnoteReference"/>
          <w:rFonts w:ascii="Arial" w:hAnsi="Arial" w:cs="Arial"/>
          <w:noProof/>
          <w:sz w:val="20"/>
        </w:rPr>
        <w:footnoteReference w:id="46"/>
      </w:r>
      <w:r>
        <w:rPr>
          <w:rFonts w:ascii="Arial" w:hAnsi="Arial" w:cs="Arial"/>
          <w:noProof/>
          <w:sz w:val="20"/>
        </w:rPr>
        <w:t xml:space="preserve"> </w:t>
      </w:r>
      <w:r>
        <w:rPr>
          <w:rFonts w:ascii="Arial" w:hAnsi="Arial" w:cs="Arial"/>
          <w:noProof/>
          <w:sz w:val="20"/>
          <w:szCs w:val="20"/>
        </w:rPr>
        <w:t xml:space="preserve">and on the </w:t>
      </w:r>
      <w:r>
        <w:rPr>
          <w:rFonts w:ascii="Arial" w:hAnsi="Arial" w:cs="Arial"/>
          <w:noProof/>
          <w:sz w:val="20"/>
          <w:szCs w:val="20"/>
          <w:lang w:val="en"/>
        </w:rPr>
        <w:t>minimum health and safety requirements regarding the exposure of workers to the risks arising from electromagnetic fields.</w:t>
      </w:r>
      <w:r>
        <w:rPr>
          <w:rStyle w:val="FootnoteReference"/>
          <w:rFonts w:ascii="Arial" w:hAnsi="Arial" w:cs="Arial"/>
          <w:noProof/>
          <w:sz w:val="20"/>
          <w:szCs w:val="20"/>
          <w:lang w:val="en"/>
        </w:rPr>
        <w:footnoteReference w:id="47"/>
      </w:r>
      <w:r>
        <w:rPr>
          <w:rFonts w:ascii="Arial" w:hAnsi="Arial" w:cs="Arial"/>
          <w:noProof/>
          <w:sz w:val="20"/>
          <w:szCs w:val="20"/>
        </w:rPr>
        <w:t xml:space="preserve"> </w:t>
      </w:r>
    </w:p>
    <w:p w:rsidR="00E201F7" w:rsidRDefault="00E24EFF">
      <w:pPr>
        <w:numPr>
          <w:ilvl w:val="0"/>
          <w:numId w:val="25"/>
        </w:numPr>
        <w:ind w:left="1276" w:hanging="425"/>
        <w:contextualSpacing/>
        <w:rPr>
          <w:rFonts w:ascii="Arial" w:hAnsi="Arial" w:cs="Arial"/>
          <w:noProof/>
          <w:sz w:val="20"/>
        </w:rPr>
      </w:pPr>
      <w:r>
        <w:rPr>
          <w:rFonts w:ascii="Arial" w:hAnsi="Arial" w:cs="Arial"/>
          <w:noProof/>
          <w:sz w:val="20"/>
        </w:rPr>
        <w:t>monitoring the co</w:t>
      </w:r>
      <w:r>
        <w:rPr>
          <w:rFonts w:ascii="Arial" w:hAnsi="Arial" w:cs="Arial"/>
          <w:noProof/>
          <w:sz w:val="20"/>
        </w:rPr>
        <w:t>mplete and timely transposition of Directive on minimum requirements concerning supplementary pension rights</w:t>
      </w:r>
      <w:r>
        <w:rPr>
          <w:noProof/>
          <w:vertAlign w:val="superscript"/>
        </w:rPr>
        <w:footnoteReference w:id="48"/>
      </w:r>
      <w:r>
        <w:rPr>
          <w:rFonts w:ascii="Arial" w:hAnsi="Arial" w:cs="Arial"/>
          <w:noProof/>
          <w:sz w:val="20"/>
          <w:vertAlign w:val="superscript"/>
        </w:rPr>
        <w:t xml:space="preserve"> </w:t>
      </w:r>
      <w:r>
        <w:rPr>
          <w:rFonts w:ascii="Arial" w:hAnsi="Arial" w:cs="Arial"/>
          <w:noProof/>
          <w:sz w:val="20"/>
        </w:rPr>
        <w:t>and of Directive establishing a fourth list of indicative occupational exposure limit values</w:t>
      </w:r>
      <w:r>
        <w:rPr>
          <w:noProof/>
          <w:vertAlign w:val="superscript"/>
        </w:rPr>
        <w:footnoteReference w:id="49"/>
      </w:r>
      <w:r>
        <w:rPr>
          <w:rFonts w:ascii="Arial" w:hAnsi="Arial" w:cs="Arial"/>
          <w:noProof/>
          <w:sz w:val="20"/>
        </w:rPr>
        <w:t>.</w:t>
      </w:r>
    </w:p>
    <w:p w:rsidR="00E201F7" w:rsidRDefault="00E201F7">
      <w:pPr>
        <w:spacing w:after="0"/>
        <w:jc w:val="left"/>
        <w:rPr>
          <w:rFonts w:ascii="Verdana" w:hAnsi="Verdana"/>
          <w:noProof/>
          <w:sz w:val="20"/>
        </w:rPr>
      </w:pPr>
    </w:p>
    <w:p w:rsidR="00E201F7" w:rsidRDefault="00E201F7">
      <w:pPr>
        <w:rPr>
          <w:i/>
          <w:noProof/>
        </w:rPr>
        <w:sectPr w:rsidR="00E201F7">
          <w:headerReference w:type="even" r:id="rId53"/>
          <w:headerReference w:type="default" r:id="rId54"/>
          <w:footerReference w:type="even" r:id="rId55"/>
          <w:footerReference w:type="default" r:id="rId56"/>
          <w:headerReference w:type="first" r:id="rId57"/>
          <w:footerReference w:type="first" r:id="rId58"/>
          <w:footnotePr>
            <w:numRestart w:val="eachSect"/>
          </w:footnotePr>
          <w:pgSz w:w="11907" w:h="16839" w:code="9"/>
          <w:pgMar w:top="1843" w:right="1275" w:bottom="737" w:left="1418" w:header="567" w:footer="352" w:gutter="0"/>
          <w:cols w:space="720"/>
          <w:titlePg/>
          <w:docGrid w:linePitch="326"/>
        </w:sectPr>
      </w:pPr>
    </w:p>
    <w:p w:rsidR="00E201F7" w:rsidRDefault="00E24EFF">
      <w:pPr>
        <w:pStyle w:val="Heading1"/>
        <w:spacing w:after="0"/>
        <w:ind w:left="0"/>
        <w:rPr>
          <w:rFonts w:ascii="Arial" w:hAnsi="Arial" w:cs="Arial"/>
          <w:noProof/>
        </w:rPr>
      </w:pPr>
      <w:bookmarkStart w:id="44" w:name="_Toc475524733"/>
      <w:bookmarkStart w:id="45" w:name="_Toc475529500"/>
      <w:bookmarkStart w:id="46" w:name="_Toc475529539"/>
      <w:bookmarkStart w:id="47" w:name="_Toc475529867"/>
      <w:bookmarkStart w:id="48" w:name="_Toc475550832"/>
      <w:bookmarkStart w:id="49" w:name="_Toc475551372"/>
      <w:bookmarkStart w:id="50" w:name="_Toc507510315"/>
      <w:bookmarkStart w:id="51" w:name="_Toc507517729"/>
      <w:bookmarkStart w:id="52" w:name="_Toc507520110"/>
      <w:bookmarkStart w:id="53" w:name="_Toc510016527"/>
      <w:r>
        <w:rPr>
          <w:rFonts w:ascii="Arial" w:hAnsi="Arial" w:cs="Arial"/>
          <w:noProof/>
        </w:rPr>
        <w:t>Energy</w:t>
      </w:r>
      <w:bookmarkEnd w:id="44"/>
      <w:bookmarkEnd w:id="45"/>
      <w:bookmarkEnd w:id="46"/>
      <w:bookmarkEnd w:id="47"/>
      <w:bookmarkEnd w:id="48"/>
      <w:bookmarkEnd w:id="49"/>
      <w:bookmarkEnd w:id="50"/>
      <w:bookmarkEnd w:id="51"/>
      <w:bookmarkEnd w:id="52"/>
      <w:bookmarkEnd w:id="53"/>
    </w:p>
    <w:p w:rsidR="00E201F7" w:rsidRDefault="00E24EFF">
      <w:pPr>
        <w:pStyle w:val="kop2"/>
        <w:numPr>
          <w:ilvl w:val="0"/>
          <w:numId w:val="83"/>
        </w:numPr>
        <w:rPr>
          <w:noProof/>
        </w:rPr>
      </w:pPr>
      <w:r>
        <w:rPr>
          <w:noProof/>
        </w:rPr>
        <w:t>COMPLAINTS</w:t>
      </w:r>
    </w:p>
    <w:p w:rsidR="00E201F7" w:rsidRDefault="00E24EFF">
      <w:pPr>
        <w:numPr>
          <w:ilvl w:val="0"/>
          <w:numId w:val="104"/>
        </w:numPr>
        <w:spacing w:before="240"/>
        <w:ind w:left="714" w:hanging="357"/>
        <w:jc w:val="left"/>
        <w:outlineLvl w:val="1"/>
        <w:rPr>
          <w:rFonts w:ascii="Arial" w:hAnsi="Arial" w:cs="Arial"/>
          <w:noProof/>
          <w:color w:val="002060"/>
          <w:sz w:val="22"/>
        </w:rPr>
      </w:pPr>
      <w:r>
        <w:rPr>
          <w:rFonts w:ascii="Arial" w:hAnsi="Arial" w:cs="Arial"/>
          <w:noProof/>
          <w:color w:val="002060"/>
          <w:sz w:val="22"/>
        </w:rPr>
        <w:t xml:space="preserve">New </w:t>
      </w:r>
      <w:r>
        <w:rPr>
          <w:rFonts w:ascii="Arial" w:hAnsi="Arial" w:cs="Arial"/>
          <w:noProof/>
          <w:color w:val="002060"/>
          <w:sz w:val="22"/>
        </w:rPr>
        <w:t>complaints received from members of the public (2013-2017)</w:t>
      </w:r>
    </w:p>
    <w:p w:rsidR="00E201F7" w:rsidRDefault="00E24EFF">
      <w:pPr>
        <w:ind w:left="720"/>
        <w:rPr>
          <w:rFonts w:ascii="Verdana" w:hAnsi="Verdana"/>
          <w:noProof/>
          <w:sz w:val="20"/>
        </w:rPr>
      </w:pPr>
      <w:r>
        <w:rPr>
          <w:rFonts w:ascii="Verdana" w:hAnsi="Verdana"/>
          <w:noProof/>
          <w:sz w:val="20"/>
        </w:rPr>
        <w:drawing>
          <wp:inline distT="0" distB="0" distL="0" distR="0" wp14:anchorId="2377DC06" wp14:editId="48409CE2">
            <wp:extent cx="4612640" cy="2021840"/>
            <wp:effectExtent l="0" t="0" r="16510" b="16510"/>
            <wp:docPr id="328"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E201F7" w:rsidRDefault="00E24EFF">
      <w:pPr>
        <w:numPr>
          <w:ilvl w:val="0"/>
          <w:numId w:val="104"/>
        </w:numPr>
        <w:spacing w:before="240"/>
        <w:ind w:left="714" w:hanging="357"/>
        <w:jc w:val="left"/>
        <w:outlineLvl w:val="1"/>
        <w:rPr>
          <w:rFonts w:ascii="Arial" w:hAnsi="Arial" w:cs="Arial"/>
          <w:noProof/>
          <w:color w:val="002060"/>
          <w:sz w:val="22"/>
        </w:rPr>
      </w:pPr>
      <w:r>
        <w:rPr>
          <w:rFonts w:ascii="Arial" w:hAnsi="Arial" w:cs="Arial"/>
          <w:noProof/>
          <w:color w:val="002060"/>
          <w:sz w:val="22"/>
        </w:rPr>
        <w:t>Public complaints open at year-end</w:t>
      </w:r>
    </w:p>
    <w:tbl>
      <w:tblPr>
        <w:tblW w:w="0" w:type="auto"/>
        <w:jc w:val="center"/>
        <w:tblLook w:val="04A0" w:firstRow="1" w:lastRow="0" w:firstColumn="1" w:lastColumn="0" w:noHBand="0" w:noVBand="1"/>
      </w:tblPr>
      <w:tblGrid>
        <w:gridCol w:w="1697"/>
        <w:gridCol w:w="460"/>
        <w:gridCol w:w="5310"/>
      </w:tblGrid>
      <w:tr w:rsidR="00E201F7">
        <w:trPr>
          <w:trHeight w:val="403"/>
          <w:jc w:val="center"/>
        </w:trPr>
        <w:tc>
          <w:tcPr>
            <w:tcW w:w="1697" w:type="dxa"/>
            <w:shd w:val="clear" w:color="auto" w:fill="auto"/>
            <w:vAlign w:val="center"/>
          </w:tcPr>
          <w:p w:rsidR="00E201F7" w:rsidRDefault="00E24EFF">
            <w:pPr>
              <w:spacing w:after="0"/>
              <w:jc w:val="right"/>
              <w:rPr>
                <w:rFonts w:ascii="Arial" w:hAnsi="Arial" w:cs="Arial"/>
                <w:noProof/>
                <w:color w:val="548DD4"/>
                <w:sz w:val="22"/>
              </w:rPr>
            </w:pPr>
            <w:r>
              <w:rPr>
                <w:rFonts w:ascii="Arial" w:hAnsi="Arial" w:cs="Arial"/>
                <w:noProof/>
                <w:color w:val="548DD4"/>
                <w:sz w:val="22"/>
              </w:rPr>
              <w:t>100</w:t>
            </w:r>
          </w:p>
        </w:tc>
        <w:tc>
          <w:tcPr>
            <w:tcW w:w="460" w:type="dxa"/>
            <w:shd w:val="clear" w:color="auto" w:fill="auto"/>
            <w:vAlign w:val="center"/>
          </w:tcPr>
          <w:p w:rsidR="00E201F7" w:rsidRDefault="00E24EFF">
            <w:pPr>
              <w:spacing w:after="0"/>
              <w:jc w:val="right"/>
              <w:rPr>
                <w:rFonts w:ascii="Arial" w:hAnsi="Arial" w:cs="Arial"/>
                <w:noProof/>
                <w:color w:val="548DD4"/>
                <w:sz w:val="22"/>
              </w:rPr>
            </w:pPr>
            <w:r>
              <w:rPr>
                <w:rFonts w:ascii="Arial" w:hAnsi="Arial" w:cs="Arial"/>
                <w:noProof/>
                <w:color w:val="548DD4"/>
                <w:sz w:val="22"/>
              </w:rPr>
              <w:t>&gt;</w:t>
            </w:r>
          </w:p>
        </w:tc>
        <w:tc>
          <w:tcPr>
            <w:tcW w:w="5310" w:type="dxa"/>
            <w:shd w:val="clear" w:color="auto" w:fill="auto"/>
            <w:vAlign w:val="center"/>
          </w:tcPr>
          <w:p w:rsidR="00E201F7" w:rsidRDefault="00E24EFF">
            <w:pPr>
              <w:spacing w:after="0"/>
              <w:jc w:val="left"/>
              <w:rPr>
                <w:rFonts w:ascii="Arial" w:hAnsi="Arial" w:cs="Arial"/>
                <w:noProof/>
                <w:color w:val="548DD4"/>
                <w:sz w:val="22"/>
              </w:rPr>
            </w:pPr>
            <w:r>
              <w:rPr>
                <w:rFonts w:ascii="Arial" w:hAnsi="Arial" w:cs="Arial"/>
                <w:noProof/>
                <w:color w:val="548DD4"/>
                <w:sz w:val="22"/>
              </w:rPr>
              <w:t>Complaints open at end-2016</w:t>
            </w:r>
          </w:p>
        </w:tc>
      </w:tr>
      <w:tr w:rsidR="00E201F7">
        <w:trPr>
          <w:trHeight w:val="403"/>
          <w:jc w:val="center"/>
        </w:trPr>
        <w:tc>
          <w:tcPr>
            <w:tcW w:w="1697" w:type="dxa"/>
            <w:shd w:val="clear" w:color="auto" w:fill="auto"/>
            <w:vAlign w:val="center"/>
          </w:tcPr>
          <w:p w:rsidR="00E201F7" w:rsidRDefault="00E24EFF">
            <w:pPr>
              <w:spacing w:after="0"/>
              <w:jc w:val="right"/>
              <w:rPr>
                <w:rFonts w:ascii="Arial" w:hAnsi="Arial" w:cs="Arial"/>
                <w:noProof/>
                <w:color w:val="548DD4"/>
                <w:sz w:val="22"/>
              </w:rPr>
            </w:pPr>
            <w:r>
              <w:rPr>
                <w:rFonts w:ascii="Arial" w:hAnsi="Arial" w:cs="Arial"/>
                <w:noProof/>
                <w:color w:val="548DD4"/>
                <w:sz w:val="22"/>
              </w:rPr>
              <w:t>58</w:t>
            </w:r>
          </w:p>
        </w:tc>
        <w:tc>
          <w:tcPr>
            <w:tcW w:w="460" w:type="dxa"/>
            <w:shd w:val="clear" w:color="auto" w:fill="auto"/>
            <w:vAlign w:val="center"/>
          </w:tcPr>
          <w:p w:rsidR="00E201F7" w:rsidRDefault="00E24EFF">
            <w:pPr>
              <w:spacing w:after="0"/>
              <w:jc w:val="right"/>
              <w:rPr>
                <w:rFonts w:ascii="Arial" w:hAnsi="Arial" w:cs="Arial"/>
                <w:noProof/>
                <w:color w:val="548DD4"/>
                <w:sz w:val="22"/>
              </w:rPr>
            </w:pPr>
            <w:r>
              <w:rPr>
                <w:rFonts w:ascii="Arial" w:hAnsi="Arial" w:cs="Arial"/>
                <w:noProof/>
                <w:color w:val="548DD4"/>
                <w:sz w:val="22"/>
              </w:rPr>
              <w:t>&gt;</w:t>
            </w:r>
          </w:p>
        </w:tc>
        <w:tc>
          <w:tcPr>
            <w:tcW w:w="5310" w:type="dxa"/>
            <w:shd w:val="clear" w:color="auto" w:fill="auto"/>
            <w:vAlign w:val="center"/>
          </w:tcPr>
          <w:p w:rsidR="00E201F7" w:rsidRDefault="00E24EFF">
            <w:pPr>
              <w:spacing w:after="0"/>
              <w:jc w:val="left"/>
              <w:rPr>
                <w:rFonts w:ascii="Arial" w:hAnsi="Arial" w:cs="Arial"/>
                <w:noProof/>
                <w:color w:val="548DD4"/>
                <w:sz w:val="22"/>
              </w:rPr>
            </w:pPr>
            <w:r>
              <w:rPr>
                <w:rFonts w:ascii="Arial" w:hAnsi="Arial" w:cs="Arial"/>
                <w:noProof/>
                <w:color w:val="548DD4"/>
                <w:sz w:val="22"/>
              </w:rPr>
              <w:t>New complaints registered in 2017</w:t>
            </w:r>
          </w:p>
        </w:tc>
      </w:tr>
      <w:tr w:rsidR="00E201F7">
        <w:trPr>
          <w:trHeight w:val="403"/>
          <w:jc w:val="center"/>
        </w:trPr>
        <w:tc>
          <w:tcPr>
            <w:tcW w:w="1697" w:type="dxa"/>
            <w:tcBorders>
              <w:bottom w:val="single" w:sz="24" w:space="0" w:color="548DD4"/>
            </w:tcBorders>
            <w:shd w:val="clear" w:color="auto" w:fill="auto"/>
            <w:vAlign w:val="center"/>
          </w:tcPr>
          <w:p w:rsidR="00E201F7" w:rsidRDefault="00E24EFF">
            <w:pPr>
              <w:spacing w:after="0"/>
              <w:jc w:val="right"/>
              <w:rPr>
                <w:rFonts w:ascii="Arial" w:hAnsi="Arial" w:cs="Arial"/>
                <w:noProof/>
                <w:color w:val="548DD4"/>
                <w:sz w:val="22"/>
              </w:rPr>
            </w:pPr>
            <w:r>
              <w:rPr>
                <w:rFonts w:ascii="Arial" w:hAnsi="Arial" w:cs="Arial"/>
                <w:noProof/>
                <w:color w:val="548DD4"/>
                <w:sz w:val="22"/>
              </w:rPr>
              <w:t>48</w:t>
            </w:r>
          </w:p>
        </w:tc>
        <w:tc>
          <w:tcPr>
            <w:tcW w:w="460" w:type="dxa"/>
            <w:shd w:val="clear" w:color="auto" w:fill="auto"/>
            <w:vAlign w:val="center"/>
          </w:tcPr>
          <w:p w:rsidR="00E201F7" w:rsidRDefault="00E24EFF">
            <w:pPr>
              <w:spacing w:after="0"/>
              <w:jc w:val="right"/>
              <w:rPr>
                <w:rFonts w:ascii="Arial" w:hAnsi="Arial" w:cs="Arial"/>
                <w:noProof/>
                <w:color w:val="548DD4"/>
                <w:sz w:val="22"/>
              </w:rPr>
            </w:pPr>
            <w:r>
              <w:rPr>
                <w:rFonts w:ascii="Arial" w:hAnsi="Arial" w:cs="Arial"/>
                <w:noProof/>
                <w:color w:val="548DD4"/>
                <w:sz w:val="22"/>
              </w:rPr>
              <w:t>&gt;</w:t>
            </w:r>
          </w:p>
        </w:tc>
        <w:tc>
          <w:tcPr>
            <w:tcW w:w="5310" w:type="dxa"/>
            <w:shd w:val="clear" w:color="auto" w:fill="auto"/>
            <w:vAlign w:val="center"/>
          </w:tcPr>
          <w:p w:rsidR="00E201F7" w:rsidRDefault="00E24EFF">
            <w:pPr>
              <w:spacing w:after="0"/>
              <w:jc w:val="left"/>
              <w:rPr>
                <w:rFonts w:ascii="Arial" w:hAnsi="Arial" w:cs="Arial"/>
                <w:noProof/>
                <w:color w:val="548DD4"/>
                <w:sz w:val="22"/>
              </w:rPr>
            </w:pPr>
            <w:r>
              <w:rPr>
                <w:rFonts w:ascii="Arial" w:hAnsi="Arial" w:cs="Arial"/>
                <w:noProof/>
                <w:color w:val="548DD4"/>
                <w:sz w:val="22"/>
              </w:rPr>
              <w:t>Complaints handled in 2017</w:t>
            </w:r>
          </w:p>
        </w:tc>
      </w:tr>
      <w:tr w:rsidR="00E201F7">
        <w:trPr>
          <w:trHeight w:val="403"/>
          <w:jc w:val="center"/>
        </w:trPr>
        <w:tc>
          <w:tcPr>
            <w:tcW w:w="1697" w:type="dxa"/>
            <w:tcBorders>
              <w:top w:val="single" w:sz="24" w:space="0" w:color="548DD4"/>
            </w:tcBorders>
            <w:shd w:val="clear" w:color="auto" w:fill="auto"/>
            <w:vAlign w:val="center"/>
          </w:tcPr>
          <w:p w:rsidR="00E201F7" w:rsidRDefault="00E24EFF">
            <w:pPr>
              <w:spacing w:after="0"/>
              <w:jc w:val="right"/>
              <w:rPr>
                <w:rFonts w:ascii="Arial" w:hAnsi="Arial" w:cs="Arial"/>
                <w:noProof/>
                <w:color w:val="C00000"/>
                <w:sz w:val="22"/>
              </w:rPr>
            </w:pPr>
            <w:r>
              <w:rPr>
                <w:rFonts w:ascii="Arial" w:hAnsi="Arial" w:cs="Arial"/>
                <w:noProof/>
                <w:color w:val="C00000"/>
                <w:sz w:val="22"/>
              </w:rPr>
              <w:t>= 110</w:t>
            </w:r>
          </w:p>
        </w:tc>
        <w:tc>
          <w:tcPr>
            <w:tcW w:w="460" w:type="dxa"/>
            <w:shd w:val="clear" w:color="auto" w:fill="auto"/>
            <w:vAlign w:val="center"/>
          </w:tcPr>
          <w:p w:rsidR="00E201F7" w:rsidRDefault="00E24EFF">
            <w:pPr>
              <w:spacing w:after="0"/>
              <w:jc w:val="right"/>
              <w:rPr>
                <w:rFonts w:ascii="Arial" w:hAnsi="Arial" w:cs="Arial"/>
                <w:noProof/>
                <w:color w:val="548DD4"/>
                <w:sz w:val="22"/>
              </w:rPr>
            </w:pPr>
            <w:r>
              <w:rPr>
                <w:rFonts w:ascii="Arial" w:hAnsi="Arial" w:cs="Arial"/>
                <w:noProof/>
                <w:color w:val="548DD4"/>
                <w:sz w:val="22"/>
              </w:rPr>
              <w:t>&gt;</w:t>
            </w:r>
          </w:p>
        </w:tc>
        <w:tc>
          <w:tcPr>
            <w:tcW w:w="5310" w:type="dxa"/>
            <w:shd w:val="clear" w:color="auto" w:fill="auto"/>
            <w:vAlign w:val="center"/>
          </w:tcPr>
          <w:p w:rsidR="00E201F7" w:rsidRDefault="00E24EFF">
            <w:pPr>
              <w:spacing w:after="0"/>
              <w:jc w:val="left"/>
              <w:rPr>
                <w:rFonts w:ascii="Arial" w:hAnsi="Arial" w:cs="Arial"/>
                <w:noProof/>
                <w:color w:val="548DD4"/>
                <w:sz w:val="22"/>
              </w:rPr>
            </w:pPr>
            <w:r>
              <w:rPr>
                <w:rFonts w:ascii="Arial" w:hAnsi="Arial" w:cs="Arial"/>
                <w:noProof/>
                <w:color w:val="548DD4"/>
                <w:sz w:val="22"/>
              </w:rPr>
              <w:t>Complaints open at end-2017</w:t>
            </w:r>
          </w:p>
        </w:tc>
      </w:tr>
    </w:tbl>
    <w:p w:rsidR="00E201F7" w:rsidRDefault="00E24EFF">
      <w:pPr>
        <w:numPr>
          <w:ilvl w:val="0"/>
          <w:numId w:val="104"/>
        </w:numPr>
        <w:spacing w:before="240"/>
        <w:ind w:left="714" w:hanging="357"/>
        <w:jc w:val="left"/>
        <w:outlineLvl w:val="1"/>
        <w:rPr>
          <w:rFonts w:ascii="Arial" w:hAnsi="Arial" w:cs="Arial"/>
          <w:noProof/>
          <w:color w:val="002060"/>
          <w:sz w:val="22"/>
        </w:rPr>
      </w:pPr>
      <w:r>
        <w:rPr>
          <w:rFonts w:ascii="Arial" w:hAnsi="Arial" w:cs="Arial"/>
          <w:noProof/>
          <w:color w:val="002060"/>
          <w:sz w:val="22"/>
        </w:rPr>
        <w:t xml:space="preserve">New complaints </w:t>
      </w:r>
      <w:r>
        <w:rPr>
          <w:rFonts w:ascii="Arial" w:hAnsi="Arial" w:cs="Arial"/>
          <w:noProof/>
          <w:color w:val="002060"/>
          <w:sz w:val="22"/>
        </w:rPr>
        <w:t>registered in 2017: main policy sectors</w:t>
      </w:r>
    </w:p>
    <w:p w:rsidR="00E201F7" w:rsidRDefault="00E24EFF">
      <w:pPr>
        <w:ind w:left="720"/>
        <w:rPr>
          <w:rFonts w:ascii="Verdana" w:hAnsi="Verdana"/>
          <w:noProof/>
          <w:sz w:val="20"/>
        </w:rPr>
      </w:pPr>
      <w:r>
        <w:rPr>
          <w:rFonts w:ascii="Verdana" w:hAnsi="Verdana"/>
          <w:noProof/>
          <w:sz w:val="20"/>
        </w:rPr>
        <w:drawing>
          <wp:inline distT="0" distB="0" distL="0" distR="0" wp14:anchorId="71CF679C" wp14:editId="3CC6BFE3">
            <wp:extent cx="4795520" cy="2479040"/>
            <wp:effectExtent l="0" t="0" r="0" b="0"/>
            <wp:docPr id="327" name="Objec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E201F7" w:rsidRDefault="00E24EFF">
      <w:pPr>
        <w:spacing w:after="0"/>
        <w:jc w:val="left"/>
        <w:rPr>
          <w:caps/>
          <w:noProof/>
          <w:color w:val="4F81BD"/>
          <w:szCs w:val="24"/>
        </w:rPr>
      </w:pPr>
      <w:r>
        <w:rPr>
          <w:caps/>
          <w:noProof/>
          <w:color w:val="4F81BD"/>
          <w:szCs w:val="24"/>
        </w:rPr>
        <w:br w:type="page"/>
      </w:r>
    </w:p>
    <w:p w:rsidR="00E201F7" w:rsidRDefault="00E24EFF">
      <w:pPr>
        <w:pStyle w:val="kop2"/>
        <w:rPr>
          <w:noProof/>
        </w:rPr>
      </w:pPr>
      <w:r>
        <w:rPr>
          <w:noProof/>
        </w:rPr>
        <w:t>EU PILOT</w:t>
      </w:r>
    </w:p>
    <w:p w:rsidR="00E201F7" w:rsidRDefault="00E24EFF">
      <w:pPr>
        <w:numPr>
          <w:ilvl w:val="0"/>
          <w:numId w:val="105"/>
        </w:numPr>
        <w:spacing w:before="240"/>
        <w:ind w:left="714" w:hanging="357"/>
        <w:jc w:val="left"/>
        <w:outlineLvl w:val="1"/>
        <w:rPr>
          <w:rFonts w:ascii="Arial" w:hAnsi="Arial" w:cs="Arial"/>
          <w:noProof/>
          <w:color w:val="002060"/>
          <w:sz w:val="22"/>
        </w:rPr>
      </w:pPr>
      <w:r>
        <w:rPr>
          <w:rFonts w:ascii="Arial" w:hAnsi="Arial" w:cs="Arial"/>
          <w:noProof/>
          <w:color w:val="002060"/>
          <w:sz w:val="22"/>
        </w:rPr>
        <w:t>New EU Pilot files (2013-2017)</w:t>
      </w:r>
    </w:p>
    <w:p w:rsidR="00E201F7" w:rsidRDefault="00E24EFF">
      <w:pPr>
        <w:ind w:left="720"/>
        <w:rPr>
          <w:rFonts w:ascii="Verdana" w:hAnsi="Verdana"/>
          <w:noProof/>
          <w:sz w:val="20"/>
        </w:rPr>
      </w:pPr>
      <w:r>
        <w:rPr>
          <w:rFonts w:ascii="Verdana" w:hAnsi="Verdana"/>
          <w:noProof/>
          <w:sz w:val="20"/>
        </w:rPr>
        <w:drawing>
          <wp:inline distT="0" distB="0" distL="0" distR="0" wp14:anchorId="2FBC36D1" wp14:editId="628FB11D">
            <wp:extent cx="4612640" cy="2296160"/>
            <wp:effectExtent l="0" t="0" r="16510" b="27940"/>
            <wp:docPr id="326"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E201F7" w:rsidRDefault="00E24EFF">
      <w:pPr>
        <w:numPr>
          <w:ilvl w:val="0"/>
          <w:numId w:val="105"/>
        </w:numPr>
        <w:spacing w:before="240"/>
        <w:ind w:left="714" w:hanging="357"/>
        <w:jc w:val="left"/>
        <w:outlineLvl w:val="1"/>
        <w:rPr>
          <w:rFonts w:ascii="Arial" w:hAnsi="Arial" w:cs="Arial"/>
          <w:noProof/>
          <w:color w:val="002060"/>
          <w:sz w:val="22"/>
        </w:rPr>
      </w:pPr>
      <w:r>
        <w:rPr>
          <w:rFonts w:ascii="Arial" w:hAnsi="Arial" w:cs="Arial"/>
          <w:noProof/>
          <w:color w:val="002060"/>
          <w:sz w:val="22"/>
        </w:rPr>
        <w:t>EU Pilot files open at year-end</w:t>
      </w:r>
    </w:p>
    <w:p w:rsidR="00E201F7" w:rsidRDefault="00E24EFF">
      <w:pPr>
        <w:pStyle w:val="ListParagraph"/>
        <w:spacing w:before="120"/>
        <w:rPr>
          <w:rFonts w:ascii="Arial" w:hAnsi="Arial" w:cs="Arial"/>
          <w:noProof/>
          <w:sz w:val="20"/>
        </w:rPr>
      </w:pPr>
      <w:r>
        <w:rPr>
          <w:rFonts w:ascii="Arial" w:hAnsi="Arial" w:cs="Arial"/>
          <w:noProof/>
          <w:sz w:val="20"/>
        </w:rPr>
        <w:t>At the end of 2017, 67 EU Pilot files remained open.</w:t>
      </w:r>
    </w:p>
    <w:p w:rsidR="00E201F7" w:rsidRDefault="00E24EFF">
      <w:pPr>
        <w:numPr>
          <w:ilvl w:val="0"/>
          <w:numId w:val="105"/>
        </w:numPr>
        <w:spacing w:before="240"/>
        <w:ind w:left="714" w:hanging="357"/>
        <w:jc w:val="left"/>
        <w:outlineLvl w:val="1"/>
        <w:rPr>
          <w:noProof/>
          <w:color w:val="002060"/>
        </w:rPr>
      </w:pPr>
      <w:r>
        <w:rPr>
          <w:rFonts w:ascii="Arial" w:hAnsi="Arial" w:cs="Arial"/>
          <w:noProof/>
          <w:color w:val="002060"/>
          <w:sz w:val="22"/>
        </w:rPr>
        <w:t>New EU Pilot files opened in 2017: main policy sectors</w:t>
      </w:r>
    </w:p>
    <w:p w:rsidR="00E201F7" w:rsidRDefault="00E24EFF">
      <w:pPr>
        <w:spacing w:before="120"/>
        <w:ind w:firstLine="720"/>
        <w:rPr>
          <w:noProof/>
          <w:sz w:val="20"/>
        </w:rPr>
      </w:pPr>
      <w:r>
        <w:rPr>
          <w:rFonts w:ascii="Arial" w:hAnsi="Arial" w:cs="Arial"/>
          <w:noProof/>
          <w:sz w:val="20"/>
        </w:rPr>
        <w:t xml:space="preserve">All 33 new EU Pilot files </w:t>
      </w:r>
      <w:r>
        <w:rPr>
          <w:rFonts w:ascii="Arial" w:hAnsi="Arial" w:cs="Arial"/>
          <w:noProof/>
          <w:sz w:val="20"/>
        </w:rPr>
        <w:t>opened in 2017 concerned energy efficiency.</w:t>
      </w:r>
    </w:p>
    <w:p w:rsidR="00E201F7" w:rsidRDefault="00E24EFF">
      <w:pPr>
        <w:numPr>
          <w:ilvl w:val="0"/>
          <w:numId w:val="105"/>
        </w:numPr>
        <w:spacing w:before="240"/>
        <w:ind w:left="714" w:hanging="357"/>
        <w:jc w:val="left"/>
        <w:outlineLvl w:val="1"/>
        <w:rPr>
          <w:rFonts w:ascii="Arial" w:hAnsi="Arial" w:cs="Arial"/>
          <w:noProof/>
          <w:color w:val="002060"/>
          <w:sz w:val="22"/>
        </w:rPr>
      </w:pPr>
      <w:r>
        <w:rPr>
          <w:rFonts w:ascii="Arial" w:hAnsi="Arial" w:cs="Arial"/>
          <w:noProof/>
          <w:color w:val="002060"/>
          <w:sz w:val="22"/>
        </w:rPr>
        <w:t>EU Pilot files: resolution rate for policies (2013-2017)</w:t>
      </w:r>
    </w:p>
    <w:p w:rsidR="00E201F7" w:rsidRDefault="00E24EFF">
      <w:pPr>
        <w:ind w:left="720"/>
        <w:rPr>
          <w:rFonts w:ascii="Verdana" w:hAnsi="Verdana"/>
          <w:noProof/>
          <w:sz w:val="20"/>
        </w:rPr>
      </w:pPr>
      <w:r>
        <w:rPr>
          <w:rFonts w:ascii="Verdana" w:hAnsi="Verdana"/>
          <w:noProof/>
          <w:color w:val="00B050"/>
          <w:sz w:val="20"/>
        </w:rPr>
        <w:drawing>
          <wp:inline distT="0" distB="0" distL="0" distR="0" wp14:anchorId="3D8A806C" wp14:editId="056D95BD">
            <wp:extent cx="4592320" cy="2235200"/>
            <wp:effectExtent l="0" t="0" r="17780" b="12700"/>
            <wp:docPr id="96"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E201F7" w:rsidRDefault="00E24EFF">
      <w:pPr>
        <w:pStyle w:val="kop2"/>
        <w:rPr>
          <w:noProof/>
        </w:rPr>
      </w:pPr>
      <w:r>
        <w:rPr>
          <w:noProof/>
        </w:rPr>
        <w:t>OWN-INITIATIVE CASES</w:t>
      </w:r>
    </w:p>
    <w:p w:rsidR="00E201F7" w:rsidRDefault="00E24EFF">
      <w:pPr>
        <w:spacing w:after="60"/>
        <w:ind w:left="360"/>
        <w:jc w:val="left"/>
        <w:outlineLvl w:val="1"/>
        <w:rPr>
          <w:rFonts w:ascii="Arial" w:hAnsi="Arial"/>
          <w:noProof/>
          <w:color w:val="002060"/>
          <w:sz w:val="22"/>
        </w:rPr>
      </w:pPr>
      <w:r>
        <w:rPr>
          <w:rFonts w:ascii="Arial" w:hAnsi="Arial"/>
          <w:noProof/>
          <w:color w:val="002060"/>
          <w:sz w:val="22"/>
        </w:rPr>
        <w:t>New own-initiative infringement cases</w:t>
      </w:r>
    </w:p>
    <w:p w:rsidR="00E201F7" w:rsidRDefault="00E24EFF">
      <w:pPr>
        <w:autoSpaceDE w:val="0"/>
        <w:autoSpaceDN w:val="0"/>
        <w:adjustRightInd w:val="0"/>
        <w:ind w:left="720"/>
        <w:rPr>
          <w:rFonts w:ascii="Arial" w:hAnsi="Arial" w:cs="Arial"/>
          <w:noProof/>
          <w:sz w:val="20"/>
        </w:rPr>
      </w:pPr>
      <w:r>
        <w:rPr>
          <w:rFonts w:ascii="Arial" w:hAnsi="Arial" w:cs="Arial"/>
          <w:noProof/>
          <w:sz w:val="20"/>
        </w:rPr>
        <w:t>In 2017, the Commission opened own-initiative infringement cases over:</w:t>
      </w:r>
    </w:p>
    <w:p w:rsidR="00E201F7" w:rsidRDefault="00E24EFF">
      <w:pPr>
        <w:pStyle w:val="ListParagraph"/>
        <w:numPr>
          <w:ilvl w:val="0"/>
          <w:numId w:val="25"/>
        </w:numPr>
        <w:autoSpaceDE w:val="0"/>
        <w:autoSpaceDN w:val="0"/>
        <w:adjustRightInd w:val="0"/>
        <w:ind w:left="1200"/>
        <w:rPr>
          <w:rFonts w:ascii="Arial" w:hAnsi="Arial" w:cs="Arial"/>
          <w:noProof/>
          <w:sz w:val="20"/>
        </w:rPr>
      </w:pPr>
      <w:r>
        <w:rPr>
          <w:rFonts w:ascii="Arial" w:hAnsi="Arial" w:cs="Arial"/>
          <w:noProof/>
          <w:sz w:val="20"/>
        </w:rPr>
        <w:t xml:space="preserve">the internal energy </w:t>
      </w:r>
      <w:r>
        <w:rPr>
          <w:rFonts w:ascii="Arial" w:hAnsi="Arial" w:cs="Arial"/>
          <w:noProof/>
          <w:sz w:val="20"/>
        </w:rPr>
        <w:t>market and consumer protection;</w:t>
      </w:r>
    </w:p>
    <w:p w:rsidR="00E201F7" w:rsidRDefault="00E24EFF">
      <w:pPr>
        <w:pStyle w:val="ListParagraph"/>
        <w:numPr>
          <w:ilvl w:val="0"/>
          <w:numId w:val="25"/>
        </w:numPr>
        <w:autoSpaceDE w:val="0"/>
        <w:autoSpaceDN w:val="0"/>
        <w:adjustRightInd w:val="0"/>
        <w:ind w:left="1200"/>
        <w:rPr>
          <w:rFonts w:ascii="Arial" w:hAnsi="Arial" w:cs="Arial"/>
          <w:noProof/>
          <w:sz w:val="20"/>
        </w:rPr>
      </w:pPr>
      <w:r>
        <w:rPr>
          <w:rFonts w:ascii="Arial" w:hAnsi="Arial" w:cs="Arial"/>
          <w:noProof/>
          <w:sz w:val="20"/>
        </w:rPr>
        <w:t>energy efficiency;</w:t>
      </w:r>
    </w:p>
    <w:p w:rsidR="00E201F7" w:rsidRDefault="00E24EFF">
      <w:pPr>
        <w:pStyle w:val="ListParagraph"/>
        <w:numPr>
          <w:ilvl w:val="0"/>
          <w:numId w:val="25"/>
        </w:numPr>
        <w:autoSpaceDE w:val="0"/>
        <w:autoSpaceDN w:val="0"/>
        <w:adjustRightInd w:val="0"/>
        <w:ind w:left="1200"/>
        <w:rPr>
          <w:rFonts w:ascii="Arial" w:hAnsi="Arial" w:cs="Arial"/>
          <w:noProof/>
          <w:sz w:val="20"/>
        </w:rPr>
      </w:pPr>
      <w:r>
        <w:rPr>
          <w:rFonts w:ascii="Arial" w:hAnsi="Arial" w:cs="Arial"/>
          <w:noProof/>
          <w:sz w:val="20"/>
        </w:rPr>
        <w:t>nuclear safety.</w:t>
      </w:r>
    </w:p>
    <w:p w:rsidR="00E201F7" w:rsidRDefault="00E24EFF">
      <w:pPr>
        <w:spacing w:after="0"/>
        <w:jc w:val="left"/>
        <w:rPr>
          <w:rFonts w:cs="Arial"/>
          <w:noProof/>
          <w:sz w:val="20"/>
        </w:rPr>
      </w:pPr>
      <w:r>
        <w:rPr>
          <w:rFonts w:cs="Arial"/>
          <w:noProof/>
        </w:rPr>
        <w:br w:type="page"/>
      </w:r>
    </w:p>
    <w:p w:rsidR="00E201F7" w:rsidRDefault="00E24EFF">
      <w:pPr>
        <w:pStyle w:val="kop2"/>
        <w:rPr>
          <w:noProof/>
        </w:rPr>
      </w:pPr>
      <w:r>
        <w:rPr>
          <w:noProof/>
        </w:rPr>
        <w:t>INFRINGEMENT CASES</w:t>
      </w:r>
    </w:p>
    <w:p w:rsidR="00E201F7" w:rsidRDefault="00E24EFF">
      <w:pPr>
        <w:numPr>
          <w:ilvl w:val="0"/>
          <w:numId w:val="33"/>
        </w:numPr>
        <w:spacing w:before="240"/>
        <w:ind w:left="714" w:hanging="357"/>
        <w:jc w:val="left"/>
        <w:outlineLvl w:val="1"/>
        <w:rPr>
          <w:rFonts w:ascii="Arial" w:hAnsi="Arial" w:cs="Arial"/>
          <w:noProof/>
          <w:color w:val="002060"/>
          <w:sz w:val="22"/>
        </w:rPr>
      </w:pPr>
      <w:r>
        <w:rPr>
          <w:rFonts w:ascii="Arial" w:hAnsi="Arial" w:cs="Arial"/>
          <w:noProof/>
          <w:color w:val="002060"/>
          <w:sz w:val="22"/>
        </w:rPr>
        <w:t>Infringement cases open on 31 December (2013-2017)</w:t>
      </w:r>
    </w:p>
    <w:p w:rsidR="00E201F7" w:rsidRDefault="00E24EFF">
      <w:pPr>
        <w:ind w:left="720"/>
        <w:rPr>
          <w:rFonts w:ascii="Verdana" w:hAnsi="Verdana"/>
          <w:noProof/>
          <w:sz w:val="20"/>
          <w:u w:val="single"/>
        </w:rPr>
      </w:pPr>
      <w:r>
        <w:rPr>
          <w:rFonts w:ascii="Verdana" w:hAnsi="Verdana"/>
          <w:noProof/>
          <w:sz w:val="20"/>
        </w:rPr>
        <w:drawing>
          <wp:inline distT="0" distB="0" distL="0" distR="0" wp14:anchorId="581639B8" wp14:editId="67B11B50">
            <wp:extent cx="4592320" cy="2174240"/>
            <wp:effectExtent l="0" t="0" r="0" b="0"/>
            <wp:docPr id="324" name="Grafie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E201F7" w:rsidRDefault="00E24EFF">
      <w:pPr>
        <w:numPr>
          <w:ilvl w:val="0"/>
          <w:numId w:val="33"/>
        </w:numPr>
        <w:spacing w:before="240"/>
        <w:ind w:left="714" w:hanging="357"/>
        <w:jc w:val="left"/>
        <w:outlineLvl w:val="1"/>
        <w:rPr>
          <w:rFonts w:ascii="Arial" w:hAnsi="Arial" w:cs="Arial"/>
          <w:noProof/>
          <w:color w:val="002060"/>
          <w:sz w:val="22"/>
        </w:rPr>
      </w:pPr>
      <w:r>
        <w:rPr>
          <w:rFonts w:ascii="Arial" w:hAnsi="Arial" w:cs="Arial"/>
          <w:noProof/>
          <w:color w:val="002060"/>
          <w:sz w:val="22"/>
        </w:rPr>
        <w:t>Infringement cases open on 31 December 2017: main policy sectors</w:t>
      </w:r>
    </w:p>
    <w:p w:rsidR="00E201F7" w:rsidRDefault="00E24EFF">
      <w:pPr>
        <w:ind w:left="720"/>
        <w:rPr>
          <w:rFonts w:ascii="Verdana" w:hAnsi="Verdana"/>
          <w:noProof/>
          <w:sz w:val="20"/>
        </w:rPr>
      </w:pPr>
      <w:r>
        <w:rPr>
          <w:rFonts w:ascii="Verdana" w:hAnsi="Verdana"/>
          <w:noProof/>
          <w:sz w:val="20"/>
        </w:rPr>
        <w:drawing>
          <wp:inline distT="0" distB="0" distL="0" distR="0" wp14:anchorId="1071B33E" wp14:editId="74F60991">
            <wp:extent cx="4592320" cy="2428240"/>
            <wp:effectExtent l="0" t="0" r="17780" b="10160"/>
            <wp:docPr id="323"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E201F7" w:rsidRDefault="00E24EFF">
      <w:pPr>
        <w:numPr>
          <w:ilvl w:val="0"/>
          <w:numId w:val="33"/>
        </w:numPr>
        <w:spacing w:before="240"/>
        <w:ind w:left="714" w:hanging="357"/>
        <w:jc w:val="left"/>
        <w:outlineLvl w:val="1"/>
        <w:rPr>
          <w:rFonts w:ascii="Arial" w:hAnsi="Arial" w:cs="Arial"/>
          <w:noProof/>
          <w:color w:val="002060"/>
          <w:sz w:val="22"/>
        </w:rPr>
      </w:pPr>
      <w:r>
        <w:rPr>
          <w:rFonts w:ascii="Arial" w:hAnsi="Arial" w:cs="Arial"/>
          <w:noProof/>
          <w:color w:val="002060"/>
          <w:sz w:val="22"/>
        </w:rPr>
        <w:t xml:space="preserve">New infringement cases opened in 2017: main </w:t>
      </w:r>
      <w:r>
        <w:rPr>
          <w:rFonts w:ascii="Arial" w:hAnsi="Arial" w:cs="Arial"/>
          <w:noProof/>
          <w:color w:val="002060"/>
          <w:sz w:val="22"/>
        </w:rPr>
        <w:t>policy sectors</w:t>
      </w:r>
    </w:p>
    <w:p w:rsidR="00E201F7" w:rsidRDefault="00E24EFF">
      <w:pPr>
        <w:ind w:firstLine="714"/>
        <w:rPr>
          <w:noProof/>
        </w:rPr>
      </w:pPr>
      <w:r>
        <w:rPr>
          <w:noProof/>
        </w:rPr>
        <w:drawing>
          <wp:inline distT="0" distB="0" distL="0" distR="0" wp14:anchorId="1DD9FAC9" wp14:editId="4E76B547">
            <wp:extent cx="4564380" cy="2479040"/>
            <wp:effectExtent l="0" t="0" r="7620" b="16510"/>
            <wp:docPr id="322" name="Objec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E201F7" w:rsidRDefault="00E24EFF">
      <w:pPr>
        <w:numPr>
          <w:ilvl w:val="0"/>
          <w:numId w:val="33"/>
        </w:numPr>
        <w:spacing w:before="240"/>
        <w:ind w:left="714" w:hanging="357"/>
        <w:jc w:val="left"/>
        <w:outlineLvl w:val="1"/>
        <w:rPr>
          <w:rFonts w:ascii="Arial" w:hAnsi="Arial" w:cs="Arial"/>
          <w:noProof/>
          <w:color w:val="002060"/>
          <w:sz w:val="22"/>
        </w:rPr>
      </w:pPr>
      <w:r>
        <w:rPr>
          <w:rFonts w:ascii="Arial" w:hAnsi="Arial" w:cs="Arial"/>
          <w:noProof/>
          <w:color w:val="002060"/>
          <w:sz w:val="22"/>
        </w:rPr>
        <w:t>Key infringement cases and referrals to the Court</w:t>
      </w:r>
    </w:p>
    <w:p w:rsidR="00E201F7" w:rsidRDefault="00E24EFF">
      <w:pPr>
        <w:pStyle w:val="Lijstje"/>
        <w:numPr>
          <w:ilvl w:val="0"/>
          <w:numId w:val="44"/>
        </w:numPr>
        <w:spacing w:after="120"/>
        <w:ind w:left="1276" w:hanging="425"/>
        <w:rPr>
          <w:rFonts w:ascii="Arial" w:hAnsi="Arial" w:cs="Arial"/>
          <w:noProof/>
          <w:lang w:val="en-GB"/>
        </w:rPr>
      </w:pPr>
      <w:r>
        <w:rPr>
          <w:rFonts w:ascii="Arial" w:hAnsi="Arial" w:cs="Arial"/>
          <w:noProof/>
          <w:lang w:val="en-GB"/>
        </w:rPr>
        <w:t xml:space="preserve">The Commission opened </w:t>
      </w:r>
      <w:r>
        <w:rPr>
          <w:rFonts w:ascii="Arial" w:hAnsi="Arial"/>
          <w:noProof/>
          <w:lang w:val="en-GB"/>
        </w:rPr>
        <w:t>25 new</w:t>
      </w:r>
      <w:r>
        <w:rPr>
          <w:rFonts w:ascii="Arial" w:hAnsi="Arial" w:cs="Arial"/>
          <w:noProof/>
          <w:lang w:val="en-GB"/>
        </w:rPr>
        <w:t xml:space="preserve"> infringement cases in 2017. These, and other major ongoing infringement cases, include the following:</w:t>
      </w:r>
    </w:p>
    <w:p w:rsidR="00E201F7" w:rsidRDefault="00E24EFF">
      <w:pPr>
        <w:pStyle w:val="Lijstje2"/>
        <w:ind w:left="1843" w:hanging="425"/>
        <w:rPr>
          <w:rFonts w:ascii="Arial" w:hAnsi="Arial" w:cs="Arial"/>
          <w:noProof/>
          <w:lang w:val="en-GB"/>
        </w:rPr>
      </w:pPr>
      <w:r>
        <w:rPr>
          <w:rFonts w:ascii="Arial" w:hAnsi="Arial" w:cs="Arial"/>
          <w:i/>
          <w:noProof/>
          <w:lang w:val="en-GB"/>
        </w:rPr>
        <w:t xml:space="preserve">Belgium: </w:t>
      </w:r>
      <w:r>
        <w:rPr>
          <w:rFonts w:ascii="Arial" w:hAnsi="Arial" w:cs="Arial"/>
          <w:noProof/>
          <w:lang w:val="en-GB"/>
        </w:rPr>
        <w:t xml:space="preserve">non-communication of national measures transposing the Directive on radioactive substances in water intended for human consumption </w:t>
      </w:r>
      <w:r>
        <w:rPr>
          <w:rStyle w:val="FootnoteReference"/>
          <w:rFonts w:ascii="Arial" w:hAnsi="Arial" w:cs="Arial"/>
          <w:noProof/>
          <w:lang w:val="en-GB"/>
        </w:rPr>
        <w:footnoteReference w:id="50"/>
      </w:r>
      <w:r>
        <w:rPr>
          <w:rFonts w:ascii="Arial" w:hAnsi="Arial" w:cs="Arial"/>
          <w:noProof/>
          <w:lang w:val="en-GB"/>
        </w:rPr>
        <w:t>;</w:t>
      </w:r>
    </w:p>
    <w:p w:rsidR="00E201F7" w:rsidRDefault="00E24EFF">
      <w:pPr>
        <w:pStyle w:val="Lijstje2"/>
        <w:ind w:left="1843" w:hanging="425"/>
        <w:rPr>
          <w:rFonts w:ascii="Arial" w:hAnsi="Arial" w:cs="Arial"/>
          <w:noProof/>
          <w:lang w:val="en-GB"/>
        </w:rPr>
      </w:pPr>
      <w:r>
        <w:rPr>
          <w:rFonts w:ascii="Arial" w:hAnsi="Arial" w:cs="Arial"/>
          <w:i/>
          <w:noProof/>
          <w:lang w:val="en-GB"/>
        </w:rPr>
        <w:t>Belgium, Denmark, Luxembourg, Austria and Slovenia</w:t>
      </w:r>
      <w:r>
        <w:rPr>
          <w:rFonts w:ascii="Arial" w:hAnsi="Arial" w:cs="Arial"/>
          <w:noProof/>
          <w:lang w:val="en-GB"/>
        </w:rPr>
        <w:t>: non-communication of national measures transposing the amending Nuclea</w:t>
      </w:r>
      <w:r>
        <w:rPr>
          <w:rFonts w:ascii="Arial" w:hAnsi="Arial" w:cs="Arial"/>
          <w:noProof/>
          <w:lang w:val="en-GB"/>
        </w:rPr>
        <w:t>r Safety Directive;</w:t>
      </w:r>
      <w:r>
        <w:rPr>
          <w:rStyle w:val="FootnoteReference"/>
          <w:rFonts w:ascii="Arial" w:hAnsi="Arial" w:cs="Arial"/>
          <w:noProof/>
          <w:lang w:val="en-GB"/>
        </w:rPr>
        <w:footnoteReference w:id="51"/>
      </w:r>
    </w:p>
    <w:p w:rsidR="00E201F7" w:rsidRDefault="00E24EFF">
      <w:pPr>
        <w:pStyle w:val="Lijstje2"/>
        <w:ind w:left="1843" w:hanging="425"/>
        <w:rPr>
          <w:rFonts w:ascii="Arial" w:hAnsi="Arial" w:cs="Arial"/>
          <w:i/>
          <w:noProof/>
          <w:lang w:val="en-GB"/>
        </w:rPr>
      </w:pPr>
      <w:r>
        <w:rPr>
          <w:rFonts w:ascii="Arial" w:hAnsi="Arial" w:cs="Arial"/>
          <w:i/>
          <w:noProof/>
          <w:lang w:val="en-GB"/>
        </w:rPr>
        <w:t xml:space="preserve">Czech Republic, Croatia, Italy, Austria, Portugal: </w:t>
      </w:r>
      <w:r>
        <w:rPr>
          <w:rFonts w:ascii="Arial" w:hAnsi="Arial" w:cs="Arial"/>
          <w:noProof/>
          <w:lang w:val="en-GB"/>
        </w:rPr>
        <w:t>non-compliance with the Radioactive Waste Directive</w:t>
      </w:r>
      <w:r>
        <w:rPr>
          <w:rStyle w:val="FootnoteReference"/>
          <w:rFonts w:ascii="Arial" w:hAnsi="Arial" w:cs="Arial"/>
          <w:i/>
          <w:noProof/>
          <w:lang w:val="en-GB"/>
        </w:rPr>
        <w:footnoteReference w:id="52"/>
      </w:r>
      <w:r>
        <w:rPr>
          <w:rFonts w:ascii="Arial" w:hAnsi="Arial" w:cs="Arial"/>
          <w:noProof/>
          <w:lang w:val="en-GB"/>
        </w:rPr>
        <w:t>;</w:t>
      </w:r>
    </w:p>
    <w:p w:rsidR="00E201F7" w:rsidRDefault="00E24EFF">
      <w:pPr>
        <w:pStyle w:val="Lijstje2"/>
        <w:ind w:left="1843" w:hanging="425"/>
        <w:rPr>
          <w:rFonts w:ascii="Arial" w:hAnsi="Arial" w:cs="Arial"/>
          <w:i/>
          <w:noProof/>
          <w:lang w:val="en-GB"/>
        </w:rPr>
      </w:pPr>
      <w:r>
        <w:rPr>
          <w:rFonts w:ascii="Arial" w:hAnsi="Arial" w:cs="Arial"/>
          <w:i/>
          <w:noProof/>
          <w:lang w:val="en-GB"/>
        </w:rPr>
        <w:t>Czech Republic, Estonia, Croatia, Cyprus, Lithuania, Hungary, Netherlands, Sweden:</w:t>
      </w:r>
      <w:r>
        <w:rPr>
          <w:rFonts w:ascii="Arial" w:eastAsia="Times New Roman" w:hAnsi="Arial" w:cs="Arial"/>
          <w:noProof/>
          <w:kern w:val="0"/>
          <w:lang w:val="en-GB"/>
        </w:rPr>
        <w:t xml:space="preserve"> </w:t>
      </w:r>
      <w:r>
        <w:rPr>
          <w:rFonts w:ascii="Arial" w:hAnsi="Arial" w:cs="Arial"/>
          <w:noProof/>
          <w:lang w:val="en-GB"/>
        </w:rPr>
        <w:t>incorrect transposition and implementation of t</w:t>
      </w:r>
      <w:r>
        <w:rPr>
          <w:rFonts w:ascii="Arial" w:hAnsi="Arial" w:cs="Arial"/>
          <w:noProof/>
          <w:lang w:val="en-GB"/>
        </w:rPr>
        <w:t>he Third Energy Package Directives (Electricity and Gas Directives)</w:t>
      </w:r>
      <w:r>
        <w:rPr>
          <w:rStyle w:val="FootnoteReference"/>
          <w:noProof/>
          <w:lang w:val="en-GB"/>
        </w:rPr>
        <w:footnoteReference w:id="53"/>
      </w:r>
      <w:r>
        <w:rPr>
          <w:rFonts w:ascii="Arial" w:hAnsi="Arial" w:cs="Arial"/>
          <w:noProof/>
          <w:lang w:val="en-GB"/>
        </w:rPr>
        <w:t>;</w:t>
      </w:r>
    </w:p>
    <w:p w:rsidR="00E201F7" w:rsidRDefault="00E24EFF">
      <w:pPr>
        <w:pStyle w:val="Lijstje2"/>
        <w:ind w:left="1843" w:hanging="425"/>
        <w:rPr>
          <w:rFonts w:ascii="Arial" w:hAnsi="Arial" w:cs="Arial"/>
          <w:i/>
          <w:noProof/>
          <w:lang w:val="en-GB"/>
        </w:rPr>
      </w:pPr>
      <w:r>
        <w:rPr>
          <w:rFonts w:ascii="Arial" w:hAnsi="Arial" w:cs="Arial"/>
          <w:i/>
          <w:noProof/>
          <w:lang w:val="en-GB"/>
        </w:rPr>
        <w:t xml:space="preserve">Czech Republic, Greece, Latvia, Lithuania, </w:t>
      </w:r>
      <w:smartTag w:uri="urn:schemas-microsoft-com:office:smarttags" w:element="country-region">
        <w:smartTag w:uri="urn:schemas-microsoft-com:office:smarttags" w:element="place">
          <w:r>
            <w:rPr>
              <w:rFonts w:ascii="Arial" w:hAnsi="Arial" w:cs="Arial"/>
              <w:i/>
              <w:noProof/>
              <w:lang w:val="en-GB"/>
            </w:rPr>
            <w:t>Malta</w:t>
          </w:r>
        </w:smartTag>
      </w:smartTag>
      <w:r>
        <w:rPr>
          <w:rFonts w:ascii="Arial" w:hAnsi="Arial" w:cs="Arial"/>
          <w:i/>
          <w:noProof/>
          <w:lang w:val="en-GB"/>
        </w:rPr>
        <w:t xml:space="preserve">: </w:t>
      </w:r>
      <w:r>
        <w:rPr>
          <w:rFonts w:ascii="Arial" w:hAnsi="Arial" w:cs="Arial"/>
          <w:noProof/>
          <w:lang w:val="en-GB"/>
        </w:rPr>
        <w:t>incorrect transposition and application of the Energy Performance of Buildings Directive</w:t>
      </w:r>
      <w:r>
        <w:rPr>
          <w:rStyle w:val="FootnoteReference"/>
          <w:rFonts w:ascii="Arial" w:hAnsi="Arial" w:cs="Arial"/>
          <w:noProof/>
          <w:lang w:val="en-GB"/>
        </w:rPr>
        <w:footnoteReference w:id="54"/>
      </w:r>
      <w:r>
        <w:rPr>
          <w:rFonts w:ascii="Arial" w:hAnsi="Arial" w:cs="Arial"/>
          <w:noProof/>
          <w:lang w:val="en-GB"/>
        </w:rPr>
        <w:t>;</w:t>
      </w:r>
    </w:p>
    <w:p w:rsidR="00E201F7" w:rsidRDefault="00E24EFF">
      <w:pPr>
        <w:pStyle w:val="Lijstje2"/>
        <w:ind w:left="1843" w:hanging="425"/>
        <w:rPr>
          <w:rFonts w:ascii="Arial" w:hAnsi="Arial" w:cs="Arial"/>
          <w:i/>
          <w:noProof/>
          <w:lang w:val="en-GB"/>
        </w:rPr>
      </w:pPr>
      <w:r>
        <w:rPr>
          <w:rFonts w:ascii="Arial" w:hAnsi="Arial" w:cs="Arial"/>
          <w:i/>
          <w:noProof/>
          <w:lang w:val="en-GB"/>
        </w:rPr>
        <w:t>Spain:</w:t>
      </w:r>
      <w:r>
        <w:rPr>
          <w:rFonts w:ascii="Arial" w:eastAsia="Times New Roman" w:hAnsi="Arial" w:cs="Arial"/>
          <w:noProof/>
          <w:kern w:val="0"/>
          <w:sz w:val="22"/>
          <w:lang w:val="en-GB"/>
        </w:rPr>
        <w:t xml:space="preserve"> </w:t>
      </w:r>
      <w:r>
        <w:rPr>
          <w:rFonts w:ascii="Arial" w:hAnsi="Arial" w:cs="Arial"/>
          <w:noProof/>
          <w:lang w:val="en-GB"/>
        </w:rPr>
        <w:t>failure to comply with the Energy Effi</w:t>
      </w:r>
      <w:r>
        <w:rPr>
          <w:rFonts w:ascii="Arial" w:hAnsi="Arial" w:cs="Arial"/>
          <w:noProof/>
          <w:lang w:val="en-GB"/>
        </w:rPr>
        <w:t>ciency Directive</w:t>
      </w:r>
      <w:r>
        <w:rPr>
          <w:rStyle w:val="FootnoteReference"/>
          <w:rFonts w:ascii="Arial" w:hAnsi="Arial" w:cs="Arial"/>
          <w:i/>
          <w:noProof/>
          <w:lang w:val="en-GB"/>
        </w:rPr>
        <w:footnoteReference w:id="55"/>
      </w:r>
      <w:r>
        <w:rPr>
          <w:rFonts w:ascii="Arial" w:hAnsi="Arial" w:cs="Arial"/>
          <w:noProof/>
          <w:lang w:val="en-GB"/>
        </w:rPr>
        <w:t>;</w:t>
      </w:r>
    </w:p>
    <w:p w:rsidR="00E201F7" w:rsidRDefault="00E24EFF">
      <w:pPr>
        <w:pStyle w:val="Lijstje2"/>
        <w:ind w:left="1843" w:hanging="425"/>
        <w:rPr>
          <w:rFonts w:ascii="Arial" w:hAnsi="Arial" w:cs="Arial"/>
          <w:i/>
          <w:noProof/>
          <w:lang w:val="en-GB"/>
        </w:rPr>
      </w:pPr>
      <w:r>
        <w:rPr>
          <w:rFonts w:ascii="Arial" w:hAnsi="Arial" w:cs="Arial"/>
          <w:i/>
          <w:noProof/>
          <w:lang w:val="en-GB"/>
        </w:rPr>
        <w:t>Poland:</w:t>
      </w:r>
      <w:r>
        <w:rPr>
          <w:rFonts w:ascii="Arial" w:eastAsia="Times New Roman" w:hAnsi="Arial"/>
          <w:noProof/>
          <w:kern w:val="0"/>
          <w:sz w:val="22"/>
          <w:lang w:val="en-GB"/>
        </w:rPr>
        <w:t xml:space="preserve"> </w:t>
      </w:r>
      <w:r>
        <w:rPr>
          <w:rFonts w:ascii="Arial" w:hAnsi="Arial" w:cs="Arial"/>
          <w:noProof/>
          <w:lang w:val="en-GB"/>
        </w:rPr>
        <w:t>non-compliance with the Renewable Energy Directive</w:t>
      </w:r>
      <w:r>
        <w:rPr>
          <w:rStyle w:val="FootnoteReference"/>
          <w:rFonts w:ascii="Arial" w:hAnsi="Arial" w:cs="Arial"/>
          <w:i/>
          <w:noProof/>
          <w:lang w:val="en-GB"/>
        </w:rPr>
        <w:footnoteReference w:id="56"/>
      </w:r>
      <w:r>
        <w:rPr>
          <w:rFonts w:ascii="Arial" w:hAnsi="Arial" w:cs="Arial"/>
          <w:i/>
          <w:noProof/>
          <w:lang w:val="en-GB"/>
        </w:rPr>
        <w:t>.</w:t>
      </w:r>
    </w:p>
    <w:p w:rsidR="00E201F7" w:rsidRDefault="00E24EFF">
      <w:pPr>
        <w:pStyle w:val="Lijstje"/>
        <w:numPr>
          <w:ilvl w:val="0"/>
          <w:numId w:val="44"/>
        </w:numPr>
        <w:spacing w:after="120"/>
        <w:ind w:left="1276" w:hanging="425"/>
        <w:rPr>
          <w:rFonts w:ascii="Arial" w:hAnsi="Arial" w:cs="Arial"/>
          <w:noProof/>
          <w:lang w:val="en-GB"/>
        </w:rPr>
      </w:pPr>
      <w:r>
        <w:rPr>
          <w:rFonts w:ascii="Arial" w:hAnsi="Arial"/>
          <w:noProof/>
          <w:lang w:val="en-GB"/>
        </w:rPr>
        <w:t xml:space="preserve">The </w:t>
      </w:r>
      <w:r>
        <w:rPr>
          <w:rFonts w:ascii="Arial" w:hAnsi="Arial" w:cs="Arial"/>
          <w:noProof/>
          <w:lang w:val="en-GB"/>
        </w:rPr>
        <w:t>Commission did not refer any cases to the Court under Article 258 TFEU.</w:t>
      </w:r>
    </w:p>
    <w:p w:rsidR="00E201F7" w:rsidRDefault="00E24EFF">
      <w:pPr>
        <w:pStyle w:val="Lijstje"/>
        <w:numPr>
          <w:ilvl w:val="0"/>
          <w:numId w:val="44"/>
        </w:numPr>
        <w:spacing w:after="120"/>
        <w:ind w:left="1276" w:hanging="425"/>
        <w:rPr>
          <w:rFonts w:ascii="Arial" w:hAnsi="Arial"/>
          <w:noProof/>
          <w:lang w:val="en-GB"/>
        </w:rPr>
      </w:pPr>
      <w:r>
        <w:rPr>
          <w:rFonts w:ascii="Arial" w:hAnsi="Arial" w:cs="Arial"/>
          <w:noProof/>
          <w:lang w:val="en-GB"/>
        </w:rPr>
        <w:t>The Commission did</w:t>
      </w:r>
      <w:r>
        <w:rPr>
          <w:rFonts w:ascii="Arial" w:hAnsi="Arial"/>
          <w:noProof/>
          <w:lang w:val="en-GB"/>
        </w:rPr>
        <w:t xml:space="preserve"> not refer any cases to the Court under Article 260(2) TFEU.</w:t>
      </w:r>
    </w:p>
    <w:p w:rsidR="00E201F7" w:rsidRDefault="00E24EFF">
      <w:pPr>
        <w:pStyle w:val="kop2"/>
        <w:rPr>
          <w:noProof/>
        </w:rPr>
      </w:pPr>
      <w:r>
        <w:rPr>
          <w:noProof/>
        </w:rPr>
        <w:t xml:space="preserve">TRANSPOSITION OF </w:t>
      </w:r>
      <w:r>
        <w:rPr>
          <w:noProof/>
        </w:rPr>
        <w:t>DIRECTIVES</w:t>
      </w:r>
    </w:p>
    <w:p w:rsidR="00E201F7" w:rsidRDefault="00E24EFF">
      <w:pPr>
        <w:numPr>
          <w:ilvl w:val="0"/>
          <w:numId w:val="106"/>
        </w:numPr>
        <w:spacing w:before="240"/>
        <w:ind w:left="714" w:hanging="357"/>
        <w:jc w:val="left"/>
        <w:outlineLvl w:val="1"/>
        <w:rPr>
          <w:rFonts w:ascii="Arial" w:hAnsi="Arial" w:cs="Arial"/>
          <w:noProof/>
          <w:color w:val="002060"/>
          <w:sz w:val="22"/>
        </w:rPr>
      </w:pPr>
      <w:r>
        <w:rPr>
          <w:rFonts w:ascii="Arial" w:hAnsi="Arial" w:cs="Arial"/>
          <w:noProof/>
          <w:color w:val="002060"/>
          <w:sz w:val="22"/>
        </w:rPr>
        <w:t>New late transposition infringement cases (2013-2017)</w:t>
      </w:r>
    </w:p>
    <w:p w:rsidR="00E201F7" w:rsidRDefault="00E24EFF">
      <w:pPr>
        <w:ind w:left="720"/>
        <w:rPr>
          <w:rFonts w:ascii="Verdana" w:hAnsi="Verdana"/>
          <w:noProof/>
          <w:sz w:val="20"/>
        </w:rPr>
      </w:pPr>
      <w:r>
        <w:rPr>
          <w:rFonts w:ascii="Verdana" w:hAnsi="Verdana"/>
          <w:noProof/>
          <w:sz w:val="20"/>
        </w:rPr>
        <w:drawing>
          <wp:inline distT="0" distB="0" distL="0" distR="0" wp14:anchorId="3B1550D7" wp14:editId="3BCB1F19">
            <wp:extent cx="4592320" cy="2214880"/>
            <wp:effectExtent l="0" t="0" r="0" b="0"/>
            <wp:docPr id="321" name="Grafiek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E201F7" w:rsidRDefault="00E24EFF">
      <w:pPr>
        <w:spacing w:after="0"/>
        <w:jc w:val="left"/>
        <w:rPr>
          <w:rFonts w:ascii="Verdana" w:hAnsi="Verdana"/>
          <w:noProof/>
          <w:sz w:val="20"/>
        </w:rPr>
      </w:pPr>
      <w:r>
        <w:rPr>
          <w:rFonts w:ascii="Verdana" w:hAnsi="Verdana"/>
          <w:noProof/>
          <w:sz w:val="20"/>
        </w:rPr>
        <w:br w:type="page"/>
      </w:r>
    </w:p>
    <w:p w:rsidR="00E201F7" w:rsidRDefault="00E24EFF">
      <w:pPr>
        <w:numPr>
          <w:ilvl w:val="0"/>
          <w:numId w:val="106"/>
        </w:numPr>
        <w:spacing w:before="240"/>
        <w:ind w:left="714" w:hanging="357"/>
        <w:jc w:val="left"/>
        <w:outlineLvl w:val="1"/>
        <w:rPr>
          <w:rFonts w:ascii="Arial" w:hAnsi="Arial" w:cs="Arial"/>
          <w:noProof/>
          <w:color w:val="002060"/>
          <w:sz w:val="22"/>
        </w:rPr>
      </w:pPr>
      <w:r>
        <w:rPr>
          <w:rFonts w:ascii="Arial" w:hAnsi="Arial" w:cs="Arial"/>
          <w:noProof/>
          <w:color w:val="002060"/>
          <w:sz w:val="22"/>
        </w:rPr>
        <w:t>New late transposition infringement cases opened in 2017: main policy sectors</w:t>
      </w:r>
    </w:p>
    <w:p w:rsidR="00E201F7" w:rsidRDefault="00E24EFF">
      <w:pPr>
        <w:ind w:left="720"/>
        <w:rPr>
          <w:rFonts w:ascii="Verdana" w:hAnsi="Verdana"/>
          <w:noProof/>
          <w:sz w:val="20"/>
        </w:rPr>
      </w:pPr>
      <w:r>
        <w:rPr>
          <w:rFonts w:ascii="Verdana" w:hAnsi="Verdana"/>
          <w:noProof/>
          <w:sz w:val="20"/>
        </w:rPr>
        <w:drawing>
          <wp:inline distT="0" distB="0" distL="0" distR="0" wp14:anchorId="7A74D77F" wp14:editId="6F7C2609">
            <wp:extent cx="4958080" cy="2286000"/>
            <wp:effectExtent l="0" t="0" r="13970" b="19050"/>
            <wp:docPr id="320" name="Objec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E201F7" w:rsidRDefault="00E24EFF">
      <w:pPr>
        <w:numPr>
          <w:ilvl w:val="0"/>
          <w:numId w:val="106"/>
        </w:numPr>
        <w:spacing w:before="240"/>
        <w:ind w:left="714" w:hanging="357"/>
        <w:jc w:val="left"/>
        <w:outlineLvl w:val="1"/>
        <w:rPr>
          <w:rFonts w:ascii="Arial" w:hAnsi="Arial" w:cs="Arial"/>
          <w:noProof/>
          <w:color w:val="002060"/>
          <w:sz w:val="22"/>
        </w:rPr>
      </w:pPr>
      <w:r>
        <w:rPr>
          <w:rFonts w:ascii="Arial" w:hAnsi="Arial" w:cs="Arial"/>
          <w:noProof/>
          <w:color w:val="002060"/>
          <w:sz w:val="22"/>
        </w:rPr>
        <w:t>Key infringement cases and referrals to the Court</w:t>
      </w:r>
    </w:p>
    <w:p w:rsidR="00E201F7" w:rsidRDefault="00E24EFF">
      <w:pPr>
        <w:numPr>
          <w:ilvl w:val="0"/>
          <w:numId w:val="57"/>
        </w:numPr>
        <w:spacing w:before="120" w:after="120"/>
        <w:ind w:left="1276" w:hanging="425"/>
        <w:rPr>
          <w:rFonts w:ascii="Arial" w:eastAsia="Calibri" w:hAnsi="Arial" w:cs="Arial"/>
          <w:noProof/>
          <w:kern w:val="20"/>
          <w:sz w:val="20"/>
        </w:rPr>
      </w:pPr>
      <w:r>
        <w:rPr>
          <w:rFonts w:ascii="Arial" w:eastAsia="Calibri" w:hAnsi="Arial" w:cs="Arial"/>
          <w:noProof/>
          <w:kern w:val="20"/>
          <w:sz w:val="20"/>
        </w:rPr>
        <w:t xml:space="preserve">The Commission opened 15 cases for late transposition in </w:t>
      </w:r>
      <w:r>
        <w:rPr>
          <w:rFonts w:ascii="Arial" w:eastAsia="Calibri" w:hAnsi="Arial" w:cs="Arial"/>
          <w:noProof/>
          <w:kern w:val="20"/>
          <w:sz w:val="20"/>
        </w:rPr>
        <w:t>2017. They concern:</w:t>
      </w:r>
    </w:p>
    <w:p w:rsidR="00E201F7" w:rsidRDefault="00E24EFF">
      <w:pPr>
        <w:numPr>
          <w:ilvl w:val="0"/>
          <w:numId w:val="24"/>
        </w:numPr>
        <w:spacing w:after="200"/>
        <w:ind w:left="1843" w:hanging="425"/>
        <w:contextualSpacing/>
        <w:rPr>
          <w:rFonts w:ascii="Arial" w:eastAsia="Calibri" w:hAnsi="Arial" w:cs="Arial"/>
          <w:noProof/>
          <w:kern w:val="20"/>
          <w:sz w:val="20"/>
        </w:rPr>
      </w:pPr>
      <w:r>
        <w:rPr>
          <w:rFonts w:ascii="Arial" w:eastAsia="Calibri" w:hAnsi="Arial" w:cs="Arial"/>
          <w:noProof/>
          <w:kern w:val="20"/>
          <w:sz w:val="20"/>
        </w:rPr>
        <w:t>the Directive on radioactive substances in water intended for human consumption</w:t>
      </w:r>
      <w:r>
        <w:rPr>
          <w:rStyle w:val="FootnoteReference"/>
          <w:rFonts w:ascii="Arial" w:eastAsia="Calibri" w:hAnsi="Arial" w:cs="Arial"/>
          <w:noProof/>
          <w:kern w:val="20"/>
          <w:sz w:val="20"/>
        </w:rPr>
        <w:footnoteReference w:id="57"/>
      </w:r>
      <w:r>
        <w:rPr>
          <w:rFonts w:ascii="Arial" w:eastAsia="Calibri" w:hAnsi="Arial" w:cs="Arial"/>
          <w:noProof/>
          <w:kern w:val="20"/>
          <w:sz w:val="20"/>
        </w:rPr>
        <w:t>;</w:t>
      </w:r>
    </w:p>
    <w:p w:rsidR="00E201F7" w:rsidRDefault="00E24EFF">
      <w:pPr>
        <w:numPr>
          <w:ilvl w:val="0"/>
          <w:numId w:val="24"/>
        </w:numPr>
        <w:spacing w:after="120"/>
        <w:ind w:left="1843" w:hanging="425"/>
        <w:rPr>
          <w:rFonts w:ascii="Arial" w:eastAsia="Calibri" w:hAnsi="Arial" w:cs="Arial"/>
          <w:noProof/>
          <w:kern w:val="20"/>
          <w:sz w:val="20"/>
        </w:rPr>
      </w:pPr>
      <w:r>
        <w:rPr>
          <w:rFonts w:ascii="Arial" w:eastAsia="Calibri" w:hAnsi="Arial" w:cs="Arial"/>
          <w:noProof/>
          <w:kern w:val="20"/>
          <w:sz w:val="20"/>
        </w:rPr>
        <w:t>the Offshore Safety Directive</w:t>
      </w:r>
      <w:r>
        <w:rPr>
          <w:rStyle w:val="FootnoteReference"/>
          <w:rFonts w:ascii="Arial" w:eastAsia="Calibri" w:hAnsi="Arial" w:cs="Arial"/>
          <w:noProof/>
          <w:kern w:val="20"/>
          <w:sz w:val="20"/>
        </w:rPr>
        <w:footnoteReference w:id="58"/>
      </w:r>
      <w:r>
        <w:rPr>
          <w:rFonts w:ascii="Arial" w:eastAsia="Calibri" w:hAnsi="Arial" w:cs="Arial"/>
          <w:noProof/>
          <w:kern w:val="20"/>
          <w:sz w:val="20"/>
        </w:rPr>
        <w:t>.</w:t>
      </w:r>
    </w:p>
    <w:p w:rsidR="00E201F7" w:rsidRDefault="00E24EFF">
      <w:pPr>
        <w:numPr>
          <w:ilvl w:val="0"/>
          <w:numId w:val="57"/>
        </w:numPr>
        <w:spacing w:before="120" w:after="120"/>
        <w:ind w:left="1276" w:hanging="425"/>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rsidR="00E201F7" w:rsidRDefault="00E24EFF">
      <w:pPr>
        <w:pStyle w:val="kop2"/>
        <w:rPr>
          <w:noProof/>
        </w:rPr>
      </w:pPr>
      <w:r>
        <w:rPr>
          <w:noProof/>
        </w:rPr>
        <w:t>EARLY RESOLUTION OF INFRINGEMENT C</w:t>
      </w:r>
      <w:r>
        <w:rPr>
          <w:noProof/>
        </w:rPr>
        <w:t>ASES</w:t>
      </w:r>
    </w:p>
    <w:p w:rsidR="00E201F7" w:rsidRDefault="00E24EFF">
      <w:pPr>
        <w:spacing w:after="60"/>
        <w:ind w:left="360"/>
        <w:jc w:val="left"/>
        <w:outlineLvl w:val="1"/>
        <w:rPr>
          <w:rFonts w:ascii="Arial" w:hAnsi="Arial" w:cs="Arial"/>
          <w:noProof/>
          <w:color w:val="002060"/>
          <w:sz w:val="22"/>
        </w:rPr>
      </w:pPr>
      <w:r>
        <w:rPr>
          <w:rFonts w:ascii="Arial" w:hAnsi="Arial" w:cs="Arial"/>
          <w:noProof/>
          <w:color w:val="002060"/>
          <w:sz w:val="22"/>
        </w:rPr>
        <w:t>Major cases closed without a Court judgment in 2017</w:t>
      </w:r>
    </w:p>
    <w:p w:rsidR="00E201F7" w:rsidRDefault="00E24EFF">
      <w:pPr>
        <w:autoSpaceDE w:val="0"/>
        <w:autoSpaceDN w:val="0"/>
        <w:adjustRightInd w:val="0"/>
        <w:spacing w:before="120" w:after="120"/>
        <w:ind w:left="720"/>
        <w:rPr>
          <w:rFonts w:ascii="Arial" w:hAnsi="Arial" w:cs="Arial"/>
          <w:noProof/>
          <w:sz w:val="20"/>
          <w:szCs w:val="20"/>
        </w:rPr>
      </w:pPr>
      <w:r>
        <w:rPr>
          <w:rFonts w:ascii="Arial" w:hAnsi="Arial" w:cs="Arial"/>
          <w:noProof/>
          <w:sz w:val="20"/>
          <w:szCs w:val="20"/>
        </w:rPr>
        <w:t>These concerned:</w:t>
      </w:r>
    </w:p>
    <w:p w:rsidR="00E201F7" w:rsidRDefault="00E24EFF">
      <w:pPr>
        <w:pStyle w:val="ListParagraph"/>
        <w:numPr>
          <w:ilvl w:val="0"/>
          <w:numId w:val="78"/>
        </w:numPr>
        <w:autoSpaceDE w:val="0"/>
        <w:autoSpaceDN w:val="0"/>
        <w:adjustRightInd w:val="0"/>
        <w:spacing w:after="200"/>
        <w:ind w:left="1200"/>
        <w:rPr>
          <w:rFonts w:ascii="Arial" w:hAnsi="Arial" w:cs="Arial"/>
          <w:noProof/>
          <w:kern w:val="20"/>
          <w:sz w:val="20"/>
          <w:szCs w:val="20"/>
        </w:rPr>
      </w:pPr>
      <w:r>
        <w:rPr>
          <w:rFonts w:ascii="Arial" w:hAnsi="Arial" w:cs="Arial"/>
          <w:i/>
          <w:noProof/>
          <w:kern w:val="20"/>
          <w:sz w:val="20"/>
          <w:szCs w:val="20"/>
        </w:rPr>
        <w:t>Bulgaria</w:t>
      </w:r>
      <w:r>
        <w:rPr>
          <w:rFonts w:ascii="Arial" w:hAnsi="Arial" w:cs="Arial"/>
          <w:noProof/>
          <w:kern w:val="20"/>
          <w:sz w:val="20"/>
          <w:szCs w:val="20"/>
        </w:rPr>
        <w:t>:</w:t>
      </w:r>
      <w:r>
        <w:rPr>
          <w:rFonts w:ascii="Arial" w:hAnsi="Arial" w:cs="Arial"/>
          <w:noProof/>
          <w:sz w:val="20"/>
          <w:szCs w:val="20"/>
        </w:rPr>
        <w:t xml:space="preserve"> </w:t>
      </w:r>
      <w:r>
        <w:rPr>
          <w:rFonts w:ascii="Arial" w:hAnsi="Arial" w:cs="Arial"/>
          <w:noProof/>
          <w:kern w:val="20"/>
          <w:sz w:val="20"/>
          <w:szCs w:val="20"/>
        </w:rPr>
        <w:t>failure to correctly transpose and ensure the effective application of the Directive on the energy performance of buildings</w:t>
      </w:r>
      <w:r>
        <w:rPr>
          <w:rStyle w:val="FootnoteReference"/>
          <w:rFonts w:ascii="Arial" w:hAnsi="Arial" w:cs="Arial"/>
          <w:noProof/>
          <w:kern w:val="20"/>
          <w:sz w:val="20"/>
          <w:szCs w:val="20"/>
        </w:rPr>
        <w:footnoteReference w:id="59"/>
      </w:r>
      <w:r>
        <w:rPr>
          <w:rFonts w:ascii="Arial" w:hAnsi="Arial" w:cs="Arial"/>
          <w:noProof/>
          <w:kern w:val="20"/>
          <w:sz w:val="20"/>
          <w:szCs w:val="20"/>
        </w:rPr>
        <w:t>;</w:t>
      </w:r>
    </w:p>
    <w:p w:rsidR="00E201F7" w:rsidRDefault="00E24EFF">
      <w:pPr>
        <w:pStyle w:val="ListParagraph"/>
        <w:numPr>
          <w:ilvl w:val="0"/>
          <w:numId w:val="78"/>
        </w:numPr>
        <w:autoSpaceDE w:val="0"/>
        <w:autoSpaceDN w:val="0"/>
        <w:adjustRightInd w:val="0"/>
        <w:spacing w:after="200"/>
        <w:ind w:left="1200"/>
        <w:rPr>
          <w:rFonts w:ascii="Arial" w:hAnsi="Arial" w:cs="Arial"/>
          <w:b/>
          <w:noProof/>
          <w:kern w:val="20"/>
          <w:sz w:val="20"/>
          <w:szCs w:val="20"/>
        </w:rPr>
      </w:pPr>
      <w:r>
        <w:rPr>
          <w:rFonts w:ascii="Arial" w:hAnsi="Arial" w:cs="Arial"/>
          <w:i/>
          <w:noProof/>
          <w:kern w:val="20"/>
          <w:sz w:val="20"/>
          <w:szCs w:val="20"/>
        </w:rPr>
        <w:t xml:space="preserve">France and </w:t>
      </w:r>
      <w:smartTag w:uri="urn:schemas-microsoft-com:office:smarttags" w:element="country-region">
        <w:smartTag w:uri="urn:schemas-microsoft-com:office:smarttags" w:element="place">
          <w:r>
            <w:rPr>
              <w:rFonts w:ascii="Arial" w:hAnsi="Arial" w:cs="Arial"/>
              <w:i/>
              <w:noProof/>
              <w:kern w:val="20"/>
              <w:sz w:val="20"/>
              <w:szCs w:val="20"/>
            </w:rPr>
            <w:t>Sweden</w:t>
          </w:r>
        </w:smartTag>
      </w:smartTag>
      <w:r>
        <w:rPr>
          <w:rFonts w:ascii="Arial" w:hAnsi="Arial" w:cs="Arial"/>
          <w:noProof/>
          <w:sz w:val="20"/>
          <w:szCs w:val="20"/>
        </w:rPr>
        <w:t xml:space="preserve">: incorrect transposition of </w:t>
      </w:r>
      <w:r>
        <w:rPr>
          <w:rFonts w:ascii="Arial" w:hAnsi="Arial" w:cs="Arial"/>
          <w:noProof/>
          <w:sz w:val="20"/>
          <w:szCs w:val="20"/>
        </w:rPr>
        <w:t>certain requirements of the Directive on the energy performance of buildings</w:t>
      </w:r>
      <w:r>
        <w:rPr>
          <w:rStyle w:val="FootnoteReference"/>
          <w:rFonts w:ascii="Arial" w:hAnsi="Arial" w:cs="Arial"/>
          <w:noProof/>
          <w:sz w:val="20"/>
          <w:szCs w:val="20"/>
        </w:rPr>
        <w:footnoteReference w:id="60"/>
      </w:r>
      <w:r>
        <w:rPr>
          <w:rFonts w:ascii="Arial" w:hAnsi="Arial" w:cs="Arial"/>
          <w:noProof/>
          <w:sz w:val="20"/>
          <w:szCs w:val="20"/>
        </w:rPr>
        <w:t>;</w:t>
      </w:r>
    </w:p>
    <w:p w:rsidR="00E201F7" w:rsidRDefault="00E24EFF">
      <w:pPr>
        <w:pStyle w:val="ListParagraph"/>
        <w:numPr>
          <w:ilvl w:val="0"/>
          <w:numId w:val="78"/>
        </w:numPr>
        <w:autoSpaceDE w:val="0"/>
        <w:autoSpaceDN w:val="0"/>
        <w:adjustRightInd w:val="0"/>
        <w:spacing w:after="200"/>
        <w:ind w:left="1200"/>
        <w:rPr>
          <w:rFonts w:ascii="Arial" w:hAnsi="Arial" w:cs="Arial"/>
          <w:b/>
          <w:bCs/>
          <w:iCs/>
          <w:noProof/>
          <w:kern w:val="20"/>
          <w:sz w:val="20"/>
          <w:szCs w:val="20"/>
        </w:rPr>
      </w:pPr>
      <w:r>
        <w:rPr>
          <w:rFonts w:ascii="Arial" w:hAnsi="Arial" w:cs="Arial"/>
          <w:i/>
          <w:iCs/>
          <w:noProof/>
          <w:kern w:val="20"/>
          <w:sz w:val="20"/>
          <w:szCs w:val="20"/>
        </w:rPr>
        <w:t>Lithuania and Austria:</w:t>
      </w:r>
      <w:r>
        <w:rPr>
          <w:rFonts w:ascii="Arial" w:hAnsi="Arial" w:cs="Arial"/>
          <w:iCs/>
          <w:noProof/>
          <w:kern w:val="20"/>
          <w:sz w:val="20"/>
          <w:szCs w:val="20"/>
        </w:rPr>
        <w:t xml:space="preserve"> incorrect transposition of Directives</w:t>
      </w:r>
      <w:r>
        <w:rPr>
          <w:rFonts w:ascii="Arial" w:hAnsi="Arial" w:cs="Arial"/>
          <w:bCs/>
          <w:noProof/>
          <w:color w:val="444444"/>
          <w:sz w:val="20"/>
          <w:szCs w:val="20"/>
        </w:rPr>
        <w:t xml:space="preserve"> on </w:t>
      </w:r>
      <w:r>
        <w:rPr>
          <w:rFonts w:ascii="Arial" w:hAnsi="Arial" w:cs="Arial"/>
          <w:bCs/>
          <w:iCs/>
          <w:noProof/>
          <w:kern w:val="20"/>
          <w:sz w:val="20"/>
          <w:szCs w:val="20"/>
        </w:rPr>
        <w:t>common rules for the internal market in electricity</w:t>
      </w:r>
      <w:r>
        <w:rPr>
          <w:rStyle w:val="FootnoteReference"/>
          <w:rFonts w:ascii="Arial" w:hAnsi="Arial" w:cs="Arial"/>
          <w:bCs/>
          <w:iCs/>
          <w:noProof/>
          <w:kern w:val="20"/>
          <w:sz w:val="20"/>
          <w:szCs w:val="20"/>
        </w:rPr>
        <w:footnoteReference w:id="61"/>
      </w:r>
      <w:r>
        <w:rPr>
          <w:rFonts w:ascii="Arial" w:hAnsi="Arial" w:cs="Arial"/>
          <w:bCs/>
          <w:iCs/>
          <w:noProof/>
          <w:kern w:val="20"/>
          <w:sz w:val="20"/>
          <w:szCs w:val="20"/>
        </w:rPr>
        <w:t xml:space="preserve"> and natural gas</w:t>
      </w:r>
      <w:r>
        <w:rPr>
          <w:rStyle w:val="FootnoteReference"/>
          <w:rFonts w:ascii="Arial" w:hAnsi="Arial" w:cs="Arial"/>
          <w:i/>
          <w:iCs/>
          <w:noProof/>
          <w:kern w:val="20"/>
          <w:sz w:val="20"/>
          <w:szCs w:val="20"/>
        </w:rPr>
        <w:footnoteReference w:id="62"/>
      </w:r>
      <w:r>
        <w:rPr>
          <w:rFonts w:ascii="Arial" w:hAnsi="Arial" w:cs="Arial"/>
          <w:bCs/>
          <w:iCs/>
          <w:noProof/>
          <w:kern w:val="20"/>
          <w:sz w:val="20"/>
          <w:szCs w:val="20"/>
        </w:rPr>
        <w:t>;</w:t>
      </w:r>
    </w:p>
    <w:p w:rsidR="00E201F7" w:rsidRDefault="00E24EFF">
      <w:pPr>
        <w:pStyle w:val="ListParagraph"/>
        <w:numPr>
          <w:ilvl w:val="0"/>
          <w:numId w:val="78"/>
        </w:numPr>
        <w:autoSpaceDE w:val="0"/>
        <w:autoSpaceDN w:val="0"/>
        <w:adjustRightInd w:val="0"/>
        <w:spacing w:after="200"/>
        <w:ind w:left="1200"/>
        <w:rPr>
          <w:rFonts w:ascii="Arial" w:hAnsi="Arial" w:cs="Arial"/>
          <w:b/>
          <w:bCs/>
          <w:iCs/>
          <w:noProof/>
          <w:kern w:val="20"/>
          <w:sz w:val="20"/>
          <w:szCs w:val="20"/>
        </w:rPr>
      </w:pPr>
      <w:r>
        <w:rPr>
          <w:rFonts w:ascii="Arial" w:hAnsi="Arial" w:cs="Arial"/>
          <w:bCs/>
          <w:i/>
          <w:iCs/>
          <w:noProof/>
          <w:kern w:val="20"/>
          <w:sz w:val="20"/>
          <w:szCs w:val="20"/>
        </w:rPr>
        <w:t>Latvia and Portugal</w:t>
      </w:r>
      <w:r>
        <w:rPr>
          <w:rFonts w:ascii="Arial" w:hAnsi="Arial" w:cs="Arial"/>
          <w:bCs/>
          <w:iCs/>
          <w:noProof/>
          <w:kern w:val="20"/>
          <w:sz w:val="20"/>
          <w:szCs w:val="20"/>
        </w:rPr>
        <w:t xml:space="preserve">: failure to adopt </w:t>
      </w:r>
      <w:r>
        <w:rPr>
          <w:rFonts w:ascii="Arial" w:hAnsi="Arial" w:cs="Arial"/>
          <w:bCs/>
          <w:iCs/>
          <w:noProof/>
          <w:kern w:val="20"/>
          <w:sz w:val="20"/>
          <w:szCs w:val="20"/>
        </w:rPr>
        <w:t>national programmes for spent fuel and radioactive waste management compliant with the requirements of the Radioactive Waste Directive;</w:t>
      </w:r>
      <w:r>
        <w:rPr>
          <w:rStyle w:val="FootnoteReference"/>
          <w:rFonts w:ascii="Arial" w:eastAsia="Calibri" w:hAnsi="Arial" w:cs="Arial"/>
          <w:noProof/>
          <w:kern w:val="20"/>
          <w:sz w:val="20"/>
        </w:rPr>
        <w:footnoteReference w:id="63"/>
      </w:r>
    </w:p>
    <w:p w:rsidR="00E201F7" w:rsidRDefault="00E24EFF">
      <w:pPr>
        <w:pStyle w:val="ListParagraph"/>
        <w:numPr>
          <w:ilvl w:val="0"/>
          <w:numId w:val="78"/>
        </w:numPr>
        <w:autoSpaceDE w:val="0"/>
        <w:autoSpaceDN w:val="0"/>
        <w:adjustRightInd w:val="0"/>
        <w:spacing w:after="200"/>
        <w:ind w:left="1200"/>
        <w:rPr>
          <w:rFonts w:ascii="Arial" w:hAnsi="Arial" w:cs="Arial"/>
          <w:b/>
          <w:bCs/>
          <w:iCs/>
          <w:noProof/>
          <w:kern w:val="20"/>
          <w:sz w:val="20"/>
          <w:szCs w:val="20"/>
        </w:rPr>
      </w:pPr>
      <w:r>
        <w:rPr>
          <w:rFonts w:ascii="Arial" w:hAnsi="Arial" w:cs="Arial"/>
          <w:bCs/>
          <w:i/>
          <w:iCs/>
          <w:noProof/>
          <w:kern w:val="20"/>
          <w:sz w:val="20"/>
          <w:szCs w:val="20"/>
        </w:rPr>
        <w:t>Portugal and Spain</w:t>
      </w:r>
      <w:r>
        <w:rPr>
          <w:rFonts w:ascii="Arial" w:hAnsi="Arial" w:cs="Arial"/>
          <w:bCs/>
          <w:iCs/>
          <w:noProof/>
          <w:kern w:val="20"/>
          <w:sz w:val="20"/>
          <w:szCs w:val="20"/>
        </w:rPr>
        <w:t xml:space="preserve">: for </w:t>
      </w:r>
      <w:r>
        <w:rPr>
          <w:rFonts w:ascii="Arial" w:eastAsia="Calibri" w:hAnsi="Arial" w:cs="Arial"/>
          <w:noProof/>
          <w:kern w:val="20"/>
          <w:sz w:val="20"/>
        </w:rPr>
        <w:t>incomplete transposition of the Directive on radioactive substances in water intended for human</w:t>
      </w:r>
      <w:r>
        <w:rPr>
          <w:rFonts w:ascii="Arial" w:eastAsia="Calibri" w:hAnsi="Arial" w:cs="Arial"/>
          <w:noProof/>
          <w:kern w:val="20"/>
          <w:sz w:val="20"/>
        </w:rPr>
        <w:t xml:space="preserve"> consumption.</w:t>
      </w:r>
      <w:r>
        <w:rPr>
          <w:rStyle w:val="FootnoteReference"/>
          <w:rFonts w:ascii="Arial" w:eastAsia="Calibri" w:hAnsi="Arial" w:cs="Arial"/>
          <w:noProof/>
          <w:kern w:val="20"/>
          <w:sz w:val="20"/>
        </w:rPr>
        <w:footnoteReference w:id="64"/>
      </w:r>
      <w:r>
        <w:rPr>
          <w:rFonts w:ascii="Arial" w:hAnsi="Arial" w:cs="Arial"/>
          <w:bCs/>
          <w:iCs/>
          <w:noProof/>
          <w:kern w:val="20"/>
          <w:sz w:val="20"/>
          <w:szCs w:val="20"/>
        </w:rPr>
        <w:t>.</w:t>
      </w:r>
    </w:p>
    <w:p w:rsidR="00E201F7" w:rsidRDefault="00E24EFF">
      <w:pPr>
        <w:spacing w:after="0"/>
        <w:jc w:val="left"/>
        <w:rPr>
          <w:rFonts w:ascii="Arial" w:eastAsia="MS Gothic" w:hAnsi="Arial" w:cs="Arial"/>
          <w:caps/>
          <w:noProof/>
          <w:color w:val="4F81BD"/>
          <w:kern w:val="20"/>
          <w:szCs w:val="24"/>
        </w:rPr>
      </w:pPr>
      <w:r>
        <w:rPr>
          <w:noProof/>
        </w:rPr>
        <w:br w:type="page"/>
      </w:r>
    </w:p>
    <w:p w:rsidR="00E201F7" w:rsidRDefault="00E24EFF">
      <w:pPr>
        <w:pStyle w:val="kop2"/>
        <w:rPr>
          <w:noProof/>
        </w:rPr>
      </w:pPr>
      <w:r>
        <w:rPr>
          <w:noProof/>
        </w:rPr>
        <w:t>IMPORTANT JUDGMENTS</w:t>
      </w:r>
    </w:p>
    <w:p w:rsidR="00E201F7" w:rsidRDefault="00E24EFF">
      <w:pPr>
        <w:numPr>
          <w:ilvl w:val="0"/>
          <w:numId w:val="107"/>
        </w:numPr>
        <w:spacing w:after="120"/>
        <w:jc w:val="left"/>
        <w:outlineLvl w:val="1"/>
        <w:rPr>
          <w:rFonts w:ascii="Arial" w:hAnsi="Arial" w:cs="Arial"/>
          <w:noProof/>
          <w:color w:val="002060"/>
          <w:sz w:val="22"/>
        </w:rPr>
      </w:pPr>
      <w:r>
        <w:rPr>
          <w:rFonts w:ascii="Arial" w:hAnsi="Arial" w:cs="Arial"/>
          <w:noProof/>
          <w:color w:val="002060"/>
          <w:sz w:val="22"/>
        </w:rPr>
        <w:t>Court rulings</w:t>
      </w:r>
    </w:p>
    <w:p w:rsidR="00E201F7" w:rsidRDefault="00E24EFF">
      <w:pPr>
        <w:spacing w:after="120"/>
        <w:ind w:left="720"/>
        <w:jc w:val="left"/>
        <w:outlineLvl w:val="1"/>
        <w:rPr>
          <w:rFonts w:ascii="Arial" w:hAnsi="Arial" w:cs="Arial"/>
          <w:noProof/>
          <w:color w:val="002060"/>
          <w:sz w:val="22"/>
        </w:rPr>
      </w:pPr>
      <w:r>
        <w:rPr>
          <w:rFonts w:ascii="Arial" w:hAnsi="Arial" w:cs="Arial"/>
          <w:noProof/>
          <w:sz w:val="20"/>
        </w:rPr>
        <w:t>There were no major Court rulings in 2017 in this area.</w:t>
      </w:r>
    </w:p>
    <w:p w:rsidR="00E201F7" w:rsidRDefault="00E24EFF">
      <w:pPr>
        <w:numPr>
          <w:ilvl w:val="0"/>
          <w:numId w:val="107"/>
        </w:numPr>
        <w:spacing w:after="120"/>
        <w:jc w:val="left"/>
        <w:outlineLvl w:val="1"/>
        <w:rPr>
          <w:rFonts w:ascii="Arial" w:hAnsi="Arial" w:cs="Arial"/>
          <w:noProof/>
          <w:color w:val="002060"/>
          <w:sz w:val="22"/>
        </w:rPr>
      </w:pPr>
      <w:r>
        <w:rPr>
          <w:rFonts w:ascii="Arial" w:hAnsi="Arial" w:cs="Arial"/>
          <w:noProof/>
          <w:color w:val="002060"/>
          <w:sz w:val="22"/>
        </w:rPr>
        <w:t>Preliminary rulings</w:t>
      </w:r>
    </w:p>
    <w:p w:rsidR="00E201F7" w:rsidRDefault="00E24EFF">
      <w:pPr>
        <w:pStyle w:val="Basis"/>
        <w:ind w:left="360" w:firstLine="360"/>
        <w:rPr>
          <w:rFonts w:ascii="Arial" w:hAnsi="Arial" w:cs="Arial"/>
          <w:noProof/>
          <w:lang w:val="en-GB"/>
        </w:rPr>
      </w:pPr>
      <w:r>
        <w:rPr>
          <w:rFonts w:ascii="Arial" w:hAnsi="Arial" w:cs="Arial"/>
          <w:noProof/>
          <w:lang w:val="en-GB"/>
        </w:rPr>
        <w:t>The Court gave the following preliminary rulings.</w:t>
      </w:r>
    </w:p>
    <w:p w:rsidR="00E201F7" w:rsidRDefault="00E24EFF">
      <w:pPr>
        <w:pStyle w:val="Lijstje2"/>
        <w:numPr>
          <w:ilvl w:val="0"/>
          <w:numId w:val="73"/>
        </w:numPr>
        <w:spacing w:before="120" w:after="120"/>
        <w:ind w:left="1196" w:hanging="357"/>
        <w:contextualSpacing w:val="0"/>
        <w:rPr>
          <w:rFonts w:ascii="Arial" w:hAnsi="Arial" w:cs="Arial"/>
          <w:noProof/>
          <w:lang w:val="en-GB"/>
        </w:rPr>
      </w:pPr>
      <w:r>
        <w:rPr>
          <w:rFonts w:ascii="Arial" w:hAnsi="Arial" w:cs="Arial"/>
          <w:i/>
          <w:noProof/>
          <w:lang w:val="en-GB"/>
        </w:rPr>
        <w:t xml:space="preserve">Bulgaria: </w:t>
      </w:r>
      <w:r>
        <w:rPr>
          <w:rFonts w:ascii="Arial" w:hAnsi="Arial" w:cs="Arial"/>
          <w:noProof/>
          <w:lang w:val="en-GB"/>
        </w:rPr>
        <w:t xml:space="preserve">The Third Energy Package does not preclude national legislation </w:t>
      </w:r>
      <w:r>
        <w:rPr>
          <w:rFonts w:ascii="Arial" w:hAnsi="Arial" w:cs="Arial"/>
          <w:noProof/>
          <w:lang w:val="en-GB"/>
        </w:rPr>
        <w:t>limiting the number of holders of electricity transmission licences for a particular territory</w:t>
      </w:r>
      <w:r>
        <w:rPr>
          <w:rStyle w:val="FootnoteReference"/>
          <w:rFonts w:ascii="Arial" w:hAnsi="Arial" w:cs="Arial"/>
          <w:noProof/>
          <w:lang w:val="en-GB"/>
        </w:rPr>
        <w:footnoteReference w:id="65"/>
      </w:r>
      <w:r>
        <w:rPr>
          <w:rFonts w:ascii="Arial" w:hAnsi="Arial" w:cs="Arial"/>
          <w:noProof/>
          <w:lang w:val="en-GB"/>
        </w:rPr>
        <w:t>.</w:t>
      </w:r>
    </w:p>
    <w:p w:rsidR="00E201F7" w:rsidRDefault="00E24EFF">
      <w:pPr>
        <w:pStyle w:val="Lijstje2"/>
        <w:numPr>
          <w:ilvl w:val="0"/>
          <w:numId w:val="73"/>
        </w:numPr>
        <w:spacing w:before="120" w:after="120"/>
        <w:ind w:left="1196" w:hanging="357"/>
        <w:contextualSpacing w:val="0"/>
        <w:rPr>
          <w:rFonts w:ascii="Arial" w:hAnsi="Arial" w:cs="Arial"/>
          <w:noProof/>
          <w:lang w:val="en-GB"/>
        </w:rPr>
      </w:pPr>
      <w:r>
        <w:rPr>
          <w:rFonts w:ascii="Arial" w:hAnsi="Arial" w:cs="Arial"/>
          <w:i/>
          <w:noProof/>
          <w:lang w:val="en-GB"/>
        </w:rPr>
        <w:t xml:space="preserve">Spain: </w:t>
      </w:r>
      <w:r>
        <w:rPr>
          <w:rFonts w:ascii="Arial" w:hAnsi="Arial" w:cs="Arial"/>
          <w:noProof/>
          <w:lang w:val="en-GB"/>
        </w:rPr>
        <w:t>A regional levy on windmills, taken in isolation, does not violate the Renewable Energy Directive, and in particular Member States’ obligation to meet t</w:t>
      </w:r>
      <w:r>
        <w:rPr>
          <w:rFonts w:ascii="Arial" w:hAnsi="Arial" w:cs="Arial"/>
          <w:noProof/>
          <w:lang w:val="en-GB"/>
        </w:rPr>
        <w:t>heir national renewable energy targets for 2020</w:t>
      </w:r>
      <w:r>
        <w:rPr>
          <w:rStyle w:val="FootnoteReference"/>
          <w:rFonts w:ascii="Arial" w:hAnsi="Arial" w:cs="Arial"/>
          <w:noProof/>
          <w:lang w:val="en-GB"/>
        </w:rPr>
        <w:footnoteReference w:id="66"/>
      </w:r>
      <w:r>
        <w:rPr>
          <w:rFonts w:ascii="Arial" w:hAnsi="Arial" w:cs="Arial"/>
          <w:noProof/>
          <w:lang w:val="en-GB"/>
        </w:rPr>
        <w:t>.</w:t>
      </w:r>
    </w:p>
    <w:p w:rsidR="00E201F7" w:rsidRDefault="00E24EFF">
      <w:pPr>
        <w:pStyle w:val="Lijstje2"/>
        <w:numPr>
          <w:ilvl w:val="0"/>
          <w:numId w:val="73"/>
        </w:numPr>
        <w:spacing w:before="120" w:after="120"/>
        <w:ind w:left="1196" w:hanging="357"/>
        <w:contextualSpacing w:val="0"/>
        <w:rPr>
          <w:rFonts w:ascii="Arial" w:hAnsi="Arial" w:cs="Arial"/>
          <w:noProof/>
          <w:lang w:val="en-GB"/>
        </w:rPr>
      </w:pPr>
      <w:r>
        <w:rPr>
          <w:rFonts w:ascii="Arial" w:hAnsi="Arial" w:cs="Arial"/>
          <w:i/>
          <w:noProof/>
          <w:lang w:val="en-GB"/>
        </w:rPr>
        <w:t>France:</w:t>
      </w:r>
      <w:r>
        <w:rPr>
          <w:rFonts w:ascii="Arial" w:hAnsi="Arial" w:cs="Arial"/>
          <w:noProof/>
          <w:lang w:val="en-GB"/>
        </w:rPr>
        <w:t xml:space="preserve"> Member States may establish gas storage requirements which go beyond the minimum standard established by the Security of Gas Supply Regulation, provided that all the proportionality conditions of th</w:t>
      </w:r>
      <w:r>
        <w:rPr>
          <w:rFonts w:ascii="Arial" w:hAnsi="Arial" w:cs="Arial"/>
          <w:noProof/>
          <w:lang w:val="en-GB"/>
        </w:rPr>
        <w:t>e Regulation are met. The Court further clarified that operators must have the effective possibility to satisfy their gas storage obligations at regional or EU level</w:t>
      </w:r>
      <w:r>
        <w:rPr>
          <w:rStyle w:val="FootnoteReference"/>
          <w:rFonts w:ascii="Arial" w:hAnsi="Arial" w:cs="Arial"/>
          <w:noProof/>
          <w:lang w:val="en-GB"/>
        </w:rPr>
        <w:footnoteReference w:id="67"/>
      </w:r>
      <w:r>
        <w:rPr>
          <w:rFonts w:ascii="Arial" w:hAnsi="Arial" w:cs="Arial"/>
          <w:noProof/>
          <w:lang w:val="en-GB"/>
        </w:rPr>
        <w:t>.</w:t>
      </w:r>
    </w:p>
    <w:p w:rsidR="00E201F7" w:rsidRDefault="00E24EFF">
      <w:pPr>
        <w:pStyle w:val="Lijstje2"/>
        <w:numPr>
          <w:ilvl w:val="0"/>
          <w:numId w:val="73"/>
        </w:numPr>
        <w:spacing w:before="120" w:after="120"/>
        <w:ind w:left="1196" w:hanging="357"/>
        <w:contextualSpacing w:val="0"/>
        <w:rPr>
          <w:rFonts w:ascii="Arial" w:hAnsi="Arial" w:cs="Arial"/>
          <w:noProof/>
          <w:sz w:val="18"/>
          <w:szCs w:val="18"/>
          <w:lang w:val="en-GB"/>
        </w:rPr>
      </w:pPr>
      <w:r>
        <w:rPr>
          <w:rFonts w:ascii="Arial" w:hAnsi="Arial" w:cs="Arial"/>
          <w:i/>
          <w:noProof/>
          <w:lang w:val="en-GB"/>
        </w:rPr>
        <w:t>Poland:</w:t>
      </w:r>
      <w:r>
        <w:rPr>
          <w:rFonts w:ascii="Arial" w:hAnsi="Arial" w:cs="Arial"/>
          <w:noProof/>
          <w:lang w:val="en-GB"/>
        </w:rPr>
        <w:t xml:space="preserve"> ‘Hydropower’ has to be understood as including energy generated by the downward </w:t>
      </w:r>
      <w:r>
        <w:rPr>
          <w:rFonts w:ascii="Arial" w:hAnsi="Arial" w:cs="Arial"/>
          <w:noProof/>
          <w:lang w:val="en-GB"/>
        </w:rPr>
        <w:t>flow of industrial waste water</w:t>
      </w:r>
      <w:r>
        <w:rPr>
          <w:rStyle w:val="FootnoteReference"/>
          <w:rFonts w:ascii="Arial" w:hAnsi="Arial" w:cs="Arial"/>
          <w:noProof/>
          <w:lang w:val="en-GB"/>
        </w:rPr>
        <w:footnoteReference w:id="68"/>
      </w:r>
      <w:r>
        <w:rPr>
          <w:rFonts w:ascii="Arial" w:hAnsi="Arial" w:cs="Arial"/>
          <w:noProof/>
          <w:lang w:val="en-GB"/>
        </w:rPr>
        <w:t>.</w:t>
      </w:r>
    </w:p>
    <w:p w:rsidR="00E201F7" w:rsidRDefault="00E24EFF">
      <w:pPr>
        <w:pStyle w:val="Lijstje2"/>
        <w:numPr>
          <w:ilvl w:val="0"/>
          <w:numId w:val="73"/>
        </w:numPr>
        <w:spacing w:before="120" w:after="120"/>
        <w:ind w:left="1196" w:hanging="357"/>
        <w:contextualSpacing w:val="0"/>
        <w:rPr>
          <w:rFonts w:ascii="Arial" w:hAnsi="Arial" w:cs="Arial"/>
          <w:noProof/>
          <w:lang w:val="en-GB"/>
        </w:rPr>
      </w:pPr>
      <w:r>
        <w:rPr>
          <w:rFonts w:ascii="Arial" w:hAnsi="Arial" w:cs="Arial"/>
          <w:i/>
          <w:noProof/>
          <w:lang w:val="en-GB"/>
        </w:rPr>
        <w:t xml:space="preserve">Sweden: </w:t>
      </w:r>
      <w:r>
        <w:rPr>
          <w:rFonts w:ascii="Arial" w:hAnsi="Arial" w:cs="Arial"/>
          <w:noProof/>
          <w:lang w:val="en-GB"/>
        </w:rPr>
        <w:t>Article 34 of the TFEU precludes a national measure which, on the one hand, allows economic operators to implement a mass balance system in respect of sustainable biogas if the biogas is transported within the Membe</w:t>
      </w:r>
      <w:r>
        <w:rPr>
          <w:rFonts w:ascii="Arial" w:hAnsi="Arial" w:cs="Arial"/>
          <w:noProof/>
          <w:lang w:val="en-GB"/>
        </w:rPr>
        <w:t>r State's national gas network, while, on the one hand, preventing the implementation of such a mass balance system if the biogas is transported cross-border in interconnected national gas networks</w:t>
      </w:r>
      <w:r>
        <w:rPr>
          <w:rStyle w:val="FootnoteReference"/>
          <w:rFonts w:ascii="Arial" w:hAnsi="Arial" w:cs="Arial"/>
          <w:noProof/>
          <w:lang w:val="en-GB"/>
        </w:rPr>
        <w:footnoteReference w:id="69"/>
      </w:r>
      <w:r>
        <w:rPr>
          <w:rFonts w:ascii="Arial" w:hAnsi="Arial" w:cs="Arial"/>
          <w:noProof/>
          <w:lang w:val="en-GB"/>
        </w:rPr>
        <w:t>.</w:t>
      </w:r>
    </w:p>
    <w:p w:rsidR="00E201F7" w:rsidRDefault="00E24EFF">
      <w:pPr>
        <w:pStyle w:val="kop2"/>
        <w:rPr>
          <w:noProof/>
          <w:color w:val="auto"/>
        </w:rPr>
      </w:pPr>
      <w:r>
        <w:rPr>
          <w:noProof/>
          <w:color w:val="auto"/>
        </w:rPr>
        <w:t>Outlook</w:t>
      </w:r>
    </w:p>
    <w:p w:rsidR="00E201F7" w:rsidRDefault="00E24EFF">
      <w:pPr>
        <w:spacing w:after="60"/>
        <w:ind w:left="360"/>
        <w:jc w:val="left"/>
        <w:outlineLvl w:val="1"/>
        <w:rPr>
          <w:rFonts w:ascii="Arial" w:hAnsi="Arial" w:cs="Arial"/>
          <w:noProof/>
          <w:color w:val="002060"/>
          <w:sz w:val="22"/>
        </w:rPr>
      </w:pPr>
      <w:r>
        <w:rPr>
          <w:rFonts w:ascii="Arial" w:hAnsi="Arial" w:cs="Arial"/>
          <w:noProof/>
          <w:color w:val="002060"/>
          <w:sz w:val="22"/>
        </w:rPr>
        <w:t>Important implementation work in 2018 includes:</w:t>
      </w:r>
    </w:p>
    <w:p w:rsidR="00E201F7" w:rsidRDefault="00E24EFF">
      <w:pPr>
        <w:numPr>
          <w:ilvl w:val="0"/>
          <w:numId w:val="25"/>
        </w:numPr>
        <w:ind w:left="1276" w:hanging="425"/>
        <w:contextualSpacing/>
        <w:rPr>
          <w:rFonts w:ascii="Arial" w:hAnsi="Arial" w:cs="Arial"/>
          <w:noProof/>
          <w:sz w:val="20"/>
        </w:rPr>
      </w:pPr>
      <w:r>
        <w:rPr>
          <w:rFonts w:ascii="Arial" w:hAnsi="Arial" w:cs="Arial"/>
          <w:noProof/>
          <w:sz w:val="20"/>
        </w:rPr>
        <w:t>close monitoring of transposition and implementations of Directives and Regulations in the field of energy and related legislation.</w:t>
      </w:r>
    </w:p>
    <w:p w:rsidR="00E201F7" w:rsidRDefault="00E201F7">
      <w:pPr>
        <w:rPr>
          <w:rFonts w:cs="Arial"/>
          <w:noProof/>
          <w:sz w:val="20"/>
        </w:rPr>
      </w:pPr>
    </w:p>
    <w:p w:rsidR="00E201F7" w:rsidRDefault="00E201F7">
      <w:pPr>
        <w:rPr>
          <w:rFonts w:cs="Arial"/>
          <w:noProof/>
          <w:sz w:val="20"/>
        </w:rPr>
        <w:sectPr w:rsidR="00E201F7">
          <w:headerReference w:type="even" r:id="rId68"/>
          <w:headerReference w:type="default" r:id="rId69"/>
          <w:footerReference w:type="even" r:id="rId70"/>
          <w:footerReference w:type="default" r:id="rId71"/>
          <w:headerReference w:type="first" r:id="rId72"/>
          <w:footerReference w:type="first" r:id="rId73"/>
          <w:footnotePr>
            <w:numRestart w:val="eachSect"/>
          </w:footnotePr>
          <w:pgSz w:w="11907" w:h="16839" w:code="9"/>
          <w:pgMar w:top="1843" w:right="1275" w:bottom="737" w:left="1418" w:header="567" w:footer="352" w:gutter="0"/>
          <w:cols w:space="720"/>
          <w:titlePg/>
          <w:docGrid w:linePitch="326"/>
        </w:sectPr>
      </w:pPr>
    </w:p>
    <w:p w:rsidR="00E201F7" w:rsidRDefault="00E24EFF">
      <w:pPr>
        <w:pStyle w:val="Heading1"/>
        <w:spacing w:after="0"/>
        <w:ind w:left="0"/>
        <w:rPr>
          <w:rFonts w:ascii="Arial" w:hAnsi="Arial" w:cs="Arial"/>
          <w:noProof/>
        </w:rPr>
      </w:pPr>
      <w:bookmarkStart w:id="54" w:name="_Toc475524734"/>
      <w:bookmarkStart w:id="55" w:name="_Toc475529501"/>
      <w:bookmarkStart w:id="56" w:name="_Toc475529540"/>
      <w:bookmarkStart w:id="57" w:name="_Toc475529868"/>
      <w:bookmarkStart w:id="58" w:name="_Toc475550833"/>
      <w:bookmarkStart w:id="59" w:name="_Toc475551373"/>
      <w:bookmarkStart w:id="60" w:name="_Toc507510316"/>
      <w:bookmarkStart w:id="61" w:name="_Toc507517730"/>
      <w:bookmarkStart w:id="62" w:name="_Toc507520111"/>
      <w:bookmarkStart w:id="63" w:name="_Toc510016528"/>
      <w:r>
        <w:rPr>
          <w:rFonts w:ascii="Arial" w:hAnsi="Arial" w:cs="Arial"/>
          <w:noProof/>
        </w:rPr>
        <w:t>Environment</w:t>
      </w:r>
      <w:bookmarkEnd w:id="54"/>
      <w:bookmarkEnd w:id="55"/>
      <w:bookmarkEnd w:id="56"/>
      <w:bookmarkEnd w:id="57"/>
      <w:bookmarkEnd w:id="58"/>
      <w:bookmarkEnd w:id="59"/>
      <w:bookmarkEnd w:id="60"/>
      <w:bookmarkEnd w:id="61"/>
      <w:bookmarkEnd w:id="62"/>
      <w:bookmarkEnd w:id="63"/>
    </w:p>
    <w:p w:rsidR="00E201F7" w:rsidRDefault="00E24EFF">
      <w:pPr>
        <w:pStyle w:val="kop2"/>
        <w:numPr>
          <w:ilvl w:val="0"/>
          <w:numId w:val="84"/>
        </w:numPr>
        <w:rPr>
          <w:noProof/>
        </w:rPr>
      </w:pPr>
      <w:r>
        <w:rPr>
          <w:noProof/>
        </w:rPr>
        <w:t>COMPLAINTS</w:t>
      </w:r>
    </w:p>
    <w:p w:rsidR="00E201F7" w:rsidRDefault="00E24EFF">
      <w:pPr>
        <w:numPr>
          <w:ilvl w:val="0"/>
          <w:numId w:val="108"/>
        </w:numPr>
        <w:spacing w:before="240"/>
        <w:ind w:left="714" w:hanging="357"/>
        <w:jc w:val="left"/>
        <w:outlineLvl w:val="1"/>
        <w:rPr>
          <w:noProof/>
          <w:color w:val="002060"/>
        </w:rPr>
      </w:pPr>
      <w:r>
        <w:rPr>
          <w:rFonts w:ascii="Arial" w:hAnsi="Arial" w:cs="Arial"/>
          <w:noProof/>
          <w:color w:val="002060"/>
          <w:sz w:val="22"/>
        </w:rPr>
        <w:t>New complaints received from members of the public (2013-2017)</w:t>
      </w:r>
    </w:p>
    <w:p w:rsidR="00E201F7" w:rsidRDefault="00E24EFF">
      <w:pPr>
        <w:pStyle w:val="Basis"/>
        <w:rPr>
          <w:noProof/>
          <w:lang w:val="en-GB"/>
        </w:rPr>
      </w:pPr>
      <w:r>
        <w:rPr>
          <w:noProof/>
          <w:lang w:val="en-GB"/>
        </w:rPr>
        <w:drawing>
          <wp:inline distT="0" distB="0" distL="0" distR="0" wp14:anchorId="08CC0DB3" wp14:editId="17364B32">
            <wp:extent cx="4592320" cy="2082800"/>
            <wp:effectExtent l="0" t="0" r="0" b="0"/>
            <wp:docPr id="95"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E201F7" w:rsidRDefault="00E24EFF">
      <w:pPr>
        <w:numPr>
          <w:ilvl w:val="0"/>
          <w:numId w:val="108"/>
        </w:numPr>
        <w:spacing w:before="240"/>
        <w:ind w:left="714" w:hanging="357"/>
        <w:jc w:val="left"/>
        <w:outlineLvl w:val="1"/>
        <w:rPr>
          <w:rFonts w:ascii="Arial" w:hAnsi="Arial" w:cs="Arial"/>
          <w:noProof/>
          <w:color w:val="002060"/>
          <w:sz w:val="22"/>
        </w:rPr>
      </w:pPr>
      <w:r>
        <w:rPr>
          <w:rFonts w:ascii="Arial" w:hAnsi="Arial" w:cs="Arial"/>
          <w:noProof/>
          <w:color w:val="002060"/>
          <w:sz w:val="22"/>
        </w:rPr>
        <w:t>Public complaints open at year-end</w:t>
      </w:r>
    </w:p>
    <w:tbl>
      <w:tblPr>
        <w:tblW w:w="0" w:type="auto"/>
        <w:jc w:val="center"/>
        <w:tblLook w:val="04A0" w:firstRow="1" w:lastRow="0" w:firstColumn="1" w:lastColumn="0" w:noHBand="0" w:noVBand="1"/>
      </w:tblPr>
      <w:tblGrid>
        <w:gridCol w:w="1697"/>
        <w:gridCol w:w="381"/>
        <w:gridCol w:w="5310"/>
      </w:tblGrid>
      <w:tr w:rsidR="00E201F7">
        <w:trPr>
          <w:trHeight w:val="403"/>
          <w:jc w:val="center"/>
        </w:trPr>
        <w:tc>
          <w:tcPr>
            <w:tcW w:w="1697" w:type="dxa"/>
            <w:shd w:val="clear" w:color="auto" w:fill="auto"/>
            <w:vAlign w:val="center"/>
          </w:tcPr>
          <w:p w:rsidR="00E201F7" w:rsidRDefault="00E24EFF">
            <w:pPr>
              <w:pStyle w:val="Body"/>
              <w:spacing w:after="0"/>
              <w:ind w:firstLine="0"/>
              <w:jc w:val="right"/>
              <w:rPr>
                <w:rFonts w:ascii="Arial" w:hAnsi="Arial" w:cs="Arial"/>
                <w:noProof/>
                <w:color w:val="548DD4"/>
                <w:sz w:val="22"/>
                <w:szCs w:val="28"/>
                <w:lang w:val="en-GB"/>
              </w:rPr>
            </w:pPr>
            <w:r>
              <w:rPr>
                <w:rFonts w:ascii="Arial" w:hAnsi="Arial" w:cs="Arial"/>
                <w:noProof/>
                <w:color w:val="548DD4"/>
                <w:sz w:val="22"/>
                <w:szCs w:val="28"/>
                <w:lang w:val="en-GB"/>
              </w:rPr>
              <w:t>471</w:t>
            </w:r>
          </w:p>
        </w:tc>
        <w:tc>
          <w:tcPr>
            <w:tcW w:w="381" w:type="dxa"/>
            <w:shd w:val="clear" w:color="auto" w:fill="auto"/>
            <w:vAlign w:val="center"/>
          </w:tcPr>
          <w:p w:rsidR="00E201F7" w:rsidRDefault="00E24EFF">
            <w:pPr>
              <w:pStyle w:val="Body"/>
              <w:spacing w:after="0"/>
              <w:ind w:firstLine="0"/>
              <w:jc w:val="right"/>
              <w:rPr>
                <w:rFonts w:ascii="Arial" w:hAnsi="Arial" w:cs="Arial"/>
                <w:noProof/>
                <w:color w:val="548DD4"/>
                <w:sz w:val="22"/>
                <w:szCs w:val="28"/>
                <w:lang w:val="en-GB"/>
              </w:rPr>
            </w:pPr>
            <w:r>
              <w:rPr>
                <w:rFonts w:ascii="Arial" w:hAnsi="Arial" w:cs="Arial"/>
                <w:noProof/>
                <w:color w:val="548DD4"/>
                <w:sz w:val="22"/>
                <w:szCs w:val="28"/>
                <w:lang w:val="en-GB"/>
              </w:rPr>
              <w:t>&gt;</w:t>
            </w:r>
          </w:p>
        </w:tc>
        <w:tc>
          <w:tcPr>
            <w:tcW w:w="5310" w:type="dxa"/>
            <w:shd w:val="clear" w:color="auto" w:fill="auto"/>
            <w:vAlign w:val="center"/>
          </w:tcPr>
          <w:p w:rsidR="00E201F7" w:rsidRDefault="00E24EFF">
            <w:pPr>
              <w:pStyle w:val="Body"/>
              <w:spacing w:after="0"/>
              <w:ind w:firstLine="0"/>
              <w:jc w:val="left"/>
              <w:rPr>
                <w:rFonts w:ascii="Arial" w:hAnsi="Arial" w:cs="Arial"/>
                <w:noProof/>
                <w:color w:val="548DD4"/>
                <w:sz w:val="22"/>
                <w:szCs w:val="28"/>
                <w:lang w:val="en-GB"/>
              </w:rPr>
            </w:pPr>
            <w:r>
              <w:rPr>
                <w:rFonts w:ascii="Arial" w:hAnsi="Arial" w:cs="Arial"/>
                <w:noProof/>
                <w:color w:val="548DD4"/>
                <w:sz w:val="22"/>
                <w:szCs w:val="28"/>
                <w:lang w:val="en-GB"/>
              </w:rPr>
              <w:t>Complaints open at end-2016</w:t>
            </w:r>
          </w:p>
        </w:tc>
      </w:tr>
      <w:tr w:rsidR="00E201F7">
        <w:trPr>
          <w:trHeight w:val="403"/>
          <w:jc w:val="center"/>
        </w:trPr>
        <w:tc>
          <w:tcPr>
            <w:tcW w:w="1697" w:type="dxa"/>
            <w:shd w:val="clear" w:color="auto" w:fill="auto"/>
            <w:vAlign w:val="center"/>
          </w:tcPr>
          <w:p w:rsidR="00E201F7" w:rsidRDefault="00E24EFF">
            <w:pPr>
              <w:pStyle w:val="Body"/>
              <w:spacing w:after="0"/>
              <w:ind w:firstLine="0"/>
              <w:jc w:val="right"/>
              <w:rPr>
                <w:rFonts w:ascii="Arial" w:hAnsi="Arial" w:cs="Arial"/>
                <w:noProof/>
                <w:color w:val="548DD4"/>
                <w:sz w:val="22"/>
                <w:szCs w:val="28"/>
                <w:lang w:val="en-GB"/>
              </w:rPr>
            </w:pPr>
            <w:r>
              <w:rPr>
                <w:rFonts w:ascii="Arial" w:hAnsi="Arial" w:cs="Arial"/>
                <w:noProof/>
                <w:color w:val="548DD4"/>
                <w:sz w:val="22"/>
                <w:szCs w:val="28"/>
                <w:lang w:val="en-GB"/>
              </w:rPr>
              <w:t>518</w:t>
            </w:r>
          </w:p>
        </w:tc>
        <w:tc>
          <w:tcPr>
            <w:tcW w:w="381" w:type="dxa"/>
            <w:shd w:val="clear" w:color="auto" w:fill="auto"/>
            <w:vAlign w:val="center"/>
          </w:tcPr>
          <w:p w:rsidR="00E201F7" w:rsidRDefault="00E24EFF">
            <w:pPr>
              <w:pStyle w:val="Body"/>
              <w:spacing w:after="0"/>
              <w:ind w:firstLine="0"/>
              <w:jc w:val="right"/>
              <w:rPr>
                <w:rFonts w:ascii="Arial" w:hAnsi="Arial" w:cs="Arial"/>
                <w:noProof/>
                <w:color w:val="548DD4"/>
                <w:sz w:val="22"/>
                <w:szCs w:val="28"/>
                <w:lang w:val="en-GB"/>
              </w:rPr>
            </w:pPr>
            <w:r>
              <w:rPr>
                <w:rFonts w:ascii="Arial" w:hAnsi="Arial" w:cs="Arial"/>
                <w:noProof/>
                <w:color w:val="548DD4"/>
                <w:sz w:val="22"/>
                <w:szCs w:val="28"/>
                <w:lang w:val="en-GB"/>
              </w:rPr>
              <w:t>&gt;</w:t>
            </w:r>
          </w:p>
        </w:tc>
        <w:tc>
          <w:tcPr>
            <w:tcW w:w="5310" w:type="dxa"/>
            <w:shd w:val="clear" w:color="auto" w:fill="auto"/>
            <w:vAlign w:val="center"/>
          </w:tcPr>
          <w:p w:rsidR="00E201F7" w:rsidRDefault="00E24EFF">
            <w:pPr>
              <w:pStyle w:val="Body"/>
              <w:spacing w:after="0"/>
              <w:ind w:firstLine="0"/>
              <w:jc w:val="left"/>
              <w:rPr>
                <w:rFonts w:ascii="Arial" w:hAnsi="Arial" w:cs="Arial"/>
                <w:noProof/>
                <w:color w:val="548DD4"/>
                <w:sz w:val="22"/>
                <w:szCs w:val="28"/>
                <w:lang w:val="en-GB"/>
              </w:rPr>
            </w:pPr>
            <w:r>
              <w:rPr>
                <w:rFonts w:ascii="Arial" w:hAnsi="Arial" w:cs="Arial"/>
                <w:noProof/>
                <w:color w:val="548DD4"/>
                <w:sz w:val="22"/>
                <w:szCs w:val="28"/>
                <w:lang w:val="en-GB"/>
              </w:rPr>
              <w:t>New complaints registered in 2017</w:t>
            </w:r>
          </w:p>
        </w:tc>
      </w:tr>
      <w:tr w:rsidR="00E201F7">
        <w:trPr>
          <w:trHeight w:val="403"/>
          <w:jc w:val="center"/>
        </w:trPr>
        <w:tc>
          <w:tcPr>
            <w:tcW w:w="1697" w:type="dxa"/>
            <w:tcBorders>
              <w:bottom w:val="single" w:sz="24" w:space="0" w:color="548DD4"/>
            </w:tcBorders>
            <w:shd w:val="clear" w:color="auto" w:fill="auto"/>
            <w:vAlign w:val="center"/>
          </w:tcPr>
          <w:p w:rsidR="00E201F7" w:rsidRDefault="00E24EFF">
            <w:pPr>
              <w:pStyle w:val="Body"/>
              <w:spacing w:after="0"/>
              <w:ind w:firstLine="0"/>
              <w:jc w:val="right"/>
              <w:rPr>
                <w:rFonts w:ascii="Arial" w:hAnsi="Arial" w:cs="Arial"/>
                <w:noProof/>
                <w:color w:val="548DD4"/>
                <w:sz w:val="22"/>
                <w:szCs w:val="28"/>
                <w:lang w:val="en-GB"/>
              </w:rPr>
            </w:pPr>
            <w:r>
              <w:rPr>
                <w:rFonts w:ascii="Arial" w:hAnsi="Arial" w:cs="Arial"/>
                <w:noProof/>
                <w:color w:val="548DD4"/>
                <w:sz w:val="22"/>
                <w:szCs w:val="28"/>
                <w:lang w:val="en-GB"/>
              </w:rPr>
              <w:t>399</w:t>
            </w:r>
          </w:p>
        </w:tc>
        <w:tc>
          <w:tcPr>
            <w:tcW w:w="381" w:type="dxa"/>
            <w:shd w:val="clear" w:color="auto" w:fill="auto"/>
            <w:vAlign w:val="center"/>
          </w:tcPr>
          <w:p w:rsidR="00E201F7" w:rsidRDefault="00E24EFF">
            <w:pPr>
              <w:pStyle w:val="Body"/>
              <w:spacing w:after="0"/>
              <w:ind w:firstLine="0"/>
              <w:jc w:val="right"/>
              <w:rPr>
                <w:rFonts w:ascii="Arial" w:hAnsi="Arial" w:cs="Arial"/>
                <w:noProof/>
                <w:color w:val="548DD4"/>
                <w:sz w:val="22"/>
                <w:szCs w:val="28"/>
                <w:lang w:val="en-GB"/>
              </w:rPr>
            </w:pPr>
            <w:r>
              <w:rPr>
                <w:rFonts w:ascii="Arial" w:hAnsi="Arial" w:cs="Arial"/>
                <w:noProof/>
                <w:color w:val="548DD4"/>
                <w:sz w:val="22"/>
                <w:szCs w:val="28"/>
                <w:lang w:val="en-GB"/>
              </w:rPr>
              <w:t>&gt;</w:t>
            </w:r>
          </w:p>
        </w:tc>
        <w:tc>
          <w:tcPr>
            <w:tcW w:w="5310" w:type="dxa"/>
            <w:shd w:val="clear" w:color="auto" w:fill="auto"/>
            <w:vAlign w:val="center"/>
          </w:tcPr>
          <w:p w:rsidR="00E201F7" w:rsidRDefault="00E24EFF">
            <w:pPr>
              <w:pStyle w:val="Body"/>
              <w:spacing w:after="0"/>
              <w:ind w:firstLine="0"/>
              <w:jc w:val="left"/>
              <w:rPr>
                <w:rFonts w:ascii="Arial" w:hAnsi="Arial" w:cs="Arial"/>
                <w:noProof/>
                <w:color w:val="548DD4"/>
                <w:sz w:val="22"/>
                <w:szCs w:val="28"/>
                <w:lang w:val="en-GB"/>
              </w:rPr>
            </w:pPr>
            <w:r>
              <w:rPr>
                <w:rFonts w:ascii="Arial" w:hAnsi="Arial" w:cs="Arial"/>
                <w:noProof/>
                <w:color w:val="548DD4"/>
                <w:sz w:val="22"/>
                <w:szCs w:val="28"/>
                <w:lang w:val="en-GB"/>
              </w:rPr>
              <w:t>Complaints handled in 2017</w:t>
            </w:r>
          </w:p>
        </w:tc>
      </w:tr>
      <w:tr w:rsidR="00E201F7">
        <w:trPr>
          <w:trHeight w:val="403"/>
          <w:jc w:val="center"/>
        </w:trPr>
        <w:tc>
          <w:tcPr>
            <w:tcW w:w="1697" w:type="dxa"/>
            <w:tcBorders>
              <w:top w:val="single" w:sz="24" w:space="0" w:color="548DD4"/>
            </w:tcBorders>
            <w:shd w:val="clear" w:color="auto" w:fill="auto"/>
            <w:vAlign w:val="center"/>
          </w:tcPr>
          <w:p w:rsidR="00E201F7" w:rsidRDefault="00E24EFF">
            <w:pPr>
              <w:pStyle w:val="Body"/>
              <w:spacing w:after="0"/>
              <w:ind w:firstLine="0"/>
              <w:jc w:val="right"/>
              <w:rPr>
                <w:rFonts w:ascii="Arial" w:hAnsi="Arial" w:cs="Arial"/>
                <w:noProof/>
                <w:color w:val="C00000"/>
                <w:sz w:val="22"/>
                <w:szCs w:val="28"/>
                <w:lang w:val="en-GB"/>
              </w:rPr>
            </w:pPr>
            <w:r>
              <w:rPr>
                <w:rFonts w:ascii="Arial" w:hAnsi="Arial" w:cs="Arial"/>
                <w:noProof/>
                <w:color w:val="C00000"/>
                <w:sz w:val="22"/>
                <w:szCs w:val="28"/>
                <w:lang w:val="en-GB"/>
              </w:rPr>
              <w:t>= 590</w:t>
            </w:r>
          </w:p>
        </w:tc>
        <w:tc>
          <w:tcPr>
            <w:tcW w:w="381" w:type="dxa"/>
            <w:shd w:val="clear" w:color="auto" w:fill="auto"/>
            <w:vAlign w:val="center"/>
          </w:tcPr>
          <w:p w:rsidR="00E201F7" w:rsidRDefault="00E24EFF">
            <w:pPr>
              <w:pStyle w:val="Body"/>
              <w:spacing w:after="0"/>
              <w:ind w:firstLine="0"/>
              <w:jc w:val="right"/>
              <w:rPr>
                <w:rFonts w:ascii="Arial" w:hAnsi="Arial" w:cs="Arial"/>
                <w:noProof/>
                <w:color w:val="548DD4"/>
                <w:sz w:val="22"/>
                <w:szCs w:val="28"/>
                <w:lang w:val="en-GB"/>
              </w:rPr>
            </w:pPr>
            <w:r>
              <w:rPr>
                <w:rFonts w:ascii="Arial" w:hAnsi="Arial" w:cs="Arial"/>
                <w:noProof/>
                <w:color w:val="548DD4"/>
                <w:sz w:val="22"/>
                <w:szCs w:val="28"/>
                <w:lang w:val="en-GB"/>
              </w:rPr>
              <w:t>&gt;</w:t>
            </w:r>
          </w:p>
        </w:tc>
        <w:tc>
          <w:tcPr>
            <w:tcW w:w="5310" w:type="dxa"/>
            <w:shd w:val="clear" w:color="auto" w:fill="auto"/>
            <w:vAlign w:val="center"/>
          </w:tcPr>
          <w:p w:rsidR="00E201F7" w:rsidRDefault="00E24EFF">
            <w:pPr>
              <w:pStyle w:val="Body"/>
              <w:spacing w:after="0"/>
              <w:ind w:firstLine="0"/>
              <w:jc w:val="left"/>
              <w:rPr>
                <w:rFonts w:ascii="Arial" w:hAnsi="Arial" w:cs="Arial"/>
                <w:noProof/>
                <w:color w:val="548DD4"/>
                <w:sz w:val="22"/>
                <w:szCs w:val="28"/>
                <w:lang w:val="en-GB"/>
              </w:rPr>
            </w:pPr>
            <w:r>
              <w:rPr>
                <w:rFonts w:ascii="Arial" w:hAnsi="Arial" w:cs="Arial"/>
                <w:noProof/>
                <w:color w:val="548DD4"/>
                <w:sz w:val="22"/>
                <w:szCs w:val="28"/>
                <w:lang w:val="en-GB"/>
              </w:rPr>
              <w:t>Complaints open at end-2017</w:t>
            </w:r>
          </w:p>
        </w:tc>
      </w:tr>
    </w:tbl>
    <w:p w:rsidR="00E201F7" w:rsidRDefault="00E24EFF">
      <w:pPr>
        <w:numPr>
          <w:ilvl w:val="0"/>
          <w:numId w:val="108"/>
        </w:numPr>
        <w:spacing w:before="240"/>
        <w:ind w:left="714" w:hanging="357"/>
        <w:jc w:val="left"/>
        <w:outlineLvl w:val="1"/>
        <w:rPr>
          <w:rFonts w:ascii="Arial" w:hAnsi="Arial" w:cs="Arial"/>
          <w:noProof/>
          <w:color w:val="002060"/>
          <w:sz w:val="22"/>
        </w:rPr>
      </w:pPr>
      <w:r>
        <w:rPr>
          <w:rFonts w:ascii="Arial" w:hAnsi="Arial" w:cs="Arial"/>
          <w:noProof/>
          <w:color w:val="002060"/>
          <w:sz w:val="22"/>
        </w:rPr>
        <w:t>New complaints registered in 2017: main policy sectors</w:t>
      </w:r>
    </w:p>
    <w:p w:rsidR="00E201F7" w:rsidRDefault="00E24EFF">
      <w:pPr>
        <w:pStyle w:val="Basis"/>
        <w:rPr>
          <w:noProof/>
          <w:lang w:val="en-GB"/>
        </w:rPr>
      </w:pPr>
      <w:r>
        <w:rPr>
          <w:noProof/>
          <w:lang w:val="en-GB"/>
        </w:rPr>
        <w:drawing>
          <wp:inline distT="0" distB="0" distL="0" distR="0" wp14:anchorId="18EF755D" wp14:editId="35762D1A">
            <wp:extent cx="4592320" cy="2265680"/>
            <wp:effectExtent l="0" t="0" r="17780" b="20320"/>
            <wp:docPr id="319"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E201F7" w:rsidRDefault="00E24EFF">
      <w:pPr>
        <w:spacing w:after="0"/>
        <w:jc w:val="left"/>
        <w:rPr>
          <w:caps/>
          <w:noProof/>
          <w:szCs w:val="24"/>
        </w:rPr>
      </w:pPr>
      <w:r>
        <w:rPr>
          <w:noProof/>
        </w:rPr>
        <w:br w:type="page"/>
      </w:r>
    </w:p>
    <w:p w:rsidR="00E201F7" w:rsidRDefault="00E24EFF">
      <w:pPr>
        <w:pStyle w:val="kop2"/>
        <w:rPr>
          <w:noProof/>
        </w:rPr>
      </w:pPr>
      <w:r>
        <w:rPr>
          <w:noProof/>
        </w:rPr>
        <w:t>EU PILOT</w:t>
      </w:r>
    </w:p>
    <w:p w:rsidR="00E201F7" w:rsidRDefault="00E24EFF">
      <w:pPr>
        <w:numPr>
          <w:ilvl w:val="0"/>
          <w:numId w:val="109"/>
        </w:numPr>
        <w:spacing w:before="240"/>
        <w:ind w:left="714" w:hanging="357"/>
        <w:jc w:val="left"/>
        <w:outlineLvl w:val="1"/>
        <w:rPr>
          <w:rFonts w:ascii="Arial" w:hAnsi="Arial" w:cs="Arial"/>
          <w:noProof/>
          <w:color w:val="002060"/>
          <w:sz w:val="22"/>
        </w:rPr>
      </w:pPr>
      <w:r>
        <w:rPr>
          <w:rFonts w:ascii="Arial" w:hAnsi="Arial" w:cs="Arial"/>
          <w:noProof/>
          <w:color w:val="002060"/>
          <w:sz w:val="22"/>
        </w:rPr>
        <w:t>New EU Pilot files (2013-2017)</w:t>
      </w:r>
    </w:p>
    <w:p w:rsidR="00E201F7" w:rsidRDefault="00E24EFF">
      <w:pPr>
        <w:pStyle w:val="Basis"/>
        <w:rPr>
          <w:noProof/>
          <w:lang w:val="en-GB"/>
        </w:rPr>
      </w:pPr>
      <w:r>
        <w:rPr>
          <w:noProof/>
          <w:lang w:val="en-GB"/>
        </w:rPr>
        <w:drawing>
          <wp:inline distT="0" distB="0" distL="0" distR="0" wp14:anchorId="11AD20C1" wp14:editId="39CE4B94">
            <wp:extent cx="4602480" cy="2062480"/>
            <wp:effectExtent l="0" t="0" r="0" b="0"/>
            <wp:docPr id="318"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E201F7" w:rsidRDefault="00E24EFF">
      <w:pPr>
        <w:numPr>
          <w:ilvl w:val="0"/>
          <w:numId w:val="109"/>
        </w:numPr>
        <w:spacing w:before="240"/>
        <w:ind w:left="714" w:hanging="357"/>
        <w:jc w:val="left"/>
        <w:outlineLvl w:val="1"/>
        <w:rPr>
          <w:rFonts w:ascii="Arial" w:hAnsi="Arial" w:cs="Arial"/>
          <w:noProof/>
          <w:color w:val="002060"/>
          <w:sz w:val="22"/>
        </w:rPr>
      </w:pPr>
      <w:r>
        <w:rPr>
          <w:rFonts w:ascii="Arial" w:hAnsi="Arial" w:cs="Arial"/>
          <w:noProof/>
          <w:color w:val="002060"/>
          <w:sz w:val="22"/>
        </w:rPr>
        <w:t>EU Pilot files</w:t>
      </w:r>
      <w:r>
        <w:rPr>
          <w:rFonts w:ascii="Arial" w:hAnsi="Arial" w:cs="Arial"/>
          <w:noProof/>
          <w:color w:val="002060"/>
          <w:sz w:val="22"/>
        </w:rPr>
        <w:t xml:space="preserve"> open at year-end</w:t>
      </w:r>
    </w:p>
    <w:p w:rsidR="00E201F7" w:rsidRDefault="00E24EFF">
      <w:pPr>
        <w:pStyle w:val="ListParagraph"/>
        <w:rPr>
          <w:rFonts w:ascii="Arial" w:hAnsi="Arial" w:cs="Arial"/>
          <w:noProof/>
          <w:sz w:val="20"/>
        </w:rPr>
      </w:pPr>
      <w:r>
        <w:rPr>
          <w:rFonts w:ascii="Arial" w:hAnsi="Arial" w:cs="Arial"/>
          <w:noProof/>
          <w:sz w:val="20"/>
        </w:rPr>
        <w:t>At the end of 2017, 240 EU Pilot files remained open.</w:t>
      </w:r>
    </w:p>
    <w:p w:rsidR="00E201F7" w:rsidRDefault="00E24EFF">
      <w:pPr>
        <w:numPr>
          <w:ilvl w:val="0"/>
          <w:numId w:val="109"/>
        </w:numPr>
        <w:spacing w:before="240"/>
        <w:ind w:left="714" w:hanging="357"/>
        <w:jc w:val="left"/>
        <w:outlineLvl w:val="1"/>
        <w:rPr>
          <w:rFonts w:ascii="Arial" w:hAnsi="Arial" w:cs="Arial"/>
          <w:noProof/>
          <w:color w:val="002060"/>
          <w:sz w:val="22"/>
        </w:rPr>
      </w:pPr>
      <w:r>
        <w:rPr>
          <w:rFonts w:ascii="Arial" w:hAnsi="Arial" w:cs="Arial"/>
          <w:noProof/>
          <w:color w:val="002060"/>
          <w:sz w:val="22"/>
        </w:rPr>
        <w:t>New EU Pilot files opened in 2017: main policy sectors</w:t>
      </w:r>
    </w:p>
    <w:p w:rsidR="00E201F7" w:rsidRDefault="00E24EFF">
      <w:pPr>
        <w:pStyle w:val="Basis"/>
        <w:rPr>
          <w:noProof/>
          <w:lang w:val="en-GB"/>
        </w:rPr>
      </w:pPr>
      <w:r>
        <w:rPr>
          <w:noProof/>
          <w:lang w:val="en-GB"/>
        </w:rPr>
        <w:drawing>
          <wp:inline distT="0" distB="0" distL="0" distR="0" wp14:anchorId="3A3640D6" wp14:editId="4E6223F0">
            <wp:extent cx="4612640" cy="2296160"/>
            <wp:effectExtent l="0" t="0" r="16510" b="27940"/>
            <wp:docPr id="317"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E201F7" w:rsidRDefault="00E24EFF">
      <w:pPr>
        <w:numPr>
          <w:ilvl w:val="0"/>
          <w:numId w:val="109"/>
        </w:numPr>
        <w:spacing w:after="120"/>
        <w:jc w:val="left"/>
        <w:outlineLvl w:val="1"/>
        <w:rPr>
          <w:rFonts w:ascii="Arial" w:hAnsi="Arial" w:cs="Arial"/>
          <w:noProof/>
          <w:color w:val="002060"/>
          <w:sz w:val="22"/>
        </w:rPr>
      </w:pPr>
      <w:r>
        <w:rPr>
          <w:rFonts w:ascii="Arial" w:hAnsi="Arial" w:cs="Arial"/>
          <w:noProof/>
          <w:color w:val="002060"/>
          <w:sz w:val="22"/>
        </w:rPr>
        <w:t>EU Pilot files: resolution rate for policies (2013-2017)</w:t>
      </w:r>
    </w:p>
    <w:p w:rsidR="00E201F7" w:rsidRDefault="00E24EFF">
      <w:pPr>
        <w:spacing w:after="120"/>
        <w:ind w:left="720"/>
        <w:jc w:val="left"/>
        <w:outlineLvl w:val="1"/>
        <w:rPr>
          <w:rFonts w:ascii="Arial" w:hAnsi="Arial" w:cs="Arial"/>
          <w:noProof/>
          <w:color w:val="002060"/>
          <w:sz w:val="22"/>
        </w:rPr>
      </w:pPr>
      <w:r>
        <w:rPr>
          <w:noProof/>
        </w:rPr>
        <w:drawing>
          <wp:inline distT="0" distB="0" distL="0" distR="0" wp14:anchorId="260991FE" wp14:editId="58329503">
            <wp:extent cx="4572000" cy="2194560"/>
            <wp:effectExtent l="0" t="0" r="19050" b="15240"/>
            <wp:docPr id="111"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E201F7" w:rsidRDefault="00E24EFF">
      <w:pPr>
        <w:pStyle w:val="kop2"/>
        <w:rPr>
          <w:noProof/>
        </w:rPr>
      </w:pPr>
      <w:r>
        <w:rPr>
          <w:noProof/>
        </w:rPr>
        <w:t>OWN-INITIATIVE CASES</w:t>
      </w:r>
    </w:p>
    <w:p w:rsidR="00E201F7" w:rsidRDefault="00E24EFF">
      <w:pPr>
        <w:pStyle w:val="Subtitle"/>
        <w:rPr>
          <w:noProof/>
        </w:rPr>
      </w:pPr>
      <w:r>
        <w:rPr>
          <w:noProof/>
        </w:rPr>
        <w:t>New own-initiative infringement cases</w:t>
      </w:r>
    </w:p>
    <w:p w:rsidR="00E201F7" w:rsidRDefault="00E24EFF">
      <w:pPr>
        <w:autoSpaceDE w:val="0"/>
        <w:autoSpaceDN w:val="0"/>
        <w:adjustRightInd w:val="0"/>
        <w:spacing w:before="120" w:after="120"/>
        <w:ind w:left="720"/>
        <w:rPr>
          <w:rFonts w:ascii="Arial" w:hAnsi="Arial" w:cs="Arial"/>
          <w:noProof/>
          <w:sz w:val="20"/>
          <w:szCs w:val="20"/>
        </w:rPr>
      </w:pPr>
      <w:r>
        <w:rPr>
          <w:rFonts w:ascii="Arial" w:hAnsi="Arial" w:cs="Arial"/>
          <w:noProof/>
          <w:sz w:val="20"/>
          <w:szCs w:val="20"/>
        </w:rPr>
        <w:t xml:space="preserve">In 2017, </w:t>
      </w:r>
      <w:r>
        <w:rPr>
          <w:rFonts w:ascii="Arial" w:hAnsi="Arial" w:cs="Arial"/>
          <w:noProof/>
          <w:sz w:val="20"/>
          <w:szCs w:val="20"/>
        </w:rPr>
        <w:t>the Commission opened own-initiative infringement cases over:</w:t>
      </w:r>
    </w:p>
    <w:p w:rsidR="00E201F7" w:rsidRDefault="00E24EFF">
      <w:pPr>
        <w:pStyle w:val="ListParagraph"/>
        <w:numPr>
          <w:ilvl w:val="0"/>
          <w:numId w:val="110"/>
        </w:numPr>
        <w:autoSpaceDE w:val="0"/>
        <w:autoSpaceDN w:val="0"/>
        <w:adjustRightInd w:val="0"/>
        <w:spacing w:after="0"/>
        <w:ind w:left="1200"/>
        <w:rPr>
          <w:rFonts w:ascii="Arial" w:hAnsi="Arial" w:cs="Arial"/>
          <w:noProof/>
          <w:sz w:val="20"/>
          <w:szCs w:val="20"/>
        </w:rPr>
      </w:pPr>
      <w:r>
        <w:rPr>
          <w:rFonts w:ascii="Arial" w:hAnsi="Arial" w:cs="Arial"/>
          <w:noProof/>
          <w:sz w:val="20"/>
          <w:szCs w:val="20"/>
        </w:rPr>
        <w:t>non-compliance with the Extractive Waste Directive</w:t>
      </w:r>
      <w:r>
        <w:rPr>
          <w:rStyle w:val="FootnoteReference"/>
          <w:rFonts w:ascii="Arial" w:hAnsi="Arial" w:cs="Arial"/>
          <w:noProof/>
          <w:sz w:val="20"/>
          <w:szCs w:val="20"/>
        </w:rPr>
        <w:footnoteReference w:id="70"/>
      </w:r>
      <w:r>
        <w:rPr>
          <w:rFonts w:ascii="Arial" w:hAnsi="Arial" w:cs="Arial"/>
          <w:noProof/>
          <w:sz w:val="20"/>
          <w:szCs w:val="20"/>
        </w:rPr>
        <w:t>;</w:t>
      </w:r>
    </w:p>
    <w:p w:rsidR="00E201F7" w:rsidRDefault="00E24EFF">
      <w:pPr>
        <w:pStyle w:val="ListParagraph"/>
        <w:numPr>
          <w:ilvl w:val="0"/>
          <w:numId w:val="110"/>
        </w:numPr>
        <w:autoSpaceDE w:val="0"/>
        <w:autoSpaceDN w:val="0"/>
        <w:adjustRightInd w:val="0"/>
        <w:spacing w:after="0"/>
        <w:ind w:left="1200"/>
        <w:rPr>
          <w:rFonts w:ascii="Arial" w:hAnsi="Arial" w:cs="Arial"/>
          <w:noProof/>
          <w:sz w:val="20"/>
          <w:szCs w:val="20"/>
        </w:rPr>
      </w:pPr>
      <w:r>
        <w:rPr>
          <w:rFonts w:ascii="Arial" w:hAnsi="Arial" w:cs="Arial"/>
          <w:noProof/>
          <w:sz w:val="20"/>
          <w:szCs w:val="20"/>
        </w:rPr>
        <w:t>failure to comply with reporting obligations under EU waste legislation;</w:t>
      </w:r>
    </w:p>
    <w:p w:rsidR="00E201F7" w:rsidRDefault="00E24EFF">
      <w:pPr>
        <w:pStyle w:val="ListParagraph"/>
        <w:numPr>
          <w:ilvl w:val="0"/>
          <w:numId w:val="110"/>
        </w:numPr>
        <w:autoSpaceDE w:val="0"/>
        <w:autoSpaceDN w:val="0"/>
        <w:adjustRightInd w:val="0"/>
        <w:spacing w:after="0"/>
        <w:ind w:left="1200"/>
        <w:rPr>
          <w:rFonts w:ascii="Arial" w:hAnsi="Arial" w:cs="Arial"/>
          <w:noProof/>
          <w:sz w:val="20"/>
          <w:szCs w:val="20"/>
        </w:rPr>
      </w:pPr>
      <w:r>
        <w:rPr>
          <w:rFonts w:ascii="Arial" w:hAnsi="Arial" w:cs="Arial"/>
          <w:noProof/>
          <w:sz w:val="20"/>
          <w:szCs w:val="20"/>
        </w:rPr>
        <w:t xml:space="preserve">incorrect transposition of the Waste Electrical and Electronic </w:t>
      </w:r>
      <w:r>
        <w:rPr>
          <w:rFonts w:ascii="Arial" w:hAnsi="Arial" w:cs="Arial"/>
          <w:noProof/>
          <w:sz w:val="20"/>
          <w:szCs w:val="20"/>
        </w:rPr>
        <w:t>Equipment Directive</w:t>
      </w:r>
      <w:r>
        <w:rPr>
          <w:rStyle w:val="FootnoteReference"/>
          <w:rFonts w:ascii="Arial" w:hAnsi="Arial" w:cs="Arial"/>
          <w:noProof/>
          <w:sz w:val="20"/>
          <w:szCs w:val="20"/>
        </w:rPr>
        <w:footnoteReference w:id="71"/>
      </w:r>
      <w:r>
        <w:rPr>
          <w:rFonts w:ascii="Arial" w:hAnsi="Arial" w:cs="Arial"/>
          <w:noProof/>
          <w:sz w:val="20"/>
          <w:szCs w:val="20"/>
        </w:rPr>
        <w:t>;</w:t>
      </w:r>
    </w:p>
    <w:p w:rsidR="00E201F7" w:rsidRDefault="00E24EFF">
      <w:pPr>
        <w:pStyle w:val="ListParagraph"/>
        <w:numPr>
          <w:ilvl w:val="0"/>
          <w:numId w:val="110"/>
        </w:numPr>
        <w:autoSpaceDE w:val="0"/>
        <w:autoSpaceDN w:val="0"/>
        <w:adjustRightInd w:val="0"/>
        <w:spacing w:after="0"/>
        <w:ind w:left="1200"/>
        <w:rPr>
          <w:rFonts w:ascii="Arial" w:hAnsi="Arial" w:cs="Arial"/>
          <w:noProof/>
          <w:sz w:val="20"/>
          <w:szCs w:val="20"/>
        </w:rPr>
      </w:pPr>
      <w:r>
        <w:rPr>
          <w:rFonts w:ascii="Arial" w:hAnsi="Arial" w:cs="Arial"/>
          <w:noProof/>
          <w:sz w:val="20"/>
          <w:szCs w:val="20"/>
        </w:rPr>
        <w:t>non-compliance with the Waste Landfill Directive</w:t>
      </w:r>
      <w:r>
        <w:rPr>
          <w:rStyle w:val="FootnoteReference"/>
          <w:rFonts w:ascii="Arial" w:hAnsi="Arial" w:cs="Arial"/>
          <w:noProof/>
          <w:sz w:val="20"/>
          <w:szCs w:val="20"/>
        </w:rPr>
        <w:footnoteReference w:id="72"/>
      </w:r>
      <w:r>
        <w:rPr>
          <w:rFonts w:ascii="Arial" w:hAnsi="Arial" w:cs="Arial"/>
          <w:noProof/>
          <w:sz w:val="20"/>
          <w:szCs w:val="20"/>
        </w:rPr>
        <w:t>;</w:t>
      </w:r>
    </w:p>
    <w:p w:rsidR="00E201F7" w:rsidRDefault="00E24EFF">
      <w:pPr>
        <w:pStyle w:val="ListParagraph"/>
        <w:numPr>
          <w:ilvl w:val="0"/>
          <w:numId w:val="110"/>
        </w:numPr>
        <w:autoSpaceDE w:val="0"/>
        <w:autoSpaceDN w:val="0"/>
        <w:adjustRightInd w:val="0"/>
        <w:spacing w:after="0"/>
        <w:ind w:left="1200"/>
        <w:rPr>
          <w:rFonts w:ascii="Arial" w:hAnsi="Arial" w:cs="Arial"/>
          <w:noProof/>
          <w:sz w:val="20"/>
          <w:szCs w:val="20"/>
        </w:rPr>
      </w:pPr>
      <w:r>
        <w:rPr>
          <w:rFonts w:ascii="Arial" w:hAnsi="Arial" w:cs="Arial"/>
          <w:noProof/>
          <w:sz w:val="20"/>
          <w:szCs w:val="20"/>
        </w:rPr>
        <w:t>incorrect transposition of the Habitats Directive</w:t>
      </w:r>
      <w:r>
        <w:rPr>
          <w:rStyle w:val="FootnoteReference"/>
          <w:rFonts w:ascii="Arial" w:hAnsi="Arial" w:cs="Arial"/>
          <w:noProof/>
          <w:sz w:val="20"/>
          <w:szCs w:val="20"/>
        </w:rPr>
        <w:footnoteReference w:id="73"/>
      </w:r>
      <w:r>
        <w:rPr>
          <w:rFonts w:ascii="Arial" w:hAnsi="Arial" w:cs="Arial"/>
          <w:noProof/>
          <w:sz w:val="20"/>
          <w:szCs w:val="20"/>
        </w:rPr>
        <w:t xml:space="preserve"> and the Birds Directive</w:t>
      </w:r>
      <w:r>
        <w:rPr>
          <w:rStyle w:val="FootnoteReference"/>
          <w:rFonts w:ascii="Arial" w:hAnsi="Arial" w:cs="Arial"/>
          <w:noProof/>
          <w:sz w:val="20"/>
          <w:szCs w:val="20"/>
        </w:rPr>
        <w:footnoteReference w:id="74"/>
      </w:r>
      <w:r>
        <w:rPr>
          <w:rFonts w:ascii="Arial" w:hAnsi="Arial" w:cs="Arial"/>
          <w:noProof/>
          <w:sz w:val="20"/>
          <w:szCs w:val="20"/>
        </w:rPr>
        <w:t>;</w:t>
      </w:r>
    </w:p>
    <w:p w:rsidR="00E201F7" w:rsidRDefault="00E24EFF">
      <w:pPr>
        <w:pStyle w:val="ListParagraph"/>
        <w:numPr>
          <w:ilvl w:val="0"/>
          <w:numId w:val="110"/>
        </w:numPr>
        <w:autoSpaceDE w:val="0"/>
        <w:autoSpaceDN w:val="0"/>
        <w:adjustRightInd w:val="0"/>
        <w:spacing w:after="0"/>
        <w:ind w:left="1200"/>
        <w:rPr>
          <w:rFonts w:ascii="Arial" w:hAnsi="Arial" w:cs="Arial"/>
          <w:noProof/>
          <w:sz w:val="20"/>
          <w:szCs w:val="20"/>
        </w:rPr>
      </w:pPr>
      <w:r>
        <w:rPr>
          <w:rFonts w:ascii="Arial" w:hAnsi="Arial" w:cs="Arial"/>
          <w:noProof/>
          <w:sz w:val="20"/>
          <w:szCs w:val="20"/>
        </w:rPr>
        <w:t>inadequate treatment of urban waste water;</w:t>
      </w:r>
    </w:p>
    <w:p w:rsidR="00E201F7" w:rsidRDefault="00E24EFF">
      <w:pPr>
        <w:pStyle w:val="ListParagraph"/>
        <w:numPr>
          <w:ilvl w:val="0"/>
          <w:numId w:val="110"/>
        </w:numPr>
        <w:spacing w:after="0"/>
        <w:ind w:left="1200"/>
        <w:rPr>
          <w:rFonts w:ascii="Arial" w:hAnsi="Arial" w:cs="Arial"/>
          <w:noProof/>
          <w:sz w:val="20"/>
          <w:szCs w:val="20"/>
        </w:rPr>
      </w:pPr>
      <w:r>
        <w:rPr>
          <w:rFonts w:ascii="Arial" w:hAnsi="Arial" w:cs="Arial"/>
          <w:noProof/>
          <w:sz w:val="20"/>
          <w:szCs w:val="20"/>
        </w:rPr>
        <w:t>failure to comply with the Floods Directive</w:t>
      </w:r>
      <w:r>
        <w:rPr>
          <w:rStyle w:val="FootnoteReference"/>
          <w:rFonts w:ascii="Arial" w:hAnsi="Arial" w:cs="Arial"/>
          <w:noProof/>
          <w:sz w:val="20"/>
          <w:szCs w:val="20"/>
        </w:rPr>
        <w:footnoteReference w:id="75"/>
      </w:r>
      <w:r>
        <w:rPr>
          <w:rFonts w:ascii="Arial" w:hAnsi="Arial" w:cs="Arial"/>
          <w:noProof/>
          <w:sz w:val="20"/>
          <w:szCs w:val="20"/>
        </w:rPr>
        <w:t>;</w:t>
      </w:r>
    </w:p>
    <w:p w:rsidR="00E201F7" w:rsidRDefault="00E24EFF">
      <w:pPr>
        <w:pStyle w:val="ListParagraph"/>
        <w:numPr>
          <w:ilvl w:val="0"/>
          <w:numId w:val="110"/>
        </w:numPr>
        <w:spacing w:after="0"/>
        <w:ind w:left="1200"/>
        <w:rPr>
          <w:rFonts w:ascii="Arial" w:hAnsi="Arial" w:cs="Arial"/>
          <w:noProof/>
          <w:sz w:val="20"/>
          <w:szCs w:val="20"/>
        </w:rPr>
      </w:pPr>
      <w:r>
        <w:rPr>
          <w:rFonts w:ascii="Arial" w:hAnsi="Arial" w:cs="Arial"/>
          <w:noProof/>
          <w:sz w:val="20"/>
          <w:szCs w:val="20"/>
        </w:rPr>
        <w:t>non-compliance wi</w:t>
      </w:r>
      <w:r>
        <w:rPr>
          <w:rFonts w:ascii="Arial" w:hAnsi="Arial" w:cs="Arial"/>
          <w:noProof/>
          <w:sz w:val="20"/>
          <w:szCs w:val="20"/>
        </w:rPr>
        <w:t>th the Water Framework Directive</w:t>
      </w:r>
      <w:r>
        <w:rPr>
          <w:rStyle w:val="FootnoteReference"/>
          <w:rFonts w:ascii="Arial" w:hAnsi="Arial" w:cs="Arial"/>
          <w:noProof/>
          <w:sz w:val="20"/>
          <w:szCs w:val="20"/>
        </w:rPr>
        <w:footnoteReference w:id="76"/>
      </w:r>
      <w:r>
        <w:rPr>
          <w:rFonts w:ascii="Arial" w:hAnsi="Arial" w:cs="Arial"/>
          <w:noProof/>
          <w:sz w:val="20"/>
          <w:szCs w:val="20"/>
        </w:rPr>
        <w:t>;</w:t>
      </w:r>
    </w:p>
    <w:p w:rsidR="00E201F7" w:rsidRDefault="00E24EFF">
      <w:pPr>
        <w:pStyle w:val="ListParagraph"/>
        <w:numPr>
          <w:ilvl w:val="0"/>
          <w:numId w:val="110"/>
        </w:numPr>
        <w:spacing w:after="0"/>
        <w:ind w:left="1200"/>
        <w:rPr>
          <w:rFonts w:ascii="Arial" w:hAnsi="Arial" w:cs="Arial"/>
          <w:noProof/>
          <w:sz w:val="20"/>
          <w:szCs w:val="20"/>
        </w:rPr>
      </w:pPr>
      <w:r>
        <w:rPr>
          <w:rFonts w:ascii="Arial" w:hAnsi="Arial" w:cs="Arial"/>
          <w:noProof/>
          <w:sz w:val="20"/>
          <w:szCs w:val="20"/>
        </w:rPr>
        <w:t>failure to comply with the Marine Strategy Framework Directive</w:t>
      </w:r>
      <w:r>
        <w:rPr>
          <w:rStyle w:val="FootnoteReference"/>
          <w:rFonts w:ascii="Arial" w:hAnsi="Arial" w:cs="Arial"/>
          <w:noProof/>
          <w:sz w:val="20"/>
          <w:szCs w:val="20"/>
        </w:rPr>
        <w:footnoteReference w:id="77"/>
      </w:r>
      <w:r>
        <w:rPr>
          <w:rFonts w:ascii="Arial" w:hAnsi="Arial" w:cs="Arial"/>
          <w:noProof/>
          <w:sz w:val="20"/>
          <w:szCs w:val="20"/>
        </w:rPr>
        <w:t>;</w:t>
      </w:r>
    </w:p>
    <w:p w:rsidR="00E201F7" w:rsidRDefault="00E24EFF">
      <w:pPr>
        <w:pStyle w:val="ListParagraph"/>
        <w:numPr>
          <w:ilvl w:val="0"/>
          <w:numId w:val="110"/>
        </w:numPr>
        <w:spacing w:after="0"/>
        <w:ind w:left="1200"/>
        <w:rPr>
          <w:rFonts w:ascii="Arial" w:hAnsi="Arial" w:cs="Arial"/>
          <w:noProof/>
          <w:sz w:val="20"/>
          <w:szCs w:val="20"/>
          <w:lang w:val="fr-BE"/>
        </w:rPr>
      </w:pPr>
      <w:r>
        <w:rPr>
          <w:rFonts w:ascii="Arial" w:hAnsi="Arial" w:cs="Arial"/>
          <w:noProof/>
          <w:sz w:val="20"/>
          <w:szCs w:val="20"/>
          <w:lang w:val="fr-BE"/>
        </w:rPr>
        <w:t xml:space="preserve">non-compliance with EU rules on </w:t>
      </w:r>
      <w:hyperlink r:id="rId79" w:history="1">
        <w:r>
          <w:rPr>
            <w:rFonts w:ascii="Arial" w:hAnsi="Arial" w:cs="Arial"/>
            <w:noProof/>
            <w:sz w:val="20"/>
            <w:szCs w:val="20"/>
            <w:lang w:val="fr-BE"/>
          </w:rPr>
          <w:t>ambient air quality</w:t>
        </w:r>
      </w:hyperlink>
      <w:r>
        <w:rPr>
          <w:rStyle w:val="FootnoteReference"/>
          <w:rFonts w:ascii="Arial" w:hAnsi="Arial" w:cs="Arial"/>
          <w:noProof/>
          <w:sz w:val="20"/>
          <w:szCs w:val="20"/>
        </w:rPr>
        <w:footnoteReference w:id="78"/>
      </w:r>
      <w:r>
        <w:rPr>
          <w:rFonts w:ascii="Arial" w:hAnsi="Arial" w:cs="Arial"/>
          <w:noProof/>
          <w:sz w:val="20"/>
          <w:szCs w:val="20"/>
          <w:lang w:val="fr-BE"/>
        </w:rPr>
        <w:t>;</w:t>
      </w:r>
    </w:p>
    <w:p w:rsidR="00E201F7" w:rsidRDefault="00E24EFF">
      <w:pPr>
        <w:pStyle w:val="ListParagraph"/>
        <w:numPr>
          <w:ilvl w:val="0"/>
          <w:numId w:val="110"/>
        </w:numPr>
        <w:spacing w:after="0"/>
        <w:ind w:left="1200"/>
        <w:rPr>
          <w:rFonts w:ascii="Arial" w:hAnsi="Arial" w:cs="Arial"/>
          <w:noProof/>
          <w:sz w:val="20"/>
          <w:szCs w:val="20"/>
        </w:rPr>
      </w:pPr>
      <w:r>
        <w:rPr>
          <w:rFonts w:ascii="Arial" w:hAnsi="Arial" w:cs="Arial"/>
          <w:noProof/>
          <w:sz w:val="20"/>
          <w:szCs w:val="20"/>
        </w:rPr>
        <w:t>failure to ad</w:t>
      </w:r>
      <w:r>
        <w:rPr>
          <w:rFonts w:ascii="Arial" w:hAnsi="Arial" w:cs="Arial"/>
          <w:noProof/>
          <w:sz w:val="20"/>
          <w:szCs w:val="20"/>
        </w:rPr>
        <w:t>opt the required measures on environmental noise;</w:t>
      </w:r>
    </w:p>
    <w:p w:rsidR="00E201F7" w:rsidRDefault="00E24EFF">
      <w:pPr>
        <w:pStyle w:val="ListParagraph"/>
        <w:numPr>
          <w:ilvl w:val="0"/>
          <w:numId w:val="110"/>
        </w:numPr>
        <w:spacing w:after="0"/>
        <w:ind w:left="1200"/>
        <w:rPr>
          <w:rFonts w:ascii="Arial" w:hAnsi="Arial" w:cs="Arial"/>
          <w:noProof/>
          <w:sz w:val="20"/>
          <w:szCs w:val="20"/>
        </w:rPr>
      </w:pPr>
      <w:r>
        <w:rPr>
          <w:rFonts w:ascii="Arial" w:hAnsi="Arial" w:cs="Arial"/>
          <w:noProof/>
          <w:sz w:val="20"/>
          <w:szCs w:val="20"/>
        </w:rPr>
        <w:t>non-compliant transposition of the Industrial Emissions Directive</w:t>
      </w:r>
      <w:r>
        <w:rPr>
          <w:rStyle w:val="FootnoteReference"/>
          <w:rFonts w:ascii="Arial" w:hAnsi="Arial" w:cs="Arial"/>
          <w:noProof/>
          <w:sz w:val="20"/>
          <w:szCs w:val="20"/>
        </w:rPr>
        <w:footnoteReference w:id="79"/>
      </w:r>
      <w:r>
        <w:rPr>
          <w:rFonts w:ascii="Arial" w:hAnsi="Arial" w:cs="Arial"/>
          <w:noProof/>
          <w:sz w:val="20"/>
          <w:szCs w:val="20"/>
        </w:rPr>
        <w:t>.</w:t>
      </w:r>
    </w:p>
    <w:p w:rsidR="00E201F7" w:rsidRDefault="00E24EFF">
      <w:pPr>
        <w:pStyle w:val="kop2"/>
        <w:rPr>
          <w:noProof/>
        </w:rPr>
      </w:pPr>
      <w:r>
        <w:rPr>
          <w:noProof/>
        </w:rPr>
        <w:t>INFRINGEMENT CASES</w:t>
      </w:r>
    </w:p>
    <w:p w:rsidR="00E201F7" w:rsidRDefault="00E24EFF">
      <w:pPr>
        <w:numPr>
          <w:ilvl w:val="0"/>
          <w:numId w:val="111"/>
        </w:numPr>
        <w:spacing w:before="240"/>
        <w:ind w:left="714" w:hanging="357"/>
        <w:jc w:val="left"/>
        <w:outlineLvl w:val="1"/>
        <w:rPr>
          <w:rFonts w:ascii="Arial" w:hAnsi="Arial" w:cs="Arial"/>
          <w:noProof/>
          <w:color w:val="002060"/>
          <w:sz w:val="22"/>
        </w:rPr>
      </w:pPr>
      <w:r>
        <w:rPr>
          <w:rFonts w:ascii="Arial" w:hAnsi="Arial" w:cs="Arial"/>
          <w:noProof/>
          <w:color w:val="002060"/>
          <w:sz w:val="22"/>
        </w:rPr>
        <w:t>Infringement cases open on 31 December (2013-2017)</w:t>
      </w:r>
    </w:p>
    <w:p w:rsidR="00E201F7" w:rsidRDefault="00E24EFF">
      <w:pPr>
        <w:pStyle w:val="Basis"/>
        <w:rPr>
          <w:noProof/>
          <w:lang w:val="en-GB"/>
        </w:rPr>
      </w:pPr>
      <w:r>
        <w:rPr>
          <w:noProof/>
          <w:lang w:val="en-GB"/>
        </w:rPr>
        <w:drawing>
          <wp:inline distT="0" distB="0" distL="0" distR="0" wp14:anchorId="278B88D4" wp14:editId="2F0D06B5">
            <wp:extent cx="4572000" cy="2286000"/>
            <wp:effectExtent l="0" t="0" r="0" b="0"/>
            <wp:docPr id="315" name="Grafie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E201F7" w:rsidRDefault="00E24EFF">
      <w:pPr>
        <w:spacing w:after="0"/>
        <w:jc w:val="left"/>
        <w:rPr>
          <w:rFonts w:ascii="Verdana" w:hAnsi="Verdana"/>
          <w:noProof/>
          <w:sz w:val="20"/>
        </w:rPr>
      </w:pPr>
      <w:r>
        <w:rPr>
          <w:noProof/>
        </w:rPr>
        <w:br w:type="page"/>
      </w:r>
    </w:p>
    <w:p w:rsidR="00E201F7" w:rsidRDefault="00E24EFF">
      <w:pPr>
        <w:numPr>
          <w:ilvl w:val="0"/>
          <w:numId w:val="111"/>
        </w:numPr>
        <w:spacing w:before="240"/>
        <w:ind w:left="714" w:hanging="357"/>
        <w:jc w:val="left"/>
        <w:outlineLvl w:val="1"/>
        <w:rPr>
          <w:rFonts w:ascii="Arial" w:hAnsi="Arial" w:cs="Arial"/>
          <w:noProof/>
          <w:color w:val="002060"/>
          <w:sz w:val="22"/>
        </w:rPr>
      </w:pPr>
      <w:r>
        <w:rPr>
          <w:rFonts w:ascii="Arial" w:hAnsi="Arial" w:cs="Arial"/>
          <w:noProof/>
          <w:color w:val="002060"/>
          <w:sz w:val="22"/>
        </w:rPr>
        <w:t>Infringement cases open on 31 December 2017: main policy sectors</w:t>
      </w:r>
    </w:p>
    <w:p w:rsidR="00E201F7" w:rsidRDefault="00E24EFF">
      <w:pPr>
        <w:pStyle w:val="Basis"/>
        <w:rPr>
          <w:noProof/>
          <w:lang w:val="en-GB"/>
        </w:rPr>
      </w:pPr>
      <w:r>
        <w:rPr>
          <w:noProof/>
          <w:lang w:val="en-GB"/>
        </w:rPr>
        <w:drawing>
          <wp:inline distT="0" distB="0" distL="0" distR="0" wp14:anchorId="21C7117E" wp14:editId="6CF6CA0A">
            <wp:extent cx="4795520" cy="2824480"/>
            <wp:effectExtent l="0" t="0" r="24130" b="13970"/>
            <wp:docPr id="40"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E201F7" w:rsidRDefault="00E24EFF">
      <w:pPr>
        <w:numPr>
          <w:ilvl w:val="0"/>
          <w:numId w:val="111"/>
        </w:numPr>
        <w:spacing w:before="240"/>
        <w:ind w:left="714" w:hanging="357"/>
        <w:jc w:val="left"/>
        <w:outlineLvl w:val="1"/>
        <w:rPr>
          <w:rFonts w:ascii="Arial" w:hAnsi="Arial" w:cs="Arial"/>
          <w:noProof/>
          <w:color w:val="002060"/>
          <w:sz w:val="22"/>
        </w:rPr>
      </w:pPr>
      <w:r>
        <w:rPr>
          <w:rFonts w:ascii="Arial" w:hAnsi="Arial" w:cs="Arial"/>
          <w:noProof/>
          <w:color w:val="002060"/>
          <w:sz w:val="22"/>
        </w:rPr>
        <w:t>New infringement cases opened in 2017: main policy sectors</w:t>
      </w:r>
    </w:p>
    <w:p w:rsidR="00E201F7" w:rsidRDefault="00E24EFF">
      <w:pPr>
        <w:pStyle w:val="Basis"/>
        <w:rPr>
          <w:noProof/>
          <w:lang w:val="en-GB"/>
        </w:rPr>
      </w:pPr>
      <w:r>
        <w:rPr>
          <w:noProof/>
          <w:lang w:val="en-GB"/>
        </w:rPr>
        <w:drawing>
          <wp:inline distT="0" distB="0" distL="0" distR="0" wp14:anchorId="52B1D579" wp14:editId="0B5755C2">
            <wp:extent cx="4795520" cy="2641600"/>
            <wp:effectExtent l="0" t="0" r="24130" b="25400"/>
            <wp:docPr id="59"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E201F7" w:rsidRDefault="00E24EFF">
      <w:pPr>
        <w:numPr>
          <w:ilvl w:val="0"/>
          <w:numId w:val="111"/>
        </w:numPr>
        <w:spacing w:before="240"/>
        <w:ind w:left="714" w:hanging="357"/>
        <w:jc w:val="left"/>
        <w:outlineLvl w:val="1"/>
        <w:rPr>
          <w:rFonts w:ascii="Arial" w:hAnsi="Arial" w:cs="Arial"/>
          <w:noProof/>
          <w:color w:val="002060"/>
          <w:sz w:val="22"/>
        </w:rPr>
      </w:pPr>
      <w:r>
        <w:rPr>
          <w:rFonts w:ascii="Arial" w:hAnsi="Arial" w:cs="Arial"/>
          <w:noProof/>
          <w:color w:val="002060"/>
          <w:sz w:val="22"/>
        </w:rPr>
        <w:t>Key infringement cases and referrals to the Court</w:t>
      </w:r>
    </w:p>
    <w:p w:rsidR="00E201F7" w:rsidRDefault="00E24EFF">
      <w:pPr>
        <w:pStyle w:val="Lijstje"/>
        <w:numPr>
          <w:ilvl w:val="0"/>
          <w:numId w:val="45"/>
        </w:numPr>
        <w:spacing w:after="120"/>
        <w:ind w:left="1200" w:hanging="360"/>
        <w:rPr>
          <w:rFonts w:ascii="Arial" w:hAnsi="Arial" w:cs="Arial"/>
          <w:noProof/>
          <w:szCs w:val="20"/>
          <w:lang w:val="en-GB"/>
        </w:rPr>
      </w:pPr>
      <w:r>
        <w:rPr>
          <w:rFonts w:ascii="Arial" w:hAnsi="Arial" w:cs="Arial"/>
          <w:noProof/>
          <w:szCs w:val="20"/>
          <w:lang w:val="en-GB"/>
        </w:rPr>
        <w:t>The Commission opened 173 new infringement cases in 2017. These, and other major ongoing infringement cases, include the following:</w:t>
      </w:r>
    </w:p>
    <w:p w:rsidR="00E201F7" w:rsidRDefault="00E24EFF">
      <w:pPr>
        <w:numPr>
          <w:ilvl w:val="0"/>
          <w:numId w:val="24"/>
        </w:numPr>
        <w:spacing w:after="200"/>
        <w:ind w:left="1800"/>
        <w:contextualSpacing/>
        <w:rPr>
          <w:rFonts w:ascii="Arial" w:hAnsi="Arial" w:cs="Arial"/>
          <w:noProof/>
          <w:sz w:val="20"/>
          <w:szCs w:val="20"/>
        </w:rPr>
      </w:pPr>
      <w:r>
        <w:rPr>
          <w:rFonts w:ascii="Arial" w:eastAsia="Calibri" w:hAnsi="Arial" w:cs="Arial"/>
          <w:i/>
          <w:noProof/>
          <w:kern w:val="20"/>
          <w:sz w:val="20"/>
          <w:szCs w:val="20"/>
        </w:rPr>
        <w:t>Belgium</w:t>
      </w:r>
      <w:r>
        <w:rPr>
          <w:rStyle w:val="FootnoteReference"/>
          <w:rFonts w:ascii="Arial" w:eastAsia="Calibri" w:hAnsi="Arial" w:cs="Arial"/>
          <w:i/>
          <w:noProof/>
          <w:kern w:val="20"/>
          <w:sz w:val="20"/>
          <w:szCs w:val="20"/>
        </w:rPr>
        <w:footnoteReference w:id="80"/>
      </w:r>
      <w:r>
        <w:rPr>
          <w:rFonts w:ascii="Arial" w:eastAsia="Calibri" w:hAnsi="Arial" w:cs="Arial"/>
          <w:noProof/>
          <w:kern w:val="20"/>
          <w:sz w:val="20"/>
          <w:szCs w:val="20"/>
        </w:rPr>
        <w:t xml:space="preserve">, </w:t>
      </w:r>
      <w:r>
        <w:rPr>
          <w:rFonts w:ascii="Arial" w:eastAsia="Calibri" w:hAnsi="Arial" w:cs="Arial"/>
          <w:i/>
          <w:noProof/>
          <w:kern w:val="20"/>
          <w:sz w:val="20"/>
          <w:szCs w:val="20"/>
        </w:rPr>
        <w:t>Spain</w:t>
      </w:r>
      <w:r>
        <w:rPr>
          <w:rStyle w:val="FootnoteReference"/>
          <w:rFonts w:ascii="Arial" w:eastAsia="Calibri" w:hAnsi="Arial" w:cs="Arial"/>
          <w:i/>
          <w:noProof/>
          <w:kern w:val="20"/>
          <w:sz w:val="20"/>
          <w:szCs w:val="20"/>
        </w:rPr>
        <w:footnoteReference w:id="81"/>
      </w:r>
      <w:r>
        <w:rPr>
          <w:rFonts w:ascii="Arial" w:eastAsia="Calibri" w:hAnsi="Arial" w:cs="Arial"/>
          <w:i/>
          <w:noProof/>
          <w:kern w:val="20"/>
          <w:sz w:val="20"/>
          <w:szCs w:val="20"/>
        </w:rPr>
        <w:t xml:space="preserve"> and Italy</w:t>
      </w:r>
      <w:r>
        <w:rPr>
          <w:rStyle w:val="FootnoteReference"/>
          <w:rFonts w:ascii="Arial" w:eastAsia="Calibri" w:hAnsi="Arial" w:cs="Arial"/>
          <w:i/>
          <w:noProof/>
          <w:kern w:val="20"/>
          <w:sz w:val="20"/>
          <w:szCs w:val="20"/>
        </w:rPr>
        <w:footnoteReference w:id="82"/>
      </w:r>
      <w:r>
        <w:rPr>
          <w:rFonts w:ascii="Arial" w:hAnsi="Arial" w:cs="Arial"/>
          <w:noProof/>
          <w:sz w:val="20"/>
          <w:szCs w:val="20"/>
        </w:rPr>
        <w:t>: lack of waste management plans and/or waste prevention programmes required under the Waste Framework Directive</w:t>
      </w:r>
      <w:r>
        <w:rPr>
          <w:rStyle w:val="FootnoteReference"/>
          <w:rFonts w:ascii="Arial" w:hAnsi="Arial" w:cs="Arial"/>
          <w:noProof/>
          <w:sz w:val="20"/>
          <w:szCs w:val="20"/>
        </w:rPr>
        <w:footnoteReference w:id="83"/>
      </w:r>
      <w:r>
        <w:rPr>
          <w:rFonts w:ascii="Arial" w:hAnsi="Arial" w:cs="Arial"/>
          <w:noProof/>
          <w:sz w:val="20"/>
          <w:szCs w:val="20"/>
        </w:rPr>
        <w:t>;</w:t>
      </w:r>
    </w:p>
    <w:p w:rsidR="00E201F7" w:rsidRDefault="00E24EFF">
      <w:pPr>
        <w:numPr>
          <w:ilvl w:val="0"/>
          <w:numId w:val="24"/>
        </w:numPr>
        <w:spacing w:after="0"/>
        <w:ind w:left="1800"/>
        <w:contextualSpacing/>
        <w:rPr>
          <w:rFonts w:ascii="Arial" w:hAnsi="Arial" w:cs="Arial"/>
          <w:i/>
          <w:noProof/>
          <w:sz w:val="20"/>
          <w:szCs w:val="20"/>
        </w:rPr>
      </w:pPr>
      <w:r>
        <w:rPr>
          <w:rFonts w:ascii="Arial" w:hAnsi="Arial" w:cs="Arial"/>
          <w:i/>
          <w:noProof/>
          <w:sz w:val="20"/>
          <w:szCs w:val="20"/>
        </w:rPr>
        <w:t>Belgium, Czech Republic</w:t>
      </w:r>
      <w:r>
        <w:rPr>
          <w:rStyle w:val="FootnoteReference"/>
          <w:rFonts w:ascii="Arial" w:hAnsi="Arial" w:cs="Arial"/>
          <w:i/>
          <w:noProof/>
          <w:sz w:val="20"/>
          <w:szCs w:val="20"/>
        </w:rPr>
        <w:footnoteReference w:id="84"/>
      </w:r>
      <w:r>
        <w:rPr>
          <w:rFonts w:ascii="Arial" w:hAnsi="Arial" w:cs="Arial"/>
          <w:i/>
          <w:noProof/>
          <w:sz w:val="20"/>
          <w:szCs w:val="20"/>
        </w:rPr>
        <w:t>, Germany</w:t>
      </w:r>
      <w:r>
        <w:rPr>
          <w:rStyle w:val="FootnoteReference"/>
          <w:rFonts w:ascii="Arial" w:hAnsi="Arial" w:cs="Arial"/>
          <w:i/>
          <w:noProof/>
          <w:sz w:val="20"/>
          <w:szCs w:val="20"/>
        </w:rPr>
        <w:footnoteReference w:id="85"/>
      </w:r>
      <w:r>
        <w:rPr>
          <w:rFonts w:ascii="Arial" w:hAnsi="Arial" w:cs="Arial"/>
          <w:i/>
          <w:noProof/>
          <w:sz w:val="20"/>
          <w:szCs w:val="20"/>
        </w:rPr>
        <w:t>, Greece</w:t>
      </w:r>
      <w:r>
        <w:rPr>
          <w:rStyle w:val="FootnoteReference"/>
          <w:rFonts w:ascii="Arial" w:hAnsi="Arial" w:cs="Arial"/>
          <w:i/>
          <w:noProof/>
          <w:sz w:val="20"/>
          <w:szCs w:val="20"/>
        </w:rPr>
        <w:footnoteReference w:id="86"/>
      </w:r>
      <w:r>
        <w:rPr>
          <w:rFonts w:ascii="Arial" w:hAnsi="Arial" w:cs="Arial"/>
          <w:i/>
          <w:noProof/>
          <w:sz w:val="20"/>
          <w:szCs w:val="20"/>
        </w:rPr>
        <w:t>, France</w:t>
      </w:r>
      <w:r>
        <w:rPr>
          <w:rStyle w:val="FootnoteReference"/>
          <w:rFonts w:ascii="Arial" w:hAnsi="Arial" w:cs="Arial"/>
          <w:i/>
          <w:noProof/>
          <w:sz w:val="20"/>
          <w:szCs w:val="20"/>
        </w:rPr>
        <w:footnoteReference w:id="87"/>
      </w:r>
      <w:r>
        <w:rPr>
          <w:rFonts w:ascii="Arial" w:hAnsi="Arial" w:cs="Arial"/>
          <w:i/>
          <w:noProof/>
          <w:sz w:val="20"/>
          <w:szCs w:val="20"/>
        </w:rPr>
        <w:t>, Croatia, Cyprus</w:t>
      </w:r>
      <w:r>
        <w:rPr>
          <w:rStyle w:val="FootnoteReference"/>
          <w:rFonts w:ascii="Arial" w:hAnsi="Arial" w:cs="Arial"/>
          <w:i/>
          <w:noProof/>
          <w:sz w:val="20"/>
          <w:szCs w:val="20"/>
        </w:rPr>
        <w:footnoteReference w:id="88"/>
      </w:r>
      <w:r>
        <w:rPr>
          <w:rFonts w:ascii="Arial" w:hAnsi="Arial" w:cs="Arial"/>
          <w:i/>
          <w:noProof/>
          <w:sz w:val="20"/>
          <w:szCs w:val="20"/>
        </w:rPr>
        <w:t>, Hungary</w:t>
      </w:r>
      <w:r>
        <w:rPr>
          <w:rStyle w:val="FootnoteReference"/>
          <w:rFonts w:ascii="Arial" w:hAnsi="Arial" w:cs="Arial"/>
          <w:i/>
          <w:noProof/>
          <w:sz w:val="20"/>
          <w:szCs w:val="20"/>
        </w:rPr>
        <w:footnoteReference w:id="89"/>
      </w:r>
      <w:r>
        <w:rPr>
          <w:rFonts w:ascii="Arial" w:hAnsi="Arial" w:cs="Arial"/>
          <w:i/>
          <w:noProof/>
          <w:sz w:val="20"/>
          <w:szCs w:val="20"/>
        </w:rPr>
        <w:t>, Poland</w:t>
      </w:r>
      <w:r>
        <w:rPr>
          <w:rStyle w:val="FootnoteReference"/>
          <w:rFonts w:ascii="Arial" w:hAnsi="Arial" w:cs="Arial"/>
          <w:i/>
          <w:noProof/>
          <w:sz w:val="20"/>
          <w:szCs w:val="20"/>
        </w:rPr>
        <w:footnoteReference w:id="90"/>
      </w:r>
      <w:r>
        <w:rPr>
          <w:rFonts w:ascii="Arial" w:hAnsi="Arial" w:cs="Arial"/>
          <w:i/>
          <w:noProof/>
          <w:sz w:val="20"/>
          <w:szCs w:val="20"/>
        </w:rPr>
        <w:t>, Portugal</w:t>
      </w:r>
      <w:r>
        <w:rPr>
          <w:rStyle w:val="FootnoteReference"/>
          <w:rFonts w:ascii="Arial" w:hAnsi="Arial" w:cs="Arial"/>
          <w:i/>
          <w:noProof/>
          <w:sz w:val="20"/>
          <w:szCs w:val="20"/>
        </w:rPr>
        <w:footnoteReference w:id="91"/>
      </w:r>
      <w:r>
        <w:rPr>
          <w:rFonts w:ascii="Arial" w:hAnsi="Arial" w:cs="Arial"/>
          <w:i/>
          <w:noProof/>
          <w:sz w:val="20"/>
          <w:szCs w:val="20"/>
        </w:rPr>
        <w:t>, Romania</w:t>
      </w:r>
      <w:r>
        <w:rPr>
          <w:rStyle w:val="FootnoteReference"/>
          <w:rFonts w:ascii="Arial" w:hAnsi="Arial" w:cs="Arial"/>
          <w:i/>
          <w:noProof/>
          <w:sz w:val="20"/>
          <w:szCs w:val="20"/>
        </w:rPr>
        <w:footnoteReference w:id="92"/>
      </w:r>
      <w:r>
        <w:rPr>
          <w:rFonts w:ascii="Arial" w:hAnsi="Arial" w:cs="Arial"/>
          <w:i/>
          <w:noProof/>
          <w:sz w:val="20"/>
          <w:szCs w:val="20"/>
        </w:rPr>
        <w:t>, Slovenia</w:t>
      </w:r>
      <w:r>
        <w:rPr>
          <w:rStyle w:val="FootnoteReference"/>
          <w:rFonts w:ascii="Arial" w:hAnsi="Arial" w:cs="Arial"/>
          <w:i/>
          <w:noProof/>
          <w:sz w:val="20"/>
          <w:szCs w:val="20"/>
        </w:rPr>
        <w:footnoteReference w:id="93"/>
      </w:r>
      <w:r>
        <w:rPr>
          <w:rFonts w:ascii="Arial" w:hAnsi="Arial" w:cs="Arial"/>
          <w:i/>
          <w:noProof/>
          <w:sz w:val="20"/>
          <w:szCs w:val="20"/>
        </w:rPr>
        <w:t xml:space="preserve"> and Slovakia</w:t>
      </w:r>
      <w:r>
        <w:rPr>
          <w:rStyle w:val="FootnoteReference"/>
          <w:rFonts w:ascii="Arial" w:hAnsi="Arial" w:cs="Arial"/>
          <w:i/>
          <w:noProof/>
          <w:sz w:val="20"/>
          <w:szCs w:val="20"/>
        </w:rPr>
        <w:footnoteReference w:id="94"/>
      </w:r>
      <w:r>
        <w:rPr>
          <w:rFonts w:ascii="Arial" w:hAnsi="Arial" w:cs="Arial"/>
          <w:i/>
          <w:noProof/>
          <w:sz w:val="20"/>
          <w:szCs w:val="20"/>
        </w:rPr>
        <w:t xml:space="preserve">: </w:t>
      </w:r>
      <w:r>
        <w:rPr>
          <w:rFonts w:ascii="Arial" w:hAnsi="Arial" w:cs="Arial"/>
          <w:noProof/>
          <w:sz w:val="20"/>
          <w:szCs w:val="20"/>
        </w:rPr>
        <w:t>failure to establish strategic noise maps and/or action plans required by the Noise Directive</w:t>
      </w:r>
      <w:r>
        <w:rPr>
          <w:rStyle w:val="FootnoteReference"/>
          <w:rFonts w:ascii="Arial" w:hAnsi="Arial" w:cs="Arial"/>
          <w:noProof/>
          <w:sz w:val="20"/>
          <w:szCs w:val="20"/>
        </w:rPr>
        <w:footnoteReference w:id="95"/>
      </w:r>
      <w:r>
        <w:rPr>
          <w:rFonts w:ascii="Arial" w:hAnsi="Arial" w:cs="Arial"/>
          <w:noProof/>
          <w:sz w:val="20"/>
          <w:szCs w:val="20"/>
        </w:rPr>
        <w:t>;</w:t>
      </w:r>
    </w:p>
    <w:p w:rsidR="00E201F7" w:rsidRDefault="00E24EFF">
      <w:pPr>
        <w:numPr>
          <w:ilvl w:val="0"/>
          <w:numId w:val="24"/>
        </w:numPr>
        <w:spacing w:after="200"/>
        <w:ind w:left="1800"/>
        <w:contextualSpacing/>
        <w:rPr>
          <w:rFonts w:ascii="Arial" w:hAnsi="Arial" w:cs="Arial"/>
          <w:noProof/>
          <w:sz w:val="20"/>
          <w:szCs w:val="20"/>
        </w:rPr>
      </w:pPr>
      <w:r>
        <w:rPr>
          <w:rFonts w:ascii="Arial" w:hAnsi="Arial" w:cs="Arial"/>
          <w:i/>
          <w:noProof/>
          <w:sz w:val="20"/>
          <w:szCs w:val="20"/>
        </w:rPr>
        <w:t>Bulgaria</w:t>
      </w:r>
      <w:r>
        <w:rPr>
          <w:rFonts w:ascii="Arial" w:hAnsi="Arial" w:cs="Arial"/>
          <w:noProof/>
          <w:sz w:val="20"/>
          <w:szCs w:val="20"/>
        </w:rPr>
        <w:t>: non-compliant transposition of the Extractive Waste Directive</w:t>
      </w:r>
      <w:r>
        <w:rPr>
          <w:rStyle w:val="FootnoteReference"/>
          <w:rFonts w:ascii="Arial" w:hAnsi="Arial" w:cs="Arial"/>
          <w:noProof/>
          <w:sz w:val="20"/>
          <w:szCs w:val="20"/>
        </w:rPr>
        <w:footnoteReference w:id="96"/>
      </w:r>
      <w:r>
        <w:rPr>
          <w:rFonts w:ascii="Arial" w:hAnsi="Arial" w:cs="Arial"/>
          <w:noProof/>
          <w:sz w:val="20"/>
          <w:szCs w:val="20"/>
        </w:rPr>
        <w:t>;</w:t>
      </w:r>
    </w:p>
    <w:p w:rsidR="00E201F7" w:rsidRDefault="00E24EFF">
      <w:pPr>
        <w:numPr>
          <w:ilvl w:val="0"/>
          <w:numId w:val="24"/>
        </w:numPr>
        <w:spacing w:after="0"/>
        <w:ind w:left="1800"/>
        <w:contextualSpacing/>
        <w:rPr>
          <w:rFonts w:ascii="Arial" w:hAnsi="Arial" w:cs="Arial"/>
          <w:noProof/>
          <w:sz w:val="20"/>
          <w:szCs w:val="20"/>
        </w:rPr>
      </w:pPr>
      <w:r>
        <w:rPr>
          <w:rFonts w:ascii="Arial" w:hAnsi="Arial" w:cs="Arial"/>
          <w:i/>
          <w:noProof/>
          <w:sz w:val="20"/>
          <w:szCs w:val="20"/>
        </w:rPr>
        <w:t>Bulgaria</w:t>
      </w:r>
      <w:r>
        <w:rPr>
          <w:rStyle w:val="FootnoteReference"/>
          <w:rFonts w:ascii="Arial" w:hAnsi="Arial" w:cs="Arial"/>
          <w:i/>
          <w:noProof/>
          <w:sz w:val="20"/>
          <w:szCs w:val="20"/>
        </w:rPr>
        <w:footnoteReference w:id="97"/>
      </w:r>
      <w:r>
        <w:rPr>
          <w:rFonts w:ascii="Arial" w:hAnsi="Arial" w:cs="Arial"/>
          <w:i/>
          <w:noProof/>
          <w:sz w:val="20"/>
          <w:szCs w:val="20"/>
        </w:rPr>
        <w:t>, Spain</w:t>
      </w:r>
      <w:r>
        <w:rPr>
          <w:rStyle w:val="FootnoteReference"/>
          <w:rFonts w:ascii="Arial" w:hAnsi="Arial" w:cs="Arial"/>
          <w:i/>
          <w:noProof/>
          <w:sz w:val="20"/>
          <w:szCs w:val="20"/>
        </w:rPr>
        <w:footnoteReference w:id="98"/>
      </w:r>
      <w:r>
        <w:rPr>
          <w:rFonts w:ascii="Arial" w:hAnsi="Arial" w:cs="Arial"/>
          <w:i/>
          <w:noProof/>
          <w:sz w:val="20"/>
          <w:szCs w:val="20"/>
        </w:rPr>
        <w:t>, France</w:t>
      </w:r>
      <w:r>
        <w:rPr>
          <w:rStyle w:val="FootnoteReference"/>
          <w:rFonts w:ascii="Arial" w:hAnsi="Arial" w:cs="Arial"/>
          <w:i/>
          <w:noProof/>
          <w:sz w:val="20"/>
          <w:szCs w:val="20"/>
        </w:rPr>
        <w:footnoteReference w:id="99"/>
      </w:r>
      <w:r>
        <w:rPr>
          <w:rFonts w:ascii="Arial" w:hAnsi="Arial" w:cs="Arial"/>
          <w:i/>
          <w:noProof/>
          <w:sz w:val="20"/>
          <w:szCs w:val="20"/>
        </w:rPr>
        <w:t>, Italy</w:t>
      </w:r>
      <w:r>
        <w:rPr>
          <w:rStyle w:val="FootnoteReference"/>
          <w:rFonts w:ascii="Arial" w:hAnsi="Arial" w:cs="Arial"/>
          <w:i/>
          <w:noProof/>
          <w:sz w:val="20"/>
          <w:szCs w:val="20"/>
        </w:rPr>
        <w:footnoteReference w:id="100"/>
      </w:r>
      <w:r>
        <w:rPr>
          <w:rFonts w:ascii="Arial" w:hAnsi="Arial" w:cs="Arial"/>
          <w:i/>
          <w:noProof/>
          <w:sz w:val="20"/>
          <w:szCs w:val="20"/>
        </w:rPr>
        <w:t>, Cyprus</w:t>
      </w:r>
      <w:r>
        <w:rPr>
          <w:rStyle w:val="FootnoteReference"/>
          <w:rFonts w:ascii="Arial" w:hAnsi="Arial" w:cs="Arial"/>
          <w:i/>
          <w:noProof/>
          <w:sz w:val="20"/>
          <w:szCs w:val="20"/>
        </w:rPr>
        <w:footnoteReference w:id="101"/>
      </w:r>
      <w:r>
        <w:rPr>
          <w:rFonts w:ascii="Arial" w:hAnsi="Arial" w:cs="Arial"/>
          <w:i/>
          <w:noProof/>
          <w:sz w:val="20"/>
          <w:szCs w:val="20"/>
        </w:rPr>
        <w:t>, Latvia, Lithuania, Hungar</w:t>
      </w:r>
      <w:r>
        <w:rPr>
          <w:rFonts w:ascii="Arial" w:hAnsi="Arial" w:cs="Arial"/>
          <w:i/>
          <w:noProof/>
          <w:sz w:val="20"/>
          <w:szCs w:val="20"/>
        </w:rPr>
        <w:t>y</w:t>
      </w:r>
      <w:r>
        <w:rPr>
          <w:rStyle w:val="FootnoteReference"/>
          <w:rFonts w:ascii="Arial" w:hAnsi="Arial" w:cs="Arial"/>
          <w:i/>
          <w:noProof/>
          <w:sz w:val="20"/>
          <w:szCs w:val="20"/>
        </w:rPr>
        <w:footnoteReference w:id="102"/>
      </w:r>
      <w:r>
        <w:rPr>
          <w:rFonts w:ascii="Arial" w:hAnsi="Arial" w:cs="Arial"/>
          <w:i/>
          <w:noProof/>
          <w:sz w:val="20"/>
          <w:szCs w:val="20"/>
        </w:rPr>
        <w:t>, Malta</w:t>
      </w:r>
      <w:r>
        <w:rPr>
          <w:rStyle w:val="FootnoteReference"/>
          <w:rFonts w:ascii="Arial" w:hAnsi="Arial" w:cs="Arial"/>
          <w:i/>
          <w:noProof/>
          <w:sz w:val="20"/>
          <w:szCs w:val="20"/>
        </w:rPr>
        <w:footnoteReference w:id="103"/>
      </w:r>
      <w:r>
        <w:rPr>
          <w:rFonts w:ascii="Arial" w:hAnsi="Arial" w:cs="Arial"/>
          <w:i/>
          <w:noProof/>
          <w:sz w:val="20"/>
          <w:szCs w:val="20"/>
        </w:rPr>
        <w:t>, Slovenia and Slovakia:</w:t>
      </w:r>
      <w:r>
        <w:rPr>
          <w:rFonts w:ascii="Arial" w:hAnsi="Arial" w:cs="Arial"/>
          <w:noProof/>
          <w:sz w:val="20"/>
          <w:szCs w:val="20"/>
        </w:rPr>
        <w:t xml:space="preserve"> failure to ensure that urban waste water is adequately treated;</w:t>
      </w:r>
    </w:p>
    <w:p w:rsidR="00E201F7" w:rsidRDefault="00E24EFF">
      <w:pPr>
        <w:numPr>
          <w:ilvl w:val="0"/>
          <w:numId w:val="24"/>
        </w:numPr>
        <w:spacing w:after="200"/>
        <w:ind w:left="1800"/>
        <w:contextualSpacing/>
        <w:rPr>
          <w:rFonts w:ascii="Arial" w:hAnsi="Arial" w:cs="Arial"/>
          <w:noProof/>
          <w:sz w:val="20"/>
          <w:szCs w:val="20"/>
        </w:rPr>
      </w:pPr>
      <w:r>
        <w:rPr>
          <w:rFonts w:ascii="Arial" w:hAnsi="Arial" w:cs="Arial"/>
          <w:i/>
          <w:noProof/>
          <w:sz w:val="20"/>
          <w:szCs w:val="20"/>
        </w:rPr>
        <w:t xml:space="preserve">Denmark, Germany, Ireland, Greece, Spain, France, Italy, Cyprus, Luxembourg, Malta, Netherlands, Austria, Romania, Slovenia, Sweden and </w:t>
      </w:r>
      <w:smartTag w:uri="urn:schemas-microsoft-com:office:smarttags" w:element="country-region">
        <w:smartTag w:uri="urn:schemas-microsoft-com:office:smarttags" w:element="place">
          <w:r>
            <w:rPr>
              <w:rFonts w:ascii="Arial" w:hAnsi="Arial" w:cs="Arial"/>
              <w:i/>
              <w:noProof/>
              <w:sz w:val="20"/>
              <w:szCs w:val="20"/>
            </w:rPr>
            <w:t>United Kingdom</w:t>
          </w:r>
        </w:smartTag>
      </w:smartTag>
      <w:r>
        <w:rPr>
          <w:rFonts w:ascii="Arial" w:hAnsi="Arial" w:cs="Arial"/>
          <w:i/>
          <w:noProof/>
          <w:sz w:val="20"/>
          <w:szCs w:val="20"/>
        </w:rPr>
        <w:t>:</w:t>
      </w:r>
      <w:r>
        <w:rPr>
          <w:rFonts w:ascii="Arial" w:hAnsi="Arial" w:cs="Arial"/>
          <w:noProof/>
          <w:sz w:val="20"/>
          <w:szCs w:val="20"/>
        </w:rPr>
        <w:t xml:space="preserve"> failu</w:t>
      </w:r>
      <w:r>
        <w:rPr>
          <w:rFonts w:ascii="Arial" w:hAnsi="Arial" w:cs="Arial"/>
          <w:noProof/>
          <w:sz w:val="20"/>
          <w:szCs w:val="20"/>
        </w:rPr>
        <w:t>re to comply with reporting obligations under EU waste legislation</w:t>
      </w:r>
      <w:r>
        <w:rPr>
          <w:rStyle w:val="FootnoteReference"/>
          <w:rFonts w:ascii="Arial" w:hAnsi="Arial" w:cs="Arial"/>
          <w:noProof/>
          <w:sz w:val="20"/>
          <w:szCs w:val="20"/>
        </w:rPr>
        <w:footnoteReference w:id="104"/>
      </w:r>
      <w:r>
        <w:rPr>
          <w:rFonts w:ascii="Arial" w:hAnsi="Arial" w:cs="Arial"/>
          <w:noProof/>
          <w:sz w:val="20"/>
          <w:szCs w:val="20"/>
        </w:rPr>
        <w:t>;</w:t>
      </w:r>
    </w:p>
    <w:p w:rsidR="00E201F7" w:rsidRDefault="00E24EFF">
      <w:pPr>
        <w:numPr>
          <w:ilvl w:val="0"/>
          <w:numId w:val="24"/>
        </w:numPr>
        <w:spacing w:after="0"/>
        <w:ind w:left="1800"/>
        <w:contextualSpacing/>
        <w:rPr>
          <w:rFonts w:ascii="Arial" w:hAnsi="Arial" w:cs="Arial"/>
          <w:i/>
          <w:noProof/>
          <w:sz w:val="20"/>
          <w:szCs w:val="20"/>
        </w:rPr>
      </w:pPr>
      <w:r>
        <w:rPr>
          <w:rFonts w:ascii="Arial" w:hAnsi="Arial" w:cs="Arial"/>
          <w:i/>
          <w:noProof/>
          <w:sz w:val="20"/>
          <w:szCs w:val="20"/>
        </w:rPr>
        <w:t xml:space="preserve">Denmark, Greece, Croatia, Lithuania, Malta, </w:t>
      </w:r>
      <w:smartTag w:uri="urn:schemas-microsoft-com:office:smarttags" w:element="country-region">
        <w:r>
          <w:rPr>
            <w:rFonts w:ascii="Arial" w:hAnsi="Arial" w:cs="Arial"/>
            <w:i/>
            <w:noProof/>
            <w:sz w:val="20"/>
            <w:szCs w:val="20"/>
          </w:rPr>
          <w:t>Romania</w:t>
        </w:r>
      </w:smartTag>
      <w:r>
        <w:rPr>
          <w:rFonts w:ascii="Arial" w:hAnsi="Arial" w:cs="Arial"/>
          <w:i/>
          <w:noProof/>
          <w:sz w:val="20"/>
          <w:szCs w:val="20"/>
        </w:rPr>
        <w:t xml:space="preserve"> and </w:t>
      </w:r>
      <w:smartTag w:uri="urn:schemas-microsoft-com:office:smarttags" w:element="country-region">
        <w:smartTag w:uri="urn:schemas-microsoft-com:office:smarttags" w:element="place">
          <w:r>
            <w:rPr>
              <w:rFonts w:ascii="Arial" w:hAnsi="Arial" w:cs="Arial"/>
              <w:i/>
              <w:noProof/>
              <w:sz w:val="20"/>
              <w:szCs w:val="20"/>
            </w:rPr>
            <w:t>Slovenia</w:t>
          </w:r>
        </w:smartTag>
      </w:smartTag>
      <w:r>
        <w:rPr>
          <w:rFonts w:ascii="Arial" w:hAnsi="Arial" w:cs="Arial"/>
          <w:i/>
          <w:noProof/>
          <w:sz w:val="20"/>
          <w:szCs w:val="20"/>
        </w:rPr>
        <w:t>:</w:t>
      </w:r>
      <w:r>
        <w:rPr>
          <w:rFonts w:ascii="Arial" w:hAnsi="Arial" w:cs="Arial"/>
          <w:noProof/>
          <w:sz w:val="20"/>
          <w:szCs w:val="20"/>
        </w:rPr>
        <w:t xml:space="preserve"> failure to develop and report the programmes of measures required by the Marine Strategy Framework Directive</w:t>
      </w:r>
      <w:r>
        <w:rPr>
          <w:rStyle w:val="FootnoteReference"/>
          <w:rFonts w:ascii="Arial" w:hAnsi="Arial" w:cs="Arial"/>
          <w:noProof/>
          <w:sz w:val="20"/>
          <w:szCs w:val="20"/>
        </w:rPr>
        <w:footnoteReference w:id="105"/>
      </w:r>
      <w:r>
        <w:rPr>
          <w:rFonts w:ascii="Arial" w:hAnsi="Arial" w:cs="Arial"/>
          <w:noProof/>
          <w:sz w:val="20"/>
          <w:szCs w:val="20"/>
        </w:rPr>
        <w:t>;</w:t>
      </w:r>
    </w:p>
    <w:p w:rsidR="00E201F7" w:rsidRDefault="00E24EFF">
      <w:pPr>
        <w:numPr>
          <w:ilvl w:val="0"/>
          <w:numId w:val="24"/>
        </w:numPr>
        <w:spacing w:after="0"/>
        <w:ind w:left="1800"/>
        <w:contextualSpacing/>
        <w:rPr>
          <w:rFonts w:ascii="Arial" w:hAnsi="Arial" w:cs="Arial"/>
          <w:i/>
          <w:noProof/>
          <w:sz w:val="20"/>
          <w:szCs w:val="20"/>
        </w:rPr>
      </w:pPr>
      <w:r>
        <w:rPr>
          <w:rFonts w:ascii="Arial" w:hAnsi="Arial" w:cs="Arial"/>
          <w:i/>
          <w:noProof/>
          <w:sz w:val="20"/>
          <w:szCs w:val="20"/>
        </w:rPr>
        <w:t xml:space="preserve">Germany, Spain, France, Italy and </w:t>
      </w:r>
      <w:smartTag w:uri="urn:schemas-microsoft-com:office:smarttags" w:element="country-region">
        <w:smartTag w:uri="urn:schemas-microsoft-com:office:smarttags" w:element="place">
          <w:r>
            <w:rPr>
              <w:rFonts w:ascii="Arial" w:hAnsi="Arial" w:cs="Arial"/>
              <w:i/>
              <w:noProof/>
              <w:sz w:val="20"/>
              <w:szCs w:val="20"/>
            </w:rPr>
            <w:t>United Kingdom</w:t>
          </w:r>
        </w:smartTag>
      </w:smartTag>
      <w:r>
        <w:rPr>
          <w:rFonts w:ascii="Arial" w:hAnsi="Arial" w:cs="Arial"/>
          <w:i/>
          <w:noProof/>
          <w:sz w:val="20"/>
          <w:szCs w:val="20"/>
        </w:rPr>
        <w:t>:</w:t>
      </w:r>
      <w:r>
        <w:rPr>
          <w:rFonts w:ascii="Arial" w:hAnsi="Arial" w:cs="Arial"/>
          <w:noProof/>
          <w:sz w:val="20"/>
          <w:szCs w:val="20"/>
        </w:rPr>
        <w:t xml:space="preserve"> failure to comply with the NO</w:t>
      </w:r>
      <w:r>
        <w:rPr>
          <w:rFonts w:ascii="Arial" w:hAnsi="Arial" w:cs="Arial"/>
          <w:noProof/>
          <w:sz w:val="20"/>
          <w:szCs w:val="20"/>
          <w:vertAlign w:val="subscript"/>
        </w:rPr>
        <w:t>2</w:t>
      </w:r>
      <w:r>
        <w:rPr>
          <w:rFonts w:ascii="Arial" w:hAnsi="Arial" w:cs="Arial"/>
          <w:noProof/>
          <w:sz w:val="20"/>
          <w:szCs w:val="20"/>
        </w:rPr>
        <w:t xml:space="preserve"> </w:t>
      </w:r>
      <w:r>
        <w:rPr>
          <w:rStyle w:val="FootnoteReference"/>
          <w:rFonts w:ascii="Arial" w:hAnsi="Arial" w:cs="Arial"/>
          <w:noProof/>
          <w:sz w:val="20"/>
          <w:szCs w:val="20"/>
        </w:rPr>
        <w:footnoteReference w:id="106"/>
      </w:r>
      <w:r>
        <w:rPr>
          <w:rFonts w:ascii="Arial" w:hAnsi="Arial" w:cs="Arial"/>
          <w:noProof/>
          <w:sz w:val="20"/>
          <w:szCs w:val="20"/>
        </w:rPr>
        <w:t>limit values set by the Air Quality Directive</w:t>
      </w:r>
      <w:r>
        <w:rPr>
          <w:rStyle w:val="FootnoteReference"/>
          <w:rFonts w:ascii="Arial" w:hAnsi="Arial" w:cs="Arial"/>
          <w:noProof/>
          <w:sz w:val="20"/>
          <w:szCs w:val="20"/>
        </w:rPr>
        <w:footnoteReference w:id="107"/>
      </w:r>
      <w:r>
        <w:rPr>
          <w:rFonts w:ascii="Arial" w:hAnsi="Arial" w:cs="Arial"/>
          <w:noProof/>
          <w:sz w:val="20"/>
          <w:szCs w:val="20"/>
        </w:rPr>
        <w:t>;</w:t>
      </w:r>
    </w:p>
    <w:p w:rsidR="00E201F7" w:rsidRDefault="00E24EFF">
      <w:pPr>
        <w:numPr>
          <w:ilvl w:val="0"/>
          <w:numId w:val="24"/>
        </w:numPr>
        <w:spacing w:after="0"/>
        <w:ind w:left="1800"/>
        <w:contextualSpacing/>
        <w:rPr>
          <w:rFonts w:ascii="Arial" w:hAnsi="Arial" w:cs="Arial"/>
          <w:noProof/>
          <w:sz w:val="20"/>
          <w:szCs w:val="20"/>
        </w:rPr>
      </w:pPr>
      <w:r>
        <w:rPr>
          <w:rFonts w:ascii="Arial" w:hAnsi="Arial" w:cs="Arial"/>
          <w:i/>
          <w:noProof/>
          <w:sz w:val="20"/>
          <w:szCs w:val="20"/>
        </w:rPr>
        <w:t>Ireland, Greece, Spain</w:t>
      </w:r>
      <w:r>
        <w:rPr>
          <w:rStyle w:val="FootnoteReference"/>
          <w:rFonts w:ascii="Arial" w:hAnsi="Arial" w:cs="Arial"/>
          <w:i/>
          <w:noProof/>
          <w:sz w:val="20"/>
          <w:szCs w:val="20"/>
        </w:rPr>
        <w:footnoteReference w:id="108"/>
      </w:r>
      <w:r>
        <w:rPr>
          <w:rFonts w:ascii="Arial" w:hAnsi="Arial" w:cs="Arial"/>
          <w:i/>
          <w:noProof/>
          <w:sz w:val="20"/>
          <w:szCs w:val="20"/>
        </w:rPr>
        <w:t xml:space="preserve"> and Austria,:</w:t>
      </w:r>
      <w:r>
        <w:rPr>
          <w:rFonts w:ascii="Arial" w:hAnsi="Arial" w:cs="Arial"/>
          <w:noProof/>
          <w:sz w:val="20"/>
          <w:szCs w:val="20"/>
        </w:rPr>
        <w:t xml:space="preserve"> late adoption of the second round of river basin management plans under the Water Framew</w:t>
      </w:r>
      <w:r>
        <w:rPr>
          <w:rFonts w:ascii="Arial" w:hAnsi="Arial" w:cs="Arial"/>
          <w:noProof/>
          <w:sz w:val="20"/>
          <w:szCs w:val="20"/>
        </w:rPr>
        <w:t>ork Directive</w:t>
      </w:r>
      <w:r>
        <w:rPr>
          <w:rStyle w:val="FootnoteReference"/>
          <w:rFonts w:ascii="Arial" w:hAnsi="Arial" w:cs="Arial"/>
          <w:noProof/>
          <w:sz w:val="20"/>
          <w:szCs w:val="20"/>
        </w:rPr>
        <w:footnoteReference w:id="109"/>
      </w:r>
      <w:r>
        <w:rPr>
          <w:rFonts w:ascii="Arial" w:hAnsi="Arial" w:cs="Arial"/>
          <w:noProof/>
          <w:sz w:val="20"/>
          <w:szCs w:val="20"/>
        </w:rPr>
        <w:t>;</w:t>
      </w:r>
    </w:p>
    <w:p w:rsidR="00E201F7" w:rsidRDefault="00E24EFF">
      <w:pPr>
        <w:numPr>
          <w:ilvl w:val="0"/>
          <w:numId w:val="24"/>
        </w:numPr>
        <w:spacing w:after="0"/>
        <w:ind w:left="1800"/>
        <w:contextualSpacing/>
        <w:rPr>
          <w:rFonts w:ascii="Arial" w:hAnsi="Arial" w:cs="Arial"/>
          <w:noProof/>
          <w:sz w:val="20"/>
          <w:szCs w:val="20"/>
        </w:rPr>
      </w:pPr>
      <w:r>
        <w:rPr>
          <w:rFonts w:ascii="Arial" w:hAnsi="Arial" w:cs="Arial"/>
          <w:i/>
          <w:noProof/>
          <w:sz w:val="20"/>
          <w:szCs w:val="20"/>
        </w:rPr>
        <w:t>Ireland, Greece, Portugal and Slovenia:</w:t>
      </w:r>
      <w:r>
        <w:rPr>
          <w:rFonts w:ascii="Arial" w:hAnsi="Arial" w:cs="Arial"/>
          <w:noProof/>
          <w:sz w:val="20"/>
          <w:szCs w:val="20"/>
        </w:rPr>
        <w:t xml:space="preserve"> non-reporting of flood risk management plans under the Floods Directive</w:t>
      </w:r>
      <w:r>
        <w:rPr>
          <w:rStyle w:val="FootnoteReference"/>
          <w:rFonts w:ascii="Arial" w:hAnsi="Arial" w:cs="Arial"/>
          <w:noProof/>
          <w:sz w:val="20"/>
          <w:szCs w:val="20"/>
        </w:rPr>
        <w:footnoteReference w:id="110"/>
      </w:r>
      <w:r>
        <w:rPr>
          <w:rFonts w:ascii="Arial" w:hAnsi="Arial" w:cs="Arial"/>
          <w:noProof/>
          <w:sz w:val="20"/>
          <w:szCs w:val="20"/>
        </w:rPr>
        <w:t>;</w:t>
      </w:r>
    </w:p>
    <w:p w:rsidR="00E201F7" w:rsidRDefault="00E24EFF">
      <w:pPr>
        <w:numPr>
          <w:ilvl w:val="0"/>
          <w:numId w:val="24"/>
        </w:numPr>
        <w:spacing w:after="0"/>
        <w:ind w:left="1800"/>
        <w:contextualSpacing/>
        <w:rPr>
          <w:rFonts w:ascii="Arial" w:hAnsi="Arial" w:cs="Arial"/>
          <w:noProof/>
          <w:sz w:val="20"/>
          <w:szCs w:val="20"/>
        </w:rPr>
      </w:pPr>
      <w:r>
        <w:rPr>
          <w:rFonts w:ascii="Arial" w:hAnsi="Arial" w:cs="Arial"/>
          <w:i/>
          <w:noProof/>
          <w:sz w:val="20"/>
          <w:szCs w:val="20"/>
        </w:rPr>
        <w:t>Croatia</w:t>
      </w:r>
      <w:r>
        <w:rPr>
          <w:rStyle w:val="FootnoteReference"/>
          <w:rFonts w:ascii="Arial" w:hAnsi="Arial" w:cs="Arial"/>
          <w:i/>
          <w:noProof/>
          <w:sz w:val="20"/>
          <w:szCs w:val="20"/>
        </w:rPr>
        <w:footnoteReference w:id="111"/>
      </w:r>
      <w:r>
        <w:rPr>
          <w:rFonts w:ascii="Arial" w:hAnsi="Arial" w:cs="Arial"/>
          <w:i/>
          <w:noProof/>
          <w:sz w:val="20"/>
          <w:szCs w:val="20"/>
        </w:rPr>
        <w:t xml:space="preserve"> and Slovenia</w:t>
      </w:r>
      <w:r>
        <w:rPr>
          <w:rStyle w:val="FootnoteReference"/>
          <w:rFonts w:ascii="Arial" w:hAnsi="Arial" w:cs="Arial"/>
          <w:i/>
          <w:noProof/>
          <w:sz w:val="20"/>
          <w:szCs w:val="20"/>
        </w:rPr>
        <w:footnoteReference w:id="112"/>
      </w:r>
      <w:r>
        <w:rPr>
          <w:rFonts w:ascii="Arial" w:hAnsi="Arial" w:cs="Arial"/>
          <w:i/>
          <w:noProof/>
          <w:sz w:val="20"/>
          <w:szCs w:val="20"/>
        </w:rPr>
        <w:t xml:space="preserve">: </w:t>
      </w:r>
      <w:r>
        <w:rPr>
          <w:rFonts w:ascii="Arial" w:hAnsi="Arial" w:cs="Arial"/>
          <w:noProof/>
          <w:sz w:val="20"/>
          <w:szCs w:val="20"/>
        </w:rPr>
        <w:t>non-conformity of national legislation with the Birds Directive and the Habitats Directive</w:t>
      </w:r>
      <w:r>
        <w:rPr>
          <w:rStyle w:val="FootnoteReference"/>
          <w:rFonts w:ascii="Arial" w:hAnsi="Arial" w:cs="Arial"/>
          <w:noProof/>
          <w:sz w:val="20"/>
          <w:szCs w:val="20"/>
        </w:rPr>
        <w:footnoteReference w:id="113"/>
      </w:r>
      <w:r>
        <w:rPr>
          <w:rFonts w:ascii="Arial" w:hAnsi="Arial" w:cs="Arial"/>
          <w:noProof/>
          <w:sz w:val="20"/>
          <w:szCs w:val="20"/>
        </w:rPr>
        <w:t>;</w:t>
      </w:r>
    </w:p>
    <w:p w:rsidR="00E201F7" w:rsidRDefault="00E24EFF">
      <w:pPr>
        <w:numPr>
          <w:ilvl w:val="0"/>
          <w:numId w:val="24"/>
        </w:numPr>
        <w:spacing w:after="0"/>
        <w:ind w:left="1800"/>
        <w:contextualSpacing/>
        <w:rPr>
          <w:rFonts w:ascii="Arial" w:hAnsi="Arial" w:cs="Arial"/>
          <w:i/>
          <w:noProof/>
          <w:sz w:val="20"/>
          <w:szCs w:val="20"/>
        </w:rPr>
      </w:pPr>
      <w:r>
        <w:rPr>
          <w:rFonts w:ascii="Arial" w:hAnsi="Arial" w:cs="Arial"/>
          <w:i/>
          <w:noProof/>
          <w:sz w:val="20"/>
          <w:szCs w:val="20"/>
        </w:rPr>
        <w:t>Italy:</w:t>
      </w:r>
      <w:r>
        <w:rPr>
          <w:rFonts w:ascii="Arial" w:hAnsi="Arial" w:cs="Arial"/>
          <w:noProof/>
          <w:sz w:val="20"/>
          <w:szCs w:val="20"/>
        </w:rPr>
        <w:t xml:space="preserve"> fa</w:t>
      </w:r>
      <w:r>
        <w:rPr>
          <w:rFonts w:ascii="Arial" w:hAnsi="Arial" w:cs="Arial"/>
          <w:noProof/>
          <w:sz w:val="20"/>
          <w:szCs w:val="20"/>
        </w:rPr>
        <w:t>ilure to comply with the PM</w:t>
      </w:r>
      <w:r>
        <w:rPr>
          <w:rFonts w:ascii="Arial" w:hAnsi="Arial" w:cs="Arial"/>
          <w:noProof/>
          <w:sz w:val="20"/>
          <w:szCs w:val="20"/>
          <w:vertAlign w:val="subscript"/>
        </w:rPr>
        <w:t>10</w:t>
      </w:r>
      <w:r>
        <w:rPr>
          <w:rStyle w:val="FootnoteReference"/>
          <w:rFonts w:ascii="Arial" w:hAnsi="Arial" w:cs="Arial"/>
          <w:noProof/>
          <w:sz w:val="20"/>
          <w:szCs w:val="20"/>
        </w:rPr>
        <w:footnoteReference w:id="114"/>
      </w:r>
      <w:r>
        <w:rPr>
          <w:rFonts w:ascii="Arial" w:hAnsi="Arial" w:cs="Arial"/>
          <w:noProof/>
          <w:sz w:val="20"/>
          <w:szCs w:val="20"/>
          <w:vertAlign w:val="subscript"/>
        </w:rPr>
        <w:t xml:space="preserve"> </w:t>
      </w:r>
      <w:r>
        <w:rPr>
          <w:rFonts w:ascii="Arial" w:hAnsi="Arial" w:cs="Arial"/>
          <w:noProof/>
          <w:sz w:val="20"/>
          <w:szCs w:val="20"/>
        </w:rPr>
        <w:t>limit values set by the Air Quality Directive</w:t>
      </w:r>
      <w:r>
        <w:rPr>
          <w:rStyle w:val="FootnoteReference"/>
          <w:rFonts w:ascii="Arial" w:hAnsi="Arial" w:cs="Arial"/>
          <w:noProof/>
          <w:sz w:val="20"/>
          <w:szCs w:val="20"/>
        </w:rPr>
        <w:footnoteReference w:id="115"/>
      </w:r>
      <w:r>
        <w:rPr>
          <w:rFonts w:ascii="Arial" w:hAnsi="Arial" w:cs="Arial"/>
          <w:noProof/>
          <w:sz w:val="20"/>
          <w:szCs w:val="20"/>
        </w:rPr>
        <w:t>;</w:t>
      </w:r>
    </w:p>
    <w:p w:rsidR="00E201F7" w:rsidRDefault="00E24EFF">
      <w:pPr>
        <w:numPr>
          <w:ilvl w:val="0"/>
          <w:numId w:val="24"/>
        </w:numPr>
        <w:spacing w:after="0"/>
        <w:ind w:left="1800"/>
        <w:contextualSpacing/>
        <w:rPr>
          <w:rFonts w:ascii="Arial" w:hAnsi="Arial" w:cs="Arial"/>
          <w:noProof/>
          <w:sz w:val="20"/>
          <w:szCs w:val="20"/>
        </w:rPr>
      </w:pPr>
      <w:r>
        <w:rPr>
          <w:rFonts w:ascii="Arial" w:hAnsi="Arial" w:cs="Arial"/>
          <w:i/>
          <w:noProof/>
          <w:sz w:val="20"/>
          <w:szCs w:val="20"/>
        </w:rPr>
        <w:t>Cyprus and Slovakia</w:t>
      </w:r>
      <w:r>
        <w:rPr>
          <w:rFonts w:ascii="Arial" w:hAnsi="Arial" w:cs="Arial"/>
          <w:noProof/>
          <w:sz w:val="20"/>
          <w:szCs w:val="20"/>
        </w:rPr>
        <w:t>: failure to ensure that waste landfills operate in compliance with EU standards;</w:t>
      </w:r>
    </w:p>
    <w:p w:rsidR="00E201F7" w:rsidRDefault="00E24EFF">
      <w:pPr>
        <w:numPr>
          <w:ilvl w:val="0"/>
          <w:numId w:val="24"/>
        </w:numPr>
        <w:spacing w:after="0"/>
        <w:ind w:left="1800"/>
        <w:contextualSpacing/>
        <w:rPr>
          <w:rFonts w:ascii="Arial" w:hAnsi="Arial" w:cs="Arial"/>
          <w:i/>
          <w:noProof/>
          <w:sz w:val="20"/>
          <w:szCs w:val="20"/>
        </w:rPr>
      </w:pPr>
      <w:r>
        <w:rPr>
          <w:rFonts w:ascii="Arial" w:hAnsi="Arial" w:cs="Arial"/>
          <w:i/>
          <w:noProof/>
          <w:sz w:val="20"/>
          <w:szCs w:val="20"/>
        </w:rPr>
        <w:t>Luxembourg</w:t>
      </w:r>
      <w:r>
        <w:rPr>
          <w:rStyle w:val="FootnoteReference"/>
          <w:rFonts w:ascii="Arial" w:hAnsi="Arial" w:cs="Arial"/>
          <w:i/>
          <w:noProof/>
          <w:sz w:val="20"/>
          <w:szCs w:val="20"/>
        </w:rPr>
        <w:footnoteReference w:id="116"/>
      </w:r>
      <w:r>
        <w:rPr>
          <w:rFonts w:ascii="Arial" w:hAnsi="Arial" w:cs="Arial"/>
          <w:i/>
          <w:noProof/>
          <w:sz w:val="20"/>
          <w:szCs w:val="20"/>
        </w:rPr>
        <w:t>, Romania</w:t>
      </w:r>
      <w:r>
        <w:rPr>
          <w:rStyle w:val="FootnoteReference"/>
          <w:rFonts w:ascii="Arial" w:hAnsi="Arial" w:cs="Arial"/>
          <w:i/>
          <w:noProof/>
          <w:sz w:val="20"/>
          <w:szCs w:val="20"/>
        </w:rPr>
        <w:footnoteReference w:id="117"/>
      </w:r>
      <w:r>
        <w:rPr>
          <w:rFonts w:ascii="Arial" w:hAnsi="Arial" w:cs="Arial"/>
          <w:i/>
          <w:noProof/>
          <w:sz w:val="20"/>
          <w:szCs w:val="20"/>
        </w:rPr>
        <w:t xml:space="preserve"> and Slovakia</w:t>
      </w:r>
      <w:r>
        <w:rPr>
          <w:rStyle w:val="FootnoteReference"/>
          <w:rFonts w:ascii="Arial" w:hAnsi="Arial" w:cs="Arial"/>
          <w:i/>
          <w:noProof/>
          <w:sz w:val="20"/>
          <w:szCs w:val="20"/>
        </w:rPr>
        <w:footnoteReference w:id="118"/>
      </w:r>
      <w:r>
        <w:rPr>
          <w:rFonts w:ascii="Arial" w:hAnsi="Arial" w:cs="Arial"/>
          <w:i/>
          <w:noProof/>
          <w:sz w:val="20"/>
          <w:szCs w:val="20"/>
        </w:rPr>
        <w:t>:</w:t>
      </w:r>
      <w:r>
        <w:rPr>
          <w:rFonts w:ascii="Arial" w:hAnsi="Arial" w:cs="Arial"/>
          <w:noProof/>
          <w:sz w:val="20"/>
          <w:szCs w:val="20"/>
        </w:rPr>
        <w:t xml:space="preserve"> failure to ensure proper monitoring of </w:t>
      </w:r>
      <w:r>
        <w:rPr>
          <w:rFonts w:ascii="Arial" w:hAnsi="Arial" w:cs="Arial"/>
          <w:noProof/>
          <w:sz w:val="20"/>
          <w:szCs w:val="20"/>
        </w:rPr>
        <w:t>air quality throughout their whole territory;</w:t>
      </w:r>
    </w:p>
    <w:p w:rsidR="00E201F7" w:rsidRDefault="00E24EFF">
      <w:pPr>
        <w:numPr>
          <w:ilvl w:val="0"/>
          <w:numId w:val="24"/>
        </w:numPr>
        <w:spacing w:after="0"/>
        <w:ind w:left="1800"/>
        <w:contextualSpacing/>
        <w:rPr>
          <w:rFonts w:ascii="Arial" w:hAnsi="Arial" w:cs="Arial"/>
          <w:i/>
          <w:noProof/>
          <w:sz w:val="20"/>
          <w:szCs w:val="20"/>
        </w:rPr>
      </w:pPr>
      <w:r>
        <w:rPr>
          <w:rFonts w:ascii="Arial" w:hAnsi="Arial" w:cs="Arial"/>
          <w:i/>
          <w:noProof/>
          <w:sz w:val="20"/>
          <w:szCs w:val="20"/>
        </w:rPr>
        <w:t xml:space="preserve">Austria: </w:t>
      </w:r>
      <w:r>
        <w:rPr>
          <w:rFonts w:ascii="Arial" w:hAnsi="Arial" w:cs="Arial"/>
          <w:noProof/>
          <w:sz w:val="20"/>
          <w:szCs w:val="20"/>
        </w:rPr>
        <w:t xml:space="preserve">non-communication of national measures transposing the </w:t>
      </w:r>
      <w:r>
        <w:rPr>
          <w:rFonts w:ascii="Arial" w:hAnsi="Arial" w:cs="Arial"/>
          <w:noProof/>
          <w:sz w:val="20"/>
        </w:rPr>
        <w:t>Seveso III Directive</w:t>
      </w:r>
      <w:r>
        <w:rPr>
          <w:rStyle w:val="FootnoteReference"/>
          <w:rFonts w:ascii="Arial" w:hAnsi="Arial" w:cs="Arial"/>
          <w:noProof/>
          <w:sz w:val="20"/>
          <w:szCs w:val="20"/>
        </w:rPr>
        <w:footnoteReference w:id="119"/>
      </w:r>
      <w:r>
        <w:rPr>
          <w:rFonts w:ascii="Arial" w:hAnsi="Arial" w:cs="Arial"/>
          <w:noProof/>
          <w:sz w:val="20"/>
          <w:szCs w:val="20"/>
        </w:rPr>
        <w:t>;</w:t>
      </w:r>
    </w:p>
    <w:p w:rsidR="00E201F7" w:rsidRDefault="00E24EFF">
      <w:pPr>
        <w:numPr>
          <w:ilvl w:val="0"/>
          <w:numId w:val="24"/>
        </w:numPr>
        <w:spacing w:after="200"/>
        <w:ind w:left="1800"/>
        <w:contextualSpacing/>
        <w:rPr>
          <w:rFonts w:ascii="Arial" w:hAnsi="Arial" w:cs="Arial"/>
          <w:noProof/>
          <w:sz w:val="20"/>
          <w:szCs w:val="20"/>
        </w:rPr>
      </w:pPr>
      <w:r>
        <w:rPr>
          <w:rFonts w:ascii="Arial" w:eastAsia="Calibri" w:hAnsi="Arial" w:cs="Arial"/>
          <w:i/>
          <w:noProof/>
          <w:kern w:val="20"/>
          <w:sz w:val="20"/>
          <w:szCs w:val="20"/>
        </w:rPr>
        <w:t>Romania</w:t>
      </w:r>
      <w:r>
        <w:rPr>
          <w:rFonts w:ascii="Arial" w:hAnsi="Arial" w:cs="Arial"/>
          <w:noProof/>
          <w:sz w:val="20"/>
          <w:szCs w:val="20"/>
        </w:rPr>
        <w:t xml:space="preserve">: failure to adopt appropriate measures to ensure that waste from extractive industries is managed without </w:t>
      </w:r>
      <w:r>
        <w:rPr>
          <w:rFonts w:ascii="Arial" w:hAnsi="Arial" w:cs="Arial"/>
          <w:noProof/>
          <w:sz w:val="20"/>
          <w:szCs w:val="20"/>
        </w:rPr>
        <w:t>endangering human health or harming the environment</w:t>
      </w:r>
      <w:r>
        <w:rPr>
          <w:rStyle w:val="FootnoteReference"/>
          <w:rFonts w:ascii="Arial" w:hAnsi="Arial" w:cs="Arial"/>
          <w:noProof/>
          <w:sz w:val="20"/>
          <w:szCs w:val="20"/>
        </w:rPr>
        <w:footnoteReference w:id="120"/>
      </w:r>
      <w:r>
        <w:rPr>
          <w:rFonts w:ascii="Arial" w:hAnsi="Arial" w:cs="Arial"/>
          <w:noProof/>
          <w:sz w:val="20"/>
          <w:szCs w:val="20"/>
        </w:rPr>
        <w:t>.</w:t>
      </w:r>
    </w:p>
    <w:p w:rsidR="00E201F7" w:rsidRDefault="00E24EFF">
      <w:pPr>
        <w:pStyle w:val="Lijstje"/>
        <w:numPr>
          <w:ilvl w:val="0"/>
          <w:numId w:val="45"/>
        </w:numPr>
        <w:spacing w:before="120" w:after="120"/>
        <w:ind w:left="1200" w:hanging="360"/>
        <w:rPr>
          <w:rFonts w:ascii="Arial" w:hAnsi="Arial" w:cs="Arial"/>
          <w:noProof/>
          <w:szCs w:val="20"/>
          <w:lang w:val="en-GB"/>
        </w:rPr>
      </w:pPr>
      <w:r>
        <w:rPr>
          <w:rFonts w:ascii="Arial" w:hAnsi="Arial" w:cs="Arial"/>
          <w:noProof/>
          <w:szCs w:val="20"/>
          <w:lang w:val="en-GB"/>
        </w:rPr>
        <w:t>The Commission referred 9 cases to the Court under Article 258 TFEU. They concern:</w:t>
      </w:r>
    </w:p>
    <w:p w:rsidR="00E201F7" w:rsidRDefault="00E24EFF">
      <w:pPr>
        <w:numPr>
          <w:ilvl w:val="0"/>
          <w:numId w:val="24"/>
        </w:numPr>
        <w:spacing w:after="200"/>
        <w:ind w:left="1800"/>
        <w:contextualSpacing/>
        <w:rPr>
          <w:rFonts w:ascii="Arial" w:eastAsia="Calibri" w:hAnsi="Arial" w:cs="Arial"/>
          <w:noProof/>
          <w:sz w:val="20"/>
          <w:szCs w:val="20"/>
        </w:rPr>
      </w:pPr>
      <w:r>
        <w:rPr>
          <w:rFonts w:ascii="Arial" w:eastAsia="Calibri" w:hAnsi="Arial" w:cs="Arial"/>
          <w:i/>
          <w:noProof/>
          <w:kern w:val="20"/>
          <w:sz w:val="20"/>
          <w:szCs w:val="20"/>
        </w:rPr>
        <w:t>Bulgaria</w:t>
      </w:r>
      <w:r>
        <w:rPr>
          <w:rFonts w:ascii="Arial" w:eastAsia="Calibri" w:hAnsi="Arial" w:cs="Arial"/>
          <w:i/>
          <w:noProof/>
          <w:sz w:val="20"/>
          <w:szCs w:val="20"/>
        </w:rPr>
        <w:t>:</w:t>
      </w:r>
      <w:r>
        <w:rPr>
          <w:rFonts w:ascii="Arial" w:hAnsi="Arial" w:cs="Arial"/>
          <w:noProof/>
          <w:sz w:val="20"/>
          <w:szCs w:val="20"/>
        </w:rPr>
        <w:t xml:space="preserve"> failure to protect unique habitats and important bird species in the </w:t>
      </w:r>
      <w:smartTag w:uri="urn:schemas-microsoft-com:office:smarttags" w:element="place">
        <w:smartTag w:uri="urn:schemas-microsoft-com:office:smarttags" w:element="PlaceName">
          <w:r>
            <w:rPr>
              <w:rFonts w:ascii="Arial" w:hAnsi="Arial" w:cs="Arial"/>
              <w:noProof/>
              <w:sz w:val="20"/>
              <w:szCs w:val="20"/>
            </w:rPr>
            <w:t>Rila</w:t>
          </w:r>
        </w:smartTag>
        <w:r>
          <w:rPr>
            <w:rFonts w:ascii="Arial" w:hAnsi="Arial" w:cs="Arial"/>
            <w:noProof/>
            <w:sz w:val="20"/>
            <w:szCs w:val="20"/>
          </w:rPr>
          <w:t xml:space="preserve"> </w:t>
        </w:r>
        <w:smartTag w:uri="urn:schemas-microsoft-com:office:smarttags" w:element="PlaceType">
          <w:r>
            <w:rPr>
              <w:rFonts w:ascii="Arial" w:hAnsi="Arial" w:cs="Arial"/>
              <w:noProof/>
              <w:sz w:val="20"/>
              <w:szCs w:val="20"/>
            </w:rPr>
            <w:t>Mountains</w:t>
          </w:r>
        </w:smartTag>
      </w:smartTag>
      <w:r>
        <w:rPr>
          <w:rStyle w:val="FootnoteReference"/>
          <w:rFonts w:ascii="Arial" w:eastAsia="Calibri" w:hAnsi="Arial" w:cs="Arial"/>
          <w:noProof/>
          <w:kern w:val="20"/>
          <w:sz w:val="20"/>
          <w:szCs w:val="20"/>
        </w:rPr>
        <w:footnoteReference w:id="121"/>
      </w:r>
      <w:r>
        <w:rPr>
          <w:rFonts w:ascii="Arial" w:eastAsia="Calibri" w:hAnsi="Arial" w:cs="Arial"/>
          <w:noProof/>
          <w:sz w:val="20"/>
          <w:szCs w:val="20"/>
        </w:rPr>
        <w:t>;</w:t>
      </w:r>
    </w:p>
    <w:p w:rsidR="00E201F7" w:rsidRDefault="00E24EFF">
      <w:pPr>
        <w:numPr>
          <w:ilvl w:val="0"/>
          <w:numId w:val="24"/>
        </w:numPr>
        <w:spacing w:after="200"/>
        <w:ind w:left="1800"/>
        <w:contextualSpacing/>
        <w:rPr>
          <w:rFonts w:ascii="Arial" w:eastAsia="Calibri" w:hAnsi="Arial" w:cs="Arial"/>
          <w:noProof/>
          <w:sz w:val="20"/>
          <w:szCs w:val="20"/>
        </w:rPr>
      </w:pPr>
      <w:r>
        <w:rPr>
          <w:rFonts w:ascii="Arial" w:eastAsia="Calibri" w:hAnsi="Arial" w:cs="Arial"/>
          <w:i/>
          <w:noProof/>
          <w:sz w:val="20"/>
          <w:szCs w:val="20"/>
        </w:rPr>
        <w:t xml:space="preserve">Czech </w:t>
      </w:r>
      <w:smartTag w:uri="urn:schemas-microsoft-com:office:smarttags" w:element="PlaceType">
        <w:r>
          <w:rPr>
            <w:rFonts w:ascii="Arial" w:hAnsi="Arial" w:cs="Arial"/>
            <w:i/>
            <w:noProof/>
            <w:sz w:val="20"/>
            <w:szCs w:val="20"/>
          </w:rPr>
          <w:t>Republic</w:t>
        </w:r>
      </w:smartTag>
      <w:r>
        <w:rPr>
          <w:rFonts w:ascii="Arial" w:eastAsia="Calibri" w:hAnsi="Arial" w:cs="Arial"/>
          <w:i/>
          <w:noProof/>
          <w:sz w:val="20"/>
          <w:szCs w:val="20"/>
        </w:rPr>
        <w:t xml:space="preserve">: </w:t>
      </w:r>
      <w:r>
        <w:rPr>
          <w:rFonts w:ascii="Arial" w:hAnsi="Arial" w:cs="Arial"/>
          <w:noProof/>
          <w:sz w:val="20"/>
          <w:szCs w:val="20"/>
        </w:rPr>
        <w:t>illegal</w:t>
      </w:r>
      <w:r>
        <w:rPr>
          <w:rFonts w:ascii="Arial" w:hAnsi="Arial" w:cs="Arial"/>
          <w:noProof/>
          <w:sz w:val="20"/>
          <w:szCs w:val="20"/>
        </w:rPr>
        <w:t xml:space="preserve"> shipment of hazardous waste to </w:t>
      </w:r>
      <w:smartTag w:uri="urn:schemas-microsoft-com:office:smarttags" w:element="country-region">
        <w:smartTag w:uri="urn:schemas-microsoft-com:office:smarttags" w:element="place">
          <w:r>
            <w:rPr>
              <w:rFonts w:ascii="Arial" w:hAnsi="Arial" w:cs="Arial"/>
              <w:noProof/>
              <w:sz w:val="20"/>
              <w:szCs w:val="20"/>
            </w:rPr>
            <w:t>Poland</w:t>
          </w:r>
        </w:smartTag>
      </w:smartTag>
      <w:r>
        <w:rPr>
          <w:rStyle w:val="FootnoteReference"/>
          <w:rFonts w:ascii="Arial" w:eastAsia="Calibri" w:hAnsi="Arial" w:cs="Arial"/>
          <w:noProof/>
          <w:kern w:val="20"/>
          <w:sz w:val="20"/>
          <w:szCs w:val="20"/>
        </w:rPr>
        <w:footnoteReference w:id="122"/>
      </w:r>
      <w:r>
        <w:rPr>
          <w:rFonts w:ascii="Arial" w:hAnsi="Arial" w:cs="Arial"/>
          <w:noProof/>
          <w:sz w:val="20"/>
          <w:szCs w:val="20"/>
        </w:rPr>
        <w:t>;</w:t>
      </w:r>
    </w:p>
    <w:p w:rsidR="00E201F7" w:rsidRDefault="00E24EFF">
      <w:pPr>
        <w:numPr>
          <w:ilvl w:val="0"/>
          <w:numId w:val="24"/>
        </w:numPr>
        <w:spacing w:after="200"/>
        <w:ind w:left="1800"/>
        <w:contextualSpacing/>
        <w:rPr>
          <w:rFonts w:ascii="Arial" w:eastAsia="Calibri" w:hAnsi="Arial" w:cs="Arial"/>
          <w:noProof/>
          <w:sz w:val="20"/>
          <w:szCs w:val="20"/>
        </w:rPr>
      </w:pPr>
      <w:r>
        <w:rPr>
          <w:rFonts w:ascii="Arial" w:hAnsi="Arial" w:cs="Arial"/>
          <w:i/>
          <w:noProof/>
          <w:sz w:val="20"/>
          <w:szCs w:val="20"/>
        </w:rPr>
        <w:t>Ireland</w:t>
      </w:r>
      <w:r>
        <w:rPr>
          <w:rFonts w:ascii="Arial" w:eastAsia="Calibri" w:hAnsi="Arial" w:cs="Arial"/>
          <w:i/>
          <w:noProof/>
          <w:sz w:val="20"/>
          <w:szCs w:val="20"/>
        </w:rPr>
        <w:t xml:space="preserve">: </w:t>
      </w:r>
      <w:r>
        <w:rPr>
          <w:rFonts w:ascii="Arial" w:hAnsi="Arial" w:cs="Arial"/>
          <w:noProof/>
          <w:sz w:val="20"/>
          <w:szCs w:val="20"/>
        </w:rPr>
        <w:t xml:space="preserve">failure to ensure adequate collection </w:t>
      </w:r>
      <w:r>
        <w:rPr>
          <w:rFonts w:ascii="Arial" w:hAnsi="Arial"/>
          <w:noProof/>
          <w:sz w:val="20"/>
        </w:rPr>
        <w:t xml:space="preserve">and </w:t>
      </w:r>
      <w:r>
        <w:rPr>
          <w:rFonts w:ascii="Arial" w:hAnsi="Arial" w:cs="Arial"/>
          <w:noProof/>
          <w:sz w:val="20"/>
          <w:szCs w:val="20"/>
        </w:rPr>
        <w:t>treatment of urban waste water</w:t>
      </w:r>
      <w:r>
        <w:rPr>
          <w:rStyle w:val="FootnoteReference"/>
          <w:rFonts w:ascii="Arial" w:eastAsia="Calibri" w:hAnsi="Arial" w:cs="Arial"/>
          <w:noProof/>
          <w:kern w:val="20"/>
          <w:sz w:val="20"/>
          <w:szCs w:val="20"/>
        </w:rPr>
        <w:footnoteReference w:id="123"/>
      </w:r>
      <w:r>
        <w:rPr>
          <w:rFonts w:ascii="Arial" w:eastAsia="Calibri" w:hAnsi="Arial" w:cs="Arial"/>
          <w:noProof/>
          <w:sz w:val="20"/>
          <w:szCs w:val="20"/>
        </w:rPr>
        <w:t>;</w:t>
      </w:r>
    </w:p>
    <w:p w:rsidR="00E201F7" w:rsidRDefault="00E24EFF">
      <w:pPr>
        <w:numPr>
          <w:ilvl w:val="0"/>
          <w:numId w:val="24"/>
        </w:numPr>
        <w:spacing w:after="200"/>
        <w:ind w:left="1800"/>
        <w:contextualSpacing/>
        <w:rPr>
          <w:rFonts w:ascii="Arial" w:eastAsia="Calibri" w:hAnsi="Arial" w:cs="Arial"/>
          <w:noProof/>
          <w:sz w:val="20"/>
          <w:szCs w:val="20"/>
        </w:rPr>
      </w:pPr>
      <w:r>
        <w:rPr>
          <w:rFonts w:ascii="Arial" w:hAnsi="Arial" w:cs="Arial"/>
          <w:i/>
          <w:noProof/>
          <w:sz w:val="20"/>
          <w:szCs w:val="20"/>
        </w:rPr>
        <w:t>France</w:t>
      </w:r>
      <w:r>
        <w:rPr>
          <w:rFonts w:ascii="Arial" w:eastAsia="Calibri" w:hAnsi="Arial" w:cs="Arial"/>
          <w:i/>
          <w:noProof/>
          <w:sz w:val="20"/>
          <w:szCs w:val="20"/>
        </w:rPr>
        <w:t xml:space="preserve">: </w:t>
      </w:r>
      <w:r>
        <w:rPr>
          <w:rFonts w:ascii="Arial" w:eastAsia="Calibri" w:hAnsi="Arial" w:cs="Arial"/>
          <w:noProof/>
          <w:sz w:val="20"/>
          <w:szCs w:val="20"/>
        </w:rPr>
        <w:t xml:space="preserve">failure </w:t>
      </w:r>
      <w:r>
        <w:rPr>
          <w:rFonts w:ascii="Arial" w:hAnsi="Arial" w:cs="Arial"/>
          <w:noProof/>
          <w:sz w:val="20"/>
          <w:szCs w:val="20"/>
        </w:rPr>
        <w:t>to address continued violations of the EU legislation on the conservation of wild birds</w:t>
      </w:r>
      <w:r>
        <w:rPr>
          <w:rStyle w:val="FootnoteReference"/>
          <w:rFonts w:ascii="Arial" w:eastAsia="Calibri" w:hAnsi="Arial" w:cs="Arial"/>
          <w:noProof/>
          <w:kern w:val="20"/>
          <w:sz w:val="20"/>
          <w:szCs w:val="20"/>
        </w:rPr>
        <w:footnoteReference w:id="124"/>
      </w:r>
      <w:r>
        <w:rPr>
          <w:rFonts w:ascii="Arial" w:hAnsi="Arial" w:cs="Arial"/>
          <w:noProof/>
          <w:sz w:val="20"/>
          <w:szCs w:val="20"/>
        </w:rPr>
        <w:t>;</w:t>
      </w:r>
    </w:p>
    <w:p w:rsidR="00E201F7" w:rsidRDefault="00E24EFF">
      <w:pPr>
        <w:numPr>
          <w:ilvl w:val="0"/>
          <w:numId w:val="24"/>
        </w:numPr>
        <w:spacing w:after="200"/>
        <w:ind w:left="1800"/>
        <w:contextualSpacing/>
        <w:rPr>
          <w:rFonts w:ascii="Arial" w:eastAsia="Calibri" w:hAnsi="Arial" w:cs="Arial"/>
          <w:noProof/>
          <w:sz w:val="20"/>
          <w:szCs w:val="20"/>
        </w:rPr>
      </w:pPr>
      <w:r>
        <w:rPr>
          <w:rFonts w:ascii="Arial" w:hAnsi="Arial" w:cs="Arial"/>
          <w:i/>
          <w:noProof/>
          <w:sz w:val="20"/>
          <w:szCs w:val="20"/>
        </w:rPr>
        <w:t>Italy</w:t>
      </w:r>
      <w:r>
        <w:rPr>
          <w:rFonts w:ascii="Arial" w:eastAsia="Calibri" w:hAnsi="Arial" w:cs="Arial"/>
          <w:i/>
          <w:noProof/>
          <w:sz w:val="20"/>
          <w:szCs w:val="20"/>
        </w:rPr>
        <w:t xml:space="preserve">: </w:t>
      </w:r>
      <w:r>
        <w:rPr>
          <w:rFonts w:ascii="Arial" w:hAnsi="Arial" w:cs="Arial"/>
          <w:noProof/>
          <w:sz w:val="20"/>
          <w:szCs w:val="20"/>
        </w:rPr>
        <w:t xml:space="preserve">failure to </w:t>
      </w:r>
      <w:r>
        <w:rPr>
          <w:rFonts w:ascii="Arial" w:hAnsi="Arial" w:cs="Arial"/>
          <w:noProof/>
          <w:sz w:val="20"/>
          <w:szCs w:val="20"/>
        </w:rPr>
        <w:t>rehabilitate or close non-compliant waste landfills posing a serious risk for human health and the environment</w:t>
      </w:r>
      <w:r>
        <w:rPr>
          <w:rStyle w:val="FootnoteReference"/>
          <w:rFonts w:ascii="Arial" w:hAnsi="Arial" w:cs="Arial"/>
          <w:noProof/>
          <w:sz w:val="20"/>
          <w:szCs w:val="20"/>
        </w:rPr>
        <w:footnoteReference w:id="125"/>
      </w:r>
      <w:r>
        <w:rPr>
          <w:rFonts w:ascii="Arial" w:hAnsi="Arial" w:cs="Arial"/>
          <w:noProof/>
          <w:sz w:val="20"/>
          <w:szCs w:val="20"/>
        </w:rPr>
        <w:t>;</w:t>
      </w:r>
    </w:p>
    <w:p w:rsidR="00E201F7" w:rsidRDefault="00E24EFF">
      <w:pPr>
        <w:numPr>
          <w:ilvl w:val="0"/>
          <w:numId w:val="24"/>
        </w:numPr>
        <w:spacing w:after="200"/>
        <w:ind w:left="1800"/>
        <w:contextualSpacing/>
        <w:rPr>
          <w:rFonts w:ascii="Arial" w:eastAsia="Calibri" w:hAnsi="Arial" w:cs="Arial"/>
          <w:noProof/>
          <w:sz w:val="20"/>
          <w:szCs w:val="20"/>
        </w:rPr>
      </w:pPr>
      <w:r>
        <w:rPr>
          <w:rFonts w:ascii="Arial" w:eastAsia="Calibri" w:hAnsi="Arial" w:cs="Arial"/>
          <w:i/>
          <w:noProof/>
          <w:sz w:val="20"/>
          <w:szCs w:val="20"/>
        </w:rPr>
        <w:t xml:space="preserve">Poland: </w:t>
      </w:r>
      <w:r>
        <w:rPr>
          <w:rFonts w:ascii="Arial" w:eastAsia="Calibri" w:hAnsi="Arial" w:cs="Arial"/>
          <w:noProof/>
          <w:sz w:val="20"/>
          <w:szCs w:val="20"/>
        </w:rPr>
        <w:t>increased l</w:t>
      </w:r>
      <w:r>
        <w:rPr>
          <w:rFonts w:ascii="Arial" w:hAnsi="Arial" w:cs="Arial"/>
          <w:noProof/>
          <w:sz w:val="20"/>
          <w:szCs w:val="20"/>
        </w:rPr>
        <w:t>ogging operations in the Białowieża Forest in breach of the Birds and Habitats Directives</w:t>
      </w:r>
      <w:r>
        <w:rPr>
          <w:rStyle w:val="FootnoteReference"/>
          <w:rFonts w:ascii="Arial" w:hAnsi="Arial" w:cs="Arial"/>
          <w:noProof/>
          <w:sz w:val="20"/>
          <w:szCs w:val="20"/>
        </w:rPr>
        <w:footnoteReference w:id="126"/>
      </w:r>
      <w:r>
        <w:rPr>
          <w:rFonts w:ascii="Arial" w:hAnsi="Arial" w:cs="Arial"/>
          <w:noProof/>
          <w:sz w:val="20"/>
          <w:szCs w:val="20"/>
        </w:rPr>
        <w:t>;</w:t>
      </w:r>
    </w:p>
    <w:p w:rsidR="00E201F7" w:rsidRDefault="00E24EFF">
      <w:pPr>
        <w:numPr>
          <w:ilvl w:val="0"/>
          <w:numId w:val="24"/>
        </w:numPr>
        <w:spacing w:after="200"/>
        <w:ind w:left="1800"/>
        <w:contextualSpacing/>
        <w:rPr>
          <w:rFonts w:ascii="Arial" w:eastAsia="Calibri" w:hAnsi="Arial" w:cs="Arial"/>
          <w:noProof/>
          <w:sz w:val="20"/>
          <w:szCs w:val="20"/>
        </w:rPr>
      </w:pPr>
      <w:r>
        <w:rPr>
          <w:rFonts w:ascii="Arial" w:hAnsi="Arial" w:cs="Arial"/>
          <w:i/>
          <w:noProof/>
          <w:sz w:val="20"/>
          <w:szCs w:val="20"/>
        </w:rPr>
        <w:t>Romania</w:t>
      </w:r>
      <w:r>
        <w:rPr>
          <w:rStyle w:val="FootnoteReference"/>
          <w:rFonts w:ascii="Arial" w:eastAsia="Calibri" w:hAnsi="Arial" w:cs="Arial"/>
          <w:noProof/>
          <w:kern w:val="20"/>
          <w:sz w:val="20"/>
          <w:szCs w:val="20"/>
        </w:rPr>
        <w:footnoteReference w:id="127"/>
      </w:r>
      <w:r>
        <w:rPr>
          <w:rFonts w:ascii="Arial" w:hAnsi="Arial" w:cs="Arial"/>
          <w:noProof/>
          <w:sz w:val="20"/>
          <w:szCs w:val="20"/>
        </w:rPr>
        <w:t xml:space="preserve"> </w:t>
      </w:r>
      <w:r>
        <w:rPr>
          <w:rFonts w:ascii="Arial" w:hAnsi="Arial" w:cs="Arial"/>
          <w:i/>
          <w:noProof/>
          <w:sz w:val="20"/>
          <w:szCs w:val="20"/>
        </w:rPr>
        <w:t>and Slovenia</w:t>
      </w:r>
      <w:r>
        <w:rPr>
          <w:rStyle w:val="FootnoteReference"/>
          <w:rFonts w:ascii="Arial" w:eastAsia="Calibri" w:hAnsi="Arial" w:cs="Arial"/>
          <w:noProof/>
          <w:kern w:val="20"/>
          <w:sz w:val="20"/>
          <w:szCs w:val="20"/>
        </w:rPr>
        <w:footnoteReference w:id="128"/>
      </w:r>
      <w:r>
        <w:rPr>
          <w:rFonts w:ascii="Arial" w:eastAsia="Calibri" w:hAnsi="Arial"/>
          <w:i/>
          <w:noProof/>
          <w:sz w:val="20"/>
        </w:rPr>
        <w:t>:</w:t>
      </w:r>
      <w:r>
        <w:rPr>
          <w:rFonts w:ascii="Arial" w:hAnsi="Arial"/>
          <w:i/>
          <w:noProof/>
          <w:sz w:val="20"/>
        </w:rPr>
        <w:t xml:space="preserve"> </w:t>
      </w:r>
      <w:r>
        <w:rPr>
          <w:rFonts w:ascii="Arial" w:hAnsi="Arial" w:cs="Arial"/>
          <w:noProof/>
          <w:sz w:val="20"/>
          <w:szCs w:val="20"/>
        </w:rPr>
        <w:t xml:space="preserve">failure </w:t>
      </w:r>
      <w:r>
        <w:rPr>
          <w:rFonts w:ascii="Arial" w:hAnsi="Arial" w:cs="Arial"/>
          <w:noProof/>
          <w:sz w:val="20"/>
          <w:szCs w:val="20"/>
        </w:rPr>
        <w:t>to close and rehabilitate illegal waste landfills posing a serious risk for human health and the environment;</w:t>
      </w:r>
    </w:p>
    <w:p w:rsidR="00E201F7" w:rsidRDefault="00E24EFF">
      <w:pPr>
        <w:numPr>
          <w:ilvl w:val="0"/>
          <w:numId w:val="24"/>
        </w:numPr>
        <w:spacing w:after="200"/>
        <w:ind w:left="1800"/>
        <w:contextualSpacing/>
        <w:rPr>
          <w:rFonts w:ascii="Arial" w:eastAsia="Calibri" w:hAnsi="Arial" w:cs="Arial"/>
          <w:noProof/>
          <w:sz w:val="20"/>
          <w:szCs w:val="20"/>
        </w:rPr>
      </w:pPr>
      <w:r>
        <w:rPr>
          <w:rFonts w:ascii="Arial" w:eastAsia="Calibri" w:hAnsi="Arial" w:cs="Arial"/>
          <w:i/>
          <w:noProof/>
          <w:sz w:val="20"/>
          <w:szCs w:val="20"/>
        </w:rPr>
        <w:t xml:space="preserve">United </w:t>
      </w:r>
      <w:r>
        <w:rPr>
          <w:rFonts w:ascii="Arial" w:hAnsi="Arial" w:cs="Arial"/>
          <w:i/>
          <w:noProof/>
          <w:sz w:val="20"/>
          <w:szCs w:val="20"/>
        </w:rPr>
        <w:t>Kingdom</w:t>
      </w:r>
      <w:r>
        <w:rPr>
          <w:rFonts w:ascii="Arial" w:eastAsia="Calibri" w:hAnsi="Arial" w:cs="Arial"/>
          <w:i/>
          <w:noProof/>
          <w:sz w:val="20"/>
          <w:szCs w:val="20"/>
        </w:rPr>
        <w:t xml:space="preserve">: </w:t>
      </w:r>
      <w:r>
        <w:rPr>
          <w:rFonts w:ascii="Arial" w:hAnsi="Arial" w:cs="Arial"/>
          <w:noProof/>
          <w:sz w:val="20"/>
          <w:szCs w:val="20"/>
        </w:rPr>
        <w:t>failure to protect the harbour porpoise (</w:t>
      </w:r>
      <w:r>
        <w:rPr>
          <w:rFonts w:ascii="Arial" w:hAnsi="Arial" w:cs="Arial"/>
          <w:i/>
          <w:noProof/>
          <w:sz w:val="20"/>
          <w:szCs w:val="20"/>
        </w:rPr>
        <w:t>Phocoena phocoena</w:t>
      </w:r>
      <w:r>
        <w:rPr>
          <w:rFonts w:ascii="Arial" w:hAnsi="Arial" w:cs="Arial"/>
          <w:noProof/>
          <w:sz w:val="20"/>
          <w:szCs w:val="20"/>
        </w:rPr>
        <w:t>)</w:t>
      </w:r>
      <w:r>
        <w:rPr>
          <w:rStyle w:val="FootnoteReference"/>
          <w:rFonts w:ascii="Arial" w:eastAsia="Calibri" w:hAnsi="Arial" w:cs="Arial"/>
          <w:noProof/>
          <w:kern w:val="20"/>
          <w:sz w:val="20"/>
          <w:szCs w:val="20"/>
        </w:rPr>
        <w:footnoteReference w:id="129"/>
      </w:r>
      <w:r>
        <w:rPr>
          <w:rFonts w:ascii="Arial" w:hAnsi="Arial" w:cs="Arial"/>
          <w:noProof/>
          <w:sz w:val="20"/>
          <w:szCs w:val="20"/>
        </w:rPr>
        <w:t>.</w:t>
      </w:r>
    </w:p>
    <w:p w:rsidR="00E201F7" w:rsidRDefault="00E24EFF">
      <w:pPr>
        <w:pStyle w:val="Lijstje"/>
        <w:numPr>
          <w:ilvl w:val="0"/>
          <w:numId w:val="45"/>
        </w:numPr>
        <w:spacing w:before="120" w:after="120"/>
        <w:ind w:left="1200" w:hanging="360"/>
        <w:rPr>
          <w:rFonts w:ascii="Arial" w:hAnsi="Arial" w:cs="Arial"/>
          <w:noProof/>
          <w:szCs w:val="20"/>
          <w:lang w:val="en-GB"/>
        </w:rPr>
      </w:pPr>
      <w:r>
        <w:rPr>
          <w:rFonts w:ascii="Arial" w:hAnsi="Arial" w:cs="Arial"/>
          <w:noProof/>
          <w:szCs w:val="20"/>
          <w:lang w:val="en-GB"/>
        </w:rPr>
        <w:t xml:space="preserve">The Commission referred 2 cases to the Court under Article 260(2) </w:t>
      </w:r>
      <w:r>
        <w:rPr>
          <w:rFonts w:ascii="Arial" w:hAnsi="Arial" w:cs="Arial"/>
          <w:noProof/>
          <w:szCs w:val="20"/>
          <w:lang w:val="en-GB"/>
        </w:rPr>
        <w:t>TFEU. They concern the following.</w:t>
      </w:r>
    </w:p>
    <w:p w:rsidR="00E201F7" w:rsidRDefault="00E24EFF">
      <w:pPr>
        <w:numPr>
          <w:ilvl w:val="0"/>
          <w:numId w:val="24"/>
        </w:numPr>
        <w:spacing w:after="200"/>
        <w:ind w:left="1800"/>
        <w:contextualSpacing/>
        <w:rPr>
          <w:rFonts w:ascii="Arial" w:eastAsia="Calibri" w:hAnsi="Arial" w:cs="Arial"/>
          <w:noProof/>
          <w:kern w:val="20"/>
          <w:sz w:val="20"/>
          <w:szCs w:val="20"/>
        </w:rPr>
      </w:pPr>
      <w:r>
        <w:rPr>
          <w:rFonts w:ascii="Arial" w:eastAsia="Calibri" w:hAnsi="Arial" w:cs="Arial"/>
          <w:i/>
          <w:noProof/>
          <w:kern w:val="20"/>
          <w:sz w:val="20"/>
          <w:szCs w:val="20"/>
        </w:rPr>
        <w:t>Spain</w:t>
      </w:r>
      <w:r>
        <w:rPr>
          <w:rFonts w:ascii="Arial" w:eastAsia="Calibri" w:hAnsi="Arial" w:cs="Arial"/>
          <w:noProof/>
          <w:kern w:val="20"/>
          <w:sz w:val="20"/>
          <w:szCs w:val="20"/>
        </w:rPr>
        <w:t xml:space="preserve">: Failure to comply with a Court judgment finding that </w:t>
      </w:r>
      <w:smartTag w:uri="urn:schemas-microsoft-com:office:smarttags" w:element="country-region">
        <w:smartTag w:uri="urn:schemas-microsoft-com:office:smarttags" w:element="place">
          <w:r>
            <w:rPr>
              <w:rFonts w:ascii="Arial" w:eastAsia="Calibri" w:hAnsi="Arial" w:cs="Arial"/>
              <w:noProof/>
              <w:kern w:val="20"/>
              <w:sz w:val="20"/>
              <w:szCs w:val="20"/>
            </w:rPr>
            <w:t>Spain</w:t>
          </w:r>
        </w:smartTag>
      </w:smartTag>
      <w:r>
        <w:rPr>
          <w:rFonts w:ascii="Arial" w:eastAsia="Calibri" w:hAnsi="Arial" w:cs="Arial"/>
          <w:noProof/>
          <w:kern w:val="20"/>
          <w:sz w:val="20"/>
          <w:szCs w:val="20"/>
        </w:rPr>
        <w:t xml:space="preserve"> had failed to adequately collect and treat waste water in a number of agglomerations. </w:t>
      </w:r>
      <w:r>
        <w:rPr>
          <w:rFonts w:ascii="Arial" w:hAnsi="Arial" w:cs="Arial"/>
          <w:noProof/>
          <w:sz w:val="20"/>
          <w:szCs w:val="20"/>
        </w:rPr>
        <w:t>The Commission asked the Court to impose a lump sum payment of EUR 46 </w:t>
      </w:r>
      <w:r>
        <w:rPr>
          <w:rFonts w:ascii="Arial" w:hAnsi="Arial" w:cs="Arial"/>
          <w:noProof/>
          <w:sz w:val="20"/>
          <w:szCs w:val="20"/>
        </w:rPr>
        <w:t xml:space="preserve">522 999 and a daily penalty payment of EUR 171 217.20 until </w:t>
      </w:r>
      <w:smartTag w:uri="urn:schemas-microsoft-com:office:smarttags" w:element="country-region">
        <w:smartTag w:uri="urn:schemas-microsoft-com:office:smarttags" w:element="place">
          <w:r>
            <w:rPr>
              <w:rFonts w:ascii="Arial" w:hAnsi="Arial" w:cs="Arial"/>
              <w:noProof/>
              <w:sz w:val="20"/>
              <w:szCs w:val="20"/>
            </w:rPr>
            <w:t>Spain</w:t>
          </w:r>
        </w:smartTag>
      </w:smartTag>
      <w:r>
        <w:rPr>
          <w:rFonts w:ascii="Arial" w:hAnsi="Arial" w:cs="Arial"/>
          <w:noProof/>
          <w:sz w:val="20"/>
          <w:szCs w:val="20"/>
        </w:rPr>
        <w:t xml:space="preserve"> fully complies with EU law</w:t>
      </w:r>
      <w:r>
        <w:rPr>
          <w:rStyle w:val="FootnoteReference"/>
          <w:rFonts w:ascii="Arial" w:eastAsia="Calibri" w:hAnsi="Arial" w:cs="Arial"/>
          <w:noProof/>
          <w:kern w:val="20"/>
          <w:sz w:val="20"/>
          <w:szCs w:val="20"/>
        </w:rPr>
        <w:footnoteReference w:id="130"/>
      </w:r>
      <w:r>
        <w:rPr>
          <w:rFonts w:ascii="Arial" w:hAnsi="Arial" w:cs="Arial"/>
          <w:noProof/>
          <w:sz w:val="20"/>
          <w:szCs w:val="20"/>
        </w:rPr>
        <w:t>.</w:t>
      </w:r>
    </w:p>
    <w:p w:rsidR="00E201F7" w:rsidRDefault="00E24EFF">
      <w:pPr>
        <w:numPr>
          <w:ilvl w:val="0"/>
          <w:numId w:val="24"/>
        </w:numPr>
        <w:spacing w:after="200"/>
        <w:ind w:left="1800"/>
        <w:contextualSpacing/>
        <w:rPr>
          <w:rFonts w:ascii="Arial" w:eastAsia="Calibri" w:hAnsi="Arial" w:cs="Arial"/>
          <w:noProof/>
          <w:kern w:val="20"/>
          <w:sz w:val="20"/>
          <w:szCs w:val="20"/>
        </w:rPr>
      </w:pPr>
      <w:r>
        <w:rPr>
          <w:rFonts w:ascii="Arial" w:eastAsia="Calibri" w:hAnsi="Arial" w:cs="Arial"/>
          <w:i/>
          <w:noProof/>
          <w:kern w:val="20"/>
          <w:sz w:val="20"/>
          <w:szCs w:val="20"/>
        </w:rPr>
        <w:t>Italy</w:t>
      </w:r>
      <w:r>
        <w:rPr>
          <w:rFonts w:ascii="Arial" w:eastAsia="Calibri" w:hAnsi="Arial" w:cs="Arial"/>
          <w:noProof/>
          <w:kern w:val="20"/>
          <w:sz w:val="20"/>
          <w:szCs w:val="20"/>
        </w:rPr>
        <w:t xml:space="preserve">: Failure to comply with a Court judgment finding that Italy had failed to adequately collect and treat waste water discharged by numerous agglomerations. </w:t>
      </w:r>
      <w:r>
        <w:rPr>
          <w:rFonts w:ascii="Arial" w:hAnsi="Arial" w:cs="Arial"/>
          <w:noProof/>
          <w:sz w:val="20"/>
          <w:szCs w:val="20"/>
        </w:rPr>
        <w:t>T</w:t>
      </w:r>
      <w:r>
        <w:rPr>
          <w:rFonts w:ascii="Arial" w:hAnsi="Arial" w:cs="Arial"/>
          <w:noProof/>
          <w:sz w:val="20"/>
          <w:szCs w:val="20"/>
        </w:rPr>
        <w:t>he Commission asked the Court to impose a lump sum payment of EUR 62 699 421.40 and a daily penalty payment of EUR 346 922.40 until Italy fully complies with EU law</w:t>
      </w:r>
      <w:r>
        <w:rPr>
          <w:rStyle w:val="FootnoteReference"/>
          <w:rFonts w:ascii="Arial" w:eastAsia="Calibri" w:hAnsi="Arial" w:cs="Arial"/>
          <w:noProof/>
          <w:kern w:val="20"/>
          <w:sz w:val="20"/>
          <w:szCs w:val="20"/>
        </w:rPr>
        <w:footnoteReference w:id="131"/>
      </w:r>
      <w:r>
        <w:rPr>
          <w:rFonts w:ascii="Arial" w:hAnsi="Arial" w:cs="Arial"/>
          <w:noProof/>
          <w:sz w:val="20"/>
          <w:szCs w:val="20"/>
        </w:rPr>
        <w:t>.</w:t>
      </w:r>
    </w:p>
    <w:p w:rsidR="00E201F7" w:rsidRDefault="00E24EFF">
      <w:pPr>
        <w:spacing w:after="0"/>
        <w:jc w:val="left"/>
        <w:rPr>
          <w:rFonts w:ascii="Arial" w:eastAsia="MS Gothic" w:hAnsi="Arial" w:cs="Arial"/>
          <w:caps/>
          <w:noProof/>
          <w:color w:val="4F81BD"/>
          <w:kern w:val="20"/>
          <w:szCs w:val="24"/>
        </w:rPr>
      </w:pPr>
      <w:r>
        <w:rPr>
          <w:noProof/>
        </w:rPr>
        <w:br w:type="page"/>
      </w:r>
    </w:p>
    <w:p w:rsidR="00E201F7" w:rsidRDefault="00E24EFF">
      <w:pPr>
        <w:pStyle w:val="kop2"/>
        <w:rPr>
          <w:noProof/>
        </w:rPr>
      </w:pPr>
      <w:r>
        <w:rPr>
          <w:noProof/>
        </w:rPr>
        <w:t>TRANSPOSITION OF DIRECTIVES</w:t>
      </w:r>
    </w:p>
    <w:p w:rsidR="00E201F7" w:rsidRDefault="00E24EFF">
      <w:pPr>
        <w:numPr>
          <w:ilvl w:val="0"/>
          <w:numId w:val="112"/>
        </w:numPr>
        <w:spacing w:before="240"/>
        <w:ind w:left="714" w:hanging="357"/>
        <w:jc w:val="left"/>
        <w:outlineLvl w:val="1"/>
        <w:rPr>
          <w:rFonts w:ascii="Arial" w:hAnsi="Arial" w:cs="Arial"/>
          <w:noProof/>
          <w:color w:val="002060"/>
          <w:sz w:val="22"/>
        </w:rPr>
      </w:pPr>
      <w:r>
        <w:rPr>
          <w:rFonts w:ascii="Arial" w:hAnsi="Arial" w:cs="Arial"/>
          <w:noProof/>
          <w:color w:val="002060"/>
          <w:sz w:val="22"/>
        </w:rPr>
        <w:t>New late transposition infringement cases (2013-2017)</w:t>
      </w:r>
    </w:p>
    <w:p w:rsidR="00E201F7" w:rsidRDefault="00E24EFF">
      <w:pPr>
        <w:pStyle w:val="Basis"/>
        <w:rPr>
          <w:noProof/>
          <w:lang w:val="en-GB"/>
        </w:rPr>
      </w:pPr>
      <w:r>
        <w:rPr>
          <w:noProof/>
          <w:lang w:val="en-GB"/>
        </w:rPr>
        <w:drawing>
          <wp:inline distT="0" distB="0" distL="0" distR="0" wp14:anchorId="30819BF0" wp14:editId="77482352">
            <wp:extent cx="4602480" cy="2458720"/>
            <wp:effectExtent l="0" t="0" r="0" b="0"/>
            <wp:docPr id="66" name="Grafiek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E201F7" w:rsidRDefault="00E24EFF">
      <w:pPr>
        <w:numPr>
          <w:ilvl w:val="0"/>
          <w:numId w:val="112"/>
        </w:numPr>
        <w:spacing w:before="240"/>
        <w:ind w:left="714" w:hanging="357"/>
        <w:jc w:val="left"/>
        <w:outlineLvl w:val="1"/>
        <w:rPr>
          <w:rFonts w:ascii="Arial" w:hAnsi="Arial" w:cs="Arial"/>
          <w:noProof/>
          <w:color w:val="002060"/>
          <w:sz w:val="22"/>
        </w:rPr>
      </w:pPr>
      <w:r>
        <w:rPr>
          <w:rFonts w:ascii="Arial" w:hAnsi="Arial" w:cs="Arial"/>
          <w:noProof/>
          <w:color w:val="002060"/>
          <w:sz w:val="22"/>
        </w:rPr>
        <w:t>New</w:t>
      </w:r>
      <w:r>
        <w:rPr>
          <w:rFonts w:ascii="Arial" w:hAnsi="Arial" w:cs="Arial"/>
          <w:noProof/>
          <w:color w:val="002060"/>
          <w:sz w:val="22"/>
        </w:rPr>
        <w:t xml:space="preserve"> late transposition infringement cases opened in 2017: main policy sectors</w:t>
      </w:r>
    </w:p>
    <w:p w:rsidR="00E201F7" w:rsidRDefault="00E24EFF">
      <w:pPr>
        <w:pStyle w:val="Basis"/>
        <w:tabs>
          <w:tab w:val="left" w:pos="1985"/>
        </w:tabs>
        <w:rPr>
          <w:noProof/>
          <w:lang w:val="en-GB"/>
        </w:rPr>
      </w:pPr>
      <w:r>
        <w:rPr>
          <w:noProof/>
          <w:lang w:val="en-GB"/>
        </w:rPr>
        <w:drawing>
          <wp:inline distT="0" distB="0" distL="0" distR="0" wp14:anchorId="257FF887" wp14:editId="396E108F">
            <wp:extent cx="4592320" cy="2357120"/>
            <wp:effectExtent l="0" t="0" r="17780" b="24130"/>
            <wp:docPr id="71"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E201F7" w:rsidRDefault="00E24EFF">
      <w:pPr>
        <w:numPr>
          <w:ilvl w:val="0"/>
          <w:numId w:val="112"/>
        </w:numPr>
        <w:spacing w:before="240"/>
        <w:ind w:left="714" w:hanging="357"/>
        <w:jc w:val="left"/>
        <w:outlineLvl w:val="1"/>
        <w:rPr>
          <w:rFonts w:ascii="Arial" w:hAnsi="Arial" w:cs="Arial"/>
          <w:noProof/>
          <w:color w:val="002060"/>
          <w:sz w:val="22"/>
        </w:rPr>
      </w:pPr>
      <w:r>
        <w:rPr>
          <w:rFonts w:ascii="Arial" w:hAnsi="Arial" w:cs="Arial"/>
          <w:noProof/>
          <w:color w:val="002060"/>
          <w:sz w:val="22"/>
        </w:rPr>
        <w:t>Key infringement cases and referrals to the Court</w:t>
      </w:r>
    </w:p>
    <w:p w:rsidR="00E201F7" w:rsidRDefault="00E24EFF">
      <w:pPr>
        <w:numPr>
          <w:ilvl w:val="0"/>
          <w:numId w:val="53"/>
        </w:numPr>
        <w:spacing w:after="120"/>
        <w:ind w:left="1200" w:hanging="360"/>
        <w:rPr>
          <w:rFonts w:ascii="Arial" w:eastAsia="Calibri" w:hAnsi="Arial" w:cs="Arial"/>
          <w:noProof/>
          <w:kern w:val="20"/>
          <w:sz w:val="20"/>
        </w:rPr>
      </w:pPr>
      <w:r>
        <w:rPr>
          <w:rFonts w:ascii="Arial" w:eastAsia="Calibri" w:hAnsi="Arial" w:cs="Arial"/>
          <w:noProof/>
          <w:kern w:val="20"/>
          <w:sz w:val="20"/>
        </w:rPr>
        <w:t>The Commission opened 113 cases for late transposition in 2017. Most concern:</w:t>
      </w:r>
    </w:p>
    <w:p w:rsidR="00E201F7" w:rsidRDefault="00E24EFF">
      <w:pPr>
        <w:numPr>
          <w:ilvl w:val="0"/>
          <w:numId w:val="24"/>
        </w:numPr>
        <w:spacing w:after="200"/>
        <w:ind w:left="1800"/>
        <w:contextualSpacing/>
        <w:rPr>
          <w:rFonts w:ascii="Arial" w:eastAsia="Calibri" w:hAnsi="Arial" w:cs="Arial"/>
          <w:noProof/>
          <w:sz w:val="20"/>
        </w:rPr>
      </w:pPr>
      <w:r>
        <w:rPr>
          <w:rFonts w:ascii="Arial" w:hAnsi="Arial" w:cs="Arial"/>
          <w:noProof/>
          <w:sz w:val="20"/>
        </w:rPr>
        <w:t>a Directive</w:t>
      </w:r>
      <w:r>
        <w:rPr>
          <w:rStyle w:val="FootnoteReference"/>
          <w:rFonts w:ascii="Arial" w:hAnsi="Arial" w:cs="Arial"/>
          <w:noProof/>
          <w:sz w:val="20"/>
        </w:rPr>
        <w:footnoteReference w:id="132"/>
      </w:r>
      <w:r>
        <w:rPr>
          <w:rFonts w:ascii="Arial" w:hAnsi="Arial" w:cs="Arial"/>
          <w:noProof/>
          <w:sz w:val="20"/>
        </w:rPr>
        <w:t xml:space="preserve"> amending the Environmental Impact Asse</w:t>
      </w:r>
      <w:r>
        <w:rPr>
          <w:rFonts w:ascii="Arial" w:hAnsi="Arial" w:cs="Arial"/>
          <w:noProof/>
          <w:sz w:val="20"/>
        </w:rPr>
        <w:t>ssment Directive</w:t>
      </w:r>
      <w:r>
        <w:rPr>
          <w:rStyle w:val="FootnoteReference"/>
          <w:rFonts w:ascii="Arial" w:hAnsi="Arial" w:cs="Arial"/>
          <w:noProof/>
          <w:sz w:val="20"/>
        </w:rPr>
        <w:footnoteReference w:id="133"/>
      </w:r>
      <w:r>
        <w:rPr>
          <w:rFonts w:ascii="Arial" w:hAnsi="Arial" w:cs="Arial"/>
          <w:noProof/>
          <w:sz w:val="20"/>
        </w:rPr>
        <w:t xml:space="preserve"> (</w:t>
      </w:r>
      <w:r>
        <w:rPr>
          <w:rFonts w:ascii="Arial" w:hAnsi="Arial" w:cs="Arial"/>
          <w:noProof/>
          <w:sz w:val="20"/>
          <w:szCs w:val="20"/>
        </w:rPr>
        <w:t xml:space="preserve">21 </w:t>
      </w:r>
      <w:r>
        <w:rPr>
          <w:rFonts w:ascii="Arial" w:hAnsi="Arial" w:cs="Arial"/>
          <w:noProof/>
          <w:sz w:val="20"/>
        </w:rPr>
        <w:t>Member States);</w:t>
      </w:r>
    </w:p>
    <w:p w:rsidR="00E201F7" w:rsidRDefault="00E24EFF">
      <w:pPr>
        <w:numPr>
          <w:ilvl w:val="0"/>
          <w:numId w:val="24"/>
        </w:numPr>
        <w:spacing w:after="200"/>
        <w:ind w:left="1800"/>
        <w:contextualSpacing/>
        <w:rPr>
          <w:rFonts w:ascii="Arial" w:eastAsia="Calibri" w:hAnsi="Arial" w:cs="Arial"/>
          <w:noProof/>
          <w:sz w:val="20"/>
        </w:rPr>
      </w:pPr>
      <w:r>
        <w:rPr>
          <w:rFonts w:ascii="Arial" w:eastAsia="Calibri" w:hAnsi="Arial" w:cs="Arial"/>
          <w:noProof/>
          <w:sz w:val="20"/>
        </w:rPr>
        <w:t xml:space="preserve">a Commission </w:t>
      </w:r>
      <w:r>
        <w:rPr>
          <w:rFonts w:ascii="Arial" w:hAnsi="Arial" w:cs="Arial"/>
          <w:noProof/>
          <w:sz w:val="20"/>
        </w:rPr>
        <w:t>Directive</w:t>
      </w:r>
      <w:r>
        <w:rPr>
          <w:rFonts w:ascii="Arial" w:eastAsia="Calibri" w:hAnsi="Arial" w:cs="Arial"/>
          <w:noProof/>
          <w:sz w:val="20"/>
        </w:rPr>
        <w:t xml:space="preserve"> amending </w:t>
      </w:r>
      <w:r>
        <w:rPr>
          <w:rFonts w:ascii="Arial" w:hAnsi="Arial" w:cs="Arial"/>
          <w:noProof/>
          <w:sz w:val="20"/>
        </w:rPr>
        <w:t>the rules on reference methods, data validation and location of sampling points for the assessment of ambient air quality</w:t>
      </w:r>
      <w:r>
        <w:rPr>
          <w:rStyle w:val="FootnoteReference"/>
          <w:rFonts w:ascii="Arial" w:eastAsia="Calibri" w:hAnsi="Arial" w:cs="Arial"/>
          <w:noProof/>
          <w:sz w:val="20"/>
        </w:rPr>
        <w:footnoteReference w:id="134"/>
      </w:r>
      <w:r>
        <w:rPr>
          <w:rFonts w:ascii="Arial" w:eastAsia="Calibri" w:hAnsi="Arial" w:cs="Arial"/>
          <w:noProof/>
          <w:sz w:val="20"/>
        </w:rPr>
        <w:t xml:space="preserve"> (19 Member States);</w:t>
      </w:r>
    </w:p>
    <w:p w:rsidR="00E201F7" w:rsidRDefault="00E24EFF">
      <w:pPr>
        <w:numPr>
          <w:ilvl w:val="0"/>
          <w:numId w:val="24"/>
        </w:numPr>
        <w:spacing w:after="200"/>
        <w:ind w:left="1800"/>
        <w:contextualSpacing/>
        <w:rPr>
          <w:rFonts w:ascii="Arial" w:eastAsia="Calibri" w:hAnsi="Arial" w:cs="Arial"/>
          <w:noProof/>
          <w:sz w:val="20"/>
        </w:rPr>
      </w:pPr>
      <w:r>
        <w:rPr>
          <w:rFonts w:ascii="Arial" w:hAnsi="Arial" w:cs="Arial"/>
          <w:noProof/>
          <w:sz w:val="20"/>
        </w:rPr>
        <w:t xml:space="preserve">the Directive on the reduction of national </w:t>
      </w:r>
      <w:r>
        <w:rPr>
          <w:rFonts w:ascii="Arial" w:hAnsi="Arial" w:cs="Arial"/>
          <w:noProof/>
          <w:sz w:val="20"/>
        </w:rPr>
        <w:t>emissions of certain atmospheric pollutants</w:t>
      </w:r>
      <w:r>
        <w:rPr>
          <w:rStyle w:val="FootnoteReference"/>
          <w:rFonts w:ascii="Arial" w:hAnsi="Arial" w:cs="Arial"/>
          <w:noProof/>
          <w:sz w:val="20"/>
        </w:rPr>
        <w:footnoteReference w:id="135"/>
      </w:r>
      <w:r>
        <w:rPr>
          <w:rFonts w:ascii="Arial" w:hAnsi="Arial" w:cs="Arial"/>
          <w:noProof/>
          <w:sz w:val="20"/>
        </w:rPr>
        <w:t xml:space="preserve"> (18 Member States);</w:t>
      </w:r>
    </w:p>
    <w:p w:rsidR="00E201F7" w:rsidRDefault="00E24EFF">
      <w:pPr>
        <w:numPr>
          <w:ilvl w:val="0"/>
          <w:numId w:val="24"/>
        </w:numPr>
        <w:spacing w:after="200"/>
        <w:ind w:left="1800"/>
        <w:contextualSpacing/>
        <w:rPr>
          <w:rFonts w:ascii="Arial" w:eastAsia="Calibri" w:hAnsi="Arial" w:cs="Arial"/>
          <w:noProof/>
          <w:sz w:val="20"/>
        </w:rPr>
      </w:pPr>
      <w:r>
        <w:rPr>
          <w:rFonts w:ascii="Arial" w:hAnsi="Arial" w:cs="Arial"/>
          <w:noProof/>
          <w:sz w:val="20"/>
        </w:rPr>
        <w:t>a Directive</w:t>
      </w:r>
      <w:r>
        <w:rPr>
          <w:rStyle w:val="FootnoteReference"/>
          <w:rFonts w:ascii="Arial" w:hAnsi="Arial" w:cs="Arial"/>
          <w:noProof/>
          <w:sz w:val="20"/>
        </w:rPr>
        <w:footnoteReference w:id="136"/>
      </w:r>
      <w:r>
        <w:rPr>
          <w:rFonts w:ascii="Arial" w:hAnsi="Arial" w:cs="Arial"/>
          <w:noProof/>
          <w:sz w:val="20"/>
        </w:rPr>
        <w:t xml:space="preserve"> amending the Directive on lightweight plastic carrier bags</w:t>
      </w:r>
      <w:r>
        <w:rPr>
          <w:rStyle w:val="FootnoteReference"/>
          <w:rFonts w:ascii="Arial" w:hAnsi="Arial" w:cs="Arial"/>
          <w:noProof/>
          <w:sz w:val="20"/>
        </w:rPr>
        <w:footnoteReference w:id="137"/>
      </w:r>
      <w:r>
        <w:rPr>
          <w:rFonts w:ascii="Arial" w:hAnsi="Arial" w:cs="Arial"/>
          <w:noProof/>
          <w:sz w:val="20"/>
        </w:rPr>
        <w:t xml:space="preserve"> (16 Member States);</w:t>
      </w:r>
    </w:p>
    <w:p w:rsidR="00E201F7" w:rsidRDefault="00E24EFF">
      <w:pPr>
        <w:numPr>
          <w:ilvl w:val="0"/>
          <w:numId w:val="24"/>
        </w:numPr>
        <w:spacing w:after="200"/>
        <w:ind w:left="1800"/>
        <w:contextualSpacing/>
        <w:rPr>
          <w:rFonts w:ascii="Arial" w:eastAsia="Calibri" w:hAnsi="Arial" w:cs="Arial"/>
          <w:noProof/>
          <w:sz w:val="20"/>
        </w:rPr>
      </w:pPr>
      <w:r>
        <w:rPr>
          <w:rFonts w:ascii="Arial" w:hAnsi="Arial" w:cs="Arial"/>
          <w:noProof/>
          <w:sz w:val="20"/>
        </w:rPr>
        <w:t>a Commission Directive</w:t>
      </w:r>
      <w:r>
        <w:rPr>
          <w:rStyle w:val="FootnoteReference"/>
          <w:rFonts w:ascii="Arial" w:hAnsi="Arial" w:cs="Arial"/>
          <w:noProof/>
          <w:sz w:val="20"/>
        </w:rPr>
        <w:footnoteReference w:id="138"/>
      </w:r>
      <w:r>
        <w:rPr>
          <w:rFonts w:ascii="Arial" w:hAnsi="Arial" w:cs="Arial"/>
          <w:noProof/>
          <w:sz w:val="20"/>
        </w:rPr>
        <w:t xml:space="preserve"> amending the Directive on end-of-life vehicles</w:t>
      </w:r>
      <w:r>
        <w:rPr>
          <w:rStyle w:val="FootnoteReference"/>
          <w:rFonts w:ascii="Arial" w:hAnsi="Arial" w:cs="Arial"/>
          <w:noProof/>
          <w:sz w:val="20"/>
        </w:rPr>
        <w:footnoteReference w:id="139"/>
      </w:r>
      <w:r>
        <w:rPr>
          <w:rFonts w:ascii="Arial" w:hAnsi="Arial" w:cs="Arial"/>
          <w:noProof/>
          <w:sz w:val="20"/>
        </w:rPr>
        <w:t xml:space="preserve"> (11 Member States).</w:t>
      </w:r>
    </w:p>
    <w:p w:rsidR="00E201F7" w:rsidRDefault="00E24EFF">
      <w:pPr>
        <w:pStyle w:val="Lijstje"/>
        <w:numPr>
          <w:ilvl w:val="0"/>
          <w:numId w:val="53"/>
        </w:numPr>
        <w:spacing w:before="120" w:after="120"/>
        <w:ind w:left="1200" w:hanging="360"/>
        <w:rPr>
          <w:rFonts w:ascii="Arial" w:hAnsi="Arial" w:cs="Arial"/>
          <w:noProof/>
          <w:lang w:val="en-GB"/>
        </w:rPr>
      </w:pPr>
      <w:r>
        <w:rPr>
          <w:rFonts w:ascii="Arial" w:hAnsi="Arial" w:cs="Arial"/>
          <w:noProof/>
          <w:lang w:val="en-GB"/>
        </w:rPr>
        <w:t xml:space="preserve">The Commission did not refer any cases to the Court under Articles 258 and 260(3) </w:t>
      </w:r>
      <w:r>
        <w:rPr>
          <w:rFonts w:ascii="Arial" w:hAnsi="Arial" w:cs="Arial"/>
          <w:noProof/>
          <w:szCs w:val="20"/>
          <w:lang w:val="en-GB"/>
        </w:rPr>
        <w:t>TFEU</w:t>
      </w:r>
      <w:r>
        <w:rPr>
          <w:rFonts w:ascii="Arial" w:hAnsi="Arial" w:cs="Arial"/>
          <w:noProof/>
          <w:lang w:val="en-GB"/>
        </w:rPr>
        <w:t>.</w:t>
      </w:r>
    </w:p>
    <w:p w:rsidR="00E201F7" w:rsidRDefault="00E24EFF">
      <w:pPr>
        <w:pStyle w:val="kop2"/>
        <w:rPr>
          <w:noProof/>
        </w:rPr>
      </w:pPr>
      <w:r>
        <w:rPr>
          <w:noProof/>
        </w:rPr>
        <w:t>EARLY RESOLUTION OF INFRINGEMENT CASES</w:t>
      </w:r>
    </w:p>
    <w:p w:rsidR="00E201F7" w:rsidRDefault="00E24EFF">
      <w:pPr>
        <w:pStyle w:val="Subtitle"/>
        <w:rPr>
          <w:noProof/>
        </w:rPr>
      </w:pPr>
      <w:r>
        <w:rPr>
          <w:noProof/>
        </w:rPr>
        <w:t>Major cases closed without a Court judgment in 2017</w:t>
      </w:r>
    </w:p>
    <w:p w:rsidR="00E201F7" w:rsidRDefault="00E24EFF">
      <w:pPr>
        <w:autoSpaceDE w:val="0"/>
        <w:autoSpaceDN w:val="0"/>
        <w:adjustRightInd w:val="0"/>
        <w:spacing w:before="120" w:after="120"/>
        <w:ind w:left="720"/>
        <w:rPr>
          <w:rFonts w:ascii="Arial" w:hAnsi="Arial" w:cs="Arial"/>
          <w:noProof/>
          <w:sz w:val="20"/>
        </w:rPr>
      </w:pPr>
      <w:r>
        <w:rPr>
          <w:rFonts w:ascii="Arial" w:hAnsi="Arial" w:cs="Arial"/>
          <w:noProof/>
          <w:sz w:val="20"/>
        </w:rPr>
        <w:t>These concerned:</w:t>
      </w:r>
    </w:p>
    <w:p w:rsidR="00E201F7" w:rsidRDefault="00E24EFF">
      <w:pPr>
        <w:pStyle w:val="Lijstje2"/>
        <w:numPr>
          <w:ilvl w:val="0"/>
          <w:numId w:val="113"/>
        </w:numPr>
        <w:ind w:left="1200"/>
        <w:rPr>
          <w:rFonts w:ascii="Arial" w:hAnsi="Arial" w:cs="Arial"/>
          <w:noProof/>
          <w:lang w:val="en-GB"/>
        </w:rPr>
      </w:pPr>
      <w:r>
        <w:rPr>
          <w:rFonts w:ascii="Arial" w:hAnsi="Arial" w:cs="Arial"/>
          <w:i/>
          <w:noProof/>
          <w:lang w:val="en-GB"/>
        </w:rPr>
        <w:t xml:space="preserve">Belgium: </w:t>
      </w:r>
      <w:r>
        <w:rPr>
          <w:rFonts w:ascii="Arial" w:hAnsi="Arial" w:cs="Arial"/>
          <w:noProof/>
          <w:lang w:val="en-GB"/>
        </w:rPr>
        <w:t xml:space="preserve">non-compliant transposition of the Environmental </w:t>
      </w:r>
      <w:r>
        <w:rPr>
          <w:rFonts w:ascii="Arial" w:hAnsi="Arial" w:cs="Arial"/>
          <w:noProof/>
          <w:lang w:val="en-GB"/>
        </w:rPr>
        <w:t>Liability Directive</w:t>
      </w:r>
      <w:r>
        <w:rPr>
          <w:rStyle w:val="FootnoteReference"/>
          <w:rFonts w:ascii="Arial" w:hAnsi="Arial" w:cs="Arial"/>
          <w:noProof/>
          <w:lang w:val="en-GB"/>
        </w:rPr>
        <w:footnoteReference w:id="140"/>
      </w:r>
      <w:r>
        <w:rPr>
          <w:rFonts w:ascii="Arial" w:hAnsi="Arial" w:cs="Arial"/>
          <w:noProof/>
          <w:lang w:val="en-GB"/>
        </w:rPr>
        <w:t>;</w:t>
      </w:r>
    </w:p>
    <w:p w:rsidR="00E201F7" w:rsidRDefault="00E24EFF">
      <w:pPr>
        <w:pStyle w:val="Lijstje2"/>
        <w:numPr>
          <w:ilvl w:val="0"/>
          <w:numId w:val="113"/>
        </w:numPr>
        <w:ind w:left="1200"/>
        <w:rPr>
          <w:rFonts w:ascii="Arial" w:hAnsi="Arial" w:cs="Arial"/>
          <w:noProof/>
          <w:lang w:val="en-GB"/>
        </w:rPr>
      </w:pPr>
      <w:smartTag w:uri="urn:schemas-microsoft-com:office:smarttags" w:element="country-region">
        <w:r>
          <w:rPr>
            <w:rFonts w:ascii="Arial" w:hAnsi="Arial" w:cs="Arial"/>
            <w:i/>
            <w:noProof/>
            <w:lang w:val="en-GB"/>
          </w:rPr>
          <w:t>Bulgaria</w:t>
        </w:r>
      </w:smartTag>
      <w:r>
        <w:rPr>
          <w:rFonts w:ascii="Arial" w:hAnsi="Arial" w:cs="Arial"/>
          <w:i/>
          <w:noProof/>
          <w:lang w:val="en-GB"/>
        </w:rPr>
        <w:t xml:space="preserve"> and </w:t>
      </w:r>
      <w:smartTag w:uri="urn:schemas-microsoft-com:office:smarttags" w:element="country-region">
        <w:smartTag w:uri="urn:schemas-microsoft-com:office:smarttags" w:element="place">
          <w:r>
            <w:rPr>
              <w:rFonts w:ascii="Arial" w:hAnsi="Arial" w:cs="Arial"/>
              <w:i/>
              <w:noProof/>
              <w:lang w:val="en-GB"/>
            </w:rPr>
            <w:t>Greece</w:t>
          </w:r>
        </w:smartTag>
      </w:smartTag>
      <w:r>
        <w:rPr>
          <w:rFonts w:ascii="Arial" w:hAnsi="Arial" w:cs="Arial"/>
          <w:i/>
          <w:noProof/>
          <w:lang w:val="en-GB"/>
        </w:rPr>
        <w:t xml:space="preserve">: </w:t>
      </w:r>
      <w:r>
        <w:rPr>
          <w:rFonts w:ascii="Arial" w:hAnsi="Arial" w:cs="Arial"/>
          <w:noProof/>
          <w:lang w:val="en-GB"/>
        </w:rPr>
        <w:t>failure to make available to the Commission flood hazard and risk maps;</w:t>
      </w:r>
    </w:p>
    <w:p w:rsidR="00E201F7" w:rsidRDefault="00E24EFF">
      <w:pPr>
        <w:pStyle w:val="Lijstje2"/>
        <w:numPr>
          <w:ilvl w:val="0"/>
          <w:numId w:val="113"/>
        </w:numPr>
        <w:ind w:left="1200"/>
        <w:rPr>
          <w:rFonts w:ascii="Arial" w:hAnsi="Arial" w:cs="Arial"/>
          <w:noProof/>
          <w:lang w:val="en-GB"/>
        </w:rPr>
      </w:pPr>
      <w:r>
        <w:rPr>
          <w:rFonts w:ascii="Arial" w:hAnsi="Arial" w:cs="Arial"/>
          <w:i/>
          <w:noProof/>
          <w:lang w:val="en-GB"/>
        </w:rPr>
        <w:t xml:space="preserve">Bulgaria, Czech Republic, Denmark, Luxembourg, </w:t>
      </w:r>
      <w:smartTag w:uri="urn:schemas-microsoft-com:office:smarttags" w:element="country-region">
        <w:r>
          <w:rPr>
            <w:rFonts w:ascii="Arial" w:hAnsi="Arial" w:cs="Arial"/>
            <w:i/>
            <w:noProof/>
            <w:lang w:val="en-GB"/>
          </w:rPr>
          <w:t>Poland</w:t>
        </w:r>
      </w:smartTag>
      <w:r>
        <w:rPr>
          <w:rFonts w:ascii="Arial" w:hAnsi="Arial" w:cs="Arial"/>
          <w:i/>
          <w:noProof/>
          <w:lang w:val="en-GB"/>
        </w:rPr>
        <w:t xml:space="preserve"> and </w:t>
      </w:r>
      <w:smartTag w:uri="urn:schemas-microsoft-com:office:smarttags" w:element="country-region">
        <w:smartTag w:uri="urn:schemas-microsoft-com:office:smarttags" w:element="place">
          <w:r>
            <w:rPr>
              <w:rFonts w:ascii="Arial" w:hAnsi="Arial" w:cs="Arial"/>
              <w:i/>
              <w:noProof/>
              <w:lang w:val="en-GB"/>
            </w:rPr>
            <w:t>Slovenia</w:t>
          </w:r>
        </w:smartTag>
      </w:smartTag>
      <w:r>
        <w:rPr>
          <w:rFonts w:ascii="Arial" w:hAnsi="Arial" w:cs="Arial"/>
          <w:i/>
          <w:noProof/>
          <w:lang w:val="en-GB"/>
        </w:rPr>
        <w:t xml:space="preserve">: </w:t>
      </w:r>
      <w:r>
        <w:rPr>
          <w:rFonts w:ascii="Arial" w:hAnsi="Arial" w:cs="Arial"/>
          <w:noProof/>
          <w:lang w:val="en-GB"/>
        </w:rPr>
        <w:t>non-communication of national measures transposing a Commission Directive</w:t>
      </w:r>
      <w:r>
        <w:rPr>
          <w:rStyle w:val="FootnoteReference"/>
          <w:rFonts w:ascii="Arial" w:hAnsi="Arial" w:cs="Arial"/>
          <w:noProof/>
          <w:lang w:val="en-GB"/>
        </w:rPr>
        <w:footnoteReference w:id="141"/>
      </w:r>
      <w:r>
        <w:rPr>
          <w:rFonts w:ascii="Arial" w:hAnsi="Arial" w:cs="Arial"/>
          <w:noProof/>
          <w:lang w:val="en-GB"/>
        </w:rPr>
        <w:t xml:space="preserve"> amending the Groundwater Directive</w:t>
      </w:r>
      <w:r>
        <w:rPr>
          <w:rStyle w:val="FootnoteReference"/>
          <w:rFonts w:ascii="Arial" w:hAnsi="Arial" w:cs="Arial"/>
          <w:noProof/>
          <w:lang w:val="en-GB"/>
        </w:rPr>
        <w:footnoteReference w:id="142"/>
      </w:r>
      <w:r>
        <w:rPr>
          <w:rFonts w:ascii="Arial" w:hAnsi="Arial" w:cs="Arial"/>
          <w:noProof/>
          <w:lang w:val="en-GB"/>
        </w:rPr>
        <w:t>;</w:t>
      </w:r>
    </w:p>
    <w:p w:rsidR="00E201F7" w:rsidRDefault="00E24EFF">
      <w:pPr>
        <w:pStyle w:val="Lijstje2"/>
        <w:numPr>
          <w:ilvl w:val="0"/>
          <w:numId w:val="113"/>
        </w:numPr>
        <w:ind w:left="1200"/>
        <w:rPr>
          <w:rFonts w:ascii="Arial" w:hAnsi="Arial" w:cs="Arial"/>
          <w:noProof/>
          <w:lang w:val="en-GB"/>
        </w:rPr>
      </w:pPr>
      <w:r>
        <w:rPr>
          <w:rFonts w:ascii="Arial" w:hAnsi="Arial" w:cs="Arial"/>
          <w:i/>
          <w:noProof/>
          <w:lang w:val="en-GB"/>
        </w:rPr>
        <w:t xml:space="preserve">Denmark, Lithuania, Malta, Romania and Slovenia: </w:t>
      </w:r>
      <w:r>
        <w:rPr>
          <w:rFonts w:ascii="Arial" w:hAnsi="Arial" w:cs="Arial"/>
          <w:noProof/>
          <w:lang w:val="en-GB"/>
        </w:rPr>
        <w:t>failure to develop and report the programmes of measures required by the Marine Strategy Framework Directive</w:t>
      </w:r>
      <w:r>
        <w:rPr>
          <w:rStyle w:val="FootnoteReference"/>
          <w:rFonts w:ascii="Arial" w:hAnsi="Arial" w:cs="Arial"/>
          <w:noProof/>
          <w:lang w:val="en-GB"/>
        </w:rPr>
        <w:footnoteReference w:id="143"/>
      </w:r>
      <w:r>
        <w:rPr>
          <w:rFonts w:ascii="Arial" w:hAnsi="Arial" w:cs="Arial"/>
          <w:noProof/>
          <w:lang w:val="en-GB"/>
        </w:rPr>
        <w:t>;</w:t>
      </w:r>
    </w:p>
    <w:p w:rsidR="00E201F7" w:rsidRDefault="00E24EFF">
      <w:pPr>
        <w:pStyle w:val="Lijstje2"/>
        <w:numPr>
          <w:ilvl w:val="0"/>
          <w:numId w:val="113"/>
        </w:numPr>
        <w:ind w:left="1200"/>
        <w:rPr>
          <w:rFonts w:ascii="Arial" w:hAnsi="Arial" w:cs="Arial"/>
          <w:noProof/>
          <w:lang w:val="en-GB"/>
        </w:rPr>
      </w:pPr>
      <w:r>
        <w:rPr>
          <w:rFonts w:ascii="Arial" w:hAnsi="Arial" w:cs="Arial"/>
          <w:i/>
          <w:noProof/>
          <w:lang w:val="en-GB"/>
        </w:rPr>
        <w:t xml:space="preserve">Germany: </w:t>
      </w:r>
      <w:r>
        <w:rPr>
          <w:rFonts w:ascii="Arial" w:hAnsi="Arial" w:cs="Arial"/>
          <w:noProof/>
          <w:lang w:val="en-GB"/>
        </w:rPr>
        <w:t>incorrect transposition of the Waste Framework D</w:t>
      </w:r>
      <w:r>
        <w:rPr>
          <w:rFonts w:ascii="Arial" w:hAnsi="Arial" w:cs="Arial"/>
          <w:noProof/>
          <w:lang w:val="en-GB"/>
        </w:rPr>
        <w:t>irective</w:t>
      </w:r>
      <w:r>
        <w:rPr>
          <w:rStyle w:val="FootnoteReference"/>
          <w:rFonts w:ascii="Arial" w:hAnsi="Arial" w:cs="Arial"/>
          <w:noProof/>
          <w:lang w:val="en-GB"/>
        </w:rPr>
        <w:footnoteReference w:id="144"/>
      </w:r>
      <w:r>
        <w:rPr>
          <w:rFonts w:ascii="Arial" w:hAnsi="Arial" w:cs="Arial"/>
          <w:noProof/>
          <w:lang w:val="en-GB"/>
        </w:rPr>
        <w:t>;</w:t>
      </w:r>
    </w:p>
    <w:p w:rsidR="00E201F7" w:rsidRDefault="00E24EFF">
      <w:pPr>
        <w:pStyle w:val="Lijstje2"/>
        <w:numPr>
          <w:ilvl w:val="0"/>
          <w:numId w:val="113"/>
        </w:numPr>
        <w:ind w:left="1200"/>
        <w:rPr>
          <w:rFonts w:ascii="Arial" w:hAnsi="Arial" w:cs="Arial"/>
          <w:noProof/>
          <w:lang w:val="en-GB"/>
        </w:rPr>
      </w:pPr>
      <w:r>
        <w:rPr>
          <w:rFonts w:ascii="Arial" w:hAnsi="Arial" w:cs="Arial"/>
          <w:i/>
          <w:noProof/>
          <w:lang w:val="en-GB"/>
        </w:rPr>
        <w:t>Greece:</w:t>
      </w:r>
      <w:r>
        <w:rPr>
          <w:rFonts w:ascii="Arial" w:hAnsi="Arial" w:cs="Arial"/>
          <w:noProof/>
          <w:lang w:val="en-GB"/>
        </w:rPr>
        <w:t xml:space="preserve"> failure to prepare and communicate the monitoring programmes required by the Marine Strategy Framework Directive</w:t>
      </w:r>
      <w:r>
        <w:rPr>
          <w:rStyle w:val="FootnoteReference"/>
          <w:rFonts w:ascii="Arial" w:hAnsi="Arial" w:cs="Arial"/>
          <w:noProof/>
          <w:lang w:val="en-GB"/>
        </w:rPr>
        <w:footnoteReference w:id="145"/>
      </w:r>
      <w:r>
        <w:rPr>
          <w:rFonts w:ascii="Arial" w:hAnsi="Arial" w:cs="Arial"/>
          <w:noProof/>
          <w:lang w:val="en-GB"/>
        </w:rPr>
        <w:t>;</w:t>
      </w:r>
    </w:p>
    <w:p w:rsidR="00E201F7" w:rsidRDefault="00E24EFF">
      <w:pPr>
        <w:pStyle w:val="Lijstje2"/>
        <w:numPr>
          <w:ilvl w:val="0"/>
          <w:numId w:val="113"/>
        </w:numPr>
        <w:ind w:left="1200"/>
        <w:rPr>
          <w:rFonts w:ascii="Arial" w:hAnsi="Arial" w:cs="Arial"/>
          <w:noProof/>
          <w:lang w:val="en-GB"/>
        </w:rPr>
      </w:pPr>
      <w:r>
        <w:rPr>
          <w:rFonts w:ascii="Arial" w:hAnsi="Arial" w:cs="Arial"/>
          <w:i/>
          <w:noProof/>
          <w:lang w:val="en-GB"/>
        </w:rPr>
        <w:t xml:space="preserve">Croatia: </w:t>
      </w:r>
      <w:r>
        <w:rPr>
          <w:rFonts w:ascii="Arial" w:hAnsi="Arial" w:cs="Arial"/>
          <w:noProof/>
          <w:lang w:val="en-GB"/>
        </w:rPr>
        <w:t>failure to revise the national waste management plan and to adopt a waste prevention programme;</w:t>
      </w:r>
    </w:p>
    <w:p w:rsidR="00E201F7" w:rsidRDefault="00E24EFF">
      <w:pPr>
        <w:pStyle w:val="Lijstje2"/>
        <w:numPr>
          <w:ilvl w:val="0"/>
          <w:numId w:val="113"/>
        </w:numPr>
        <w:ind w:left="1200"/>
        <w:rPr>
          <w:rFonts w:ascii="Arial" w:hAnsi="Arial" w:cs="Arial"/>
          <w:i/>
          <w:noProof/>
          <w:lang w:val="en-GB"/>
        </w:rPr>
      </w:pPr>
      <w:r>
        <w:rPr>
          <w:rFonts w:ascii="Arial" w:hAnsi="Arial" w:cs="Arial"/>
          <w:i/>
          <w:noProof/>
          <w:lang w:val="en-GB"/>
        </w:rPr>
        <w:t xml:space="preserve">France, Poland and Finland: </w:t>
      </w:r>
      <w:r>
        <w:rPr>
          <w:rFonts w:ascii="Arial" w:hAnsi="Arial" w:cs="Arial"/>
          <w:noProof/>
          <w:lang w:val="en-GB"/>
        </w:rPr>
        <w:t>non-communication of national measures transposing the Seveso III Directive</w:t>
      </w:r>
      <w:r>
        <w:rPr>
          <w:rStyle w:val="FootnoteReference"/>
          <w:rFonts w:ascii="Arial" w:hAnsi="Arial" w:cs="Arial"/>
          <w:noProof/>
          <w:lang w:val="en-GB"/>
        </w:rPr>
        <w:footnoteReference w:id="146"/>
      </w:r>
      <w:r>
        <w:rPr>
          <w:rFonts w:ascii="Arial" w:hAnsi="Arial" w:cs="Arial"/>
          <w:noProof/>
          <w:lang w:val="en-GB"/>
        </w:rPr>
        <w:t>;</w:t>
      </w:r>
    </w:p>
    <w:p w:rsidR="00E201F7" w:rsidRDefault="00E24EFF">
      <w:pPr>
        <w:pStyle w:val="Lijstje2"/>
        <w:numPr>
          <w:ilvl w:val="0"/>
          <w:numId w:val="113"/>
        </w:numPr>
        <w:ind w:left="1200"/>
        <w:rPr>
          <w:rFonts w:ascii="Arial" w:hAnsi="Arial" w:cs="Arial"/>
          <w:noProof/>
          <w:color w:val="3D3D3D"/>
          <w:lang w:val="en-GB"/>
        </w:rPr>
      </w:pPr>
      <w:r>
        <w:rPr>
          <w:rFonts w:ascii="Arial" w:hAnsi="Arial" w:cs="Arial"/>
          <w:i/>
          <w:noProof/>
          <w:lang w:val="en-GB"/>
        </w:rPr>
        <w:t xml:space="preserve">Slovenia: </w:t>
      </w:r>
      <w:r>
        <w:rPr>
          <w:rFonts w:ascii="Arial" w:hAnsi="Arial" w:cs="Arial"/>
          <w:noProof/>
          <w:lang w:val="en-GB"/>
        </w:rPr>
        <w:t>lack of flood risk management plans required by the Floods Directive</w:t>
      </w:r>
      <w:r>
        <w:rPr>
          <w:rStyle w:val="FootnoteReference"/>
          <w:rFonts w:ascii="Arial" w:hAnsi="Arial" w:cs="Arial"/>
          <w:noProof/>
          <w:color w:val="3D3D3D"/>
          <w:lang w:val="en-GB"/>
        </w:rPr>
        <w:footnoteReference w:id="147"/>
      </w:r>
      <w:r>
        <w:rPr>
          <w:rFonts w:ascii="Arial" w:hAnsi="Arial" w:cs="Arial"/>
          <w:noProof/>
          <w:lang w:val="en-GB"/>
        </w:rPr>
        <w:t>;</w:t>
      </w:r>
    </w:p>
    <w:p w:rsidR="00E201F7" w:rsidRDefault="00E24EFF">
      <w:pPr>
        <w:pStyle w:val="Lijstje2"/>
        <w:numPr>
          <w:ilvl w:val="0"/>
          <w:numId w:val="113"/>
        </w:numPr>
        <w:ind w:left="1200"/>
        <w:rPr>
          <w:rFonts w:ascii="Arial" w:hAnsi="Arial" w:cs="Arial"/>
          <w:noProof/>
          <w:lang w:val="en-GB"/>
        </w:rPr>
      </w:pPr>
      <w:r>
        <w:rPr>
          <w:rFonts w:ascii="Arial" w:hAnsi="Arial" w:cs="Arial"/>
          <w:i/>
          <w:noProof/>
          <w:lang w:val="en-GB"/>
        </w:rPr>
        <w:t xml:space="preserve">Slovakia: </w:t>
      </w:r>
      <w:r>
        <w:rPr>
          <w:rFonts w:ascii="Arial" w:hAnsi="Arial" w:cs="Arial"/>
          <w:noProof/>
          <w:lang w:val="en-GB"/>
        </w:rPr>
        <w:t>incorrect transposition of the Environmental Impact Assessm</w:t>
      </w:r>
      <w:r>
        <w:rPr>
          <w:rFonts w:ascii="Arial" w:hAnsi="Arial" w:cs="Arial"/>
          <w:noProof/>
          <w:lang w:val="en-GB"/>
        </w:rPr>
        <w:t>ent Directive</w:t>
      </w:r>
      <w:r>
        <w:rPr>
          <w:rStyle w:val="FootnoteReference"/>
          <w:rFonts w:ascii="Arial" w:hAnsi="Arial" w:cs="Arial"/>
          <w:noProof/>
          <w:lang w:val="en-GB"/>
        </w:rPr>
        <w:footnoteReference w:id="148"/>
      </w:r>
      <w:r>
        <w:rPr>
          <w:rFonts w:ascii="Arial" w:hAnsi="Arial" w:cs="Arial"/>
          <w:noProof/>
          <w:lang w:val="en-GB"/>
        </w:rPr>
        <w:t>.</w:t>
      </w:r>
    </w:p>
    <w:p w:rsidR="00E201F7" w:rsidRDefault="00E24EFF">
      <w:pPr>
        <w:pStyle w:val="kop2"/>
        <w:rPr>
          <w:noProof/>
        </w:rPr>
      </w:pPr>
      <w:r>
        <w:rPr>
          <w:noProof/>
        </w:rPr>
        <w:t>IMPORTANT JUDGMENTS</w:t>
      </w:r>
    </w:p>
    <w:p w:rsidR="00E201F7" w:rsidRDefault="00E24EFF">
      <w:pPr>
        <w:numPr>
          <w:ilvl w:val="0"/>
          <w:numId w:val="34"/>
        </w:numPr>
        <w:spacing w:after="60"/>
        <w:jc w:val="left"/>
        <w:outlineLvl w:val="1"/>
        <w:rPr>
          <w:noProof/>
          <w:color w:val="002060"/>
        </w:rPr>
      </w:pPr>
      <w:r>
        <w:rPr>
          <w:rFonts w:ascii="Arial" w:hAnsi="Arial" w:cs="Arial"/>
          <w:noProof/>
          <w:color w:val="002060"/>
          <w:sz w:val="22"/>
        </w:rPr>
        <w:t>Court rulings</w:t>
      </w:r>
      <w:r>
        <w:rPr>
          <w:rStyle w:val="FootnoteReference"/>
          <w:noProof/>
          <w:color w:val="002060"/>
        </w:rPr>
        <w:footnoteReference w:id="149"/>
      </w:r>
    </w:p>
    <w:p w:rsidR="00E201F7" w:rsidRDefault="00E24EFF">
      <w:pPr>
        <w:pStyle w:val="Basis"/>
        <w:spacing w:before="120" w:after="120"/>
        <w:rPr>
          <w:rFonts w:ascii="Arial" w:hAnsi="Arial" w:cs="Arial"/>
          <w:noProof/>
          <w:lang w:val="en-GB"/>
        </w:rPr>
      </w:pPr>
      <w:r>
        <w:rPr>
          <w:rFonts w:ascii="Arial" w:hAnsi="Arial" w:cs="Arial"/>
          <w:noProof/>
          <w:lang w:val="en-GB"/>
        </w:rPr>
        <w:t>The Court gave the following rulings.</w:t>
      </w:r>
    </w:p>
    <w:p w:rsidR="00E201F7" w:rsidRDefault="00E24EFF">
      <w:pPr>
        <w:pStyle w:val="Lijstje2"/>
        <w:numPr>
          <w:ilvl w:val="0"/>
          <w:numId w:val="113"/>
        </w:numPr>
        <w:spacing w:after="120"/>
        <w:ind w:left="1196" w:hanging="357"/>
        <w:contextualSpacing w:val="0"/>
        <w:rPr>
          <w:rFonts w:ascii="Arial" w:hAnsi="Arial" w:cs="Arial"/>
          <w:noProof/>
          <w:lang w:val="en-GB"/>
        </w:rPr>
      </w:pPr>
      <w:r>
        <w:rPr>
          <w:rFonts w:ascii="Arial" w:hAnsi="Arial" w:cs="Arial"/>
          <w:i/>
          <w:noProof/>
          <w:lang w:val="en-GB"/>
        </w:rPr>
        <w:t>Bulgaria</w:t>
      </w:r>
      <w:r>
        <w:rPr>
          <w:rFonts w:ascii="Arial" w:hAnsi="Arial" w:cs="Arial"/>
          <w:bCs/>
          <w:i/>
          <w:noProof/>
          <w:lang w:val="en-GB"/>
        </w:rPr>
        <w:t xml:space="preserve"> </w:t>
      </w:r>
      <w:r>
        <w:rPr>
          <w:rFonts w:ascii="Arial" w:hAnsi="Arial" w:cs="Arial"/>
          <w:bCs/>
          <w:noProof/>
          <w:lang w:val="en-GB"/>
        </w:rPr>
        <w:t>has failed to comply with the Air Quality Directive by exceeding the daily and/or annual limit values for PM</w:t>
      </w:r>
      <w:r>
        <w:rPr>
          <w:rFonts w:ascii="Arial" w:hAnsi="Arial" w:cs="Arial"/>
          <w:bCs/>
          <w:noProof/>
          <w:vertAlign w:val="subscript"/>
          <w:lang w:val="en-GB"/>
        </w:rPr>
        <w:t>10</w:t>
      </w:r>
      <w:r>
        <w:rPr>
          <w:rStyle w:val="FootnoteReference"/>
          <w:rFonts w:ascii="Arial" w:hAnsi="Arial" w:cs="Arial"/>
          <w:bCs/>
          <w:noProof/>
          <w:lang w:val="en-GB"/>
        </w:rPr>
        <w:footnoteReference w:id="150"/>
      </w:r>
      <w:r>
        <w:rPr>
          <w:rFonts w:ascii="Arial" w:hAnsi="Arial" w:cs="Arial"/>
          <w:bCs/>
          <w:noProof/>
          <w:lang w:val="en-GB"/>
        </w:rPr>
        <w:t xml:space="preserve"> concentrations systematically and continuously in certain zones and agglomerations, and by not keeping the exceedance period as short as possible</w:t>
      </w:r>
      <w:r>
        <w:rPr>
          <w:rStyle w:val="FootnoteReference"/>
          <w:rFonts w:ascii="Arial" w:hAnsi="Arial" w:cs="Arial"/>
          <w:bCs/>
          <w:noProof/>
          <w:lang w:val="en-GB"/>
        </w:rPr>
        <w:footnoteReference w:id="151"/>
      </w:r>
      <w:r>
        <w:rPr>
          <w:rFonts w:ascii="Arial" w:hAnsi="Arial" w:cs="Arial"/>
          <w:bCs/>
          <w:noProof/>
          <w:lang w:val="en-GB"/>
        </w:rPr>
        <w:t>.</w:t>
      </w:r>
    </w:p>
    <w:p w:rsidR="00E201F7" w:rsidRDefault="00E24EFF">
      <w:pPr>
        <w:pStyle w:val="Lijstje2"/>
        <w:numPr>
          <w:ilvl w:val="0"/>
          <w:numId w:val="113"/>
        </w:numPr>
        <w:spacing w:after="120"/>
        <w:ind w:left="1196" w:hanging="357"/>
        <w:contextualSpacing w:val="0"/>
        <w:rPr>
          <w:rFonts w:ascii="Arial" w:hAnsi="Arial" w:cs="Arial"/>
          <w:noProof/>
          <w:lang w:val="en-GB"/>
        </w:rPr>
      </w:pPr>
      <w:r>
        <w:rPr>
          <w:rFonts w:ascii="Arial" w:hAnsi="Arial" w:cs="Arial"/>
          <w:i/>
          <w:noProof/>
          <w:lang w:val="en-GB"/>
        </w:rPr>
        <w:t>Germany</w:t>
      </w:r>
      <w:r>
        <w:rPr>
          <w:rFonts w:ascii="Arial" w:hAnsi="Arial" w:cs="Arial"/>
          <w:bCs/>
          <w:noProof/>
          <w:lang w:val="en-GB"/>
        </w:rPr>
        <w:t xml:space="preserve"> has failed to fulfil its obligations under the Habitats Directive by authorising the construction o</w:t>
      </w:r>
      <w:r>
        <w:rPr>
          <w:rFonts w:ascii="Arial" w:hAnsi="Arial" w:cs="Arial"/>
          <w:bCs/>
          <w:noProof/>
          <w:lang w:val="en-GB"/>
        </w:rPr>
        <w:t xml:space="preserve">f a coal-fired power plant in Moorburg, near </w:t>
      </w:r>
      <w:smartTag w:uri="urn:schemas-microsoft-com:office:smarttags" w:element="State">
        <w:smartTag w:uri="urn:schemas-microsoft-com:office:smarttags" w:element="place">
          <w:r>
            <w:rPr>
              <w:rFonts w:ascii="Arial" w:hAnsi="Arial" w:cs="Arial"/>
              <w:bCs/>
              <w:noProof/>
              <w:lang w:val="en-GB"/>
            </w:rPr>
            <w:t>Hamburg</w:t>
          </w:r>
        </w:smartTag>
      </w:smartTag>
      <w:r>
        <w:rPr>
          <w:rFonts w:ascii="Arial" w:hAnsi="Arial" w:cs="Arial"/>
          <w:bCs/>
          <w:noProof/>
          <w:lang w:val="en-GB"/>
        </w:rPr>
        <w:t>, without conducting an appropriate and comprehensive assessment of its implications</w:t>
      </w:r>
      <w:r>
        <w:rPr>
          <w:rStyle w:val="FootnoteReference"/>
          <w:rFonts w:ascii="Arial" w:hAnsi="Arial" w:cs="Arial"/>
          <w:bCs/>
          <w:noProof/>
          <w:lang w:val="en-GB"/>
        </w:rPr>
        <w:footnoteReference w:id="152"/>
      </w:r>
      <w:r>
        <w:rPr>
          <w:rFonts w:ascii="Arial" w:hAnsi="Arial" w:cs="Arial"/>
          <w:bCs/>
          <w:noProof/>
          <w:lang w:val="en-GB"/>
        </w:rPr>
        <w:t>.</w:t>
      </w:r>
    </w:p>
    <w:p w:rsidR="00E201F7" w:rsidRDefault="00E24EFF">
      <w:pPr>
        <w:pStyle w:val="Lijstje2"/>
        <w:numPr>
          <w:ilvl w:val="0"/>
          <w:numId w:val="113"/>
        </w:numPr>
        <w:spacing w:after="120"/>
        <w:ind w:left="1196" w:hanging="357"/>
        <w:contextualSpacing w:val="0"/>
        <w:rPr>
          <w:rFonts w:ascii="Arial" w:hAnsi="Arial" w:cs="Arial"/>
          <w:noProof/>
          <w:lang w:val="en-GB"/>
        </w:rPr>
      </w:pPr>
      <w:r>
        <w:rPr>
          <w:rFonts w:ascii="Arial" w:hAnsi="Arial" w:cs="Arial"/>
          <w:i/>
          <w:noProof/>
          <w:lang w:val="en-GB"/>
        </w:rPr>
        <w:t>Greece</w:t>
      </w:r>
      <w:r>
        <w:rPr>
          <w:rFonts w:ascii="Arial" w:hAnsi="Arial" w:cs="Arial"/>
          <w:bCs/>
          <w:i/>
          <w:noProof/>
          <w:lang w:val="en-GB"/>
        </w:rPr>
        <w:t xml:space="preserve"> </w:t>
      </w:r>
      <w:r>
        <w:rPr>
          <w:rFonts w:ascii="Arial" w:hAnsi="Arial" w:cs="Arial"/>
          <w:bCs/>
          <w:noProof/>
          <w:lang w:val="en-GB"/>
        </w:rPr>
        <w:t>has failed to fulfil its obligations under EU law by tolerating the operation of the Temploni waste landfill o</w:t>
      </w:r>
      <w:r>
        <w:rPr>
          <w:rFonts w:ascii="Arial" w:hAnsi="Arial" w:cs="Arial"/>
          <w:bCs/>
          <w:noProof/>
          <w:lang w:val="en-GB"/>
        </w:rPr>
        <w:t xml:space="preserve">n the </w:t>
      </w:r>
      <w:smartTag w:uri="urn:schemas-microsoft-com:office:smarttags" w:element="place">
        <w:smartTag w:uri="urn:schemas-microsoft-com:office:smarttags" w:element="PlaceType">
          <w:r>
            <w:rPr>
              <w:rFonts w:ascii="Arial" w:hAnsi="Arial" w:cs="Arial"/>
              <w:bCs/>
              <w:noProof/>
              <w:lang w:val="en-GB"/>
            </w:rPr>
            <w:t>island</w:t>
          </w:r>
        </w:smartTag>
        <w:r>
          <w:rPr>
            <w:rFonts w:ascii="Arial" w:hAnsi="Arial" w:cs="Arial"/>
            <w:bCs/>
            <w:noProof/>
            <w:lang w:val="en-GB"/>
          </w:rPr>
          <w:t xml:space="preserve"> of </w:t>
        </w:r>
        <w:smartTag w:uri="urn:schemas-microsoft-com:office:smarttags" w:element="PlaceName">
          <w:r>
            <w:rPr>
              <w:rFonts w:ascii="Arial" w:hAnsi="Arial" w:cs="Arial"/>
              <w:bCs/>
              <w:noProof/>
              <w:lang w:val="en-GB"/>
            </w:rPr>
            <w:t>Corfu</w:t>
          </w:r>
        </w:smartTag>
      </w:smartTag>
      <w:r>
        <w:rPr>
          <w:rFonts w:ascii="Arial" w:hAnsi="Arial" w:cs="Arial"/>
          <w:bCs/>
          <w:noProof/>
          <w:lang w:val="en-GB"/>
        </w:rPr>
        <w:t>, which does not satisfy the conditions and requirements laid down by EU directives on waste</w:t>
      </w:r>
      <w:r>
        <w:rPr>
          <w:rStyle w:val="FootnoteReference"/>
          <w:rFonts w:ascii="Arial" w:hAnsi="Arial" w:cs="Arial"/>
          <w:bCs/>
          <w:noProof/>
          <w:lang w:val="en-GB"/>
        </w:rPr>
        <w:footnoteReference w:id="153"/>
      </w:r>
      <w:r>
        <w:rPr>
          <w:rFonts w:ascii="Arial" w:hAnsi="Arial" w:cs="Arial"/>
          <w:bCs/>
          <w:noProof/>
          <w:lang w:val="en-GB"/>
        </w:rPr>
        <w:t>.</w:t>
      </w:r>
    </w:p>
    <w:p w:rsidR="00E201F7" w:rsidRDefault="00E24EFF">
      <w:pPr>
        <w:pStyle w:val="Lijstje2"/>
        <w:numPr>
          <w:ilvl w:val="0"/>
          <w:numId w:val="113"/>
        </w:numPr>
        <w:spacing w:after="120"/>
        <w:ind w:left="1196" w:hanging="357"/>
        <w:contextualSpacing w:val="0"/>
        <w:rPr>
          <w:rFonts w:ascii="Arial" w:hAnsi="Arial" w:cs="Arial"/>
          <w:noProof/>
          <w:lang w:val="en-GB"/>
        </w:rPr>
      </w:pPr>
      <w:r>
        <w:rPr>
          <w:rFonts w:ascii="Arial" w:hAnsi="Arial" w:cs="Arial"/>
          <w:i/>
          <w:noProof/>
          <w:lang w:val="en-GB"/>
        </w:rPr>
        <w:t>Greece</w:t>
      </w:r>
      <w:r>
        <w:rPr>
          <w:rFonts w:ascii="Arial" w:hAnsi="Arial" w:cs="Arial"/>
          <w:bCs/>
          <w:i/>
          <w:noProof/>
          <w:lang w:val="en-GB"/>
        </w:rPr>
        <w:t xml:space="preserve"> </w:t>
      </w:r>
      <w:r>
        <w:rPr>
          <w:rFonts w:ascii="Arial" w:hAnsi="Arial" w:cs="Arial"/>
          <w:bCs/>
          <w:noProof/>
          <w:lang w:val="en-GB"/>
        </w:rPr>
        <w:t>has failed to provide adequate treatment of urban waste water in several smaller agglomerations</w:t>
      </w:r>
      <w:r>
        <w:rPr>
          <w:rStyle w:val="FootnoteReference"/>
          <w:rFonts w:ascii="Arial" w:hAnsi="Arial" w:cs="Arial"/>
          <w:bCs/>
          <w:noProof/>
          <w:lang w:val="en-GB"/>
        </w:rPr>
        <w:footnoteReference w:id="154"/>
      </w:r>
      <w:r>
        <w:rPr>
          <w:rFonts w:ascii="Arial" w:hAnsi="Arial" w:cs="Arial"/>
          <w:bCs/>
          <w:noProof/>
          <w:lang w:val="en-GB"/>
        </w:rPr>
        <w:t>.</w:t>
      </w:r>
    </w:p>
    <w:p w:rsidR="00E201F7" w:rsidRDefault="00E24EFF">
      <w:pPr>
        <w:pStyle w:val="Lijstje2"/>
        <w:numPr>
          <w:ilvl w:val="0"/>
          <w:numId w:val="113"/>
        </w:numPr>
        <w:spacing w:after="120"/>
        <w:ind w:left="1196" w:hanging="357"/>
        <w:contextualSpacing w:val="0"/>
        <w:rPr>
          <w:rFonts w:ascii="Arial" w:hAnsi="Arial" w:cs="Arial"/>
          <w:noProof/>
          <w:lang w:val="en-GB"/>
        </w:rPr>
      </w:pPr>
      <w:r>
        <w:rPr>
          <w:rFonts w:ascii="Arial" w:hAnsi="Arial" w:cs="Arial"/>
          <w:i/>
          <w:noProof/>
          <w:lang w:val="en-GB"/>
        </w:rPr>
        <w:t>Spain</w:t>
      </w:r>
      <w:r>
        <w:rPr>
          <w:rFonts w:ascii="Arial" w:hAnsi="Arial" w:cs="Arial"/>
          <w:bCs/>
          <w:noProof/>
          <w:lang w:val="en-GB"/>
        </w:rPr>
        <w:t xml:space="preserve"> has failed to comply with its</w:t>
      </w:r>
      <w:r>
        <w:rPr>
          <w:rFonts w:ascii="Arial" w:hAnsi="Arial" w:cs="Arial"/>
          <w:bCs/>
          <w:noProof/>
          <w:lang w:val="en-GB"/>
        </w:rPr>
        <w:t xml:space="preserve"> obligations under the Waste Framework Directive regarding the operation of 61 illegal waste landfill sites</w:t>
      </w:r>
      <w:r>
        <w:rPr>
          <w:rStyle w:val="FootnoteReference"/>
          <w:rFonts w:ascii="Arial" w:hAnsi="Arial" w:cs="Arial"/>
          <w:bCs/>
          <w:noProof/>
          <w:lang w:val="en-GB"/>
        </w:rPr>
        <w:footnoteReference w:id="155"/>
      </w:r>
      <w:r>
        <w:rPr>
          <w:rFonts w:ascii="Arial" w:hAnsi="Arial" w:cs="Arial"/>
          <w:bCs/>
          <w:noProof/>
          <w:lang w:val="en-GB"/>
        </w:rPr>
        <w:t>.</w:t>
      </w:r>
    </w:p>
    <w:p w:rsidR="00E201F7" w:rsidRDefault="00E24EFF">
      <w:pPr>
        <w:pStyle w:val="Lijstje2"/>
        <w:numPr>
          <w:ilvl w:val="0"/>
          <w:numId w:val="113"/>
        </w:numPr>
        <w:spacing w:after="120"/>
        <w:ind w:left="1196" w:hanging="357"/>
        <w:contextualSpacing w:val="0"/>
        <w:rPr>
          <w:rFonts w:ascii="Arial" w:hAnsi="Arial" w:cs="Arial"/>
          <w:noProof/>
          <w:lang w:val="en-GB"/>
        </w:rPr>
      </w:pPr>
      <w:r>
        <w:rPr>
          <w:rFonts w:ascii="Arial" w:hAnsi="Arial" w:cs="Arial"/>
          <w:i/>
          <w:noProof/>
          <w:lang w:val="en-GB"/>
        </w:rPr>
        <w:t xml:space="preserve">Poland </w:t>
      </w:r>
      <w:r>
        <w:rPr>
          <w:rFonts w:ascii="Arial" w:hAnsi="Arial" w:cs="Arial"/>
          <w:noProof/>
          <w:lang w:val="en-GB"/>
        </w:rPr>
        <w:t xml:space="preserve">must immediately cease logging operations in the </w:t>
      </w:r>
      <w:smartTag w:uri="urn:schemas-microsoft-com:office:smarttags" w:element="place">
        <w:smartTag w:uri="urn:schemas-microsoft-com:office:smarttags" w:element="PlaceName">
          <w:r>
            <w:rPr>
              <w:rFonts w:ascii="Arial" w:hAnsi="Arial" w:cs="Arial"/>
              <w:noProof/>
              <w:lang w:val="en-GB"/>
            </w:rPr>
            <w:t>Białowieża</w:t>
          </w:r>
        </w:smartTag>
        <w:r>
          <w:rPr>
            <w:rFonts w:ascii="Arial" w:hAnsi="Arial" w:cs="Arial"/>
            <w:noProof/>
            <w:lang w:val="en-GB"/>
          </w:rPr>
          <w:t xml:space="preserve"> </w:t>
        </w:r>
        <w:smartTag w:uri="urn:schemas-microsoft-com:office:smarttags" w:element="PlaceType">
          <w:r>
            <w:rPr>
              <w:rFonts w:ascii="Arial" w:hAnsi="Arial" w:cs="Arial"/>
              <w:noProof/>
              <w:lang w:val="en-GB"/>
            </w:rPr>
            <w:t>Forest</w:t>
          </w:r>
        </w:smartTag>
      </w:smartTag>
      <w:r>
        <w:rPr>
          <w:rFonts w:ascii="Arial" w:hAnsi="Arial" w:cs="Arial"/>
          <w:noProof/>
          <w:lang w:val="en-GB"/>
        </w:rPr>
        <w:t xml:space="preserve">, except where strictly necessary to ensure public safety. </w:t>
      </w:r>
      <w:smartTag w:uri="urn:schemas-microsoft-com:office:smarttags" w:element="country-region">
        <w:smartTag w:uri="urn:schemas-microsoft-com:office:smarttags" w:element="place">
          <w:r>
            <w:rPr>
              <w:rFonts w:ascii="Arial" w:hAnsi="Arial" w:cs="Arial"/>
              <w:noProof/>
              <w:lang w:val="en-GB"/>
            </w:rPr>
            <w:t>Poland</w:t>
          </w:r>
        </w:smartTag>
      </w:smartTag>
      <w:r>
        <w:rPr>
          <w:rFonts w:ascii="Arial" w:hAnsi="Arial" w:cs="Arial"/>
          <w:noProof/>
          <w:lang w:val="en-GB"/>
        </w:rPr>
        <w:t xml:space="preserve"> could f</w:t>
      </w:r>
      <w:r>
        <w:rPr>
          <w:rFonts w:ascii="Arial" w:hAnsi="Arial" w:cs="Arial"/>
          <w:noProof/>
          <w:lang w:val="en-GB"/>
        </w:rPr>
        <w:t>ace financial penalties of at least EUR 100 000 per day if it did not respect the Court order</w:t>
      </w:r>
      <w:r>
        <w:rPr>
          <w:rStyle w:val="FootnoteReference"/>
          <w:rFonts w:ascii="Arial" w:hAnsi="Arial" w:cs="Arial"/>
          <w:noProof/>
          <w:lang w:val="en-GB"/>
        </w:rPr>
        <w:footnoteReference w:id="156"/>
      </w:r>
      <w:r>
        <w:rPr>
          <w:rFonts w:ascii="Arial" w:hAnsi="Arial" w:cs="Arial"/>
          <w:noProof/>
          <w:lang w:val="en-GB"/>
        </w:rPr>
        <w:t>.</w:t>
      </w:r>
    </w:p>
    <w:p w:rsidR="00E201F7" w:rsidRDefault="00E24EFF">
      <w:pPr>
        <w:pStyle w:val="Lijstje2"/>
        <w:numPr>
          <w:ilvl w:val="0"/>
          <w:numId w:val="113"/>
        </w:numPr>
        <w:spacing w:after="120"/>
        <w:ind w:left="1196" w:hanging="357"/>
        <w:contextualSpacing w:val="0"/>
        <w:rPr>
          <w:rFonts w:ascii="Arial" w:hAnsi="Arial" w:cs="Arial"/>
          <w:noProof/>
          <w:lang w:val="en-GB"/>
        </w:rPr>
      </w:pPr>
      <w:r>
        <w:rPr>
          <w:rFonts w:ascii="Arial" w:hAnsi="Arial" w:cs="Arial"/>
          <w:i/>
          <w:noProof/>
          <w:lang w:val="en-GB"/>
        </w:rPr>
        <w:t>Slovenia</w:t>
      </w:r>
      <w:r>
        <w:rPr>
          <w:rFonts w:ascii="Arial" w:hAnsi="Arial" w:cs="Arial"/>
          <w:bCs/>
          <w:noProof/>
          <w:lang w:val="en-GB"/>
        </w:rPr>
        <w:t xml:space="preserve"> has failed to ensure appropriate storage and landfill of waste tyres in Lovrenc na Dravskem polju, in breach of EU directives on waste</w:t>
      </w:r>
      <w:r>
        <w:rPr>
          <w:rStyle w:val="FootnoteReference"/>
          <w:rFonts w:ascii="Arial" w:hAnsi="Arial" w:cs="Arial"/>
          <w:bCs/>
          <w:noProof/>
          <w:lang w:val="en-GB"/>
        </w:rPr>
        <w:footnoteReference w:id="157"/>
      </w:r>
      <w:r>
        <w:rPr>
          <w:rFonts w:ascii="Arial" w:hAnsi="Arial" w:cs="Arial"/>
          <w:bCs/>
          <w:noProof/>
          <w:lang w:val="en-GB"/>
        </w:rPr>
        <w:t>.</w:t>
      </w:r>
    </w:p>
    <w:p w:rsidR="00E201F7" w:rsidRDefault="00E24EFF">
      <w:pPr>
        <w:pStyle w:val="Lijstje2"/>
        <w:numPr>
          <w:ilvl w:val="0"/>
          <w:numId w:val="113"/>
        </w:numPr>
        <w:spacing w:after="120"/>
        <w:ind w:left="1196" w:hanging="357"/>
        <w:contextualSpacing w:val="0"/>
        <w:rPr>
          <w:rFonts w:ascii="Arial" w:hAnsi="Arial" w:cs="Arial"/>
          <w:noProof/>
          <w:lang w:val="en-GB"/>
        </w:rPr>
      </w:pPr>
      <w:r>
        <w:rPr>
          <w:rFonts w:ascii="Arial" w:hAnsi="Arial" w:cs="Arial"/>
          <w:noProof/>
          <w:lang w:val="en-GB"/>
        </w:rPr>
        <w:t xml:space="preserve">The appeal </w:t>
      </w:r>
      <w:r>
        <w:rPr>
          <w:rFonts w:ascii="Arial" w:hAnsi="Arial" w:cs="Arial"/>
          <w:noProof/>
          <w:lang w:val="en-GB"/>
        </w:rPr>
        <w:t>brought by</w:t>
      </w:r>
      <w:r>
        <w:rPr>
          <w:rFonts w:ascii="Arial" w:hAnsi="Arial" w:cs="Arial"/>
          <w:i/>
          <w:noProof/>
          <w:lang w:val="en-GB"/>
        </w:rPr>
        <w:t xml:space="preserve"> </w:t>
      </w:r>
      <w:smartTag w:uri="urn:schemas-microsoft-com:office:smarttags" w:element="country-region">
        <w:smartTag w:uri="urn:schemas-microsoft-com:office:smarttags" w:element="place">
          <w:r>
            <w:rPr>
              <w:rFonts w:ascii="Arial" w:hAnsi="Arial" w:cs="Arial"/>
              <w:i/>
              <w:noProof/>
              <w:lang w:val="en-GB"/>
            </w:rPr>
            <w:t>Sweden</w:t>
          </w:r>
        </w:smartTag>
      </w:smartTag>
      <w:r>
        <w:rPr>
          <w:rFonts w:ascii="Arial" w:hAnsi="Arial" w:cs="Arial"/>
          <w:noProof/>
          <w:lang w:val="en-GB"/>
        </w:rPr>
        <w:t xml:space="preserve"> against a judgment of the General Court interpreting EU provisions on access to documents was unfounded. The Court clarified that the documents exchanged between the Commission and the Member State concerned in the framework of the EU Pil</w:t>
      </w:r>
      <w:r>
        <w:rPr>
          <w:rFonts w:ascii="Arial" w:hAnsi="Arial" w:cs="Arial"/>
          <w:noProof/>
          <w:lang w:val="en-GB"/>
        </w:rPr>
        <w:t>ot dialogue are covered by a general presumption of confidentiality</w:t>
      </w:r>
      <w:r>
        <w:rPr>
          <w:rStyle w:val="FootnoteReference"/>
          <w:rFonts w:ascii="Arial" w:hAnsi="Arial" w:cs="Arial"/>
          <w:noProof/>
          <w:lang w:val="en-GB"/>
        </w:rPr>
        <w:footnoteReference w:id="158"/>
      </w:r>
      <w:r>
        <w:rPr>
          <w:rFonts w:ascii="Arial" w:hAnsi="Arial" w:cs="Arial"/>
          <w:noProof/>
          <w:lang w:val="en-GB"/>
        </w:rPr>
        <w:t>.</w:t>
      </w:r>
    </w:p>
    <w:p w:rsidR="00E201F7" w:rsidRDefault="00E24EFF">
      <w:pPr>
        <w:pStyle w:val="Lijstje2"/>
        <w:numPr>
          <w:ilvl w:val="0"/>
          <w:numId w:val="113"/>
        </w:numPr>
        <w:spacing w:after="120"/>
        <w:ind w:left="1196" w:hanging="357"/>
        <w:contextualSpacing w:val="0"/>
        <w:rPr>
          <w:rFonts w:ascii="Arial" w:hAnsi="Arial" w:cs="Arial"/>
          <w:noProof/>
          <w:lang w:val="en-GB"/>
        </w:rPr>
      </w:pPr>
      <w:r>
        <w:rPr>
          <w:rFonts w:ascii="Arial" w:hAnsi="Arial" w:cs="Arial"/>
          <w:bCs/>
          <w:i/>
          <w:noProof/>
          <w:lang w:val="en-GB"/>
        </w:rPr>
        <w:t xml:space="preserve">United </w:t>
      </w:r>
      <w:r>
        <w:rPr>
          <w:rFonts w:ascii="Arial" w:hAnsi="Arial" w:cs="Arial"/>
          <w:i/>
          <w:noProof/>
          <w:lang w:val="en-GB"/>
        </w:rPr>
        <w:t>Kingdom</w:t>
      </w:r>
      <w:r>
        <w:rPr>
          <w:rFonts w:ascii="Arial" w:hAnsi="Arial" w:cs="Arial"/>
          <w:bCs/>
          <w:noProof/>
          <w:lang w:val="en-GB"/>
        </w:rPr>
        <w:t xml:space="preserve"> has failed to ensure adequate treatment of urban waste water in several agglomerations, some discharging into sensitive areas</w:t>
      </w:r>
      <w:r>
        <w:rPr>
          <w:rStyle w:val="FootnoteReference"/>
          <w:rFonts w:ascii="Arial" w:hAnsi="Arial" w:cs="Arial"/>
          <w:bCs/>
          <w:noProof/>
          <w:lang w:val="en-GB"/>
        </w:rPr>
        <w:footnoteReference w:id="159"/>
      </w:r>
      <w:r>
        <w:rPr>
          <w:rFonts w:ascii="Arial" w:hAnsi="Arial" w:cs="Arial"/>
          <w:bCs/>
          <w:noProof/>
          <w:lang w:val="en-GB"/>
        </w:rPr>
        <w:t>.</w:t>
      </w:r>
    </w:p>
    <w:p w:rsidR="00E201F7" w:rsidRDefault="00E24EFF">
      <w:pPr>
        <w:numPr>
          <w:ilvl w:val="0"/>
          <w:numId w:val="34"/>
        </w:numPr>
        <w:spacing w:after="60"/>
        <w:jc w:val="left"/>
        <w:outlineLvl w:val="1"/>
        <w:rPr>
          <w:rFonts w:ascii="Arial" w:hAnsi="Arial" w:cs="Arial"/>
          <w:noProof/>
          <w:color w:val="002060"/>
          <w:sz w:val="22"/>
        </w:rPr>
      </w:pPr>
      <w:r>
        <w:rPr>
          <w:rFonts w:ascii="Arial" w:hAnsi="Arial" w:cs="Arial"/>
          <w:noProof/>
          <w:color w:val="002060"/>
          <w:sz w:val="22"/>
        </w:rPr>
        <w:t>Preliminary rulings</w:t>
      </w:r>
    </w:p>
    <w:p w:rsidR="00E201F7" w:rsidRDefault="00E24EFF">
      <w:pPr>
        <w:pStyle w:val="Basis"/>
        <w:ind w:left="360" w:firstLine="360"/>
        <w:rPr>
          <w:rFonts w:ascii="Arial" w:hAnsi="Arial" w:cs="Arial"/>
          <w:noProof/>
          <w:lang w:val="en-GB"/>
        </w:rPr>
      </w:pPr>
      <w:r>
        <w:rPr>
          <w:rFonts w:ascii="Arial" w:hAnsi="Arial" w:cs="Arial"/>
          <w:noProof/>
          <w:lang w:val="en-GB"/>
        </w:rPr>
        <w:t xml:space="preserve">The Court gave the </w:t>
      </w:r>
      <w:r>
        <w:rPr>
          <w:rFonts w:ascii="Arial" w:hAnsi="Arial" w:cs="Arial"/>
          <w:noProof/>
          <w:lang w:val="en-GB"/>
        </w:rPr>
        <w:t>following preliminary rulings.</w:t>
      </w:r>
    </w:p>
    <w:p w:rsidR="00E201F7" w:rsidRDefault="00E24EFF">
      <w:pPr>
        <w:pStyle w:val="Lijstje2"/>
        <w:numPr>
          <w:ilvl w:val="0"/>
          <w:numId w:val="40"/>
        </w:numPr>
        <w:tabs>
          <w:tab w:val="left" w:pos="1276"/>
        </w:tabs>
        <w:spacing w:before="120" w:after="120"/>
        <w:ind w:left="1276" w:hanging="425"/>
        <w:contextualSpacing w:val="0"/>
        <w:rPr>
          <w:rFonts w:ascii="Arial" w:hAnsi="Arial" w:cs="Arial"/>
          <w:i/>
          <w:noProof/>
          <w:lang w:val="en-GB"/>
        </w:rPr>
      </w:pPr>
      <w:r>
        <w:rPr>
          <w:rFonts w:ascii="Arial" w:hAnsi="Arial" w:cs="Arial"/>
          <w:i/>
          <w:noProof/>
          <w:lang w:val="en-GB"/>
        </w:rPr>
        <w:t>Germany:</w:t>
      </w:r>
      <w:r>
        <w:rPr>
          <w:rFonts w:ascii="Arial" w:hAnsi="Arial" w:cs="Arial"/>
          <w:noProof/>
          <w:lang w:val="en-GB"/>
        </w:rPr>
        <w:t xml:space="preserve"> Substances which have not be registered at the time of their import into the territory of the EU in accordance with the REACH Regulation may be exported outside that territory</w:t>
      </w:r>
      <w:r>
        <w:rPr>
          <w:rStyle w:val="FootnoteReference"/>
          <w:rFonts w:ascii="Arial" w:hAnsi="Arial" w:cs="Arial"/>
          <w:noProof/>
          <w:lang w:val="en-GB"/>
        </w:rPr>
        <w:footnoteReference w:id="160"/>
      </w:r>
      <w:r>
        <w:rPr>
          <w:rFonts w:ascii="Arial" w:hAnsi="Arial" w:cs="Arial"/>
          <w:noProof/>
          <w:lang w:val="en-GB"/>
        </w:rPr>
        <w:t>.</w:t>
      </w:r>
    </w:p>
    <w:p w:rsidR="00E201F7" w:rsidRDefault="00E24EFF">
      <w:pPr>
        <w:pStyle w:val="Lijstje2"/>
        <w:numPr>
          <w:ilvl w:val="0"/>
          <w:numId w:val="40"/>
        </w:numPr>
        <w:tabs>
          <w:tab w:val="left" w:pos="1276"/>
        </w:tabs>
        <w:spacing w:before="120" w:after="120"/>
        <w:ind w:left="1276" w:hanging="425"/>
        <w:contextualSpacing w:val="0"/>
        <w:rPr>
          <w:rFonts w:ascii="Arial" w:hAnsi="Arial" w:cs="Arial"/>
          <w:i/>
          <w:noProof/>
          <w:lang w:val="en-GB"/>
        </w:rPr>
      </w:pPr>
      <w:r>
        <w:rPr>
          <w:rFonts w:ascii="Arial" w:hAnsi="Arial" w:cs="Arial"/>
          <w:i/>
          <w:noProof/>
          <w:lang w:val="en-GB"/>
        </w:rPr>
        <w:t xml:space="preserve">Croatia: </w:t>
      </w:r>
      <w:r>
        <w:rPr>
          <w:rFonts w:ascii="Arial" w:hAnsi="Arial" w:cs="Arial"/>
          <w:noProof/>
          <w:lang w:val="en-GB"/>
        </w:rPr>
        <w:t>National legislation which pr</w:t>
      </w:r>
      <w:r>
        <w:rPr>
          <w:rFonts w:ascii="Arial" w:hAnsi="Arial" w:cs="Arial"/>
          <w:noProof/>
          <w:lang w:val="en-GB"/>
        </w:rPr>
        <w:t xml:space="preserve">ovides for a fee calculated on the basis of an estimate of the volume of waste generated, and not on the basis of the quantity of waste actually produced and presented for collection, is in principle compatible with the Waste Framework Directive. However, </w:t>
      </w:r>
      <w:r>
        <w:rPr>
          <w:rFonts w:ascii="Arial" w:hAnsi="Arial" w:cs="Arial"/>
          <w:noProof/>
          <w:lang w:val="en-GB"/>
        </w:rPr>
        <w:t xml:space="preserve">it is for the national courts to verify </w:t>
      </w:r>
      <w:r>
        <w:rPr>
          <w:rFonts w:ascii="Arial" w:hAnsi="Arial" w:cs="Arial"/>
          <w:bCs/>
          <w:noProof/>
          <w:lang w:val="en-GB"/>
        </w:rPr>
        <w:t>whether such a fee triggers costs for certain waste holders which are manifestly disproportionate to the volumes or nature of the waste that they are liable to produce</w:t>
      </w:r>
      <w:r>
        <w:rPr>
          <w:rStyle w:val="FootnoteReference"/>
          <w:rFonts w:ascii="Arial" w:hAnsi="Arial" w:cs="Arial"/>
          <w:noProof/>
          <w:lang w:val="en-GB"/>
        </w:rPr>
        <w:footnoteReference w:id="161"/>
      </w:r>
      <w:r>
        <w:rPr>
          <w:rFonts w:ascii="Arial" w:hAnsi="Arial" w:cs="Arial"/>
          <w:noProof/>
          <w:lang w:val="en-GB"/>
        </w:rPr>
        <w:t>.</w:t>
      </w:r>
      <w:r>
        <w:rPr>
          <w:rStyle w:val="FootnoteReference"/>
          <w:rFonts w:ascii="Arial" w:hAnsi="Arial" w:cs="Arial"/>
          <w:noProof/>
          <w:lang w:val="en-GB"/>
        </w:rPr>
        <w:t xml:space="preserve"> </w:t>
      </w:r>
    </w:p>
    <w:p w:rsidR="00E201F7" w:rsidRDefault="00E24EFF">
      <w:pPr>
        <w:pStyle w:val="Lijstje2"/>
        <w:numPr>
          <w:ilvl w:val="0"/>
          <w:numId w:val="40"/>
        </w:numPr>
        <w:tabs>
          <w:tab w:val="left" w:pos="1276"/>
        </w:tabs>
        <w:spacing w:before="120" w:after="120"/>
        <w:ind w:left="1276" w:hanging="425"/>
        <w:contextualSpacing w:val="0"/>
        <w:rPr>
          <w:rFonts w:ascii="Arial" w:hAnsi="Arial" w:cs="Arial"/>
          <w:i/>
          <w:noProof/>
          <w:lang w:val="en-GB"/>
        </w:rPr>
      </w:pPr>
      <w:r>
        <w:rPr>
          <w:rFonts w:ascii="Arial" w:hAnsi="Arial" w:cs="Arial"/>
          <w:i/>
          <w:noProof/>
          <w:lang w:val="en-GB"/>
        </w:rPr>
        <w:t>Italy:</w:t>
      </w:r>
      <w:r>
        <w:rPr>
          <w:rFonts w:ascii="Arial" w:hAnsi="Arial" w:cs="Arial"/>
          <w:noProof/>
          <w:lang w:val="en-GB"/>
        </w:rPr>
        <w:t xml:space="preserve"> In the event of failure to carry out a</w:t>
      </w:r>
      <w:r>
        <w:rPr>
          <w:rFonts w:ascii="Arial" w:hAnsi="Arial" w:cs="Arial"/>
          <w:noProof/>
          <w:lang w:val="en-GB"/>
        </w:rPr>
        <w:t>n environmental impact assessment, Member States are required to nullify the unlawful consequences of that failure. EU law does not prevent the conduct of an impact assessment after the plant concerned has been constructed and has entered into operation, a</w:t>
      </w:r>
      <w:r>
        <w:rPr>
          <w:rFonts w:ascii="Arial" w:hAnsi="Arial" w:cs="Arial"/>
          <w:noProof/>
          <w:lang w:val="en-GB"/>
        </w:rPr>
        <w:t>s long as the relevant national rules do not allow the requirements of EU law to be circumvented and the assessment covers both the past and future environmental impact of the plant</w:t>
      </w:r>
      <w:r>
        <w:rPr>
          <w:rStyle w:val="FootnoteReference"/>
          <w:rFonts w:ascii="Arial" w:hAnsi="Arial" w:cs="Arial"/>
          <w:noProof/>
          <w:lang w:val="en-GB"/>
        </w:rPr>
        <w:footnoteReference w:id="162"/>
      </w:r>
      <w:r>
        <w:rPr>
          <w:rFonts w:ascii="Arial" w:hAnsi="Arial" w:cs="Arial"/>
          <w:noProof/>
          <w:lang w:val="en-GB"/>
        </w:rPr>
        <w:t>.</w:t>
      </w:r>
    </w:p>
    <w:p w:rsidR="00E201F7" w:rsidRDefault="00E24EFF">
      <w:pPr>
        <w:pStyle w:val="Lijstje2"/>
        <w:numPr>
          <w:ilvl w:val="0"/>
          <w:numId w:val="40"/>
        </w:numPr>
        <w:tabs>
          <w:tab w:val="left" w:pos="1276"/>
        </w:tabs>
        <w:spacing w:before="120" w:after="120"/>
        <w:ind w:left="1276" w:hanging="425"/>
        <w:contextualSpacing w:val="0"/>
        <w:rPr>
          <w:rFonts w:ascii="Arial" w:hAnsi="Arial" w:cs="Arial"/>
          <w:i/>
          <w:noProof/>
          <w:lang w:val="en-GB"/>
        </w:rPr>
      </w:pPr>
      <w:r>
        <w:rPr>
          <w:rFonts w:ascii="Arial" w:hAnsi="Arial" w:cs="Arial"/>
          <w:i/>
          <w:noProof/>
          <w:lang w:val="en-GB"/>
        </w:rPr>
        <w:t>Hungary:</w:t>
      </w:r>
      <w:r>
        <w:rPr>
          <w:rFonts w:ascii="Arial" w:hAnsi="Arial" w:cs="Arial"/>
          <w:noProof/>
          <w:lang w:val="en-GB"/>
        </w:rPr>
        <w:t xml:space="preserve"> National legislation which provides that users and owners of la</w:t>
      </w:r>
      <w:r>
        <w:rPr>
          <w:rFonts w:ascii="Arial" w:hAnsi="Arial" w:cs="Arial"/>
          <w:noProof/>
          <w:lang w:val="en-GB"/>
        </w:rPr>
        <w:t>nd on which unlawful pollution was produced are jointly responsible for the environmental damage is not contrary to EU law. It is not necessary for this purpose to establish a causal link between the conduct of the land owners and the damage established, p</w:t>
      </w:r>
      <w:r>
        <w:rPr>
          <w:rFonts w:ascii="Arial" w:hAnsi="Arial" w:cs="Arial"/>
          <w:noProof/>
          <w:lang w:val="en-GB"/>
        </w:rPr>
        <w:t>rovided that such legislation complies with the principles and provisions of EU law. It is also allowed by EU law to provide in national legislation that owners of land on which unlawful pollution has been produced may be subject to fines, provided such le</w:t>
      </w:r>
      <w:r>
        <w:rPr>
          <w:rFonts w:ascii="Arial" w:hAnsi="Arial" w:cs="Arial"/>
          <w:noProof/>
          <w:lang w:val="en-GB"/>
        </w:rPr>
        <w:t>gislation is appropriate for attaining the objective of more stringent protection and the methods for determining the amount of the fine do not go beyond what is necessary to attain that objective</w:t>
      </w:r>
      <w:r>
        <w:rPr>
          <w:rStyle w:val="FootnoteReference"/>
          <w:rFonts w:ascii="Arial" w:hAnsi="Arial" w:cs="Arial"/>
          <w:noProof/>
          <w:lang w:val="en-GB"/>
        </w:rPr>
        <w:footnoteReference w:id="163"/>
      </w:r>
      <w:r>
        <w:rPr>
          <w:rFonts w:ascii="Arial" w:hAnsi="Arial" w:cs="Arial"/>
          <w:noProof/>
          <w:lang w:val="en-GB"/>
        </w:rPr>
        <w:t>.</w:t>
      </w:r>
    </w:p>
    <w:p w:rsidR="00E201F7" w:rsidRDefault="00E24EFF">
      <w:pPr>
        <w:pStyle w:val="Lijstje2"/>
        <w:numPr>
          <w:ilvl w:val="0"/>
          <w:numId w:val="40"/>
        </w:numPr>
        <w:tabs>
          <w:tab w:val="left" w:pos="1276"/>
        </w:tabs>
        <w:spacing w:before="120" w:after="120"/>
        <w:ind w:left="1276" w:hanging="425"/>
        <w:contextualSpacing w:val="0"/>
        <w:rPr>
          <w:rFonts w:ascii="Arial" w:hAnsi="Arial" w:cs="Arial"/>
          <w:i/>
          <w:noProof/>
          <w:lang w:val="en-GB"/>
        </w:rPr>
      </w:pPr>
      <w:r>
        <w:rPr>
          <w:rFonts w:ascii="Arial" w:hAnsi="Arial" w:cs="Arial"/>
          <w:i/>
          <w:noProof/>
          <w:lang w:val="en-GB"/>
        </w:rPr>
        <w:t>Netherlands:</w:t>
      </w:r>
      <w:r>
        <w:rPr>
          <w:rFonts w:ascii="Arial" w:hAnsi="Arial" w:cs="Arial"/>
          <w:noProof/>
          <w:lang w:val="en-GB"/>
        </w:rPr>
        <w:t xml:space="preserve"> The </w:t>
      </w:r>
      <w:r>
        <w:rPr>
          <w:rFonts w:ascii="Arial" w:hAnsi="Arial" w:cs="Arial"/>
          <w:bCs/>
          <w:noProof/>
          <w:lang w:val="en-GB"/>
        </w:rPr>
        <w:t>Commission Implementing Decision adoptin</w:t>
      </w:r>
      <w:r>
        <w:rPr>
          <w:rFonts w:ascii="Arial" w:hAnsi="Arial" w:cs="Arial"/>
          <w:bCs/>
          <w:noProof/>
          <w:lang w:val="en-GB"/>
        </w:rPr>
        <w:t>g the eighth update of the list of sites of Community importance for the Atlantic biogeographical region was invalid</w:t>
      </w:r>
      <w:r>
        <w:rPr>
          <w:rStyle w:val="FootnoteReference"/>
          <w:rFonts w:ascii="Arial" w:hAnsi="Arial" w:cs="Arial"/>
          <w:noProof/>
          <w:lang w:val="en-GB"/>
        </w:rPr>
        <w:footnoteReference w:id="164"/>
      </w:r>
      <w:r>
        <w:rPr>
          <w:rFonts w:ascii="Arial" w:hAnsi="Arial" w:cs="Arial"/>
          <w:noProof/>
          <w:lang w:val="en-GB"/>
        </w:rPr>
        <w:t>.</w:t>
      </w:r>
    </w:p>
    <w:p w:rsidR="00E201F7" w:rsidRDefault="00E24EFF">
      <w:pPr>
        <w:pStyle w:val="Lijstje2"/>
        <w:numPr>
          <w:ilvl w:val="0"/>
          <w:numId w:val="40"/>
        </w:numPr>
        <w:tabs>
          <w:tab w:val="left" w:pos="1276"/>
        </w:tabs>
        <w:spacing w:before="120" w:after="120"/>
        <w:ind w:left="1276" w:hanging="425"/>
        <w:contextualSpacing w:val="0"/>
        <w:rPr>
          <w:rFonts w:ascii="Arial" w:hAnsi="Arial" w:cs="Arial"/>
          <w:i/>
          <w:noProof/>
          <w:lang w:val="en-GB"/>
        </w:rPr>
      </w:pPr>
      <w:r>
        <w:rPr>
          <w:rFonts w:ascii="Arial" w:hAnsi="Arial" w:cs="Arial"/>
          <w:i/>
          <w:noProof/>
          <w:lang w:val="en-GB"/>
        </w:rPr>
        <w:t>Austria:</w:t>
      </w:r>
      <w:r>
        <w:rPr>
          <w:rFonts w:ascii="Arial" w:hAnsi="Arial" w:cs="Arial"/>
          <w:noProof/>
          <w:lang w:val="en-GB"/>
        </w:rPr>
        <w:t xml:space="preserve"> An environmental organisation duly constituted and operating in accordance with the requirements of national law must be able to</w:t>
      </w:r>
      <w:r>
        <w:rPr>
          <w:rFonts w:ascii="Arial" w:hAnsi="Arial" w:cs="Arial"/>
          <w:noProof/>
          <w:lang w:val="en-GB"/>
        </w:rPr>
        <w:t xml:space="preserve"> challenge before a court a decision authorising a project that may be contrary to the obligation to prevent deterioration of the condition of water bodies. The imposition on an environmental organisation of a time limit leading to it losing both its statu</w:t>
      </w:r>
      <w:r>
        <w:rPr>
          <w:rFonts w:ascii="Arial" w:hAnsi="Arial" w:cs="Arial"/>
          <w:noProof/>
          <w:lang w:val="en-GB"/>
        </w:rPr>
        <w:t>s as a party to the administrative procedure for the authorisation of a project and its right to bring an action against the decision issued at the end of that procedure constitutes an excessive restriction of the right to bring judicial proceedings</w:t>
      </w:r>
      <w:r>
        <w:rPr>
          <w:rStyle w:val="FootnoteReference"/>
          <w:rFonts w:ascii="Arial" w:hAnsi="Arial" w:cs="Arial"/>
          <w:noProof/>
          <w:lang w:val="en-GB"/>
        </w:rPr>
        <w:footnoteReference w:id="165"/>
      </w:r>
      <w:r>
        <w:rPr>
          <w:rFonts w:ascii="Arial" w:hAnsi="Arial" w:cs="Arial"/>
          <w:noProof/>
          <w:lang w:val="en-GB"/>
        </w:rPr>
        <w:t>.</w:t>
      </w:r>
    </w:p>
    <w:p w:rsidR="00E201F7" w:rsidRDefault="00E24EFF">
      <w:pPr>
        <w:pStyle w:val="Lijstje2"/>
        <w:numPr>
          <w:ilvl w:val="0"/>
          <w:numId w:val="40"/>
        </w:numPr>
        <w:tabs>
          <w:tab w:val="left" w:pos="1276"/>
        </w:tabs>
        <w:spacing w:before="120" w:after="120"/>
        <w:ind w:left="1276" w:hanging="425"/>
        <w:contextualSpacing w:val="0"/>
        <w:rPr>
          <w:rFonts w:ascii="Arial" w:hAnsi="Arial" w:cs="Arial"/>
          <w:i/>
          <w:noProof/>
          <w:lang w:val="en-GB"/>
        </w:rPr>
      </w:pPr>
      <w:r>
        <w:rPr>
          <w:rFonts w:ascii="Arial" w:hAnsi="Arial" w:cs="Arial"/>
          <w:i/>
          <w:noProof/>
          <w:lang w:val="en-GB"/>
        </w:rPr>
        <w:t>Aust</w:t>
      </w:r>
      <w:r>
        <w:rPr>
          <w:rFonts w:ascii="Arial" w:hAnsi="Arial" w:cs="Arial"/>
          <w:i/>
          <w:noProof/>
          <w:lang w:val="en-GB"/>
        </w:rPr>
        <w:t xml:space="preserve">ria: </w:t>
      </w:r>
      <w:r>
        <w:rPr>
          <w:rFonts w:ascii="Arial" w:hAnsi="Arial" w:cs="Arial"/>
          <w:noProof/>
          <w:lang w:val="en-GB"/>
        </w:rPr>
        <w:t xml:space="preserve">The Environmental Liability Directive applies to environmental damage occurring after 30 April 2007 but caused by the operation of a facility authorised and put into operation before that date. National legislation is not compatible with EU law if it </w:t>
      </w:r>
      <w:r>
        <w:rPr>
          <w:rFonts w:ascii="Arial" w:hAnsi="Arial" w:cs="Arial"/>
          <w:noProof/>
          <w:lang w:val="en-GB"/>
        </w:rPr>
        <w:t>automatically excludes from qualification as ‘environmental damage’ damage which has a significant adverse effect on the ecological, chemical or quantitative status or ecological potential of water, solely based on the fact that it is covered by an authori</w:t>
      </w:r>
      <w:r>
        <w:rPr>
          <w:rFonts w:ascii="Arial" w:hAnsi="Arial" w:cs="Arial"/>
          <w:noProof/>
          <w:lang w:val="en-GB"/>
        </w:rPr>
        <w:t>sation granted under that national legislation. Also not compatible with EU law is national legislation which does not entitle people holding fishing rights to initiate a review procedure for environmental damage</w:t>
      </w:r>
      <w:r>
        <w:rPr>
          <w:rStyle w:val="FootnoteReference"/>
          <w:rFonts w:ascii="Arial" w:hAnsi="Arial" w:cs="Arial"/>
          <w:noProof/>
          <w:lang w:val="en-GB"/>
        </w:rPr>
        <w:footnoteReference w:id="166"/>
      </w:r>
      <w:r>
        <w:rPr>
          <w:rFonts w:ascii="Arial" w:hAnsi="Arial" w:cs="Arial"/>
          <w:noProof/>
          <w:lang w:val="en-GB"/>
        </w:rPr>
        <w:t>.</w:t>
      </w:r>
    </w:p>
    <w:p w:rsidR="00E201F7" w:rsidRDefault="00E24EFF">
      <w:pPr>
        <w:pStyle w:val="kop2"/>
        <w:rPr>
          <w:noProof/>
        </w:rPr>
      </w:pPr>
      <w:r>
        <w:rPr>
          <w:noProof/>
        </w:rPr>
        <w:t>Outlook</w:t>
      </w:r>
    </w:p>
    <w:p w:rsidR="00E201F7" w:rsidRDefault="00E24EFF">
      <w:pPr>
        <w:pStyle w:val="Subtitle"/>
        <w:rPr>
          <w:noProof/>
        </w:rPr>
      </w:pPr>
      <w:r>
        <w:rPr>
          <w:noProof/>
        </w:rPr>
        <w:t xml:space="preserve">Important implementation work in </w:t>
      </w:r>
      <w:r>
        <w:rPr>
          <w:noProof/>
        </w:rPr>
        <w:t>2018 includes:</w:t>
      </w:r>
    </w:p>
    <w:p w:rsidR="00E201F7" w:rsidRDefault="00E24EFF">
      <w:pPr>
        <w:pStyle w:val="ListParagraph"/>
        <w:numPr>
          <w:ilvl w:val="0"/>
          <w:numId w:val="114"/>
        </w:numPr>
        <w:ind w:left="1200"/>
        <w:rPr>
          <w:rFonts w:ascii="Arial" w:hAnsi="Arial" w:cs="Arial"/>
          <w:i/>
          <w:noProof/>
        </w:rPr>
      </w:pPr>
      <w:r>
        <w:rPr>
          <w:rFonts w:ascii="Arial" w:hAnsi="Arial" w:cs="Arial"/>
          <w:noProof/>
          <w:sz w:val="20"/>
        </w:rPr>
        <w:t>following up on cases where the Court rendered a second judgment and imposed financial sanctions, as well as on Court judgments expected in 2018 on the shipment of waste and the interpretation of the Strategic Environmental Assessment Direct</w:t>
      </w:r>
      <w:r>
        <w:rPr>
          <w:rFonts w:ascii="Arial" w:hAnsi="Arial" w:cs="Arial"/>
          <w:noProof/>
          <w:sz w:val="20"/>
        </w:rPr>
        <w:t>ive</w:t>
      </w:r>
      <w:r>
        <w:rPr>
          <w:rStyle w:val="FootnoteReference"/>
          <w:rFonts w:ascii="Arial" w:hAnsi="Arial" w:cs="Arial"/>
          <w:noProof/>
          <w:sz w:val="20"/>
        </w:rPr>
        <w:footnoteReference w:id="167"/>
      </w:r>
      <w:r>
        <w:rPr>
          <w:rFonts w:ascii="Arial" w:hAnsi="Arial" w:cs="Arial"/>
          <w:noProof/>
          <w:sz w:val="20"/>
        </w:rPr>
        <w:t>;</w:t>
      </w:r>
    </w:p>
    <w:p w:rsidR="00E201F7" w:rsidRDefault="00E24EFF">
      <w:pPr>
        <w:pStyle w:val="ListParagraph"/>
        <w:numPr>
          <w:ilvl w:val="0"/>
          <w:numId w:val="114"/>
        </w:numPr>
        <w:ind w:left="1200"/>
        <w:rPr>
          <w:rFonts w:ascii="Arial" w:hAnsi="Arial" w:cs="Arial"/>
          <w:noProof/>
          <w:sz w:val="20"/>
        </w:rPr>
      </w:pPr>
      <w:r>
        <w:rPr>
          <w:rFonts w:ascii="Arial" w:hAnsi="Arial" w:cs="Arial"/>
          <w:noProof/>
          <w:sz w:val="20"/>
        </w:rPr>
        <w:t>legal action to ensure complete transposition by Member States of the Directive on reducing the consumption of lightweight plastic carrier bags</w:t>
      </w:r>
      <w:r>
        <w:rPr>
          <w:rStyle w:val="FootnoteReference"/>
          <w:rFonts w:ascii="Arial" w:hAnsi="Arial" w:cs="Arial"/>
          <w:noProof/>
          <w:sz w:val="20"/>
        </w:rPr>
        <w:footnoteReference w:id="168"/>
      </w:r>
      <w:r>
        <w:rPr>
          <w:rFonts w:ascii="Arial" w:hAnsi="Arial" w:cs="Arial"/>
          <w:noProof/>
          <w:sz w:val="20"/>
        </w:rPr>
        <w:t>, the Directive</w:t>
      </w:r>
      <w:r>
        <w:rPr>
          <w:rStyle w:val="FootnoteReference"/>
          <w:rFonts w:ascii="Arial" w:hAnsi="Arial" w:cs="Arial"/>
          <w:noProof/>
          <w:sz w:val="20"/>
        </w:rPr>
        <w:footnoteReference w:id="169"/>
      </w:r>
      <w:r>
        <w:rPr>
          <w:rFonts w:ascii="Arial" w:hAnsi="Arial" w:cs="Arial"/>
          <w:noProof/>
          <w:sz w:val="20"/>
        </w:rPr>
        <w:t xml:space="preserve"> amending the Environmental Impact Assessment Directive</w:t>
      </w:r>
      <w:r>
        <w:rPr>
          <w:rStyle w:val="FootnoteReference"/>
          <w:rFonts w:ascii="Arial" w:hAnsi="Arial" w:cs="Arial"/>
          <w:noProof/>
          <w:sz w:val="20"/>
        </w:rPr>
        <w:footnoteReference w:id="170"/>
      </w:r>
      <w:r>
        <w:rPr>
          <w:rFonts w:ascii="Arial" w:hAnsi="Arial" w:cs="Arial"/>
          <w:noProof/>
          <w:sz w:val="20"/>
        </w:rPr>
        <w:t>, the Seveso III Directive</w:t>
      </w:r>
      <w:r>
        <w:rPr>
          <w:rStyle w:val="FootnoteReference"/>
          <w:rFonts w:ascii="Arial" w:hAnsi="Arial" w:cs="Arial"/>
          <w:noProof/>
          <w:sz w:val="20"/>
        </w:rPr>
        <w:footnoteReference w:id="171"/>
      </w:r>
      <w:r>
        <w:rPr>
          <w:rFonts w:ascii="Arial" w:hAnsi="Arial" w:cs="Arial"/>
          <w:noProof/>
          <w:sz w:val="20"/>
        </w:rPr>
        <w:t xml:space="preserve"> and th</w:t>
      </w:r>
      <w:r>
        <w:rPr>
          <w:rFonts w:ascii="Arial" w:hAnsi="Arial" w:cs="Arial"/>
          <w:noProof/>
          <w:sz w:val="20"/>
        </w:rPr>
        <w:t>e Medium Combustion Plants Directive</w:t>
      </w:r>
      <w:r>
        <w:rPr>
          <w:rStyle w:val="FootnoteReference"/>
          <w:rFonts w:ascii="Arial" w:hAnsi="Arial" w:cs="Arial"/>
          <w:noProof/>
          <w:sz w:val="20"/>
        </w:rPr>
        <w:footnoteReference w:id="172"/>
      </w:r>
      <w:r>
        <w:rPr>
          <w:rFonts w:ascii="Arial" w:hAnsi="Arial" w:cs="Arial"/>
          <w:noProof/>
          <w:sz w:val="20"/>
        </w:rPr>
        <w:t>; assessing the conformity of the national legislation transposing these directives and the Industrial Emissions Directive</w:t>
      </w:r>
      <w:r>
        <w:rPr>
          <w:rStyle w:val="FootnoteReference"/>
          <w:rFonts w:ascii="Arial" w:hAnsi="Arial" w:cs="Arial"/>
          <w:noProof/>
          <w:sz w:val="20"/>
        </w:rPr>
        <w:footnoteReference w:id="173"/>
      </w:r>
      <w:r>
        <w:rPr>
          <w:rFonts w:ascii="Arial" w:hAnsi="Arial" w:cs="Arial"/>
          <w:noProof/>
          <w:sz w:val="20"/>
        </w:rPr>
        <w:t>;</w:t>
      </w:r>
    </w:p>
    <w:p w:rsidR="00E201F7" w:rsidRDefault="00E24EFF">
      <w:pPr>
        <w:pStyle w:val="ListParagraph"/>
        <w:numPr>
          <w:ilvl w:val="0"/>
          <w:numId w:val="114"/>
        </w:numPr>
        <w:ind w:left="1200"/>
        <w:rPr>
          <w:rFonts w:ascii="Arial" w:hAnsi="Arial" w:cs="Arial"/>
          <w:noProof/>
          <w:sz w:val="20"/>
        </w:rPr>
      </w:pPr>
      <w:r>
        <w:rPr>
          <w:rFonts w:ascii="Arial" w:hAnsi="Arial" w:cs="Arial"/>
          <w:noProof/>
          <w:sz w:val="20"/>
        </w:rPr>
        <w:t>pursuing cases of non-compliant transposition of the EU provisions on waste and the Environmen</w:t>
      </w:r>
      <w:r>
        <w:rPr>
          <w:rFonts w:ascii="Arial" w:hAnsi="Arial" w:cs="Arial"/>
          <w:noProof/>
          <w:sz w:val="20"/>
        </w:rPr>
        <w:t>tal Quality Standards Directive</w:t>
      </w:r>
      <w:r>
        <w:rPr>
          <w:rStyle w:val="FootnoteReference"/>
          <w:rFonts w:ascii="Arial" w:hAnsi="Arial" w:cs="Arial"/>
          <w:noProof/>
          <w:sz w:val="20"/>
        </w:rPr>
        <w:footnoteReference w:id="174"/>
      </w:r>
      <w:r>
        <w:rPr>
          <w:rFonts w:ascii="Arial" w:hAnsi="Arial" w:cs="Arial"/>
          <w:noProof/>
          <w:sz w:val="20"/>
        </w:rPr>
        <w:t>; following up on the study assessing the implementation by the Member States of certain provisions of the Waste Landfill Directive, as interpreted by the Court</w:t>
      </w:r>
      <w:r>
        <w:rPr>
          <w:rStyle w:val="FootnoteReference"/>
          <w:rFonts w:ascii="Arial" w:hAnsi="Arial" w:cs="Arial"/>
          <w:noProof/>
          <w:sz w:val="20"/>
        </w:rPr>
        <w:footnoteReference w:id="175"/>
      </w:r>
      <w:r>
        <w:rPr>
          <w:rFonts w:ascii="Arial" w:hAnsi="Arial" w:cs="Arial"/>
          <w:noProof/>
          <w:sz w:val="20"/>
        </w:rPr>
        <w:t>;</w:t>
      </w:r>
    </w:p>
    <w:p w:rsidR="00E201F7" w:rsidRDefault="00E24EFF">
      <w:pPr>
        <w:pStyle w:val="ListParagraph"/>
        <w:numPr>
          <w:ilvl w:val="0"/>
          <w:numId w:val="114"/>
        </w:numPr>
        <w:ind w:left="1200"/>
        <w:rPr>
          <w:rFonts w:ascii="Arial" w:hAnsi="Arial" w:cs="Arial"/>
          <w:noProof/>
          <w:sz w:val="20"/>
        </w:rPr>
      </w:pPr>
      <w:r>
        <w:rPr>
          <w:rFonts w:ascii="Arial" w:hAnsi="Arial" w:cs="Arial"/>
          <w:noProof/>
          <w:sz w:val="20"/>
        </w:rPr>
        <w:t>legal action to ensure: complete and correct transposition of</w:t>
      </w:r>
      <w:r>
        <w:rPr>
          <w:rFonts w:ascii="Arial" w:hAnsi="Arial" w:cs="Arial"/>
          <w:noProof/>
          <w:sz w:val="20"/>
        </w:rPr>
        <w:t xml:space="preserve"> the Habitats and Birds Directives</w:t>
      </w:r>
      <w:r>
        <w:rPr>
          <w:rStyle w:val="FootnoteReference"/>
          <w:rFonts w:ascii="Arial" w:hAnsi="Arial" w:cs="Arial"/>
          <w:noProof/>
          <w:sz w:val="20"/>
        </w:rPr>
        <w:footnoteReference w:id="176"/>
      </w:r>
      <w:r>
        <w:rPr>
          <w:rFonts w:ascii="Arial" w:hAnsi="Arial" w:cs="Arial"/>
          <w:noProof/>
          <w:sz w:val="20"/>
        </w:rPr>
        <w:t>; completion of the Natura 2000 network across the EU (both terrestrial and marine); and the designation and conservation of special areas of conservation;</w:t>
      </w:r>
    </w:p>
    <w:p w:rsidR="00E201F7" w:rsidRDefault="00E24EFF">
      <w:pPr>
        <w:pStyle w:val="ListParagraph"/>
        <w:numPr>
          <w:ilvl w:val="0"/>
          <w:numId w:val="114"/>
        </w:numPr>
        <w:ind w:left="1200"/>
        <w:rPr>
          <w:rFonts w:ascii="Arial" w:hAnsi="Arial" w:cs="Arial"/>
          <w:noProof/>
          <w:sz w:val="20"/>
        </w:rPr>
      </w:pPr>
      <w:r>
        <w:rPr>
          <w:rFonts w:ascii="Arial" w:hAnsi="Arial" w:cs="Arial"/>
          <w:noProof/>
          <w:sz w:val="20"/>
        </w:rPr>
        <w:t>following closely the notifications submitted by Member States on</w:t>
      </w:r>
      <w:r>
        <w:rPr>
          <w:rFonts w:ascii="Arial" w:hAnsi="Arial" w:cs="Arial"/>
          <w:noProof/>
          <w:sz w:val="20"/>
        </w:rPr>
        <w:t xml:space="preserve"> exemptions from the assessment procedure under the Environmental Impact Assessment Directive</w:t>
      </w:r>
      <w:r>
        <w:rPr>
          <w:rStyle w:val="FootnoteReference"/>
          <w:rFonts w:ascii="Arial" w:hAnsi="Arial" w:cs="Arial"/>
          <w:noProof/>
          <w:sz w:val="20"/>
        </w:rPr>
        <w:footnoteReference w:id="177"/>
      </w:r>
      <w:r>
        <w:rPr>
          <w:rFonts w:ascii="Arial" w:hAnsi="Arial" w:cs="Arial"/>
          <w:noProof/>
          <w:sz w:val="20"/>
        </w:rPr>
        <w:t>;</w:t>
      </w:r>
    </w:p>
    <w:p w:rsidR="00E201F7" w:rsidRDefault="00E24EFF">
      <w:pPr>
        <w:pStyle w:val="ListParagraph"/>
        <w:numPr>
          <w:ilvl w:val="0"/>
          <w:numId w:val="114"/>
        </w:numPr>
        <w:ind w:left="1200"/>
        <w:rPr>
          <w:rFonts w:ascii="Arial" w:hAnsi="Arial" w:cs="Arial"/>
          <w:noProof/>
          <w:sz w:val="20"/>
        </w:rPr>
      </w:pPr>
      <w:r>
        <w:rPr>
          <w:rFonts w:ascii="Arial" w:hAnsi="Arial" w:cs="Arial"/>
          <w:noProof/>
          <w:sz w:val="20"/>
        </w:rPr>
        <w:t>enforcing the adoption of the second round of river basin management plans and considering action to ensure compliance of the adopted plans with EU requirements</w:t>
      </w:r>
      <w:r>
        <w:rPr>
          <w:rStyle w:val="FootnoteReference"/>
          <w:rFonts w:ascii="Arial" w:hAnsi="Arial" w:cs="Arial"/>
          <w:noProof/>
          <w:sz w:val="20"/>
        </w:rPr>
        <w:footnoteReference w:id="178"/>
      </w:r>
      <w:r>
        <w:rPr>
          <w:rFonts w:ascii="Arial" w:hAnsi="Arial" w:cs="Arial"/>
          <w:noProof/>
          <w:sz w:val="20"/>
        </w:rPr>
        <w:t>;</w:t>
      </w:r>
    </w:p>
    <w:p w:rsidR="00E201F7" w:rsidRDefault="00E24EFF">
      <w:pPr>
        <w:pStyle w:val="ListParagraph"/>
        <w:numPr>
          <w:ilvl w:val="0"/>
          <w:numId w:val="114"/>
        </w:numPr>
        <w:ind w:left="1200"/>
        <w:rPr>
          <w:rFonts w:ascii="Arial" w:hAnsi="Arial" w:cs="Arial"/>
          <w:noProof/>
          <w:sz w:val="20"/>
        </w:rPr>
      </w:pPr>
      <w:r>
        <w:rPr>
          <w:rFonts w:ascii="Arial" w:hAnsi="Arial" w:cs="Arial"/>
          <w:noProof/>
          <w:sz w:val="20"/>
        </w:rPr>
        <w:t>legal action to address inadequate treatment of urban waste water, failure to comply with EU standards on air quality, lack of noise maps and noise action plans, and absence of reports under the Marine Strategy Framework Directive</w:t>
      </w:r>
      <w:r>
        <w:rPr>
          <w:rStyle w:val="FootnoteReference"/>
          <w:rFonts w:ascii="Arial" w:hAnsi="Arial" w:cs="Arial"/>
          <w:noProof/>
          <w:sz w:val="20"/>
        </w:rPr>
        <w:footnoteReference w:id="179"/>
      </w:r>
      <w:r>
        <w:rPr>
          <w:rFonts w:ascii="Arial" w:hAnsi="Arial" w:cs="Arial"/>
          <w:noProof/>
          <w:sz w:val="20"/>
        </w:rPr>
        <w:t>.</w:t>
      </w:r>
    </w:p>
    <w:p w:rsidR="00E201F7" w:rsidRDefault="00E201F7">
      <w:pPr>
        <w:pStyle w:val="ListParagraph"/>
        <w:ind w:left="1276"/>
        <w:rPr>
          <w:i/>
          <w:noProof/>
          <w:highlight w:val="yellow"/>
        </w:rPr>
      </w:pPr>
    </w:p>
    <w:p w:rsidR="00E201F7" w:rsidRDefault="00E201F7">
      <w:pPr>
        <w:pStyle w:val="ListParagraph"/>
        <w:numPr>
          <w:ilvl w:val="0"/>
          <w:numId w:val="25"/>
        </w:numPr>
        <w:rPr>
          <w:i/>
          <w:noProof/>
          <w:highlight w:val="yellow"/>
        </w:rPr>
        <w:sectPr w:rsidR="00E201F7">
          <w:headerReference w:type="even" r:id="rId85"/>
          <w:headerReference w:type="default" r:id="rId86"/>
          <w:footerReference w:type="even" r:id="rId87"/>
          <w:footerReference w:type="default" r:id="rId88"/>
          <w:headerReference w:type="first" r:id="rId89"/>
          <w:footerReference w:type="first" r:id="rId90"/>
          <w:footnotePr>
            <w:numRestart w:val="eachSect"/>
          </w:footnotePr>
          <w:pgSz w:w="11907" w:h="16839" w:code="9"/>
          <w:pgMar w:top="1843" w:right="1275" w:bottom="737" w:left="1418" w:header="567" w:footer="352" w:gutter="0"/>
          <w:cols w:space="720"/>
          <w:titlePg/>
          <w:docGrid w:linePitch="326"/>
        </w:sectPr>
      </w:pPr>
    </w:p>
    <w:p w:rsidR="00E201F7" w:rsidRDefault="00E24EFF">
      <w:pPr>
        <w:pStyle w:val="Heading1"/>
        <w:spacing w:after="0"/>
        <w:ind w:left="0"/>
        <w:rPr>
          <w:rFonts w:ascii="Arial" w:hAnsi="Arial" w:cs="Arial"/>
          <w:noProof/>
        </w:rPr>
      </w:pPr>
      <w:bookmarkStart w:id="64" w:name="_Toc443057939"/>
      <w:bookmarkStart w:id="65" w:name="_Toc475524735"/>
      <w:bookmarkStart w:id="66" w:name="_Toc475529502"/>
      <w:bookmarkStart w:id="67" w:name="_Toc475529541"/>
      <w:bookmarkStart w:id="68" w:name="_Toc475529869"/>
      <w:bookmarkStart w:id="69" w:name="_Toc475550834"/>
      <w:bookmarkStart w:id="70" w:name="_Toc475551374"/>
      <w:bookmarkStart w:id="71" w:name="_Toc507510317"/>
      <w:bookmarkStart w:id="72" w:name="_Toc507517731"/>
      <w:bookmarkStart w:id="73" w:name="_Toc507520112"/>
      <w:bookmarkStart w:id="74" w:name="_Toc510016529"/>
      <w:r>
        <w:rPr>
          <w:rFonts w:ascii="Arial" w:hAnsi="Arial" w:cs="Arial"/>
          <w:noProof/>
        </w:rPr>
        <w:t xml:space="preserve">Financial stability, </w:t>
      </w:r>
      <w:r>
        <w:rPr>
          <w:rFonts w:ascii="Arial" w:hAnsi="Arial" w:cs="Arial"/>
          <w:noProof/>
        </w:rPr>
        <w:t>financial services and Capital Markets Union</w:t>
      </w:r>
      <w:bookmarkEnd w:id="64"/>
      <w:bookmarkEnd w:id="65"/>
      <w:bookmarkEnd w:id="66"/>
      <w:bookmarkEnd w:id="67"/>
      <w:bookmarkEnd w:id="68"/>
      <w:bookmarkEnd w:id="69"/>
      <w:bookmarkEnd w:id="70"/>
      <w:bookmarkEnd w:id="71"/>
      <w:bookmarkEnd w:id="72"/>
      <w:bookmarkEnd w:id="73"/>
      <w:bookmarkEnd w:id="74"/>
    </w:p>
    <w:p w:rsidR="00E201F7" w:rsidRDefault="00E24EFF">
      <w:pPr>
        <w:pStyle w:val="kop2"/>
        <w:numPr>
          <w:ilvl w:val="0"/>
          <w:numId w:val="85"/>
        </w:numPr>
        <w:rPr>
          <w:noProof/>
        </w:rPr>
      </w:pPr>
      <w:r>
        <w:rPr>
          <w:noProof/>
        </w:rPr>
        <w:t>COMPLAINTS</w:t>
      </w:r>
    </w:p>
    <w:p w:rsidR="00E201F7" w:rsidRDefault="00E24EFF">
      <w:pPr>
        <w:numPr>
          <w:ilvl w:val="0"/>
          <w:numId w:val="115"/>
        </w:numPr>
        <w:spacing w:before="240"/>
        <w:ind w:left="714" w:hanging="357"/>
        <w:jc w:val="left"/>
        <w:outlineLvl w:val="1"/>
        <w:rPr>
          <w:rFonts w:ascii="Arial" w:hAnsi="Arial" w:cs="Arial"/>
          <w:noProof/>
          <w:color w:val="002060"/>
          <w:sz w:val="22"/>
        </w:rPr>
      </w:pPr>
      <w:r>
        <w:rPr>
          <w:rFonts w:ascii="Arial" w:hAnsi="Arial" w:cs="Arial"/>
          <w:noProof/>
          <w:color w:val="002060"/>
          <w:sz w:val="22"/>
        </w:rPr>
        <w:t>New complaints received from members of the public in 2017</w:t>
      </w:r>
    </w:p>
    <w:p w:rsidR="00E201F7" w:rsidRDefault="00E24EFF">
      <w:pPr>
        <w:spacing w:before="120"/>
        <w:ind w:left="720"/>
        <w:rPr>
          <w:rFonts w:ascii="Arial" w:hAnsi="Arial" w:cs="Arial"/>
          <w:noProof/>
        </w:rPr>
      </w:pPr>
      <w:r>
        <w:rPr>
          <w:rFonts w:ascii="Arial" w:hAnsi="Arial" w:cs="Arial"/>
          <w:noProof/>
          <w:sz w:val="20"/>
        </w:rPr>
        <w:t xml:space="preserve">The Commission received 155 complaints from members of the public in this area in 2017 and </w:t>
      </w:r>
      <w:smartTag w:uri="urn:schemas-microsoft-com:office:smarttags" w:element="metricconverter">
        <w:smartTagPr>
          <w:attr w:name="ProductID" w:val="88 in"/>
        </w:smartTagPr>
        <w:r>
          <w:rPr>
            <w:rFonts w:ascii="Arial" w:hAnsi="Arial" w:cs="Arial"/>
            <w:noProof/>
            <w:sz w:val="20"/>
          </w:rPr>
          <w:t>88 in</w:t>
        </w:r>
      </w:smartTag>
      <w:r>
        <w:rPr>
          <w:rFonts w:ascii="Arial" w:hAnsi="Arial" w:cs="Arial"/>
          <w:noProof/>
          <w:sz w:val="20"/>
        </w:rPr>
        <w:t xml:space="preserve"> 2016.</w:t>
      </w:r>
    </w:p>
    <w:p w:rsidR="00E201F7" w:rsidRDefault="00E24EFF">
      <w:pPr>
        <w:numPr>
          <w:ilvl w:val="0"/>
          <w:numId w:val="115"/>
        </w:numPr>
        <w:spacing w:after="60"/>
        <w:jc w:val="left"/>
        <w:outlineLvl w:val="1"/>
        <w:rPr>
          <w:noProof/>
          <w:color w:val="002060"/>
        </w:rPr>
      </w:pPr>
      <w:r>
        <w:rPr>
          <w:rFonts w:ascii="Arial" w:hAnsi="Arial" w:cs="Arial"/>
          <w:noProof/>
          <w:color w:val="002060"/>
          <w:sz w:val="22"/>
        </w:rPr>
        <w:t>Public complaints open at year-end</w:t>
      </w:r>
    </w:p>
    <w:tbl>
      <w:tblPr>
        <w:tblW w:w="0" w:type="auto"/>
        <w:jc w:val="center"/>
        <w:tblLook w:val="04A0" w:firstRow="1" w:lastRow="0" w:firstColumn="1" w:lastColumn="0" w:noHBand="0" w:noVBand="1"/>
      </w:tblPr>
      <w:tblGrid>
        <w:gridCol w:w="1821"/>
        <w:gridCol w:w="345"/>
        <w:gridCol w:w="5310"/>
      </w:tblGrid>
      <w:tr w:rsidR="00E201F7">
        <w:trPr>
          <w:trHeight w:val="403"/>
          <w:jc w:val="center"/>
        </w:trPr>
        <w:tc>
          <w:tcPr>
            <w:tcW w:w="1821" w:type="dxa"/>
            <w:shd w:val="clear" w:color="auto" w:fill="auto"/>
            <w:vAlign w:val="center"/>
          </w:tcPr>
          <w:p w:rsidR="00E201F7" w:rsidRDefault="00E24EFF">
            <w:pPr>
              <w:spacing w:after="0"/>
              <w:jc w:val="right"/>
              <w:rPr>
                <w:rFonts w:ascii="Arial" w:hAnsi="Arial" w:cs="Arial"/>
                <w:noProof/>
                <w:color w:val="548DD4"/>
                <w:sz w:val="22"/>
              </w:rPr>
            </w:pPr>
            <w:r>
              <w:rPr>
                <w:rFonts w:ascii="Arial" w:hAnsi="Arial" w:cs="Arial"/>
                <w:noProof/>
                <w:color w:val="548DD4"/>
                <w:sz w:val="22"/>
              </w:rPr>
              <w:t>57</w:t>
            </w:r>
          </w:p>
        </w:tc>
        <w:tc>
          <w:tcPr>
            <w:tcW w:w="336" w:type="dxa"/>
            <w:shd w:val="clear" w:color="auto" w:fill="auto"/>
            <w:vAlign w:val="center"/>
          </w:tcPr>
          <w:p w:rsidR="00E201F7" w:rsidRDefault="00E24EFF">
            <w:pPr>
              <w:spacing w:after="0"/>
              <w:jc w:val="right"/>
              <w:rPr>
                <w:rFonts w:ascii="Arial" w:hAnsi="Arial" w:cs="Arial"/>
                <w:noProof/>
                <w:color w:val="548DD4"/>
                <w:sz w:val="22"/>
              </w:rPr>
            </w:pPr>
            <w:r>
              <w:rPr>
                <w:rFonts w:ascii="Arial" w:hAnsi="Arial" w:cs="Arial"/>
                <w:noProof/>
                <w:color w:val="548DD4"/>
                <w:sz w:val="22"/>
              </w:rPr>
              <w:t>&gt;</w:t>
            </w:r>
          </w:p>
        </w:tc>
        <w:tc>
          <w:tcPr>
            <w:tcW w:w="5310" w:type="dxa"/>
            <w:shd w:val="clear" w:color="auto" w:fill="auto"/>
            <w:vAlign w:val="center"/>
          </w:tcPr>
          <w:p w:rsidR="00E201F7" w:rsidRDefault="00E24EFF">
            <w:pPr>
              <w:spacing w:after="0"/>
              <w:jc w:val="left"/>
              <w:rPr>
                <w:rFonts w:ascii="Arial" w:hAnsi="Arial" w:cs="Arial"/>
                <w:noProof/>
                <w:color w:val="548DD4"/>
                <w:sz w:val="22"/>
              </w:rPr>
            </w:pPr>
            <w:r>
              <w:rPr>
                <w:rFonts w:ascii="Arial" w:hAnsi="Arial" w:cs="Arial"/>
                <w:noProof/>
                <w:color w:val="548DD4"/>
                <w:sz w:val="22"/>
              </w:rPr>
              <w:t>Complaints open at end-2016</w:t>
            </w:r>
          </w:p>
        </w:tc>
      </w:tr>
      <w:tr w:rsidR="00E201F7">
        <w:trPr>
          <w:trHeight w:val="403"/>
          <w:jc w:val="center"/>
        </w:trPr>
        <w:tc>
          <w:tcPr>
            <w:tcW w:w="1821" w:type="dxa"/>
            <w:shd w:val="clear" w:color="auto" w:fill="auto"/>
            <w:vAlign w:val="center"/>
          </w:tcPr>
          <w:p w:rsidR="00E201F7" w:rsidRDefault="00E24EFF">
            <w:pPr>
              <w:spacing w:after="0"/>
              <w:jc w:val="right"/>
              <w:rPr>
                <w:rFonts w:ascii="Arial" w:hAnsi="Arial" w:cs="Arial"/>
                <w:noProof/>
                <w:color w:val="548DD4"/>
                <w:sz w:val="22"/>
              </w:rPr>
            </w:pPr>
            <w:r>
              <w:rPr>
                <w:rFonts w:ascii="Arial" w:hAnsi="Arial" w:cs="Arial"/>
                <w:noProof/>
                <w:color w:val="548DD4"/>
                <w:sz w:val="22"/>
              </w:rPr>
              <w:t>155</w:t>
            </w:r>
          </w:p>
        </w:tc>
        <w:tc>
          <w:tcPr>
            <w:tcW w:w="336" w:type="dxa"/>
            <w:shd w:val="clear" w:color="auto" w:fill="auto"/>
            <w:vAlign w:val="center"/>
          </w:tcPr>
          <w:p w:rsidR="00E201F7" w:rsidRDefault="00E24EFF">
            <w:pPr>
              <w:spacing w:after="0"/>
              <w:jc w:val="right"/>
              <w:rPr>
                <w:rFonts w:ascii="Arial" w:hAnsi="Arial" w:cs="Arial"/>
                <w:noProof/>
                <w:color w:val="548DD4"/>
                <w:sz w:val="22"/>
              </w:rPr>
            </w:pPr>
            <w:r>
              <w:rPr>
                <w:rFonts w:ascii="Arial" w:hAnsi="Arial" w:cs="Arial"/>
                <w:noProof/>
                <w:color w:val="548DD4"/>
                <w:sz w:val="22"/>
              </w:rPr>
              <w:t>&gt;</w:t>
            </w:r>
          </w:p>
        </w:tc>
        <w:tc>
          <w:tcPr>
            <w:tcW w:w="5310" w:type="dxa"/>
            <w:shd w:val="clear" w:color="auto" w:fill="auto"/>
            <w:vAlign w:val="center"/>
          </w:tcPr>
          <w:p w:rsidR="00E201F7" w:rsidRDefault="00E24EFF">
            <w:pPr>
              <w:spacing w:after="0"/>
              <w:jc w:val="left"/>
              <w:rPr>
                <w:rFonts w:ascii="Arial" w:hAnsi="Arial" w:cs="Arial"/>
                <w:noProof/>
                <w:color w:val="548DD4"/>
                <w:sz w:val="22"/>
              </w:rPr>
            </w:pPr>
            <w:r>
              <w:rPr>
                <w:rFonts w:ascii="Arial" w:hAnsi="Arial" w:cs="Arial"/>
                <w:noProof/>
                <w:color w:val="548DD4"/>
                <w:sz w:val="22"/>
              </w:rPr>
              <w:t>New complaints registered in 2017</w:t>
            </w:r>
          </w:p>
        </w:tc>
      </w:tr>
      <w:tr w:rsidR="00E201F7">
        <w:trPr>
          <w:trHeight w:val="403"/>
          <w:jc w:val="center"/>
        </w:trPr>
        <w:tc>
          <w:tcPr>
            <w:tcW w:w="1821" w:type="dxa"/>
            <w:tcBorders>
              <w:bottom w:val="single" w:sz="24" w:space="0" w:color="548DD4"/>
            </w:tcBorders>
            <w:shd w:val="clear" w:color="auto" w:fill="auto"/>
            <w:vAlign w:val="center"/>
          </w:tcPr>
          <w:p w:rsidR="00E201F7" w:rsidRDefault="00E24EFF">
            <w:pPr>
              <w:spacing w:after="0"/>
              <w:jc w:val="right"/>
              <w:rPr>
                <w:rFonts w:ascii="Arial" w:hAnsi="Arial" w:cs="Arial"/>
                <w:noProof/>
                <w:color w:val="548DD4"/>
                <w:sz w:val="22"/>
              </w:rPr>
            </w:pPr>
            <w:r>
              <w:rPr>
                <w:rFonts w:ascii="Arial" w:hAnsi="Arial" w:cs="Arial"/>
                <w:noProof/>
                <w:color w:val="548DD4"/>
                <w:sz w:val="22"/>
              </w:rPr>
              <w:t>109</w:t>
            </w:r>
          </w:p>
        </w:tc>
        <w:tc>
          <w:tcPr>
            <w:tcW w:w="336" w:type="dxa"/>
            <w:shd w:val="clear" w:color="auto" w:fill="auto"/>
            <w:vAlign w:val="center"/>
          </w:tcPr>
          <w:p w:rsidR="00E201F7" w:rsidRDefault="00E24EFF">
            <w:pPr>
              <w:spacing w:after="0"/>
              <w:jc w:val="right"/>
              <w:rPr>
                <w:rFonts w:ascii="Arial" w:hAnsi="Arial" w:cs="Arial"/>
                <w:noProof/>
                <w:color w:val="548DD4"/>
                <w:sz w:val="22"/>
              </w:rPr>
            </w:pPr>
            <w:r>
              <w:rPr>
                <w:rFonts w:ascii="Arial" w:hAnsi="Arial" w:cs="Arial"/>
                <w:noProof/>
                <w:color w:val="548DD4"/>
                <w:sz w:val="22"/>
              </w:rPr>
              <w:t>&gt;</w:t>
            </w:r>
          </w:p>
        </w:tc>
        <w:tc>
          <w:tcPr>
            <w:tcW w:w="5310" w:type="dxa"/>
            <w:shd w:val="clear" w:color="auto" w:fill="auto"/>
            <w:vAlign w:val="center"/>
          </w:tcPr>
          <w:p w:rsidR="00E201F7" w:rsidRDefault="00E24EFF">
            <w:pPr>
              <w:spacing w:after="0"/>
              <w:jc w:val="left"/>
              <w:rPr>
                <w:rFonts w:ascii="Arial" w:hAnsi="Arial" w:cs="Arial"/>
                <w:noProof/>
                <w:color w:val="548DD4"/>
                <w:sz w:val="22"/>
              </w:rPr>
            </w:pPr>
            <w:r>
              <w:rPr>
                <w:rFonts w:ascii="Arial" w:hAnsi="Arial" w:cs="Arial"/>
                <w:noProof/>
                <w:color w:val="548DD4"/>
                <w:sz w:val="22"/>
              </w:rPr>
              <w:t>Complaints handled in 2017</w:t>
            </w:r>
          </w:p>
        </w:tc>
      </w:tr>
      <w:tr w:rsidR="00E201F7">
        <w:trPr>
          <w:trHeight w:val="403"/>
          <w:jc w:val="center"/>
        </w:trPr>
        <w:tc>
          <w:tcPr>
            <w:tcW w:w="1821" w:type="dxa"/>
            <w:tcBorders>
              <w:top w:val="single" w:sz="24" w:space="0" w:color="548DD4"/>
            </w:tcBorders>
            <w:shd w:val="clear" w:color="auto" w:fill="auto"/>
            <w:vAlign w:val="center"/>
          </w:tcPr>
          <w:p w:rsidR="00E201F7" w:rsidRDefault="00E24EFF">
            <w:pPr>
              <w:spacing w:after="0"/>
              <w:jc w:val="right"/>
              <w:rPr>
                <w:rFonts w:ascii="Arial" w:hAnsi="Arial" w:cs="Arial"/>
                <w:noProof/>
                <w:color w:val="C00000"/>
                <w:sz w:val="22"/>
              </w:rPr>
            </w:pPr>
            <w:r>
              <w:rPr>
                <w:rFonts w:ascii="Arial" w:hAnsi="Arial" w:cs="Arial"/>
                <w:noProof/>
                <w:color w:val="C00000"/>
                <w:sz w:val="22"/>
              </w:rPr>
              <w:t>= 103</w:t>
            </w:r>
          </w:p>
        </w:tc>
        <w:tc>
          <w:tcPr>
            <w:tcW w:w="336" w:type="dxa"/>
            <w:shd w:val="clear" w:color="auto" w:fill="auto"/>
            <w:vAlign w:val="center"/>
          </w:tcPr>
          <w:p w:rsidR="00E201F7" w:rsidRDefault="00E24EFF">
            <w:pPr>
              <w:spacing w:after="0"/>
              <w:jc w:val="right"/>
              <w:rPr>
                <w:rFonts w:ascii="Arial" w:hAnsi="Arial" w:cs="Arial"/>
                <w:noProof/>
                <w:color w:val="548DD4"/>
                <w:sz w:val="22"/>
              </w:rPr>
            </w:pPr>
            <w:r>
              <w:rPr>
                <w:rFonts w:ascii="Arial" w:hAnsi="Arial" w:cs="Arial"/>
                <w:noProof/>
                <w:color w:val="548DD4"/>
                <w:sz w:val="22"/>
              </w:rPr>
              <w:t>&gt;</w:t>
            </w:r>
          </w:p>
        </w:tc>
        <w:tc>
          <w:tcPr>
            <w:tcW w:w="5310" w:type="dxa"/>
            <w:shd w:val="clear" w:color="auto" w:fill="auto"/>
            <w:vAlign w:val="center"/>
          </w:tcPr>
          <w:p w:rsidR="00E201F7" w:rsidRDefault="00E24EFF">
            <w:pPr>
              <w:spacing w:after="0"/>
              <w:jc w:val="left"/>
              <w:rPr>
                <w:rFonts w:ascii="Arial" w:hAnsi="Arial" w:cs="Arial"/>
                <w:noProof/>
                <w:color w:val="548DD4"/>
                <w:sz w:val="22"/>
              </w:rPr>
            </w:pPr>
            <w:r>
              <w:rPr>
                <w:rFonts w:ascii="Arial" w:hAnsi="Arial" w:cs="Arial"/>
                <w:noProof/>
                <w:color w:val="548DD4"/>
                <w:sz w:val="22"/>
              </w:rPr>
              <w:t>Complaints open at end-2017</w:t>
            </w:r>
          </w:p>
        </w:tc>
      </w:tr>
    </w:tbl>
    <w:p w:rsidR="00E201F7" w:rsidRDefault="00E24EFF">
      <w:pPr>
        <w:numPr>
          <w:ilvl w:val="0"/>
          <w:numId w:val="115"/>
        </w:numPr>
        <w:spacing w:before="240"/>
        <w:ind w:left="714" w:hanging="357"/>
        <w:jc w:val="left"/>
        <w:outlineLvl w:val="1"/>
        <w:rPr>
          <w:rFonts w:ascii="Arial" w:hAnsi="Arial" w:cs="Arial"/>
          <w:noProof/>
          <w:color w:val="002060"/>
          <w:sz w:val="22"/>
        </w:rPr>
      </w:pPr>
      <w:r>
        <w:rPr>
          <w:rFonts w:ascii="Arial" w:hAnsi="Arial" w:cs="Arial"/>
          <w:noProof/>
          <w:color w:val="002060"/>
          <w:sz w:val="22"/>
        </w:rPr>
        <w:t>New complaints registered in 2017: main policy sectors</w:t>
      </w:r>
    </w:p>
    <w:p w:rsidR="00E201F7" w:rsidRDefault="00E24EFF">
      <w:pPr>
        <w:ind w:left="720"/>
        <w:rPr>
          <w:rFonts w:ascii="Verdana" w:hAnsi="Verdana"/>
          <w:noProof/>
          <w:sz w:val="20"/>
        </w:rPr>
      </w:pPr>
      <w:r>
        <w:rPr>
          <w:rFonts w:ascii="Verdana" w:hAnsi="Verdana"/>
          <w:noProof/>
          <w:sz w:val="20"/>
        </w:rPr>
        <w:drawing>
          <wp:inline distT="0" distB="0" distL="0" distR="0" wp14:anchorId="4E7E1CA8" wp14:editId="571E49A6">
            <wp:extent cx="4785360" cy="2529840"/>
            <wp:effectExtent l="0" t="0" r="15240" b="3810"/>
            <wp:docPr id="310" name="Objec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E201F7" w:rsidRDefault="00E24EFF">
      <w:pPr>
        <w:pStyle w:val="kop2"/>
        <w:rPr>
          <w:noProof/>
        </w:rPr>
      </w:pPr>
      <w:r>
        <w:rPr>
          <w:noProof/>
        </w:rPr>
        <w:t>EU PILOT</w:t>
      </w:r>
    </w:p>
    <w:p w:rsidR="00E201F7" w:rsidRDefault="00E24EFF">
      <w:pPr>
        <w:numPr>
          <w:ilvl w:val="0"/>
          <w:numId w:val="116"/>
        </w:numPr>
        <w:spacing w:after="60"/>
        <w:jc w:val="left"/>
        <w:outlineLvl w:val="1"/>
        <w:rPr>
          <w:rFonts w:ascii="Arial" w:hAnsi="Arial" w:cs="Arial"/>
          <w:noProof/>
          <w:color w:val="002060"/>
          <w:sz w:val="22"/>
        </w:rPr>
      </w:pPr>
      <w:r>
        <w:rPr>
          <w:rFonts w:ascii="Arial" w:hAnsi="Arial" w:cs="Arial"/>
          <w:noProof/>
          <w:color w:val="002060"/>
          <w:sz w:val="22"/>
        </w:rPr>
        <w:t>New EU Pilot files (2016-2017)</w:t>
      </w:r>
    </w:p>
    <w:p w:rsidR="00E201F7" w:rsidRDefault="00E24EFF">
      <w:pPr>
        <w:spacing w:before="120"/>
        <w:ind w:left="720"/>
        <w:rPr>
          <w:noProof/>
          <w:color w:val="002060"/>
        </w:rPr>
      </w:pPr>
      <w:r>
        <w:rPr>
          <w:rFonts w:ascii="Arial" w:hAnsi="Arial" w:cs="Arial"/>
          <w:noProof/>
          <w:sz w:val="20"/>
        </w:rPr>
        <w:t xml:space="preserve">The Commission </w:t>
      </w:r>
      <w:r>
        <w:rPr>
          <w:rFonts w:ascii="Arial" w:hAnsi="Arial" w:cs="Arial"/>
          <w:noProof/>
          <w:sz w:val="20"/>
        </w:rPr>
        <w:t>opened one new EU Pilot file in this area in 2017.</w:t>
      </w:r>
    </w:p>
    <w:p w:rsidR="00E201F7" w:rsidRDefault="00E24EFF">
      <w:pPr>
        <w:numPr>
          <w:ilvl w:val="0"/>
          <w:numId w:val="116"/>
        </w:numPr>
        <w:spacing w:after="60"/>
        <w:jc w:val="left"/>
        <w:outlineLvl w:val="1"/>
        <w:rPr>
          <w:rFonts w:ascii="Arial" w:hAnsi="Arial" w:cs="Arial"/>
          <w:noProof/>
          <w:color w:val="002060"/>
          <w:sz w:val="22"/>
        </w:rPr>
      </w:pPr>
      <w:r>
        <w:rPr>
          <w:rFonts w:ascii="Arial" w:hAnsi="Arial" w:cs="Arial"/>
          <w:noProof/>
          <w:color w:val="002060"/>
          <w:sz w:val="22"/>
        </w:rPr>
        <w:t>EU Pilot files open at year-end</w:t>
      </w:r>
    </w:p>
    <w:p w:rsidR="00E201F7" w:rsidRDefault="00E24EFF">
      <w:pPr>
        <w:spacing w:before="120"/>
        <w:ind w:left="720"/>
        <w:rPr>
          <w:rFonts w:ascii="Arial" w:hAnsi="Arial" w:cs="Arial"/>
          <w:noProof/>
          <w:sz w:val="20"/>
        </w:rPr>
      </w:pPr>
      <w:r>
        <w:rPr>
          <w:rFonts w:ascii="Arial" w:hAnsi="Arial" w:cs="Arial"/>
          <w:noProof/>
          <w:sz w:val="20"/>
        </w:rPr>
        <w:t>There were 11 EU Pilot files open at end-2017.</w:t>
      </w:r>
    </w:p>
    <w:p w:rsidR="00E201F7" w:rsidRDefault="00E24EFF">
      <w:pPr>
        <w:spacing w:after="0"/>
        <w:jc w:val="left"/>
        <w:rPr>
          <w:noProof/>
          <w:color w:val="002060"/>
        </w:rPr>
      </w:pPr>
      <w:r>
        <w:rPr>
          <w:noProof/>
          <w:color w:val="002060"/>
        </w:rPr>
        <w:br w:type="page"/>
      </w:r>
    </w:p>
    <w:p w:rsidR="00E201F7" w:rsidRDefault="00E24EFF">
      <w:pPr>
        <w:numPr>
          <w:ilvl w:val="0"/>
          <w:numId w:val="116"/>
        </w:numPr>
        <w:spacing w:after="60"/>
        <w:jc w:val="left"/>
        <w:outlineLvl w:val="1"/>
        <w:rPr>
          <w:rFonts w:ascii="Arial" w:hAnsi="Arial" w:cs="Arial"/>
          <w:noProof/>
          <w:color w:val="002060"/>
          <w:sz w:val="22"/>
        </w:rPr>
      </w:pPr>
      <w:r>
        <w:rPr>
          <w:rFonts w:ascii="Arial" w:hAnsi="Arial" w:cs="Arial"/>
          <w:noProof/>
          <w:color w:val="002060"/>
          <w:sz w:val="22"/>
        </w:rPr>
        <w:t>New EU Pilot files opened in 2017: main policy sectors</w:t>
      </w:r>
    </w:p>
    <w:p w:rsidR="00E201F7" w:rsidRDefault="00E24EFF">
      <w:pPr>
        <w:spacing w:before="120"/>
        <w:ind w:left="720"/>
        <w:rPr>
          <w:rFonts w:ascii="Arial" w:hAnsi="Arial" w:cs="Arial"/>
          <w:noProof/>
          <w:sz w:val="20"/>
        </w:rPr>
      </w:pPr>
      <w:r>
        <w:rPr>
          <w:rFonts w:ascii="Arial" w:hAnsi="Arial" w:cs="Arial"/>
          <w:noProof/>
          <w:sz w:val="20"/>
        </w:rPr>
        <w:t>The single EU Pilot file opened by the Commission related to insuranc</w:t>
      </w:r>
      <w:r>
        <w:rPr>
          <w:rFonts w:ascii="Arial" w:hAnsi="Arial" w:cs="Arial"/>
          <w:noProof/>
          <w:sz w:val="20"/>
        </w:rPr>
        <w:t>e and pensions.</w:t>
      </w:r>
    </w:p>
    <w:p w:rsidR="00E201F7" w:rsidRDefault="00E24EFF">
      <w:pPr>
        <w:numPr>
          <w:ilvl w:val="0"/>
          <w:numId w:val="116"/>
        </w:numPr>
        <w:spacing w:after="60"/>
        <w:jc w:val="left"/>
        <w:outlineLvl w:val="1"/>
        <w:rPr>
          <w:rFonts w:ascii="Arial" w:hAnsi="Arial" w:cs="Arial"/>
          <w:noProof/>
          <w:color w:val="002060"/>
          <w:sz w:val="22"/>
        </w:rPr>
      </w:pPr>
      <w:r>
        <w:rPr>
          <w:rFonts w:ascii="Arial" w:hAnsi="Arial" w:cs="Arial"/>
          <w:noProof/>
          <w:color w:val="002060"/>
          <w:sz w:val="22"/>
        </w:rPr>
        <w:t>EU Pilot files: policies’ combined resolution rate in 2016-2017</w:t>
      </w:r>
    </w:p>
    <w:p w:rsidR="00E201F7" w:rsidRDefault="00E24EFF">
      <w:pPr>
        <w:spacing w:before="120"/>
        <w:ind w:left="720"/>
        <w:rPr>
          <w:rFonts w:ascii="Arial" w:hAnsi="Arial" w:cs="Arial"/>
          <w:noProof/>
          <w:sz w:val="20"/>
        </w:rPr>
      </w:pPr>
      <w:r>
        <w:rPr>
          <w:rFonts w:ascii="Arial" w:hAnsi="Arial" w:cs="Arial"/>
          <w:noProof/>
          <w:sz w:val="20"/>
        </w:rPr>
        <w:t>The resolution rate for financial stability, financial services and Capital Markets Union in 2017 was 62 %. This compares with 73 % in 2016.</w:t>
      </w:r>
    </w:p>
    <w:p w:rsidR="00E201F7" w:rsidRDefault="00E24EFF">
      <w:pPr>
        <w:pStyle w:val="kop2"/>
        <w:rPr>
          <w:noProof/>
        </w:rPr>
      </w:pPr>
      <w:r>
        <w:rPr>
          <w:noProof/>
        </w:rPr>
        <w:t>OWN-INITIATIVE CASES</w:t>
      </w:r>
    </w:p>
    <w:p w:rsidR="00E201F7" w:rsidRDefault="00E24EFF">
      <w:pPr>
        <w:spacing w:after="60"/>
        <w:ind w:left="360"/>
        <w:jc w:val="left"/>
        <w:outlineLvl w:val="1"/>
        <w:rPr>
          <w:rFonts w:ascii="Arial" w:hAnsi="Arial" w:cs="Arial"/>
          <w:noProof/>
          <w:color w:val="002060"/>
          <w:sz w:val="22"/>
        </w:rPr>
      </w:pPr>
      <w:r>
        <w:rPr>
          <w:rFonts w:ascii="Arial" w:hAnsi="Arial" w:cs="Arial"/>
          <w:noProof/>
          <w:color w:val="002060"/>
          <w:sz w:val="22"/>
        </w:rPr>
        <w:t xml:space="preserve">New </w:t>
      </w:r>
      <w:r>
        <w:rPr>
          <w:rFonts w:ascii="Arial" w:hAnsi="Arial" w:cs="Arial"/>
          <w:noProof/>
          <w:color w:val="002060"/>
          <w:sz w:val="22"/>
        </w:rPr>
        <w:t>own-initiative infringement cases</w:t>
      </w:r>
    </w:p>
    <w:p w:rsidR="00E201F7" w:rsidRDefault="00E24EFF">
      <w:pPr>
        <w:spacing w:before="120"/>
        <w:ind w:left="720"/>
        <w:rPr>
          <w:rFonts w:ascii="Arial" w:hAnsi="Arial" w:cs="Arial"/>
          <w:noProof/>
          <w:sz w:val="20"/>
        </w:rPr>
      </w:pPr>
      <w:r>
        <w:rPr>
          <w:rFonts w:ascii="Arial" w:hAnsi="Arial" w:cs="Arial"/>
          <w:noProof/>
          <w:sz w:val="20"/>
        </w:rPr>
        <w:t>In 2017 the Commission’s own-initiative infringement cases in this area concerned Member States’ incorrect application of the rules on the free movement of capital.</w:t>
      </w:r>
    </w:p>
    <w:p w:rsidR="00E201F7" w:rsidRDefault="00E24EFF">
      <w:pPr>
        <w:pStyle w:val="kop2"/>
        <w:rPr>
          <w:noProof/>
        </w:rPr>
      </w:pPr>
      <w:r>
        <w:rPr>
          <w:noProof/>
        </w:rPr>
        <w:t xml:space="preserve"> INFRINGEMENT CASES</w:t>
      </w:r>
    </w:p>
    <w:p w:rsidR="00E201F7" w:rsidRDefault="00E24EFF">
      <w:pPr>
        <w:numPr>
          <w:ilvl w:val="0"/>
          <w:numId w:val="117"/>
        </w:numPr>
        <w:spacing w:after="60"/>
        <w:jc w:val="left"/>
        <w:outlineLvl w:val="1"/>
        <w:rPr>
          <w:rFonts w:ascii="Arial" w:hAnsi="Arial" w:cs="Arial"/>
          <w:noProof/>
          <w:color w:val="002060"/>
          <w:sz w:val="22"/>
        </w:rPr>
      </w:pPr>
      <w:r>
        <w:rPr>
          <w:rFonts w:ascii="Arial" w:hAnsi="Arial" w:cs="Arial"/>
          <w:noProof/>
          <w:color w:val="002060"/>
          <w:sz w:val="22"/>
        </w:rPr>
        <w:t>Infringement cases open on 31 Decembe</w:t>
      </w:r>
      <w:r>
        <w:rPr>
          <w:rFonts w:ascii="Arial" w:hAnsi="Arial" w:cs="Arial"/>
          <w:noProof/>
          <w:color w:val="002060"/>
          <w:sz w:val="22"/>
        </w:rPr>
        <w:t>r (2016-2017)</w:t>
      </w:r>
    </w:p>
    <w:p w:rsidR="00E201F7" w:rsidRDefault="00E24EFF">
      <w:pPr>
        <w:spacing w:before="120"/>
        <w:ind w:left="720"/>
        <w:rPr>
          <w:rFonts w:ascii="Arial" w:hAnsi="Arial" w:cs="Arial"/>
          <w:noProof/>
          <w:sz w:val="20"/>
        </w:rPr>
      </w:pPr>
      <w:r>
        <w:rPr>
          <w:rFonts w:ascii="Arial" w:hAnsi="Arial" w:cs="Arial"/>
          <w:noProof/>
          <w:sz w:val="20"/>
        </w:rPr>
        <w:t xml:space="preserve">There were 226 infringement cases open on 31 December </w:t>
      </w:r>
      <w:smartTag w:uri="urn:schemas-microsoft-com:office:smarttags" w:element="metricconverter">
        <w:smartTagPr>
          <w:attr w:name="ProductID" w:val="2017 in"/>
        </w:smartTagPr>
        <w:r>
          <w:rPr>
            <w:rFonts w:ascii="Arial" w:hAnsi="Arial" w:cs="Arial"/>
            <w:noProof/>
            <w:sz w:val="20"/>
          </w:rPr>
          <w:t>2017 in</w:t>
        </w:r>
      </w:smartTag>
      <w:r>
        <w:rPr>
          <w:rFonts w:ascii="Arial" w:hAnsi="Arial" w:cs="Arial"/>
          <w:noProof/>
          <w:sz w:val="20"/>
        </w:rPr>
        <w:t xml:space="preserve"> this area.</w:t>
      </w:r>
    </w:p>
    <w:p w:rsidR="00E201F7" w:rsidRDefault="00E24EFF">
      <w:pPr>
        <w:numPr>
          <w:ilvl w:val="0"/>
          <w:numId w:val="117"/>
        </w:numPr>
        <w:spacing w:after="60"/>
        <w:jc w:val="left"/>
        <w:outlineLvl w:val="1"/>
        <w:rPr>
          <w:rFonts w:ascii="Arial" w:hAnsi="Arial" w:cs="Arial"/>
          <w:noProof/>
          <w:color w:val="002060"/>
          <w:sz w:val="22"/>
        </w:rPr>
      </w:pPr>
      <w:r>
        <w:rPr>
          <w:rFonts w:ascii="Arial" w:hAnsi="Arial" w:cs="Arial"/>
          <w:noProof/>
          <w:color w:val="002060"/>
          <w:sz w:val="22"/>
        </w:rPr>
        <w:t>Infringement cases open on 31 December 2017: main policy sectors</w:t>
      </w:r>
    </w:p>
    <w:p w:rsidR="00E201F7" w:rsidRDefault="00E24EFF">
      <w:pPr>
        <w:ind w:left="720"/>
        <w:rPr>
          <w:rFonts w:ascii="Verdana" w:hAnsi="Verdana"/>
          <w:noProof/>
          <w:sz w:val="20"/>
        </w:rPr>
      </w:pPr>
      <w:r>
        <w:rPr>
          <w:rFonts w:ascii="Verdana" w:hAnsi="Verdana"/>
          <w:noProof/>
          <w:sz w:val="20"/>
        </w:rPr>
        <w:drawing>
          <wp:inline distT="0" distB="0" distL="0" distR="0" wp14:anchorId="3FFC3F5E" wp14:editId="4B17DFBA">
            <wp:extent cx="4602480" cy="2804160"/>
            <wp:effectExtent l="0" t="0" r="26670" b="15240"/>
            <wp:docPr id="309"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E201F7" w:rsidRDefault="00E24EFF">
      <w:pPr>
        <w:spacing w:after="0"/>
        <w:jc w:val="left"/>
        <w:rPr>
          <w:rFonts w:ascii="Verdana" w:hAnsi="Verdana"/>
          <w:noProof/>
          <w:sz w:val="20"/>
        </w:rPr>
      </w:pPr>
      <w:r>
        <w:rPr>
          <w:rFonts w:ascii="Verdana" w:hAnsi="Verdana"/>
          <w:noProof/>
          <w:sz w:val="20"/>
        </w:rPr>
        <w:br w:type="page"/>
      </w:r>
    </w:p>
    <w:p w:rsidR="00E201F7" w:rsidRDefault="00E24EFF">
      <w:pPr>
        <w:numPr>
          <w:ilvl w:val="0"/>
          <w:numId w:val="117"/>
        </w:numPr>
        <w:spacing w:after="60"/>
        <w:ind w:left="714" w:hanging="357"/>
        <w:jc w:val="left"/>
        <w:outlineLvl w:val="1"/>
        <w:rPr>
          <w:rFonts w:ascii="Arial" w:hAnsi="Arial" w:cs="Arial"/>
          <w:noProof/>
          <w:color w:val="002060"/>
          <w:sz w:val="22"/>
        </w:rPr>
      </w:pPr>
      <w:r>
        <w:rPr>
          <w:rFonts w:ascii="Arial" w:hAnsi="Arial" w:cs="Arial"/>
          <w:noProof/>
          <w:color w:val="002060"/>
          <w:sz w:val="22"/>
        </w:rPr>
        <w:t>New infringement cases opened in 2017: main policy sectors</w:t>
      </w:r>
    </w:p>
    <w:p w:rsidR="00E201F7" w:rsidRDefault="00E24EFF">
      <w:pPr>
        <w:ind w:left="720"/>
        <w:rPr>
          <w:noProof/>
          <w:color w:val="002060"/>
        </w:rPr>
      </w:pPr>
      <w:r>
        <w:rPr>
          <w:rFonts w:ascii="Verdana" w:hAnsi="Verdana"/>
          <w:noProof/>
          <w:sz w:val="20"/>
        </w:rPr>
        <w:drawing>
          <wp:inline distT="0" distB="0" distL="0" distR="0" wp14:anchorId="6DEEAF98" wp14:editId="78D34FEE">
            <wp:extent cx="4533900" cy="2468880"/>
            <wp:effectExtent l="0" t="0" r="0" b="7620"/>
            <wp:docPr id="308" name="Objec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E201F7" w:rsidRDefault="00E24EFF">
      <w:pPr>
        <w:numPr>
          <w:ilvl w:val="0"/>
          <w:numId w:val="117"/>
        </w:numPr>
        <w:spacing w:after="60"/>
        <w:jc w:val="left"/>
        <w:outlineLvl w:val="1"/>
        <w:rPr>
          <w:rFonts w:ascii="Arial" w:hAnsi="Arial" w:cs="Arial"/>
          <w:noProof/>
          <w:color w:val="002060"/>
          <w:sz w:val="22"/>
        </w:rPr>
      </w:pPr>
      <w:r>
        <w:rPr>
          <w:rFonts w:ascii="Arial" w:hAnsi="Arial" w:cs="Arial"/>
          <w:noProof/>
          <w:color w:val="002060"/>
          <w:sz w:val="22"/>
        </w:rPr>
        <w:t>Key infringement cases and referrals to</w:t>
      </w:r>
      <w:r>
        <w:rPr>
          <w:rFonts w:ascii="Arial" w:hAnsi="Arial" w:cs="Arial"/>
          <w:noProof/>
          <w:color w:val="002060"/>
          <w:sz w:val="22"/>
        </w:rPr>
        <w:t xml:space="preserve"> the Court</w:t>
      </w:r>
    </w:p>
    <w:p w:rsidR="00E201F7" w:rsidRDefault="00E24EFF">
      <w:pPr>
        <w:pStyle w:val="Lijstje"/>
        <w:numPr>
          <w:ilvl w:val="0"/>
          <w:numId w:val="118"/>
        </w:numPr>
        <w:spacing w:after="120"/>
        <w:ind w:left="1200" w:hanging="360"/>
        <w:rPr>
          <w:rFonts w:ascii="Arial" w:hAnsi="Arial" w:cs="Arial"/>
          <w:noProof/>
          <w:szCs w:val="20"/>
          <w:lang w:val="en-GB"/>
        </w:rPr>
      </w:pPr>
      <w:r>
        <w:rPr>
          <w:rFonts w:ascii="Arial" w:hAnsi="Arial" w:cs="Arial"/>
          <w:noProof/>
          <w:szCs w:val="20"/>
          <w:lang w:val="en-GB"/>
        </w:rPr>
        <w:t>The Commission opened 84 new infringement cases in 2017. These, and other major ongoing infringement cases, include the following:</w:t>
      </w:r>
    </w:p>
    <w:p w:rsidR="00E201F7" w:rsidRDefault="00E24EFF">
      <w:pPr>
        <w:pStyle w:val="Lijstje2"/>
        <w:numPr>
          <w:ilvl w:val="0"/>
          <w:numId w:val="71"/>
        </w:numPr>
        <w:tabs>
          <w:tab w:val="left" w:pos="2127"/>
        </w:tabs>
        <w:rPr>
          <w:rFonts w:ascii="Arial" w:hAnsi="Arial" w:cs="Arial"/>
          <w:noProof/>
          <w:lang w:val="en-GB"/>
        </w:rPr>
      </w:pPr>
      <w:r>
        <w:rPr>
          <w:rFonts w:ascii="Arial" w:hAnsi="Arial" w:cs="Arial"/>
          <w:i/>
          <w:noProof/>
          <w:lang w:val="en-GB"/>
        </w:rPr>
        <w:t>Belgium, Bulgaria, Estonia, Greece, Spain, France, Croatia, Latvia, Lithuania, Luxembourg, Malta, Netherlands, Pol</w:t>
      </w:r>
      <w:r>
        <w:rPr>
          <w:rFonts w:ascii="Arial" w:hAnsi="Arial" w:cs="Arial"/>
          <w:i/>
          <w:noProof/>
          <w:lang w:val="en-GB"/>
        </w:rPr>
        <w:t>and, Portugal, Romania, Slovenia, Slovakia, Finland and Sweden</w:t>
      </w:r>
      <w:r>
        <w:rPr>
          <w:rFonts w:ascii="Arial" w:hAnsi="Arial" w:cs="Arial"/>
          <w:noProof/>
          <w:lang w:val="en-GB"/>
        </w:rPr>
        <w:t>: late transposition of the Markets in Financial Instruments Directive (MiFID II)</w:t>
      </w:r>
      <w:r>
        <w:rPr>
          <w:rStyle w:val="FootnoteReference"/>
          <w:rFonts w:ascii="Arial" w:hAnsi="Arial" w:cs="Arial"/>
          <w:noProof/>
          <w:lang w:val="en-GB"/>
        </w:rPr>
        <w:footnoteReference w:id="180"/>
      </w:r>
      <w:r>
        <w:rPr>
          <w:rFonts w:ascii="Arial" w:hAnsi="Arial" w:cs="Arial"/>
          <w:noProof/>
          <w:lang w:val="en-GB"/>
        </w:rPr>
        <w:t>;</w:t>
      </w:r>
    </w:p>
    <w:p w:rsidR="00E201F7" w:rsidRDefault="00E24EFF">
      <w:pPr>
        <w:pStyle w:val="Lijstje2"/>
        <w:numPr>
          <w:ilvl w:val="0"/>
          <w:numId w:val="71"/>
        </w:numPr>
        <w:tabs>
          <w:tab w:val="left" w:pos="2127"/>
        </w:tabs>
        <w:rPr>
          <w:rFonts w:ascii="Arial" w:hAnsi="Arial" w:cs="Arial"/>
          <w:noProof/>
          <w:lang w:val="en-GB"/>
        </w:rPr>
      </w:pPr>
      <w:r>
        <w:rPr>
          <w:rFonts w:ascii="Arial" w:hAnsi="Arial" w:cs="Arial"/>
          <w:i/>
          <w:noProof/>
          <w:lang w:val="en-GB"/>
        </w:rPr>
        <w:t>Belgium, Spain, Croatia, Cyprus, Luxembourg, Netherlands, Portugal and Romania</w:t>
      </w:r>
      <w:r>
        <w:rPr>
          <w:rFonts w:ascii="Arial" w:hAnsi="Arial" w:cs="Arial"/>
          <w:noProof/>
          <w:lang w:val="en-GB"/>
        </w:rPr>
        <w:t xml:space="preserve">: late transposition of the </w:t>
      </w:r>
      <w:r>
        <w:rPr>
          <w:rFonts w:ascii="Arial" w:hAnsi="Arial" w:cs="Arial"/>
          <w:noProof/>
          <w:lang w:val="en-GB"/>
        </w:rPr>
        <w:t>Payment Accounts Directive</w:t>
      </w:r>
      <w:r>
        <w:rPr>
          <w:rStyle w:val="FootnoteReference"/>
          <w:rFonts w:ascii="Arial" w:hAnsi="Arial" w:cs="Arial"/>
          <w:noProof/>
          <w:lang w:val="en-GB"/>
        </w:rPr>
        <w:footnoteReference w:id="181"/>
      </w:r>
      <w:r>
        <w:rPr>
          <w:rFonts w:ascii="Arial" w:hAnsi="Arial" w:cs="Arial"/>
          <w:noProof/>
          <w:lang w:val="en-GB"/>
        </w:rPr>
        <w:t>;</w:t>
      </w:r>
    </w:p>
    <w:p w:rsidR="00E201F7" w:rsidRDefault="00E24EFF">
      <w:pPr>
        <w:pStyle w:val="Lijstje2"/>
        <w:numPr>
          <w:ilvl w:val="0"/>
          <w:numId w:val="71"/>
        </w:numPr>
        <w:tabs>
          <w:tab w:val="left" w:pos="2127"/>
        </w:tabs>
        <w:rPr>
          <w:rFonts w:ascii="Arial" w:hAnsi="Arial" w:cs="Arial"/>
          <w:noProof/>
          <w:lang w:val="en-GB"/>
        </w:rPr>
      </w:pPr>
      <w:r>
        <w:rPr>
          <w:rFonts w:ascii="Arial" w:hAnsi="Arial" w:cs="Arial"/>
          <w:i/>
          <w:noProof/>
          <w:lang w:val="en-GB"/>
        </w:rPr>
        <w:t>Bulgaria, Latvia, Lithuania Hungary and Slovakia</w:t>
      </w:r>
      <w:r>
        <w:rPr>
          <w:rFonts w:ascii="Arial" w:hAnsi="Arial" w:cs="Arial"/>
          <w:noProof/>
          <w:lang w:val="en-GB"/>
        </w:rPr>
        <w:t>: restrictions on investors acquiring agricultural land may violate the free movement of capital and freedom of establishment;</w:t>
      </w:r>
    </w:p>
    <w:p w:rsidR="00E201F7" w:rsidRDefault="00E24EFF">
      <w:pPr>
        <w:pStyle w:val="Lijstje2"/>
        <w:numPr>
          <w:ilvl w:val="0"/>
          <w:numId w:val="71"/>
        </w:numPr>
        <w:tabs>
          <w:tab w:val="left" w:pos="2127"/>
        </w:tabs>
        <w:rPr>
          <w:rFonts w:ascii="Arial" w:hAnsi="Arial" w:cs="Arial"/>
          <w:noProof/>
          <w:lang w:val="en-GB"/>
        </w:rPr>
      </w:pPr>
      <w:r>
        <w:rPr>
          <w:rFonts w:ascii="Arial" w:hAnsi="Arial" w:cs="Arial"/>
          <w:i/>
          <w:noProof/>
          <w:lang w:val="en-GB"/>
        </w:rPr>
        <w:t xml:space="preserve">Estonia, </w:t>
      </w:r>
      <w:smartTag w:uri="urn:schemas-microsoft-com:office:smarttags" w:element="country-region">
        <w:r>
          <w:rPr>
            <w:rFonts w:ascii="Arial" w:hAnsi="Arial" w:cs="Arial"/>
            <w:i/>
            <w:noProof/>
            <w:lang w:val="en-GB"/>
          </w:rPr>
          <w:t>Cyprus</w:t>
        </w:r>
      </w:smartTag>
      <w:r>
        <w:rPr>
          <w:rFonts w:ascii="Arial" w:hAnsi="Arial" w:cs="Arial"/>
          <w:i/>
          <w:noProof/>
          <w:lang w:val="en-GB"/>
        </w:rPr>
        <w:t xml:space="preserve">, Poland, </w:t>
      </w:r>
      <w:smartTag w:uri="urn:schemas-microsoft-com:office:smarttags" w:element="country-region">
        <w:r>
          <w:rPr>
            <w:rFonts w:ascii="Arial" w:hAnsi="Arial" w:cs="Arial"/>
            <w:i/>
            <w:noProof/>
            <w:lang w:val="en-GB"/>
          </w:rPr>
          <w:t>Romania</w:t>
        </w:r>
      </w:smartTag>
      <w:r>
        <w:rPr>
          <w:rFonts w:ascii="Arial" w:hAnsi="Arial" w:cs="Arial"/>
          <w:i/>
          <w:noProof/>
          <w:lang w:val="en-GB"/>
        </w:rPr>
        <w:t xml:space="preserve"> and </w:t>
      </w:r>
      <w:smartTag w:uri="urn:schemas-microsoft-com:office:smarttags" w:element="country-region">
        <w:smartTag w:uri="urn:schemas-microsoft-com:office:smarttags" w:element="place">
          <w:r>
            <w:rPr>
              <w:rFonts w:ascii="Arial" w:hAnsi="Arial" w:cs="Arial"/>
              <w:i/>
              <w:noProof/>
              <w:lang w:val="en-GB"/>
            </w:rPr>
            <w:t>Slovenia</w:t>
          </w:r>
        </w:smartTag>
      </w:smartTag>
      <w:r>
        <w:rPr>
          <w:rFonts w:ascii="Arial" w:hAnsi="Arial" w:cs="Arial"/>
          <w:noProof/>
          <w:lang w:val="en-GB"/>
        </w:rPr>
        <w:t xml:space="preserve">: late </w:t>
      </w:r>
      <w:r>
        <w:rPr>
          <w:rFonts w:ascii="Arial" w:hAnsi="Arial" w:cs="Arial"/>
          <w:noProof/>
          <w:lang w:val="en-GB"/>
        </w:rPr>
        <w:t>transposition of the Audit Directive</w:t>
      </w:r>
      <w:r>
        <w:rPr>
          <w:rStyle w:val="FootnoteReference"/>
          <w:rFonts w:ascii="Arial" w:hAnsi="Arial" w:cs="Arial"/>
          <w:noProof/>
          <w:lang w:val="en-GB"/>
        </w:rPr>
        <w:footnoteReference w:id="182"/>
      </w:r>
      <w:r>
        <w:rPr>
          <w:rFonts w:ascii="Arial" w:hAnsi="Arial" w:cs="Arial"/>
          <w:noProof/>
          <w:lang w:val="en-GB"/>
        </w:rPr>
        <w:t>;</w:t>
      </w:r>
    </w:p>
    <w:p w:rsidR="00E201F7" w:rsidRDefault="00E24EFF">
      <w:pPr>
        <w:pStyle w:val="Lijstje2"/>
        <w:numPr>
          <w:ilvl w:val="0"/>
          <w:numId w:val="71"/>
        </w:numPr>
        <w:tabs>
          <w:tab w:val="left" w:pos="2127"/>
        </w:tabs>
        <w:rPr>
          <w:rFonts w:ascii="Arial" w:hAnsi="Arial" w:cs="Arial"/>
          <w:noProof/>
          <w:lang w:val="en-GB"/>
        </w:rPr>
      </w:pPr>
      <w:r>
        <w:rPr>
          <w:rFonts w:ascii="Arial" w:hAnsi="Arial" w:cs="Arial"/>
          <w:i/>
          <w:noProof/>
          <w:lang w:val="en-GB"/>
        </w:rPr>
        <w:t>Ireland, Spain and Cyprus</w:t>
      </w:r>
      <w:r>
        <w:rPr>
          <w:rFonts w:ascii="Arial" w:hAnsi="Arial" w:cs="Arial"/>
          <w:noProof/>
          <w:lang w:val="en-GB"/>
        </w:rPr>
        <w:t>: late transposition of the Directive on disclosure of non-financial and diversity information by certain large undertakings</w:t>
      </w:r>
      <w:r>
        <w:rPr>
          <w:rStyle w:val="FootnoteReference"/>
          <w:rFonts w:ascii="Arial" w:hAnsi="Arial" w:cs="Arial"/>
          <w:noProof/>
          <w:lang w:val="en-GB"/>
        </w:rPr>
        <w:footnoteReference w:id="183"/>
      </w:r>
      <w:r>
        <w:rPr>
          <w:rFonts w:ascii="Arial" w:hAnsi="Arial" w:cs="Arial"/>
          <w:noProof/>
          <w:lang w:val="en-GB"/>
        </w:rPr>
        <w:t>;</w:t>
      </w:r>
    </w:p>
    <w:p w:rsidR="00E201F7" w:rsidRDefault="00E24EFF">
      <w:pPr>
        <w:pStyle w:val="Lijstje2"/>
        <w:numPr>
          <w:ilvl w:val="0"/>
          <w:numId w:val="71"/>
        </w:numPr>
        <w:tabs>
          <w:tab w:val="left" w:pos="2127"/>
        </w:tabs>
        <w:rPr>
          <w:rFonts w:ascii="Arial" w:hAnsi="Arial" w:cs="Arial"/>
          <w:noProof/>
          <w:lang w:val="en-GB"/>
        </w:rPr>
      </w:pPr>
      <w:r>
        <w:rPr>
          <w:rFonts w:ascii="Arial" w:hAnsi="Arial" w:cs="Arial"/>
          <w:i/>
          <w:noProof/>
          <w:lang w:val="en-GB"/>
        </w:rPr>
        <w:t>Croatia</w:t>
      </w:r>
      <w:r>
        <w:rPr>
          <w:rFonts w:ascii="Arial" w:hAnsi="Arial" w:cs="Arial"/>
          <w:noProof/>
          <w:lang w:val="en-GB"/>
        </w:rPr>
        <w:t xml:space="preserve">: following the privatisation of the main Croatian energy </w:t>
      </w:r>
      <w:r>
        <w:rPr>
          <w:rFonts w:ascii="Arial" w:hAnsi="Arial" w:cs="Arial"/>
          <w:noProof/>
          <w:lang w:val="en-GB"/>
        </w:rPr>
        <w:t>company, INA (Industrija Nafte d.d.), the Croatian state reserved certain special powers which may restrict the free movement of capital and freedom of establishment under the TFEU.</w:t>
      </w:r>
    </w:p>
    <w:p w:rsidR="00E201F7" w:rsidRDefault="00E24EFF">
      <w:pPr>
        <w:pStyle w:val="Lijstje"/>
        <w:numPr>
          <w:ilvl w:val="0"/>
          <w:numId w:val="118"/>
        </w:numPr>
        <w:spacing w:after="120"/>
        <w:ind w:left="1200" w:hanging="360"/>
        <w:rPr>
          <w:rFonts w:ascii="Arial" w:hAnsi="Arial" w:cs="Arial"/>
          <w:noProof/>
          <w:szCs w:val="20"/>
          <w:lang w:val="en-GB"/>
        </w:rPr>
      </w:pPr>
      <w:r>
        <w:rPr>
          <w:rFonts w:ascii="Arial" w:hAnsi="Arial" w:cs="Arial"/>
          <w:noProof/>
          <w:szCs w:val="20"/>
          <w:lang w:val="en-GB"/>
        </w:rPr>
        <w:t>The Commission referred two cases to the Court under Article 258 TFEU. The</w:t>
      </w:r>
      <w:r>
        <w:rPr>
          <w:rFonts w:ascii="Arial" w:hAnsi="Arial" w:cs="Arial"/>
          <w:noProof/>
          <w:szCs w:val="20"/>
          <w:lang w:val="en-GB"/>
        </w:rPr>
        <w:t xml:space="preserve">y concerned the following. </w:t>
      </w:r>
    </w:p>
    <w:p w:rsidR="00E201F7" w:rsidRDefault="00E24EFF">
      <w:pPr>
        <w:pStyle w:val="Lijstje"/>
        <w:numPr>
          <w:ilvl w:val="0"/>
          <w:numId w:val="71"/>
        </w:numPr>
        <w:spacing w:after="120"/>
        <w:rPr>
          <w:rFonts w:ascii="Arial" w:hAnsi="Arial" w:cs="Arial"/>
          <w:noProof/>
          <w:lang w:val="en-GB"/>
        </w:rPr>
      </w:pPr>
      <w:r>
        <w:rPr>
          <w:rFonts w:ascii="Arial" w:hAnsi="Arial" w:cs="Arial"/>
          <w:i/>
          <w:noProof/>
          <w:lang w:val="en-GB"/>
        </w:rPr>
        <w:t>Spain</w:t>
      </w:r>
      <w:r>
        <w:rPr>
          <w:rFonts w:ascii="Arial" w:hAnsi="Arial" w:cs="Arial"/>
          <w:noProof/>
          <w:lang w:val="en-GB"/>
        </w:rPr>
        <w:t>: Late transposition of the ‘Whistle-blowing’ Directive</w:t>
      </w:r>
      <w:r>
        <w:rPr>
          <w:rStyle w:val="FootnoteReference"/>
          <w:rFonts w:ascii="Arial" w:hAnsi="Arial" w:cs="Arial"/>
          <w:noProof/>
          <w:lang w:val="en-GB"/>
        </w:rPr>
        <w:footnoteReference w:id="184"/>
      </w:r>
      <w:r>
        <w:rPr>
          <w:rFonts w:ascii="Arial" w:hAnsi="Arial" w:cs="Arial"/>
          <w:noProof/>
          <w:lang w:val="en-GB"/>
        </w:rPr>
        <w:t>.</w:t>
      </w:r>
    </w:p>
    <w:p w:rsidR="00E201F7" w:rsidRDefault="00E24EFF">
      <w:pPr>
        <w:pStyle w:val="Lijstje"/>
        <w:numPr>
          <w:ilvl w:val="0"/>
          <w:numId w:val="71"/>
        </w:numPr>
        <w:spacing w:after="120"/>
        <w:rPr>
          <w:rFonts w:ascii="Arial" w:hAnsi="Arial" w:cs="Arial"/>
          <w:noProof/>
          <w:lang w:val="en-GB"/>
        </w:rPr>
      </w:pPr>
      <w:r>
        <w:rPr>
          <w:rFonts w:ascii="Arial" w:hAnsi="Arial" w:cs="Arial"/>
          <w:i/>
          <w:noProof/>
          <w:lang w:val="en-GB"/>
        </w:rPr>
        <w:t>Hungary</w:t>
      </w:r>
      <w:r>
        <w:rPr>
          <w:rFonts w:ascii="Arial" w:hAnsi="Arial" w:cs="Arial"/>
          <w:noProof/>
          <w:lang w:val="en-GB"/>
        </w:rPr>
        <w:t xml:space="preserve">: The termination of ‘usufruct rights’ — contracts giving the right to use a property and to profit from it — held by investors in Hungary, especially on </w:t>
      </w:r>
      <w:r>
        <w:rPr>
          <w:rFonts w:ascii="Arial" w:hAnsi="Arial" w:cs="Arial"/>
          <w:noProof/>
          <w:lang w:val="en-GB"/>
        </w:rPr>
        <w:t>agricultural land. The measure deprived both foreign and domestic investors of their acquired rights and of the value of their investments without providing them with compensation. The law cut the original 20-year transitional period down to four and a hal</w:t>
      </w:r>
      <w:r>
        <w:rPr>
          <w:rFonts w:ascii="Arial" w:hAnsi="Arial" w:cs="Arial"/>
          <w:noProof/>
          <w:lang w:val="en-GB"/>
        </w:rPr>
        <w:t>f months, which is too short to give investors the opportunity to adapt to the new legal environment and deprives them of their acquired rights. The measure may fail to ensure legal certainty and respect of the right to property (protected by the EU Charte</w:t>
      </w:r>
      <w:r>
        <w:rPr>
          <w:rFonts w:ascii="Arial" w:hAnsi="Arial" w:cs="Arial"/>
          <w:noProof/>
          <w:lang w:val="en-GB"/>
        </w:rPr>
        <w:t>r of Fundamental Rights). It may also violate the principles of free movement of capital and freedom of establishment</w:t>
      </w:r>
      <w:r>
        <w:rPr>
          <w:rStyle w:val="FootnoteReference"/>
          <w:rFonts w:ascii="Arial" w:hAnsi="Arial" w:cs="Arial"/>
          <w:noProof/>
          <w:lang w:val="en-GB"/>
        </w:rPr>
        <w:footnoteReference w:id="185"/>
      </w:r>
      <w:r>
        <w:rPr>
          <w:rFonts w:ascii="Arial" w:hAnsi="Arial" w:cs="Arial"/>
          <w:noProof/>
          <w:lang w:val="en-GB"/>
        </w:rPr>
        <w:t>.</w:t>
      </w:r>
    </w:p>
    <w:p w:rsidR="00E201F7" w:rsidRDefault="00E24EFF">
      <w:pPr>
        <w:pStyle w:val="Lijstje"/>
        <w:numPr>
          <w:ilvl w:val="0"/>
          <w:numId w:val="118"/>
        </w:numPr>
        <w:spacing w:after="120"/>
        <w:ind w:left="1200" w:hanging="360"/>
        <w:rPr>
          <w:rFonts w:ascii="Arial" w:hAnsi="Arial" w:cs="Arial"/>
          <w:noProof/>
          <w:szCs w:val="20"/>
          <w:lang w:val="en-GB"/>
        </w:rPr>
      </w:pPr>
      <w:r>
        <w:rPr>
          <w:rFonts w:ascii="Arial" w:hAnsi="Arial" w:cs="Arial"/>
          <w:noProof/>
          <w:szCs w:val="20"/>
          <w:lang w:val="en-GB"/>
        </w:rPr>
        <w:t>The Commission did not refer any cases to the Court under Article 260(2) TFEU.</w:t>
      </w:r>
    </w:p>
    <w:p w:rsidR="00E201F7" w:rsidRDefault="00E24EFF">
      <w:pPr>
        <w:pStyle w:val="kop2"/>
        <w:rPr>
          <w:noProof/>
        </w:rPr>
      </w:pPr>
      <w:r>
        <w:rPr>
          <w:noProof/>
        </w:rPr>
        <w:t>TRANSPOSITION OF DIRECTIVES</w:t>
      </w:r>
    </w:p>
    <w:p w:rsidR="00E201F7" w:rsidRDefault="00E24EFF">
      <w:pPr>
        <w:numPr>
          <w:ilvl w:val="0"/>
          <w:numId w:val="35"/>
        </w:numPr>
        <w:spacing w:after="60"/>
        <w:jc w:val="left"/>
        <w:outlineLvl w:val="1"/>
        <w:rPr>
          <w:rFonts w:ascii="Arial" w:hAnsi="Arial" w:cs="Arial"/>
          <w:noProof/>
          <w:color w:val="002060"/>
          <w:sz w:val="22"/>
        </w:rPr>
      </w:pPr>
      <w:r>
        <w:rPr>
          <w:rFonts w:ascii="Arial" w:hAnsi="Arial" w:cs="Arial"/>
          <w:noProof/>
          <w:color w:val="002060"/>
          <w:sz w:val="22"/>
        </w:rPr>
        <w:t>New late transposition infrin</w:t>
      </w:r>
      <w:r>
        <w:rPr>
          <w:rFonts w:ascii="Arial" w:hAnsi="Arial" w:cs="Arial"/>
          <w:noProof/>
          <w:color w:val="002060"/>
          <w:sz w:val="22"/>
        </w:rPr>
        <w:t>gement cases (2016-2017)</w:t>
      </w:r>
    </w:p>
    <w:p w:rsidR="00E201F7" w:rsidRDefault="00E24EFF">
      <w:pPr>
        <w:spacing w:before="120"/>
        <w:ind w:left="720"/>
        <w:rPr>
          <w:rFonts w:ascii="Arial" w:hAnsi="Arial" w:cs="Arial"/>
          <w:noProof/>
          <w:sz w:val="20"/>
        </w:rPr>
      </w:pPr>
      <w:r>
        <w:rPr>
          <w:rFonts w:ascii="Arial" w:hAnsi="Arial" w:cs="Arial"/>
          <w:noProof/>
          <w:sz w:val="20"/>
        </w:rPr>
        <w:t>The Commission opened 84 new late transposition infringement cases in 2017.</w:t>
      </w:r>
    </w:p>
    <w:p w:rsidR="00E201F7" w:rsidRDefault="00E24EFF">
      <w:pPr>
        <w:numPr>
          <w:ilvl w:val="0"/>
          <w:numId w:val="35"/>
        </w:numPr>
        <w:spacing w:after="60"/>
        <w:jc w:val="left"/>
        <w:outlineLvl w:val="1"/>
        <w:rPr>
          <w:rFonts w:ascii="Arial" w:hAnsi="Arial" w:cs="Arial"/>
          <w:noProof/>
          <w:color w:val="002060"/>
          <w:sz w:val="22"/>
        </w:rPr>
      </w:pPr>
      <w:r>
        <w:rPr>
          <w:rFonts w:ascii="Arial" w:hAnsi="Arial" w:cs="Arial"/>
          <w:noProof/>
          <w:color w:val="002060"/>
          <w:sz w:val="22"/>
        </w:rPr>
        <w:t>New late transposition infringement cases opened in 2017: main policy sectors</w:t>
      </w:r>
    </w:p>
    <w:p w:rsidR="00E201F7" w:rsidRDefault="00E24EFF">
      <w:pPr>
        <w:ind w:left="720"/>
        <w:rPr>
          <w:rFonts w:ascii="Verdana" w:hAnsi="Verdana"/>
          <w:noProof/>
          <w:sz w:val="20"/>
        </w:rPr>
      </w:pPr>
      <w:r>
        <w:rPr>
          <w:rFonts w:ascii="Verdana" w:hAnsi="Verdana"/>
          <w:noProof/>
          <w:sz w:val="20"/>
        </w:rPr>
        <w:drawing>
          <wp:inline distT="0" distB="0" distL="0" distR="0" wp14:anchorId="5DAE4516" wp14:editId="019D3EED">
            <wp:extent cx="4297680" cy="2336800"/>
            <wp:effectExtent l="0" t="0" r="26670" b="25400"/>
            <wp:docPr id="306" name="Objec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E201F7" w:rsidRDefault="00E24EFF">
      <w:pPr>
        <w:numPr>
          <w:ilvl w:val="0"/>
          <w:numId w:val="35"/>
        </w:numPr>
        <w:spacing w:before="240"/>
        <w:ind w:left="714" w:hanging="357"/>
        <w:jc w:val="left"/>
        <w:outlineLvl w:val="1"/>
        <w:rPr>
          <w:rFonts w:ascii="Arial" w:hAnsi="Arial" w:cs="Arial"/>
          <w:noProof/>
          <w:color w:val="002060"/>
          <w:sz w:val="22"/>
        </w:rPr>
      </w:pPr>
      <w:r>
        <w:rPr>
          <w:rFonts w:ascii="Arial" w:hAnsi="Arial" w:cs="Arial"/>
          <w:noProof/>
          <w:color w:val="002060"/>
          <w:sz w:val="22"/>
        </w:rPr>
        <w:t>Key infringement cases and referrals to the Court</w:t>
      </w:r>
    </w:p>
    <w:p w:rsidR="00E201F7" w:rsidRDefault="00E24EFF">
      <w:pPr>
        <w:numPr>
          <w:ilvl w:val="0"/>
          <w:numId w:val="64"/>
        </w:numPr>
        <w:spacing w:after="120"/>
        <w:ind w:left="1276" w:hanging="425"/>
        <w:rPr>
          <w:rFonts w:ascii="Arial" w:eastAsia="Calibri" w:hAnsi="Arial" w:cs="Arial"/>
          <w:noProof/>
          <w:kern w:val="20"/>
          <w:sz w:val="20"/>
        </w:rPr>
      </w:pPr>
      <w:r>
        <w:rPr>
          <w:rFonts w:ascii="Arial" w:eastAsia="Calibri" w:hAnsi="Arial" w:cs="Arial"/>
          <w:noProof/>
          <w:kern w:val="20"/>
          <w:sz w:val="20"/>
        </w:rPr>
        <w:t xml:space="preserve">The Commission opened 84 </w:t>
      </w:r>
      <w:r>
        <w:rPr>
          <w:rFonts w:ascii="Arial" w:eastAsia="Calibri" w:hAnsi="Arial" w:cs="Arial"/>
          <w:noProof/>
          <w:kern w:val="20"/>
          <w:sz w:val="20"/>
        </w:rPr>
        <w:t>cases for late transposition in 2017. Most concern the:</w:t>
      </w:r>
    </w:p>
    <w:p w:rsidR="00E201F7" w:rsidRDefault="00E24EFF">
      <w:pPr>
        <w:pStyle w:val="ListParagraph"/>
        <w:numPr>
          <w:ilvl w:val="0"/>
          <w:numId w:val="69"/>
        </w:numPr>
        <w:spacing w:line="276" w:lineRule="auto"/>
        <w:ind w:left="1843" w:hanging="425"/>
        <w:rPr>
          <w:rFonts w:ascii="Arial" w:eastAsia="Calibri" w:hAnsi="Arial" w:cs="Arial"/>
          <w:noProof/>
          <w:kern w:val="20"/>
          <w:sz w:val="20"/>
        </w:rPr>
      </w:pPr>
      <w:r>
        <w:rPr>
          <w:rFonts w:ascii="Arial" w:eastAsia="Calibri" w:hAnsi="Arial" w:cs="Arial"/>
          <w:noProof/>
          <w:kern w:val="20"/>
          <w:sz w:val="20"/>
        </w:rPr>
        <w:t>Markets in Financial Instruments Directive (MiFID II) (19 Member States)</w:t>
      </w:r>
      <w:r>
        <w:rPr>
          <w:rStyle w:val="FootnoteReference"/>
          <w:rFonts w:ascii="Arial" w:eastAsia="Calibri" w:hAnsi="Arial" w:cs="Arial"/>
          <w:noProof/>
          <w:kern w:val="20"/>
          <w:sz w:val="20"/>
        </w:rPr>
        <w:footnoteReference w:id="186"/>
      </w:r>
      <w:r>
        <w:rPr>
          <w:rFonts w:ascii="Arial" w:eastAsia="Calibri" w:hAnsi="Arial" w:cs="Arial"/>
          <w:noProof/>
          <w:kern w:val="20"/>
          <w:sz w:val="20"/>
        </w:rPr>
        <w:t>;</w:t>
      </w:r>
    </w:p>
    <w:p w:rsidR="00E201F7" w:rsidRDefault="00E24EFF">
      <w:pPr>
        <w:pStyle w:val="ListParagraph"/>
        <w:numPr>
          <w:ilvl w:val="0"/>
          <w:numId w:val="69"/>
        </w:numPr>
        <w:spacing w:line="276" w:lineRule="auto"/>
        <w:ind w:left="1843" w:hanging="425"/>
        <w:rPr>
          <w:rFonts w:ascii="Arial" w:eastAsia="Calibri" w:hAnsi="Arial" w:cs="Arial"/>
          <w:noProof/>
          <w:kern w:val="20"/>
          <w:sz w:val="20"/>
        </w:rPr>
      </w:pPr>
      <w:r>
        <w:rPr>
          <w:rFonts w:ascii="Arial" w:eastAsia="Calibri" w:hAnsi="Arial" w:cs="Arial"/>
          <w:noProof/>
          <w:kern w:val="20"/>
          <w:sz w:val="20"/>
        </w:rPr>
        <w:t>Directive amending the MiFID II Directive (23 Member States)</w:t>
      </w:r>
      <w:r>
        <w:rPr>
          <w:rStyle w:val="FootnoteReference"/>
          <w:rFonts w:ascii="Arial" w:eastAsia="Calibri" w:hAnsi="Arial" w:cs="Arial"/>
          <w:noProof/>
          <w:kern w:val="20"/>
          <w:sz w:val="20"/>
        </w:rPr>
        <w:footnoteReference w:id="187"/>
      </w:r>
      <w:r>
        <w:rPr>
          <w:rFonts w:ascii="Arial" w:eastAsia="Calibri" w:hAnsi="Arial" w:cs="Arial"/>
          <w:noProof/>
          <w:kern w:val="20"/>
          <w:sz w:val="20"/>
        </w:rPr>
        <w:t>;</w:t>
      </w:r>
    </w:p>
    <w:p w:rsidR="00E201F7" w:rsidRDefault="00E24EFF">
      <w:pPr>
        <w:pStyle w:val="ListParagraph"/>
        <w:numPr>
          <w:ilvl w:val="0"/>
          <w:numId w:val="69"/>
        </w:numPr>
        <w:spacing w:line="276" w:lineRule="auto"/>
        <w:ind w:left="1843" w:hanging="425"/>
        <w:rPr>
          <w:rFonts w:ascii="Arial" w:eastAsia="Calibri" w:hAnsi="Arial" w:cs="Arial"/>
          <w:noProof/>
          <w:kern w:val="20"/>
          <w:sz w:val="20"/>
        </w:rPr>
      </w:pPr>
      <w:r>
        <w:rPr>
          <w:rFonts w:ascii="Arial" w:eastAsia="Calibri" w:hAnsi="Arial" w:cs="Arial"/>
          <w:noProof/>
          <w:kern w:val="20"/>
          <w:sz w:val="20"/>
        </w:rPr>
        <w:t>Directive implementing the MiFID II Directive (24 Member State</w:t>
      </w:r>
      <w:r>
        <w:rPr>
          <w:rFonts w:ascii="Arial" w:eastAsia="Calibri" w:hAnsi="Arial" w:cs="Arial"/>
          <w:noProof/>
          <w:kern w:val="20"/>
          <w:sz w:val="20"/>
        </w:rPr>
        <w:t>s)</w:t>
      </w:r>
      <w:r>
        <w:rPr>
          <w:rStyle w:val="FootnoteReference"/>
          <w:rFonts w:ascii="Arial" w:eastAsia="Calibri" w:hAnsi="Arial" w:cs="Arial"/>
          <w:noProof/>
          <w:kern w:val="20"/>
          <w:sz w:val="20"/>
        </w:rPr>
        <w:footnoteReference w:id="188"/>
      </w:r>
      <w:r>
        <w:rPr>
          <w:rFonts w:ascii="Arial" w:eastAsia="Calibri" w:hAnsi="Arial" w:cs="Arial"/>
          <w:noProof/>
          <w:kern w:val="20"/>
          <w:sz w:val="20"/>
        </w:rPr>
        <w:t>.</w:t>
      </w:r>
    </w:p>
    <w:p w:rsidR="00E201F7" w:rsidRDefault="00E24EFF">
      <w:pPr>
        <w:numPr>
          <w:ilvl w:val="0"/>
          <w:numId w:val="64"/>
        </w:numPr>
        <w:spacing w:after="120"/>
        <w:ind w:left="1276" w:hanging="425"/>
        <w:rPr>
          <w:rFonts w:ascii="Arial" w:eastAsia="Calibri" w:hAnsi="Arial" w:cs="Arial"/>
          <w:b/>
          <w:noProof/>
          <w:kern w:val="20"/>
          <w:sz w:val="20"/>
        </w:rPr>
      </w:pPr>
      <w:r>
        <w:rPr>
          <w:rFonts w:ascii="Arial" w:eastAsia="Calibri" w:hAnsi="Arial" w:cs="Arial"/>
          <w:noProof/>
          <w:kern w:val="20"/>
          <w:sz w:val="20"/>
        </w:rPr>
        <w:t>The Commission referred three cases to the Court under Articles 258 and 260(3) TFEU. They concerned:</w:t>
      </w:r>
    </w:p>
    <w:p w:rsidR="00E201F7" w:rsidRDefault="00E24EFF">
      <w:pPr>
        <w:pStyle w:val="ListParagraph"/>
        <w:numPr>
          <w:ilvl w:val="0"/>
          <w:numId w:val="69"/>
        </w:numPr>
        <w:spacing w:after="120"/>
        <w:ind w:left="1843" w:hanging="425"/>
        <w:rPr>
          <w:rFonts w:ascii="Arial" w:eastAsia="Calibri" w:hAnsi="Arial" w:cs="Arial"/>
          <w:noProof/>
          <w:kern w:val="20"/>
          <w:sz w:val="20"/>
        </w:rPr>
      </w:pPr>
      <w:r>
        <w:rPr>
          <w:rFonts w:ascii="Arial" w:eastAsia="Calibri" w:hAnsi="Arial" w:cs="Arial"/>
          <w:i/>
          <w:noProof/>
          <w:kern w:val="20"/>
          <w:sz w:val="20"/>
        </w:rPr>
        <w:t>Spain</w:t>
      </w:r>
      <w:r>
        <w:rPr>
          <w:rFonts w:ascii="Arial" w:eastAsia="Calibri" w:hAnsi="Arial" w:cs="Arial"/>
          <w:noProof/>
          <w:kern w:val="20"/>
          <w:sz w:val="20"/>
        </w:rPr>
        <w:t>: failure to fully transpose the Mortgage Credit Directive</w:t>
      </w:r>
      <w:r>
        <w:rPr>
          <w:rStyle w:val="FootnoteReference"/>
          <w:rFonts w:ascii="Arial" w:eastAsia="Calibri" w:hAnsi="Arial" w:cs="Arial"/>
          <w:noProof/>
          <w:kern w:val="20"/>
          <w:sz w:val="20"/>
        </w:rPr>
        <w:footnoteReference w:id="189"/>
      </w:r>
      <w:r>
        <w:rPr>
          <w:rFonts w:ascii="Arial" w:eastAsia="Calibri" w:hAnsi="Arial" w:cs="Arial"/>
          <w:noProof/>
          <w:kern w:val="20"/>
          <w:sz w:val="20"/>
        </w:rPr>
        <w:t>;</w:t>
      </w:r>
    </w:p>
    <w:p w:rsidR="00E201F7" w:rsidRDefault="00E24EFF">
      <w:pPr>
        <w:pStyle w:val="ListParagraph"/>
        <w:numPr>
          <w:ilvl w:val="0"/>
          <w:numId w:val="69"/>
        </w:numPr>
        <w:spacing w:after="120"/>
        <w:ind w:left="1843" w:hanging="425"/>
        <w:rPr>
          <w:rFonts w:ascii="Arial" w:eastAsia="Calibri" w:hAnsi="Arial" w:cs="Arial"/>
          <w:noProof/>
          <w:kern w:val="20"/>
          <w:sz w:val="20"/>
        </w:rPr>
      </w:pPr>
      <w:r>
        <w:rPr>
          <w:rFonts w:ascii="Arial" w:eastAsia="Calibri" w:hAnsi="Arial" w:cs="Arial"/>
          <w:i/>
          <w:noProof/>
          <w:kern w:val="20"/>
          <w:sz w:val="20"/>
        </w:rPr>
        <w:t>Croatia</w:t>
      </w:r>
      <w:r>
        <w:rPr>
          <w:rFonts w:ascii="Arial" w:eastAsia="Calibri" w:hAnsi="Arial" w:cs="Arial"/>
          <w:noProof/>
          <w:kern w:val="20"/>
          <w:sz w:val="20"/>
        </w:rPr>
        <w:t>: failure to fully transpose the Mortgage Credit Directive</w:t>
      </w:r>
      <w:r>
        <w:rPr>
          <w:rStyle w:val="FootnoteReference"/>
          <w:rFonts w:ascii="Arial" w:eastAsia="Calibri" w:hAnsi="Arial" w:cs="Arial"/>
          <w:noProof/>
          <w:kern w:val="20"/>
          <w:sz w:val="20"/>
        </w:rPr>
        <w:footnoteReference w:id="190"/>
      </w:r>
      <w:r>
        <w:rPr>
          <w:rFonts w:ascii="Arial" w:eastAsia="Calibri" w:hAnsi="Arial" w:cs="Arial"/>
          <w:noProof/>
          <w:kern w:val="20"/>
          <w:sz w:val="20"/>
        </w:rPr>
        <w:t>;</w:t>
      </w:r>
    </w:p>
    <w:p w:rsidR="00E201F7" w:rsidRDefault="00E24EFF">
      <w:pPr>
        <w:pStyle w:val="ListParagraph"/>
        <w:numPr>
          <w:ilvl w:val="0"/>
          <w:numId w:val="69"/>
        </w:numPr>
        <w:spacing w:after="120"/>
        <w:ind w:left="1843" w:hanging="425"/>
        <w:rPr>
          <w:rFonts w:ascii="Arial" w:eastAsia="Calibri" w:hAnsi="Arial" w:cs="Arial"/>
          <w:noProof/>
          <w:kern w:val="20"/>
          <w:sz w:val="20"/>
        </w:rPr>
      </w:pPr>
      <w:r>
        <w:rPr>
          <w:rFonts w:ascii="Arial" w:eastAsia="Calibri" w:hAnsi="Arial" w:cs="Arial"/>
          <w:i/>
          <w:noProof/>
          <w:kern w:val="20"/>
          <w:sz w:val="20"/>
        </w:rPr>
        <w:t>Croatia</w:t>
      </w:r>
      <w:r>
        <w:rPr>
          <w:rFonts w:ascii="Arial" w:eastAsia="Calibri" w:hAnsi="Arial" w:cs="Arial"/>
          <w:noProof/>
          <w:kern w:val="20"/>
          <w:sz w:val="20"/>
        </w:rPr>
        <w:t>: failure</w:t>
      </w:r>
      <w:r>
        <w:rPr>
          <w:rFonts w:ascii="Arial" w:eastAsia="Calibri" w:hAnsi="Arial" w:cs="Arial"/>
          <w:noProof/>
          <w:kern w:val="20"/>
          <w:sz w:val="20"/>
        </w:rPr>
        <w:t xml:space="preserve"> to fully transpose the Audit Directive</w:t>
      </w:r>
      <w:r>
        <w:rPr>
          <w:rStyle w:val="FootnoteReference"/>
          <w:rFonts w:ascii="Arial" w:eastAsia="Calibri" w:hAnsi="Arial" w:cs="Arial"/>
          <w:noProof/>
          <w:kern w:val="20"/>
          <w:sz w:val="20"/>
        </w:rPr>
        <w:footnoteReference w:id="191"/>
      </w:r>
      <w:r>
        <w:rPr>
          <w:rFonts w:ascii="Arial" w:eastAsia="Calibri" w:hAnsi="Arial" w:cs="Arial"/>
          <w:noProof/>
          <w:kern w:val="20"/>
          <w:sz w:val="20"/>
        </w:rPr>
        <w:t>;</w:t>
      </w:r>
    </w:p>
    <w:p w:rsidR="00E201F7" w:rsidRDefault="00E24EFF">
      <w:pPr>
        <w:spacing w:after="0"/>
        <w:jc w:val="left"/>
        <w:rPr>
          <w:rFonts w:ascii="Arial" w:eastAsia="MS Gothic" w:hAnsi="Arial" w:cs="Arial"/>
          <w:caps/>
          <w:noProof/>
          <w:color w:val="4F81BD"/>
          <w:kern w:val="20"/>
          <w:szCs w:val="24"/>
        </w:rPr>
      </w:pPr>
      <w:r>
        <w:rPr>
          <w:noProof/>
        </w:rPr>
        <w:br w:type="page"/>
      </w:r>
    </w:p>
    <w:p w:rsidR="00E201F7" w:rsidRDefault="00E24EFF">
      <w:pPr>
        <w:pStyle w:val="kop2"/>
        <w:rPr>
          <w:noProof/>
        </w:rPr>
      </w:pPr>
      <w:r>
        <w:rPr>
          <w:noProof/>
        </w:rPr>
        <w:t>EARLY RESOLUTION OF INFRINGEMENT CASES</w:t>
      </w:r>
    </w:p>
    <w:p w:rsidR="00E201F7" w:rsidRDefault="00E24EFF">
      <w:pPr>
        <w:spacing w:after="60"/>
        <w:ind w:left="360"/>
        <w:jc w:val="left"/>
        <w:outlineLvl w:val="1"/>
        <w:rPr>
          <w:rFonts w:ascii="Arial" w:hAnsi="Arial" w:cs="Arial"/>
          <w:noProof/>
          <w:color w:val="002060"/>
          <w:sz w:val="22"/>
        </w:rPr>
      </w:pPr>
      <w:r>
        <w:rPr>
          <w:rFonts w:ascii="Arial" w:hAnsi="Arial" w:cs="Arial"/>
          <w:noProof/>
          <w:color w:val="002060"/>
          <w:sz w:val="22"/>
        </w:rPr>
        <w:t>Major cases closed without a Court judgment in 2017</w:t>
      </w:r>
    </w:p>
    <w:p w:rsidR="00E201F7" w:rsidRDefault="00E24EFF">
      <w:pPr>
        <w:autoSpaceDE w:val="0"/>
        <w:autoSpaceDN w:val="0"/>
        <w:adjustRightInd w:val="0"/>
        <w:spacing w:before="120" w:after="120"/>
        <w:ind w:left="720"/>
        <w:rPr>
          <w:rFonts w:ascii="Arial" w:hAnsi="Arial" w:cs="Arial"/>
          <w:noProof/>
          <w:sz w:val="20"/>
        </w:rPr>
      </w:pPr>
      <w:r>
        <w:rPr>
          <w:rFonts w:ascii="Arial" w:hAnsi="Arial" w:cs="Arial"/>
          <w:noProof/>
          <w:sz w:val="20"/>
        </w:rPr>
        <w:t>These concerned:</w:t>
      </w:r>
    </w:p>
    <w:p w:rsidR="00E201F7" w:rsidRDefault="00E24EFF">
      <w:pPr>
        <w:pStyle w:val="ListParagraph"/>
        <w:numPr>
          <w:ilvl w:val="0"/>
          <w:numId w:val="69"/>
        </w:numPr>
        <w:spacing w:after="120"/>
        <w:ind w:left="1843" w:hanging="425"/>
        <w:rPr>
          <w:rFonts w:ascii="Arial" w:eastAsia="Calibri" w:hAnsi="Arial" w:cs="Arial"/>
          <w:i/>
          <w:noProof/>
          <w:kern w:val="20"/>
          <w:sz w:val="20"/>
        </w:rPr>
      </w:pPr>
      <w:r>
        <w:rPr>
          <w:rFonts w:ascii="Arial" w:hAnsi="Arial" w:cs="Arial"/>
          <w:i/>
          <w:noProof/>
          <w:kern w:val="20"/>
          <w:sz w:val="20"/>
        </w:rPr>
        <w:t>Belgium, Bulgaria, Greece, Spain, Italy, Luxembourg, Malta, Austria, Romania and Slovakia</w:t>
      </w:r>
      <w:r>
        <w:rPr>
          <w:rFonts w:ascii="Arial" w:hAnsi="Arial" w:cs="Arial"/>
          <w:noProof/>
          <w:kern w:val="20"/>
          <w:sz w:val="20"/>
        </w:rPr>
        <w:t xml:space="preserve">: incomplete transposition of the Solvency II </w:t>
      </w:r>
      <w:r>
        <w:rPr>
          <w:rFonts w:ascii="Arial" w:hAnsi="Arial" w:cs="Arial"/>
          <w:noProof/>
          <w:sz w:val="20"/>
        </w:rPr>
        <w:t>Directive</w:t>
      </w:r>
      <w:r>
        <w:rPr>
          <w:rStyle w:val="FootnoteReference"/>
          <w:rFonts w:ascii="Arial" w:hAnsi="Arial" w:cs="Arial"/>
          <w:noProof/>
          <w:sz w:val="20"/>
        </w:rPr>
        <w:footnoteReference w:id="192"/>
      </w:r>
      <w:r>
        <w:rPr>
          <w:rFonts w:ascii="Arial" w:hAnsi="Arial" w:cs="Arial"/>
          <w:noProof/>
          <w:sz w:val="20"/>
        </w:rPr>
        <w:t>;</w:t>
      </w:r>
    </w:p>
    <w:p w:rsidR="00E201F7" w:rsidRDefault="00E24EFF">
      <w:pPr>
        <w:pStyle w:val="ListParagraph"/>
        <w:numPr>
          <w:ilvl w:val="0"/>
          <w:numId w:val="69"/>
        </w:numPr>
        <w:spacing w:after="120"/>
        <w:ind w:left="1843" w:hanging="425"/>
        <w:rPr>
          <w:rFonts w:ascii="Arial" w:eastAsia="Calibri" w:hAnsi="Arial" w:cs="Arial"/>
          <w:i/>
          <w:noProof/>
          <w:kern w:val="20"/>
          <w:sz w:val="20"/>
        </w:rPr>
      </w:pPr>
      <w:r>
        <w:rPr>
          <w:rFonts w:ascii="Arial" w:eastAsia="Calibri" w:hAnsi="Arial" w:cs="Arial"/>
          <w:i/>
          <w:noProof/>
          <w:kern w:val="20"/>
          <w:sz w:val="20"/>
        </w:rPr>
        <w:t>Belgium, Bulgaria, Greece, Spain, Italy, Luxembourg, Malta, Austria, Romania and Slovakia</w:t>
      </w:r>
      <w:r>
        <w:rPr>
          <w:rFonts w:ascii="Arial" w:eastAsia="Calibri" w:hAnsi="Arial" w:cs="Arial"/>
          <w:noProof/>
          <w:kern w:val="20"/>
          <w:sz w:val="20"/>
        </w:rPr>
        <w:t>: incomplete transposition of the Omnibus II Directive in respect of the powers of the European Insurance and</w:t>
      </w:r>
      <w:r>
        <w:rPr>
          <w:rFonts w:ascii="Arial" w:eastAsia="Calibri" w:hAnsi="Arial" w:cs="Arial"/>
          <w:noProof/>
          <w:kern w:val="20"/>
          <w:sz w:val="20"/>
        </w:rPr>
        <w:t xml:space="preserve"> Occupational Pensions Authority and the </w:t>
      </w:r>
      <w:r>
        <w:rPr>
          <w:rFonts w:ascii="Arial" w:eastAsia="Calibri" w:hAnsi="Arial" w:cs="Arial"/>
          <w:i/>
          <w:noProof/>
          <w:kern w:val="20"/>
          <w:sz w:val="20"/>
        </w:rPr>
        <w:t>European Securities and Markets Authority</w:t>
      </w:r>
      <w:r>
        <w:rPr>
          <w:rFonts w:eastAsia="Calibri"/>
          <w:i/>
          <w:noProof/>
        </w:rPr>
        <w:footnoteReference w:id="193"/>
      </w:r>
      <w:r>
        <w:rPr>
          <w:rFonts w:ascii="Arial" w:eastAsia="Calibri" w:hAnsi="Arial" w:cs="Arial"/>
          <w:i/>
          <w:noProof/>
          <w:kern w:val="20"/>
          <w:sz w:val="20"/>
        </w:rPr>
        <w:t>;</w:t>
      </w:r>
    </w:p>
    <w:p w:rsidR="00E201F7" w:rsidRDefault="00E24EFF">
      <w:pPr>
        <w:pStyle w:val="ListParagraph"/>
        <w:numPr>
          <w:ilvl w:val="0"/>
          <w:numId w:val="69"/>
        </w:numPr>
        <w:ind w:left="1843" w:hanging="425"/>
        <w:rPr>
          <w:rFonts w:ascii="Arial" w:hAnsi="Arial" w:cs="Arial"/>
          <w:noProof/>
          <w:sz w:val="20"/>
        </w:rPr>
      </w:pPr>
      <w:r>
        <w:rPr>
          <w:rFonts w:ascii="Arial" w:hAnsi="Arial" w:cs="Arial"/>
          <w:i/>
          <w:noProof/>
          <w:sz w:val="20"/>
        </w:rPr>
        <w:t>Belgium, Bulgaria, Cyprus, Czech Republic, Estonia, Greece, Spain, France, Latvia, Luxembourg, Malta, Netherlands, Poland, Romania, Slovenia, Finland and Sweden</w:t>
      </w:r>
      <w:r>
        <w:rPr>
          <w:rFonts w:ascii="Arial" w:hAnsi="Arial" w:cs="Arial"/>
          <w:noProof/>
          <w:sz w:val="20"/>
        </w:rPr>
        <w:t>: incomplet</w:t>
      </w:r>
      <w:r>
        <w:rPr>
          <w:rFonts w:ascii="Arial" w:hAnsi="Arial" w:cs="Arial"/>
          <w:noProof/>
          <w:sz w:val="20"/>
        </w:rPr>
        <w:t>e transposition of the Accounting Directive</w:t>
      </w:r>
      <w:r>
        <w:rPr>
          <w:rStyle w:val="FootnoteReference"/>
          <w:rFonts w:ascii="Arial" w:hAnsi="Arial" w:cs="Arial"/>
          <w:noProof/>
          <w:sz w:val="20"/>
        </w:rPr>
        <w:footnoteReference w:id="194"/>
      </w:r>
      <w:r>
        <w:rPr>
          <w:rFonts w:ascii="Arial" w:hAnsi="Arial" w:cs="Arial"/>
          <w:noProof/>
          <w:sz w:val="20"/>
        </w:rPr>
        <w:t>;</w:t>
      </w:r>
    </w:p>
    <w:p w:rsidR="00E201F7" w:rsidRDefault="00E24EFF">
      <w:pPr>
        <w:pStyle w:val="ListParagraph"/>
        <w:numPr>
          <w:ilvl w:val="0"/>
          <w:numId w:val="69"/>
        </w:numPr>
        <w:ind w:left="1843" w:hanging="425"/>
        <w:rPr>
          <w:rFonts w:ascii="Arial" w:hAnsi="Arial" w:cs="Arial"/>
          <w:noProof/>
          <w:sz w:val="20"/>
          <w:lang w:eastAsia="ja-JP"/>
        </w:rPr>
      </w:pPr>
      <w:r>
        <w:rPr>
          <w:rFonts w:ascii="Arial" w:hAnsi="Arial" w:cs="Arial"/>
          <w:i/>
          <w:noProof/>
          <w:sz w:val="20"/>
        </w:rPr>
        <w:t>Belgium, Bulgaria, Czech Republic, Denmark, Greece, France, Italy, Cyprus, Latvia, Lithuania, Luxembourg, Hungary, Netherlands, Poland, Slovenia and Sweden</w:t>
      </w:r>
      <w:r>
        <w:rPr>
          <w:rFonts w:ascii="Arial" w:hAnsi="Arial" w:cs="Arial"/>
          <w:noProof/>
          <w:sz w:val="20"/>
        </w:rPr>
        <w:t>: incomplete transposition of the Transparency Directiv</w:t>
      </w:r>
      <w:r>
        <w:rPr>
          <w:rFonts w:ascii="Arial" w:hAnsi="Arial" w:cs="Arial"/>
          <w:noProof/>
          <w:sz w:val="20"/>
        </w:rPr>
        <w:t>e</w:t>
      </w:r>
      <w:r>
        <w:rPr>
          <w:rStyle w:val="FootnoteReference"/>
          <w:rFonts w:ascii="Arial" w:hAnsi="Arial" w:cs="Arial"/>
          <w:noProof/>
          <w:sz w:val="20"/>
        </w:rPr>
        <w:footnoteReference w:id="195"/>
      </w:r>
      <w:r>
        <w:rPr>
          <w:rFonts w:ascii="Arial" w:hAnsi="Arial" w:cs="Arial"/>
          <w:noProof/>
          <w:sz w:val="20"/>
        </w:rPr>
        <w:t>;</w:t>
      </w:r>
    </w:p>
    <w:p w:rsidR="00E201F7" w:rsidRDefault="00E24EFF">
      <w:pPr>
        <w:pStyle w:val="ListParagraph"/>
        <w:numPr>
          <w:ilvl w:val="0"/>
          <w:numId w:val="69"/>
        </w:numPr>
        <w:ind w:left="1843" w:hanging="425"/>
        <w:rPr>
          <w:rFonts w:ascii="Arial" w:hAnsi="Arial" w:cs="Arial"/>
          <w:i/>
          <w:noProof/>
          <w:sz w:val="20"/>
        </w:rPr>
      </w:pPr>
      <w:smartTag w:uri="urn:schemas-microsoft-com:office:smarttags" w:element="country-region">
        <w:smartTag w:uri="urn:schemas-microsoft-com:office:smarttags" w:element="place">
          <w:r>
            <w:rPr>
              <w:rFonts w:ascii="Arial" w:hAnsi="Arial" w:cs="Arial"/>
              <w:i/>
              <w:noProof/>
              <w:sz w:val="20"/>
            </w:rPr>
            <w:t>Greece</w:t>
          </w:r>
        </w:smartTag>
      </w:smartTag>
      <w:r>
        <w:rPr>
          <w:rFonts w:ascii="Arial" w:hAnsi="Arial" w:cs="Arial"/>
          <w:i/>
          <w:noProof/>
          <w:sz w:val="20"/>
        </w:rPr>
        <w:t xml:space="preserve">: </w:t>
      </w:r>
      <w:r>
        <w:rPr>
          <w:rFonts w:ascii="Arial" w:hAnsi="Arial" w:cs="Arial"/>
          <w:noProof/>
          <w:sz w:val="20"/>
        </w:rPr>
        <w:t>restrictions on free movement of capital in the Hellenic Telecommunications Company (OTE);</w:t>
      </w:r>
    </w:p>
    <w:p w:rsidR="00E201F7" w:rsidRDefault="00E24EFF">
      <w:pPr>
        <w:pStyle w:val="ListParagraph"/>
        <w:numPr>
          <w:ilvl w:val="0"/>
          <w:numId w:val="69"/>
        </w:numPr>
        <w:ind w:left="1843" w:hanging="425"/>
        <w:rPr>
          <w:rFonts w:ascii="Arial" w:hAnsi="Arial" w:cs="Arial"/>
          <w:i/>
          <w:noProof/>
          <w:sz w:val="20"/>
        </w:rPr>
      </w:pPr>
      <w:smartTag w:uri="urn:schemas-microsoft-com:office:smarttags" w:element="country-region">
        <w:smartTag w:uri="urn:schemas-microsoft-com:office:smarttags" w:element="place">
          <w:r>
            <w:rPr>
              <w:rFonts w:ascii="Arial" w:hAnsi="Arial" w:cs="Arial"/>
              <w:i/>
              <w:noProof/>
              <w:sz w:val="20"/>
            </w:rPr>
            <w:t>Italy</w:t>
          </w:r>
        </w:smartTag>
      </w:smartTag>
      <w:r>
        <w:rPr>
          <w:rFonts w:ascii="Arial" w:hAnsi="Arial" w:cs="Arial"/>
          <w:i/>
          <w:noProof/>
          <w:sz w:val="20"/>
        </w:rPr>
        <w:t xml:space="preserve">: </w:t>
      </w:r>
      <w:r>
        <w:rPr>
          <w:rFonts w:ascii="Arial" w:hAnsi="Arial" w:cs="Arial"/>
          <w:noProof/>
          <w:sz w:val="20"/>
        </w:rPr>
        <w:t>Special rights of the state in the privatisation law.</w:t>
      </w:r>
    </w:p>
    <w:p w:rsidR="00E201F7" w:rsidRDefault="00E24EFF">
      <w:pPr>
        <w:pStyle w:val="kop2"/>
        <w:rPr>
          <w:noProof/>
        </w:rPr>
      </w:pPr>
      <w:r>
        <w:rPr>
          <w:noProof/>
        </w:rPr>
        <w:t>IMPORTANT JUDGMENTS</w:t>
      </w:r>
    </w:p>
    <w:p w:rsidR="00E201F7" w:rsidRDefault="00E24EFF">
      <w:pPr>
        <w:numPr>
          <w:ilvl w:val="0"/>
          <w:numId w:val="119"/>
        </w:numPr>
        <w:spacing w:after="60"/>
        <w:jc w:val="left"/>
        <w:outlineLvl w:val="1"/>
        <w:rPr>
          <w:rFonts w:ascii="Arial" w:hAnsi="Arial" w:cs="Arial"/>
          <w:noProof/>
          <w:color w:val="002060"/>
          <w:sz w:val="22"/>
        </w:rPr>
      </w:pPr>
      <w:r>
        <w:rPr>
          <w:rFonts w:ascii="Arial" w:hAnsi="Arial" w:cs="Arial"/>
          <w:noProof/>
          <w:color w:val="002060"/>
          <w:sz w:val="22"/>
        </w:rPr>
        <w:t>Court rulings</w:t>
      </w:r>
    </w:p>
    <w:p w:rsidR="00E201F7" w:rsidRDefault="00E24EFF">
      <w:pPr>
        <w:spacing w:before="120"/>
        <w:ind w:left="720"/>
        <w:rPr>
          <w:rFonts w:ascii="Arial" w:hAnsi="Arial" w:cs="Arial"/>
          <w:noProof/>
          <w:sz w:val="20"/>
        </w:rPr>
      </w:pPr>
      <w:r>
        <w:rPr>
          <w:rFonts w:ascii="Arial" w:hAnsi="Arial" w:cs="Arial"/>
          <w:noProof/>
          <w:sz w:val="20"/>
        </w:rPr>
        <w:t xml:space="preserve">There were no major Court rulings in </w:t>
      </w:r>
      <w:smartTag w:uri="urn:schemas-microsoft-com:office:smarttags" w:element="metricconverter">
        <w:smartTagPr>
          <w:attr w:name="ProductID" w:val="2017 in"/>
        </w:smartTagPr>
        <w:r>
          <w:rPr>
            <w:rFonts w:ascii="Arial" w:hAnsi="Arial" w:cs="Arial"/>
            <w:noProof/>
            <w:sz w:val="20"/>
          </w:rPr>
          <w:t>2017 in</w:t>
        </w:r>
      </w:smartTag>
      <w:r>
        <w:rPr>
          <w:rFonts w:ascii="Arial" w:hAnsi="Arial" w:cs="Arial"/>
          <w:noProof/>
          <w:sz w:val="20"/>
        </w:rPr>
        <w:t xml:space="preserve"> this area.</w:t>
      </w:r>
    </w:p>
    <w:p w:rsidR="00E201F7" w:rsidRDefault="00E24EFF">
      <w:pPr>
        <w:numPr>
          <w:ilvl w:val="0"/>
          <w:numId w:val="119"/>
        </w:numPr>
        <w:spacing w:after="60"/>
        <w:jc w:val="left"/>
        <w:outlineLvl w:val="1"/>
        <w:rPr>
          <w:rFonts w:ascii="Arial" w:hAnsi="Arial" w:cs="Arial"/>
          <w:noProof/>
          <w:color w:val="002060"/>
          <w:sz w:val="22"/>
        </w:rPr>
      </w:pPr>
      <w:r>
        <w:rPr>
          <w:rFonts w:ascii="Arial" w:hAnsi="Arial" w:cs="Arial"/>
          <w:noProof/>
          <w:color w:val="002060"/>
          <w:sz w:val="22"/>
        </w:rPr>
        <w:t>Preliminary rulings</w:t>
      </w:r>
    </w:p>
    <w:p w:rsidR="00E201F7" w:rsidRDefault="00E24EFF">
      <w:pPr>
        <w:spacing w:before="120"/>
        <w:ind w:left="720"/>
        <w:rPr>
          <w:noProof/>
          <w:color w:val="1F497D"/>
        </w:rPr>
      </w:pPr>
      <w:r>
        <w:rPr>
          <w:rFonts w:ascii="Arial" w:hAnsi="Arial" w:cs="Arial"/>
          <w:noProof/>
          <w:sz w:val="20"/>
        </w:rPr>
        <w:t xml:space="preserve">The Court gave the following preliminary ruling. </w:t>
      </w:r>
    </w:p>
    <w:p w:rsidR="00E201F7" w:rsidRDefault="00E24EFF">
      <w:pPr>
        <w:spacing w:before="120"/>
        <w:ind w:left="720"/>
        <w:rPr>
          <w:rFonts w:ascii="Arial" w:hAnsi="Arial" w:cs="Arial"/>
          <w:noProof/>
          <w:sz w:val="20"/>
        </w:rPr>
      </w:pPr>
      <w:r>
        <w:rPr>
          <w:rFonts w:ascii="Arial" w:eastAsia="Calibri" w:hAnsi="Arial" w:cs="Arial"/>
          <w:i/>
          <w:noProof/>
          <w:kern w:val="20"/>
          <w:sz w:val="20"/>
        </w:rPr>
        <w:t>Austria:</w:t>
      </w:r>
      <w:r>
        <w:rPr>
          <w:noProof/>
        </w:rPr>
        <w:t xml:space="preserve"> </w:t>
      </w:r>
      <w:r>
        <w:rPr>
          <w:rFonts w:ascii="Arial" w:hAnsi="Arial" w:cs="Arial"/>
          <w:noProof/>
          <w:sz w:val="20"/>
        </w:rPr>
        <w:t>An e-Banking website could be considered as a "durable medium", as required under the Payment Services Directive</w:t>
      </w:r>
      <w:r>
        <w:rPr>
          <w:rStyle w:val="FootnoteReference"/>
          <w:rFonts w:ascii="Arial" w:hAnsi="Arial" w:cs="Arial"/>
          <w:noProof/>
          <w:sz w:val="20"/>
        </w:rPr>
        <w:footnoteReference w:id="196"/>
      </w:r>
      <w:r>
        <w:rPr>
          <w:rFonts w:ascii="Arial" w:hAnsi="Arial" w:cs="Arial"/>
          <w:noProof/>
          <w:sz w:val="20"/>
        </w:rPr>
        <w:t>, if it allows the user to store information addressed to him pe</w:t>
      </w:r>
      <w:r>
        <w:rPr>
          <w:rFonts w:ascii="Arial" w:hAnsi="Arial" w:cs="Arial"/>
          <w:noProof/>
          <w:sz w:val="20"/>
        </w:rPr>
        <w:t>rsonally in such a way that he may access it and reproduce it unchanged for an adequate period, without any unilateral modification of its content by that service provider or by another professional being possible. If the user is obliged to consult that in</w:t>
      </w:r>
      <w:r>
        <w:rPr>
          <w:rFonts w:ascii="Arial" w:hAnsi="Arial" w:cs="Arial"/>
          <w:noProof/>
          <w:sz w:val="20"/>
        </w:rPr>
        <w:t>ternet website in order to become aware of that information, the provider shall actively draw the customer's attention to the existence and availability of that information on that website. The case concerns a clause in the terms and conditions of an Austr</w:t>
      </w:r>
      <w:r>
        <w:rPr>
          <w:rFonts w:ascii="Arial" w:hAnsi="Arial" w:cs="Arial"/>
          <w:noProof/>
          <w:sz w:val="20"/>
        </w:rPr>
        <w:t>ian bank, under which its customers receive notifications and statements on their online banking and their banking relationship via an email inbox that the bank operates on its e-Banking website. To access the emails the customer must log in to the e-Banki</w:t>
      </w:r>
      <w:r>
        <w:rPr>
          <w:rFonts w:ascii="Arial" w:hAnsi="Arial" w:cs="Arial"/>
          <w:noProof/>
          <w:sz w:val="20"/>
        </w:rPr>
        <w:t>ng website. There is no additional notification of messages that have been transmitted to this email inbox.</w:t>
      </w:r>
      <w:r>
        <w:rPr>
          <w:rStyle w:val="FootnoteReference"/>
          <w:rFonts w:ascii="Arial" w:hAnsi="Arial" w:cs="Arial"/>
          <w:noProof/>
          <w:sz w:val="20"/>
        </w:rPr>
        <w:footnoteReference w:id="197"/>
      </w:r>
      <w:r>
        <w:rPr>
          <w:rFonts w:ascii="Arial" w:hAnsi="Arial" w:cs="Arial"/>
          <w:noProof/>
          <w:sz w:val="20"/>
        </w:rPr>
        <w:t xml:space="preserve"> </w:t>
      </w:r>
    </w:p>
    <w:p w:rsidR="00E201F7" w:rsidRDefault="00E24EFF">
      <w:pPr>
        <w:pStyle w:val="kop2"/>
        <w:rPr>
          <w:noProof/>
        </w:rPr>
      </w:pPr>
      <w:r>
        <w:rPr>
          <w:noProof/>
        </w:rPr>
        <w:t>Outlook</w:t>
      </w:r>
    </w:p>
    <w:p w:rsidR="00E201F7" w:rsidRDefault="00E24EFF">
      <w:pPr>
        <w:spacing w:after="60"/>
        <w:ind w:left="360"/>
        <w:jc w:val="left"/>
        <w:outlineLvl w:val="1"/>
        <w:rPr>
          <w:rFonts w:ascii="Arial" w:hAnsi="Arial" w:cs="Arial"/>
          <w:noProof/>
          <w:color w:val="002060"/>
          <w:sz w:val="22"/>
        </w:rPr>
      </w:pPr>
      <w:r>
        <w:rPr>
          <w:rFonts w:ascii="Arial" w:hAnsi="Arial" w:cs="Arial"/>
          <w:noProof/>
          <w:color w:val="002060"/>
          <w:sz w:val="22"/>
        </w:rPr>
        <w:t>Important implementation work in 2018 includes:</w:t>
      </w:r>
    </w:p>
    <w:p w:rsidR="00E201F7" w:rsidRDefault="00E24EFF">
      <w:pPr>
        <w:pStyle w:val="ListParagraph"/>
        <w:numPr>
          <w:ilvl w:val="0"/>
          <w:numId w:val="69"/>
        </w:numPr>
        <w:spacing w:after="120"/>
        <w:ind w:left="1797" w:hanging="357"/>
        <w:contextualSpacing w:val="0"/>
        <w:rPr>
          <w:rFonts w:ascii="Arial" w:hAnsi="Arial" w:cs="Arial"/>
          <w:noProof/>
          <w:sz w:val="20"/>
          <w:szCs w:val="20"/>
        </w:rPr>
      </w:pPr>
      <w:r>
        <w:rPr>
          <w:rFonts w:ascii="Arial" w:hAnsi="Arial" w:cs="Arial"/>
          <w:noProof/>
          <w:sz w:val="20"/>
          <w:szCs w:val="20"/>
        </w:rPr>
        <w:t xml:space="preserve">monitoring the transposition of the MiFID II Directive and of two financial services </w:t>
      </w:r>
      <w:r>
        <w:rPr>
          <w:rFonts w:ascii="Arial" w:hAnsi="Arial" w:cs="Arial"/>
          <w:noProof/>
          <w:sz w:val="20"/>
          <w:szCs w:val="20"/>
        </w:rPr>
        <w:t>directives (the Directive on payment service</w:t>
      </w:r>
      <w:r>
        <w:rPr>
          <w:rStyle w:val="FootnoteReference"/>
          <w:rFonts w:ascii="Arial" w:eastAsia="Calibri" w:hAnsi="Arial" w:cs="Arial"/>
          <w:noProof/>
          <w:kern w:val="20"/>
          <w:sz w:val="20"/>
          <w:szCs w:val="20"/>
        </w:rPr>
        <w:footnoteReference w:id="198"/>
      </w:r>
      <w:r>
        <w:rPr>
          <w:rFonts w:ascii="Arial" w:hAnsi="Arial" w:cs="Arial"/>
          <w:noProof/>
          <w:sz w:val="20"/>
          <w:szCs w:val="20"/>
        </w:rPr>
        <w:t xml:space="preserve"> and the Directive on insurance distribution</w:t>
      </w:r>
      <w:r>
        <w:rPr>
          <w:rStyle w:val="FootnoteReference"/>
          <w:rFonts w:ascii="Arial" w:eastAsia="Calibri" w:hAnsi="Arial" w:cs="Arial"/>
          <w:noProof/>
          <w:kern w:val="20"/>
          <w:sz w:val="20"/>
          <w:szCs w:val="20"/>
        </w:rPr>
        <w:footnoteReference w:id="199"/>
      </w:r>
      <w:r>
        <w:rPr>
          <w:rFonts w:ascii="Arial" w:hAnsi="Arial" w:cs="Arial"/>
          <w:noProof/>
          <w:sz w:val="20"/>
          <w:szCs w:val="20"/>
        </w:rPr>
        <w:t>);</w:t>
      </w:r>
    </w:p>
    <w:p w:rsidR="00E201F7" w:rsidRDefault="00E24EFF">
      <w:pPr>
        <w:pStyle w:val="ListParagraph"/>
        <w:numPr>
          <w:ilvl w:val="0"/>
          <w:numId w:val="69"/>
        </w:numPr>
        <w:spacing w:after="120"/>
        <w:ind w:left="1797" w:hanging="357"/>
        <w:contextualSpacing w:val="0"/>
        <w:rPr>
          <w:rFonts w:ascii="Arial" w:hAnsi="Arial" w:cs="Arial"/>
          <w:noProof/>
          <w:sz w:val="20"/>
          <w:szCs w:val="20"/>
        </w:rPr>
      </w:pPr>
      <w:r>
        <w:rPr>
          <w:rFonts w:ascii="Arial" w:hAnsi="Arial" w:cs="Arial"/>
          <w:noProof/>
          <w:sz w:val="20"/>
          <w:szCs w:val="20"/>
        </w:rPr>
        <w:t>carrying out conformity checks relating to a number of financial services directives, such as the Accounting and Audit Directives</w:t>
      </w:r>
      <w:r>
        <w:rPr>
          <w:rStyle w:val="FootnoteReference"/>
          <w:rFonts w:ascii="Arial" w:eastAsia="Calibri" w:hAnsi="Arial" w:cs="Arial"/>
          <w:noProof/>
          <w:kern w:val="20"/>
          <w:sz w:val="20"/>
          <w:szCs w:val="20"/>
        </w:rPr>
        <w:footnoteReference w:id="200"/>
      </w:r>
      <w:r>
        <w:rPr>
          <w:rFonts w:ascii="Arial" w:hAnsi="Arial" w:cs="Arial"/>
          <w:noProof/>
          <w:sz w:val="20"/>
          <w:szCs w:val="20"/>
        </w:rPr>
        <w:t>, the Transparency Directive</w:t>
      </w:r>
      <w:r>
        <w:rPr>
          <w:rStyle w:val="FootnoteReference"/>
          <w:rFonts w:ascii="Arial" w:hAnsi="Arial" w:cs="Arial"/>
          <w:noProof/>
          <w:sz w:val="20"/>
          <w:szCs w:val="20"/>
        </w:rPr>
        <w:footnoteReference w:id="201"/>
      </w:r>
      <w:r>
        <w:rPr>
          <w:rFonts w:ascii="Arial" w:hAnsi="Arial" w:cs="Arial"/>
          <w:noProof/>
          <w:sz w:val="20"/>
          <w:szCs w:val="20"/>
        </w:rPr>
        <w:t xml:space="preserve">, </w:t>
      </w:r>
      <w:r>
        <w:rPr>
          <w:rFonts w:ascii="Arial" w:hAnsi="Arial" w:cs="Arial"/>
          <w:noProof/>
          <w:sz w:val="20"/>
          <w:szCs w:val="20"/>
        </w:rPr>
        <w:t>the Mortgage Credit Directive</w:t>
      </w:r>
      <w:r>
        <w:rPr>
          <w:rStyle w:val="FootnoteReference"/>
          <w:rFonts w:ascii="Arial" w:eastAsia="Calibri" w:hAnsi="Arial" w:cs="Arial"/>
          <w:noProof/>
          <w:kern w:val="20"/>
          <w:sz w:val="20"/>
          <w:szCs w:val="20"/>
        </w:rPr>
        <w:footnoteReference w:id="202"/>
      </w:r>
      <w:r>
        <w:rPr>
          <w:rFonts w:ascii="Arial" w:hAnsi="Arial" w:cs="Arial"/>
          <w:noProof/>
          <w:sz w:val="20"/>
          <w:szCs w:val="20"/>
        </w:rPr>
        <w:t>, the Payment Accounts Directive</w:t>
      </w:r>
      <w:r>
        <w:rPr>
          <w:rStyle w:val="FootnoteReference"/>
          <w:rFonts w:ascii="Arial" w:eastAsia="Calibri" w:hAnsi="Arial" w:cs="Arial"/>
          <w:noProof/>
          <w:kern w:val="20"/>
          <w:sz w:val="20"/>
          <w:szCs w:val="20"/>
        </w:rPr>
        <w:footnoteReference w:id="203"/>
      </w:r>
      <w:r>
        <w:rPr>
          <w:rFonts w:ascii="Arial" w:hAnsi="Arial" w:cs="Arial"/>
          <w:noProof/>
          <w:sz w:val="20"/>
          <w:szCs w:val="20"/>
        </w:rPr>
        <w:t xml:space="preserve"> and the Directive on disclosure of non-financial information by certain large undertakings</w:t>
      </w:r>
      <w:r>
        <w:rPr>
          <w:rStyle w:val="FootnoteReference"/>
          <w:rFonts w:ascii="Arial" w:eastAsia="Calibri" w:hAnsi="Arial" w:cs="Arial"/>
          <w:noProof/>
          <w:kern w:val="20"/>
          <w:sz w:val="20"/>
          <w:szCs w:val="20"/>
        </w:rPr>
        <w:footnoteReference w:id="204"/>
      </w:r>
      <w:r>
        <w:rPr>
          <w:rFonts w:ascii="Arial" w:hAnsi="Arial" w:cs="Arial"/>
          <w:noProof/>
          <w:sz w:val="20"/>
          <w:szCs w:val="20"/>
        </w:rPr>
        <w:t>; assessing the conformity of national transposition measures with these directives.</w:t>
      </w:r>
    </w:p>
    <w:p w:rsidR="00E201F7" w:rsidRDefault="00E24EFF">
      <w:pPr>
        <w:pStyle w:val="ListParagraph"/>
        <w:numPr>
          <w:ilvl w:val="0"/>
          <w:numId w:val="69"/>
        </w:numPr>
        <w:spacing w:after="120"/>
        <w:ind w:left="1797" w:hanging="357"/>
        <w:contextualSpacing w:val="0"/>
        <w:rPr>
          <w:rFonts w:ascii="Arial" w:hAnsi="Arial" w:cs="Arial"/>
          <w:noProof/>
          <w:sz w:val="20"/>
          <w:szCs w:val="20"/>
        </w:rPr>
      </w:pPr>
      <w:r>
        <w:rPr>
          <w:rFonts w:ascii="Arial" w:hAnsi="Arial" w:cs="Arial"/>
          <w:noProof/>
          <w:sz w:val="20"/>
          <w:szCs w:val="20"/>
        </w:rPr>
        <w:t xml:space="preserve">Following up on </w:t>
      </w:r>
      <w:r>
        <w:rPr>
          <w:rFonts w:ascii="Arial" w:hAnsi="Arial" w:cs="Arial"/>
          <w:noProof/>
          <w:sz w:val="20"/>
          <w:szCs w:val="20"/>
        </w:rPr>
        <w:t>a forthcoming preliminary ruling on the compatibility of intra-EU Bilateral Investment Agreements with EU law</w:t>
      </w:r>
      <w:r>
        <w:rPr>
          <w:rStyle w:val="FootnoteReference"/>
          <w:rFonts w:ascii="Arial" w:hAnsi="Arial" w:cs="Arial"/>
          <w:noProof/>
          <w:sz w:val="20"/>
          <w:szCs w:val="20"/>
        </w:rPr>
        <w:footnoteReference w:id="205"/>
      </w:r>
      <w:r>
        <w:rPr>
          <w:rFonts w:ascii="Arial" w:hAnsi="Arial" w:cs="Arial"/>
          <w:noProof/>
          <w:sz w:val="20"/>
          <w:szCs w:val="20"/>
        </w:rPr>
        <w:t>. The Court is expected to clarify, among other things, whether an investor-to-state dispute settlement clause within the EU is compatible with th</w:t>
      </w:r>
      <w:r>
        <w:rPr>
          <w:rFonts w:ascii="Arial" w:hAnsi="Arial" w:cs="Arial"/>
          <w:noProof/>
          <w:sz w:val="20"/>
          <w:szCs w:val="20"/>
        </w:rPr>
        <w:t>e system of legal protection established by EU law.</w:t>
      </w:r>
    </w:p>
    <w:p w:rsidR="00E201F7" w:rsidRDefault="00E201F7">
      <w:pPr>
        <w:contextualSpacing/>
        <w:rPr>
          <w:rFonts w:cs="Arial"/>
          <w:noProof/>
          <w:sz w:val="20"/>
        </w:rPr>
      </w:pPr>
    </w:p>
    <w:p w:rsidR="00E201F7" w:rsidRDefault="00E201F7">
      <w:pPr>
        <w:contextualSpacing/>
        <w:rPr>
          <w:rFonts w:cs="Arial"/>
          <w:noProof/>
          <w:sz w:val="20"/>
        </w:rPr>
        <w:sectPr w:rsidR="00E201F7">
          <w:headerReference w:type="even" r:id="rId95"/>
          <w:headerReference w:type="default" r:id="rId96"/>
          <w:footerReference w:type="even" r:id="rId97"/>
          <w:footerReference w:type="default" r:id="rId98"/>
          <w:headerReference w:type="first" r:id="rId99"/>
          <w:footerReference w:type="first" r:id="rId100"/>
          <w:footnotePr>
            <w:numRestart w:val="eachSect"/>
          </w:footnotePr>
          <w:pgSz w:w="11907" w:h="16839" w:code="9"/>
          <w:pgMar w:top="1843" w:right="1275" w:bottom="737" w:left="1418" w:header="567" w:footer="352" w:gutter="0"/>
          <w:cols w:space="720"/>
          <w:titlePg/>
          <w:docGrid w:linePitch="326"/>
        </w:sectPr>
      </w:pPr>
    </w:p>
    <w:p w:rsidR="00E201F7" w:rsidRDefault="00E24EFF">
      <w:pPr>
        <w:pStyle w:val="Heading1"/>
        <w:spacing w:after="0"/>
        <w:ind w:left="0"/>
        <w:rPr>
          <w:rFonts w:ascii="Arial" w:hAnsi="Arial" w:cs="Arial"/>
          <w:noProof/>
        </w:rPr>
      </w:pPr>
      <w:bookmarkStart w:id="75" w:name="_Toc443057940"/>
      <w:bookmarkStart w:id="76" w:name="_Toc475524736"/>
      <w:bookmarkStart w:id="77" w:name="_Toc475529503"/>
      <w:bookmarkStart w:id="78" w:name="_Toc475529542"/>
      <w:bookmarkStart w:id="79" w:name="_Toc475529870"/>
      <w:bookmarkStart w:id="80" w:name="_Toc475550835"/>
      <w:bookmarkStart w:id="81" w:name="_Toc475551375"/>
      <w:bookmarkStart w:id="82" w:name="_Toc507510318"/>
      <w:bookmarkStart w:id="83" w:name="_Toc507517732"/>
      <w:bookmarkStart w:id="84" w:name="_Toc507520113"/>
      <w:bookmarkStart w:id="85" w:name="_Toc510016530"/>
      <w:r>
        <w:rPr>
          <w:rFonts w:ascii="Arial" w:hAnsi="Arial" w:cs="Arial"/>
          <w:noProof/>
        </w:rPr>
        <w:t>Health and food safety</w:t>
      </w:r>
      <w:bookmarkEnd w:id="75"/>
      <w:bookmarkEnd w:id="76"/>
      <w:bookmarkEnd w:id="77"/>
      <w:bookmarkEnd w:id="78"/>
      <w:bookmarkEnd w:id="79"/>
      <w:bookmarkEnd w:id="80"/>
      <w:bookmarkEnd w:id="81"/>
      <w:bookmarkEnd w:id="82"/>
      <w:bookmarkEnd w:id="83"/>
      <w:bookmarkEnd w:id="84"/>
      <w:bookmarkEnd w:id="85"/>
    </w:p>
    <w:p w:rsidR="00E201F7" w:rsidRDefault="00E24EFF">
      <w:pPr>
        <w:pStyle w:val="kop2"/>
        <w:numPr>
          <w:ilvl w:val="0"/>
          <w:numId w:val="86"/>
        </w:numPr>
        <w:rPr>
          <w:noProof/>
        </w:rPr>
      </w:pPr>
      <w:r>
        <w:rPr>
          <w:noProof/>
        </w:rPr>
        <w:t>COMPLAINTS</w:t>
      </w:r>
    </w:p>
    <w:p w:rsidR="00E201F7" w:rsidRDefault="00E24EFF">
      <w:pPr>
        <w:numPr>
          <w:ilvl w:val="0"/>
          <w:numId w:val="120"/>
        </w:numPr>
        <w:spacing w:before="240"/>
        <w:ind w:left="714" w:hanging="357"/>
        <w:jc w:val="left"/>
        <w:outlineLvl w:val="1"/>
        <w:rPr>
          <w:rFonts w:ascii="Arial" w:hAnsi="Arial" w:cs="Arial"/>
          <w:noProof/>
          <w:color w:val="002060"/>
          <w:sz w:val="22"/>
        </w:rPr>
      </w:pPr>
      <w:r>
        <w:rPr>
          <w:rFonts w:ascii="Arial" w:hAnsi="Arial" w:cs="Arial"/>
          <w:noProof/>
          <w:color w:val="002060"/>
          <w:sz w:val="22"/>
        </w:rPr>
        <w:t>New complaints received from members of the public (2013-2017)</w:t>
      </w:r>
    </w:p>
    <w:p w:rsidR="00E201F7" w:rsidRDefault="00E24EFF">
      <w:pPr>
        <w:ind w:left="720"/>
        <w:rPr>
          <w:rFonts w:ascii="Verdana" w:hAnsi="Verdana"/>
          <w:noProof/>
          <w:sz w:val="20"/>
        </w:rPr>
      </w:pPr>
      <w:r>
        <w:rPr>
          <w:rFonts w:ascii="Verdana" w:hAnsi="Verdana"/>
          <w:noProof/>
          <w:sz w:val="20"/>
        </w:rPr>
        <w:drawing>
          <wp:inline distT="0" distB="0" distL="0" distR="0" wp14:anchorId="0883CD16" wp14:editId="435F874E">
            <wp:extent cx="4572000" cy="1940560"/>
            <wp:effectExtent l="0" t="0" r="0" b="0"/>
            <wp:docPr id="305"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E201F7" w:rsidRDefault="00E24EFF">
      <w:pPr>
        <w:numPr>
          <w:ilvl w:val="0"/>
          <w:numId w:val="120"/>
        </w:numPr>
        <w:spacing w:before="240"/>
        <w:ind w:left="714" w:hanging="357"/>
        <w:jc w:val="left"/>
        <w:outlineLvl w:val="1"/>
        <w:rPr>
          <w:rFonts w:ascii="Arial" w:hAnsi="Arial" w:cs="Arial"/>
          <w:noProof/>
          <w:color w:val="002060"/>
          <w:sz w:val="22"/>
        </w:rPr>
      </w:pPr>
      <w:r>
        <w:rPr>
          <w:rFonts w:ascii="Arial" w:hAnsi="Arial" w:cs="Arial"/>
          <w:noProof/>
          <w:color w:val="002060"/>
          <w:sz w:val="22"/>
        </w:rPr>
        <w:t>Public complaints open at year-end</w:t>
      </w:r>
    </w:p>
    <w:tbl>
      <w:tblPr>
        <w:tblW w:w="0" w:type="auto"/>
        <w:jc w:val="center"/>
        <w:tblLook w:val="04A0" w:firstRow="1" w:lastRow="0" w:firstColumn="1" w:lastColumn="0" w:noHBand="0" w:noVBand="1"/>
      </w:tblPr>
      <w:tblGrid>
        <w:gridCol w:w="1697"/>
        <w:gridCol w:w="381"/>
        <w:gridCol w:w="5310"/>
      </w:tblGrid>
      <w:tr w:rsidR="00E201F7">
        <w:trPr>
          <w:trHeight w:val="403"/>
          <w:jc w:val="center"/>
        </w:trPr>
        <w:tc>
          <w:tcPr>
            <w:tcW w:w="1697" w:type="dxa"/>
            <w:shd w:val="clear" w:color="auto" w:fill="auto"/>
            <w:vAlign w:val="center"/>
          </w:tcPr>
          <w:p w:rsidR="00E201F7" w:rsidRDefault="00E24EFF">
            <w:pPr>
              <w:spacing w:after="0"/>
              <w:jc w:val="right"/>
              <w:rPr>
                <w:rFonts w:ascii="Arial" w:hAnsi="Arial" w:cs="Arial"/>
                <w:noProof/>
                <w:color w:val="548DD4"/>
                <w:sz w:val="22"/>
              </w:rPr>
            </w:pPr>
            <w:r>
              <w:rPr>
                <w:rFonts w:ascii="Arial" w:hAnsi="Arial" w:cs="Arial"/>
                <w:noProof/>
                <w:color w:val="548DD4"/>
                <w:sz w:val="22"/>
              </w:rPr>
              <w:t>92</w:t>
            </w:r>
          </w:p>
        </w:tc>
        <w:tc>
          <w:tcPr>
            <w:tcW w:w="381" w:type="dxa"/>
            <w:shd w:val="clear" w:color="auto" w:fill="auto"/>
            <w:vAlign w:val="center"/>
          </w:tcPr>
          <w:p w:rsidR="00E201F7" w:rsidRDefault="00E24EFF">
            <w:pPr>
              <w:spacing w:after="0"/>
              <w:jc w:val="right"/>
              <w:rPr>
                <w:rFonts w:ascii="Arial" w:hAnsi="Arial" w:cs="Arial"/>
                <w:noProof/>
                <w:color w:val="548DD4"/>
                <w:sz w:val="22"/>
              </w:rPr>
            </w:pPr>
            <w:r>
              <w:rPr>
                <w:rFonts w:ascii="Arial" w:hAnsi="Arial" w:cs="Arial"/>
                <w:noProof/>
                <w:color w:val="548DD4"/>
                <w:sz w:val="22"/>
              </w:rPr>
              <w:t>&gt;</w:t>
            </w:r>
          </w:p>
        </w:tc>
        <w:tc>
          <w:tcPr>
            <w:tcW w:w="5310" w:type="dxa"/>
            <w:shd w:val="clear" w:color="auto" w:fill="auto"/>
            <w:vAlign w:val="center"/>
          </w:tcPr>
          <w:p w:rsidR="00E201F7" w:rsidRDefault="00E24EFF">
            <w:pPr>
              <w:spacing w:after="0"/>
              <w:jc w:val="left"/>
              <w:rPr>
                <w:rFonts w:ascii="Arial" w:hAnsi="Arial" w:cs="Arial"/>
                <w:noProof/>
                <w:color w:val="548DD4"/>
                <w:sz w:val="22"/>
              </w:rPr>
            </w:pPr>
            <w:r>
              <w:rPr>
                <w:rFonts w:ascii="Arial" w:hAnsi="Arial" w:cs="Arial"/>
                <w:noProof/>
                <w:color w:val="548DD4"/>
                <w:sz w:val="22"/>
              </w:rPr>
              <w:t xml:space="preserve">Complaints open </w:t>
            </w:r>
            <w:r>
              <w:rPr>
                <w:rFonts w:ascii="Arial" w:hAnsi="Arial" w:cs="Arial"/>
                <w:noProof/>
                <w:color w:val="548DD4"/>
                <w:sz w:val="22"/>
              </w:rPr>
              <w:t>at end-2016</w:t>
            </w:r>
          </w:p>
        </w:tc>
      </w:tr>
      <w:tr w:rsidR="00E201F7">
        <w:trPr>
          <w:trHeight w:val="403"/>
          <w:jc w:val="center"/>
        </w:trPr>
        <w:tc>
          <w:tcPr>
            <w:tcW w:w="1697" w:type="dxa"/>
            <w:shd w:val="clear" w:color="auto" w:fill="auto"/>
            <w:vAlign w:val="center"/>
          </w:tcPr>
          <w:p w:rsidR="00E201F7" w:rsidRDefault="00E24EFF">
            <w:pPr>
              <w:spacing w:after="0"/>
              <w:jc w:val="right"/>
              <w:rPr>
                <w:rFonts w:ascii="Arial" w:hAnsi="Arial" w:cs="Arial"/>
                <w:noProof/>
                <w:color w:val="548DD4"/>
                <w:sz w:val="22"/>
              </w:rPr>
            </w:pPr>
            <w:r>
              <w:rPr>
                <w:rFonts w:ascii="Arial" w:hAnsi="Arial" w:cs="Arial"/>
                <w:noProof/>
                <w:color w:val="548DD4"/>
                <w:sz w:val="22"/>
              </w:rPr>
              <w:t>198</w:t>
            </w:r>
          </w:p>
        </w:tc>
        <w:tc>
          <w:tcPr>
            <w:tcW w:w="381" w:type="dxa"/>
            <w:shd w:val="clear" w:color="auto" w:fill="auto"/>
            <w:vAlign w:val="center"/>
          </w:tcPr>
          <w:p w:rsidR="00E201F7" w:rsidRDefault="00E24EFF">
            <w:pPr>
              <w:spacing w:after="0"/>
              <w:jc w:val="right"/>
              <w:rPr>
                <w:rFonts w:ascii="Arial" w:hAnsi="Arial" w:cs="Arial"/>
                <w:noProof/>
                <w:color w:val="548DD4"/>
                <w:sz w:val="22"/>
              </w:rPr>
            </w:pPr>
            <w:r>
              <w:rPr>
                <w:rFonts w:ascii="Arial" w:hAnsi="Arial" w:cs="Arial"/>
                <w:noProof/>
                <w:color w:val="548DD4"/>
                <w:sz w:val="22"/>
              </w:rPr>
              <w:t>&gt;</w:t>
            </w:r>
          </w:p>
        </w:tc>
        <w:tc>
          <w:tcPr>
            <w:tcW w:w="5310" w:type="dxa"/>
            <w:shd w:val="clear" w:color="auto" w:fill="auto"/>
            <w:vAlign w:val="center"/>
          </w:tcPr>
          <w:p w:rsidR="00E201F7" w:rsidRDefault="00E24EFF">
            <w:pPr>
              <w:spacing w:after="0"/>
              <w:jc w:val="left"/>
              <w:rPr>
                <w:rFonts w:ascii="Arial" w:hAnsi="Arial" w:cs="Arial"/>
                <w:noProof/>
                <w:color w:val="548DD4"/>
                <w:sz w:val="22"/>
              </w:rPr>
            </w:pPr>
            <w:r>
              <w:rPr>
                <w:rFonts w:ascii="Arial" w:hAnsi="Arial" w:cs="Arial"/>
                <w:noProof/>
                <w:color w:val="548DD4"/>
                <w:sz w:val="22"/>
              </w:rPr>
              <w:t>New complaints registered in 2017</w:t>
            </w:r>
          </w:p>
        </w:tc>
      </w:tr>
      <w:tr w:rsidR="00E201F7">
        <w:trPr>
          <w:trHeight w:val="403"/>
          <w:jc w:val="center"/>
        </w:trPr>
        <w:tc>
          <w:tcPr>
            <w:tcW w:w="1697" w:type="dxa"/>
            <w:tcBorders>
              <w:bottom w:val="single" w:sz="24" w:space="0" w:color="548DD4"/>
            </w:tcBorders>
            <w:shd w:val="clear" w:color="auto" w:fill="auto"/>
            <w:vAlign w:val="center"/>
          </w:tcPr>
          <w:p w:rsidR="00E201F7" w:rsidRDefault="00E24EFF">
            <w:pPr>
              <w:spacing w:after="0"/>
              <w:jc w:val="right"/>
              <w:rPr>
                <w:rFonts w:ascii="Arial" w:hAnsi="Arial" w:cs="Arial"/>
                <w:noProof/>
                <w:color w:val="548DD4"/>
                <w:sz w:val="22"/>
              </w:rPr>
            </w:pPr>
            <w:r>
              <w:rPr>
                <w:rFonts w:ascii="Arial" w:hAnsi="Arial" w:cs="Arial"/>
                <w:noProof/>
                <w:color w:val="548DD4"/>
                <w:sz w:val="22"/>
              </w:rPr>
              <w:t>209</w:t>
            </w:r>
          </w:p>
        </w:tc>
        <w:tc>
          <w:tcPr>
            <w:tcW w:w="381" w:type="dxa"/>
            <w:shd w:val="clear" w:color="auto" w:fill="auto"/>
            <w:vAlign w:val="center"/>
          </w:tcPr>
          <w:p w:rsidR="00E201F7" w:rsidRDefault="00E24EFF">
            <w:pPr>
              <w:spacing w:after="0"/>
              <w:jc w:val="right"/>
              <w:rPr>
                <w:rFonts w:ascii="Arial" w:hAnsi="Arial" w:cs="Arial"/>
                <w:noProof/>
                <w:color w:val="548DD4"/>
                <w:sz w:val="22"/>
              </w:rPr>
            </w:pPr>
            <w:r>
              <w:rPr>
                <w:rFonts w:ascii="Arial" w:hAnsi="Arial" w:cs="Arial"/>
                <w:noProof/>
                <w:color w:val="548DD4"/>
                <w:sz w:val="22"/>
              </w:rPr>
              <w:t>&gt;</w:t>
            </w:r>
          </w:p>
        </w:tc>
        <w:tc>
          <w:tcPr>
            <w:tcW w:w="5310" w:type="dxa"/>
            <w:shd w:val="clear" w:color="auto" w:fill="auto"/>
            <w:vAlign w:val="center"/>
          </w:tcPr>
          <w:p w:rsidR="00E201F7" w:rsidRDefault="00E24EFF">
            <w:pPr>
              <w:spacing w:after="0"/>
              <w:jc w:val="left"/>
              <w:rPr>
                <w:rFonts w:ascii="Arial" w:hAnsi="Arial" w:cs="Arial"/>
                <w:noProof/>
                <w:color w:val="548DD4"/>
                <w:sz w:val="22"/>
              </w:rPr>
            </w:pPr>
            <w:r>
              <w:rPr>
                <w:rFonts w:ascii="Arial" w:hAnsi="Arial" w:cs="Arial"/>
                <w:noProof/>
                <w:color w:val="548DD4"/>
                <w:sz w:val="22"/>
              </w:rPr>
              <w:t>Complaints handled in 2017</w:t>
            </w:r>
          </w:p>
        </w:tc>
      </w:tr>
      <w:tr w:rsidR="00E201F7">
        <w:trPr>
          <w:trHeight w:val="403"/>
          <w:jc w:val="center"/>
        </w:trPr>
        <w:tc>
          <w:tcPr>
            <w:tcW w:w="1697" w:type="dxa"/>
            <w:tcBorders>
              <w:top w:val="single" w:sz="24" w:space="0" w:color="548DD4"/>
            </w:tcBorders>
            <w:shd w:val="clear" w:color="auto" w:fill="auto"/>
            <w:vAlign w:val="center"/>
          </w:tcPr>
          <w:p w:rsidR="00E201F7" w:rsidRDefault="00E24EFF">
            <w:pPr>
              <w:spacing w:after="0"/>
              <w:jc w:val="right"/>
              <w:rPr>
                <w:rFonts w:ascii="Arial" w:hAnsi="Arial" w:cs="Arial"/>
                <w:noProof/>
                <w:color w:val="C00000"/>
                <w:sz w:val="22"/>
              </w:rPr>
            </w:pPr>
            <w:r>
              <w:rPr>
                <w:rFonts w:ascii="Arial" w:hAnsi="Arial" w:cs="Arial"/>
                <w:noProof/>
                <w:color w:val="C00000"/>
                <w:sz w:val="22"/>
              </w:rPr>
              <w:t>= 81</w:t>
            </w:r>
          </w:p>
        </w:tc>
        <w:tc>
          <w:tcPr>
            <w:tcW w:w="381" w:type="dxa"/>
            <w:shd w:val="clear" w:color="auto" w:fill="auto"/>
            <w:vAlign w:val="center"/>
          </w:tcPr>
          <w:p w:rsidR="00E201F7" w:rsidRDefault="00E24EFF">
            <w:pPr>
              <w:spacing w:after="0"/>
              <w:jc w:val="right"/>
              <w:rPr>
                <w:rFonts w:ascii="Arial" w:hAnsi="Arial" w:cs="Arial"/>
                <w:noProof/>
                <w:color w:val="548DD4"/>
                <w:sz w:val="22"/>
              </w:rPr>
            </w:pPr>
            <w:r>
              <w:rPr>
                <w:rFonts w:ascii="Arial" w:hAnsi="Arial" w:cs="Arial"/>
                <w:noProof/>
                <w:color w:val="548DD4"/>
                <w:sz w:val="22"/>
              </w:rPr>
              <w:t>&gt;</w:t>
            </w:r>
          </w:p>
        </w:tc>
        <w:tc>
          <w:tcPr>
            <w:tcW w:w="5310" w:type="dxa"/>
            <w:shd w:val="clear" w:color="auto" w:fill="auto"/>
            <w:vAlign w:val="center"/>
          </w:tcPr>
          <w:p w:rsidR="00E201F7" w:rsidRDefault="00E24EFF">
            <w:pPr>
              <w:spacing w:after="0"/>
              <w:jc w:val="left"/>
              <w:rPr>
                <w:rFonts w:ascii="Arial" w:hAnsi="Arial" w:cs="Arial"/>
                <w:noProof/>
                <w:color w:val="548DD4"/>
                <w:sz w:val="22"/>
              </w:rPr>
            </w:pPr>
            <w:r>
              <w:rPr>
                <w:rFonts w:ascii="Arial" w:hAnsi="Arial" w:cs="Arial"/>
                <w:noProof/>
                <w:color w:val="548DD4"/>
                <w:sz w:val="22"/>
              </w:rPr>
              <w:t>Complaints open at end-2017</w:t>
            </w:r>
          </w:p>
        </w:tc>
      </w:tr>
    </w:tbl>
    <w:p w:rsidR="00E201F7" w:rsidRDefault="00E24EFF">
      <w:pPr>
        <w:numPr>
          <w:ilvl w:val="0"/>
          <w:numId w:val="120"/>
        </w:numPr>
        <w:spacing w:before="240"/>
        <w:ind w:left="714" w:hanging="357"/>
        <w:jc w:val="left"/>
        <w:outlineLvl w:val="1"/>
        <w:rPr>
          <w:rFonts w:ascii="Arial" w:hAnsi="Arial" w:cs="Arial"/>
          <w:noProof/>
          <w:color w:val="002060"/>
          <w:sz w:val="22"/>
        </w:rPr>
      </w:pPr>
      <w:r>
        <w:rPr>
          <w:rFonts w:ascii="Arial" w:hAnsi="Arial" w:cs="Arial"/>
          <w:noProof/>
          <w:color w:val="002060"/>
          <w:sz w:val="22"/>
        </w:rPr>
        <w:t>New complaints registered in 2017: main policy sectors</w:t>
      </w:r>
    </w:p>
    <w:p w:rsidR="00E201F7" w:rsidRDefault="00E24EFF">
      <w:pPr>
        <w:ind w:left="720"/>
        <w:rPr>
          <w:rFonts w:ascii="Verdana" w:hAnsi="Verdana"/>
          <w:noProof/>
          <w:sz w:val="20"/>
        </w:rPr>
      </w:pPr>
      <w:r>
        <w:rPr>
          <w:rFonts w:ascii="Verdana" w:hAnsi="Verdana"/>
          <w:noProof/>
          <w:sz w:val="20"/>
        </w:rPr>
        <w:drawing>
          <wp:inline distT="0" distB="0" distL="0" distR="0" wp14:anchorId="42D69729" wp14:editId="3D71DDA1">
            <wp:extent cx="4795520" cy="2479040"/>
            <wp:effectExtent l="0" t="0" r="24130" b="16510"/>
            <wp:docPr id="304" name="Objec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E201F7" w:rsidRDefault="00E24EFF">
      <w:pPr>
        <w:spacing w:after="0"/>
        <w:jc w:val="left"/>
        <w:rPr>
          <w:caps/>
          <w:noProof/>
          <w:color w:val="4F81BD"/>
          <w:szCs w:val="24"/>
        </w:rPr>
      </w:pPr>
      <w:r>
        <w:rPr>
          <w:noProof/>
          <w:sz w:val="20"/>
        </w:rPr>
        <w:br w:type="page"/>
      </w:r>
    </w:p>
    <w:p w:rsidR="00E201F7" w:rsidRDefault="00E24EFF">
      <w:pPr>
        <w:pStyle w:val="kop2"/>
        <w:rPr>
          <w:noProof/>
        </w:rPr>
      </w:pPr>
      <w:r>
        <w:rPr>
          <w:noProof/>
        </w:rPr>
        <w:t>EU PILOT</w:t>
      </w:r>
    </w:p>
    <w:p w:rsidR="00E201F7" w:rsidRDefault="00E24EFF">
      <w:pPr>
        <w:numPr>
          <w:ilvl w:val="0"/>
          <w:numId w:val="121"/>
        </w:numPr>
        <w:spacing w:before="240"/>
        <w:ind w:left="714" w:hanging="357"/>
        <w:jc w:val="left"/>
        <w:outlineLvl w:val="1"/>
        <w:rPr>
          <w:rFonts w:ascii="Arial" w:hAnsi="Arial" w:cs="Arial"/>
          <w:noProof/>
          <w:color w:val="002060"/>
          <w:sz w:val="22"/>
        </w:rPr>
      </w:pPr>
      <w:r>
        <w:rPr>
          <w:rFonts w:ascii="Arial" w:hAnsi="Arial" w:cs="Arial"/>
          <w:noProof/>
          <w:color w:val="002060"/>
          <w:sz w:val="22"/>
        </w:rPr>
        <w:t>New EU Pilot files (2013-2017)</w:t>
      </w:r>
    </w:p>
    <w:p w:rsidR="00E201F7" w:rsidRDefault="00E24EFF">
      <w:pPr>
        <w:ind w:left="720"/>
        <w:rPr>
          <w:rFonts w:ascii="Verdana" w:hAnsi="Verdana"/>
          <w:noProof/>
          <w:sz w:val="20"/>
        </w:rPr>
      </w:pPr>
      <w:r>
        <w:rPr>
          <w:rFonts w:ascii="Verdana" w:hAnsi="Verdana"/>
          <w:noProof/>
          <w:sz w:val="20"/>
        </w:rPr>
        <w:drawing>
          <wp:inline distT="0" distB="0" distL="0" distR="0" wp14:anchorId="54504C3E" wp14:editId="2789CFCD">
            <wp:extent cx="4551680" cy="2113280"/>
            <wp:effectExtent l="0" t="0" r="0" b="0"/>
            <wp:docPr id="303"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E201F7" w:rsidRDefault="00E24EFF">
      <w:pPr>
        <w:numPr>
          <w:ilvl w:val="0"/>
          <w:numId w:val="121"/>
        </w:numPr>
        <w:spacing w:before="240"/>
        <w:ind w:left="714" w:hanging="357"/>
        <w:jc w:val="left"/>
        <w:outlineLvl w:val="1"/>
        <w:rPr>
          <w:rFonts w:ascii="Arial" w:hAnsi="Arial" w:cs="Arial"/>
          <w:noProof/>
          <w:color w:val="002060"/>
          <w:sz w:val="22"/>
        </w:rPr>
      </w:pPr>
      <w:r>
        <w:rPr>
          <w:rFonts w:ascii="Arial" w:hAnsi="Arial" w:cs="Arial"/>
          <w:noProof/>
          <w:color w:val="002060"/>
          <w:sz w:val="22"/>
        </w:rPr>
        <w:t>EU Pilot open at year-end</w:t>
      </w:r>
    </w:p>
    <w:p w:rsidR="00E201F7" w:rsidRDefault="00E24EFF">
      <w:pPr>
        <w:pStyle w:val="ListParagraph"/>
        <w:spacing w:before="120"/>
        <w:rPr>
          <w:rFonts w:ascii="Arial" w:hAnsi="Arial" w:cs="Arial"/>
          <w:noProof/>
          <w:sz w:val="20"/>
        </w:rPr>
      </w:pPr>
      <w:r>
        <w:rPr>
          <w:rFonts w:ascii="Arial" w:hAnsi="Arial" w:cs="Arial"/>
          <w:noProof/>
          <w:sz w:val="20"/>
        </w:rPr>
        <w:t xml:space="preserve">At </w:t>
      </w:r>
      <w:r>
        <w:rPr>
          <w:rFonts w:ascii="Arial" w:hAnsi="Arial" w:cs="Arial"/>
          <w:noProof/>
          <w:sz w:val="20"/>
        </w:rPr>
        <w:t>the end of 2017, 17 EU Pilot files remained open.</w:t>
      </w:r>
    </w:p>
    <w:p w:rsidR="00E201F7" w:rsidRDefault="00E24EFF">
      <w:pPr>
        <w:numPr>
          <w:ilvl w:val="0"/>
          <w:numId w:val="121"/>
        </w:numPr>
        <w:spacing w:before="240"/>
        <w:ind w:left="714" w:hanging="357"/>
        <w:jc w:val="left"/>
        <w:outlineLvl w:val="1"/>
        <w:rPr>
          <w:rFonts w:ascii="Arial" w:hAnsi="Arial" w:cs="Arial"/>
          <w:noProof/>
          <w:color w:val="002060"/>
          <w:sz w:val="22"/>
        </w:rPr>
      </w:pPr>
      <w:r>
        <w:rPr>
          <w:rFonts w:ascii="Arial" w:hAnsi="Arial" w:cs="Arial"/>
          <w:noProof/>
          <w:color w:val="002060"/>
          <w:sz w:val="22"/>
        </w:rPr>
        <w:t>EU Pilot files: resolution rate for policies (2013-2017)</w:t>
      </w:r>
    </w:p>
    <w:p w:rsidR="00E201F7" w:rsidRDefault="00E24EFF">
      <w:pPr>
        <w:spacing w:before="240"/>
        <w:ind w:left="714"/>
        <w:jc w:val="left"/>
        <w:outlineLvl w:val="1"/>
        <w:rPr>
          <w:rFonts w:ascii="Arial" w:hAnsi="Arial" w:cs="Arial"/>
          <w:noProof/>
          <w:color w:val="002060"/>
          <w:sz w:val="22"/>
        </w:rPr>
      </w:pPr>
      <w:r>
        <w:rPr>
          <w:rFonts w:ascii="Verdana" w:hAnsi="Verdana"/>
          <w:noProof/>
          <w:sz w:val="20"/>
        </w:rPr>
        <w:drawing>
          <wp:inline distT="0" distB="0" distL="0" distR="0" wp14:anchorId="6CF5A6D0" wp14:editId="270D745F">
            <wp:extent cx="4610100" cy="2495550"/>
            <wp:effectExtent l="0" t="0" r="19050" b="19050"/>
            <wp:docPr id="352"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E201F7" w:rsidRDefault="00E24EFF">
      <w:pPr>
        <w:pStyle w:val="kop2"/>
        <w:rPr>
          <w:noProof/>
        </w:rPr>
      </w:pPr>
      <w:r>
        <w:rPr>
          <w:noProof/>
        </w:rPr>
        <w:t>OWN-INITIATIVE CASES</w:t>
      </w:r>
    </w:p>
    <w:p w:rsidR="00E201F7" w:rsidRDefault="00E24EFF">
      <w:pPr>
        <w:spacing w:after="60"/>
        <w:ind w:left="360"/>
        <w:jc w:val="left"/>
        <w:outlineLvl w:val="1"/>
        <w:rPr>
          <w:rFonts w:ascii="Arial" w:hAnsi="Arial" w:cs="Arial"/>
          <w:noProof/>
          <w:color w:val="002060"/>
          <w:sz w:val="22"/>
        </w:rPr>
      </w:pPr>
      <w:r>
        <w:rPr>
          <w:rFonts w:ascii="Arial" w:hAnsi="Arial" w:cs="Arial"/>
          <w:noProof/>
          <w:color w:val="002060"/>
          <w:sz w:val="22"/>
        </w:rPr>
        <w:t>New own-initiative infringement cases</w:t>
      </w:r>
    </w:p>
    <w:p w:rsidR="00E201F7" w:rsidRDefault="00E24EFF">
      <w:pPr>
        <w:autoSpaceDE w:val="0"/>
        <w:autoSpaceDN w:val="0"/>
        <w:adjustRightInd w:val="0"/>
        <w:spacing w:before="120"/>
        <w:ind w:left="720"/>
        <w:rPr>
          <w:rFonts w:ascii="Arial" w:hAnsi="Arial" w:cs="Arial"/>
          <w:noProof/>
          <w:sz w:val="20"/>
        </w:rPr>
      </w:pPr>
      <w:r>
        <w:rPr>
          <w:rFonts w:ascii="Arial" w:hAnsi="Arial" w:cs="Arial"/>
          <w:noProof/>
          <w:sz w:val="20"/>
        </w:rPr>
        <w:t>In 2017 the Commission opened own-initiative infringement cases over:</w:t>
      </w:r>
    </w:p>
    <w:p w:rsidR="00E201F7" w:rsidRDefault="00E24EFF">
      <w:pPr>
        <w:pStyle w:val="ListParagraph"/>
        <w:numPr>
          <w:ilvl w:val="0"/>
          <w:numId w:val="76"/>
        </w:numPr>
        <w:autoSpaceDE w:val="0"/>
        <w:autoSpaceDN w:val="0"/>
        <w:adjustRightInd w:val="0"/>
        <w:ind w:left="1200"/>
        <w:rPr>
          <w:rFonts w:ascii="Arial" w:hAnsi="Arial" w:cs="Arial"/>
          <w:noProof/>
          <w:sz w:val="20"/>
        </w:rPr>
      </w:pPr>
      <w:r>
        <w:rPr>
          <w:rFonts w:ascii="Arial" w:hAnsi="Arial" w:cs="Arial"/>
          <w:noProof/>
          <w:sz w:val="20"/>
        </w:rPr>
        <w:t>animal welfare;</w:t>
      </w:r>
    </w:p>
    <w:p w:rsidR="00E201F7" w:rsidRDefault="00E24EFF">
      <w:pPr>
        <w:pStyle w:val="ListParagraph"/>
        <w:numPr>
          <w:ilvl w:val="0"/>
          <w:numId w:val="76"/>
        </w:numPr>
        <w:autoSpaceDE w:val="0"/>
        <w:autoSpaceDN w:val="0"/>
        <w:adjustRightInd w:val="0"/>
        <w:ind w:left="1200"/>
        <w:rPr>
          <w:rFonts w:ascii="Arial" w:hAnsi="Arial" w:cs="Arial"/>
          <w:noProof/>
          <w:sz w:val="20"/>
        </w:rPr>
      </w:pPr>
      <w:r>
        <w:rPr>
          <w:rFonts w:ascii="Arial" w:hAnsi="Arial" w:cs="Arial"/>
          <w:noProof/>
          <w:sz w:val="20"/>
        </w:rPr>
        <w:t>fo</w:t>
      </w:r>
      <w:r>
        <w:rPr>
          <w:rFonts w:ascii="Arial" w:hAnsi="Arial" w:cs="Arial"/>
          <w:noProof/>
          <w:sz w:val="20"/>
        </w:rPr>
        <w:t>od safety;</w:t>
      </w:r>
    </w:p>
    <w:p w:rsidR="00E201F7" w:rsidRDefault="00E24EFF">
      <w:pPr>
        <w:pStyle w:val="ListParagraph"/>
        <w:numPr>
          <w:ilvl w:val="0"/>
          <w:numId w:val="76"/>
        </w:numPr>
        <w:autoSpaceDE w:val="0"/>
        <w:autoSpaceDN w:val="0"/>
        <w:adjustRightInd w:val="0"/>
        <w:ind w:left="1200"/>
        <w:rPr>
          <w:rFonts w:ascii="Arial" w:hAnsi="Arial" w:cs="Arial"/>
          <w:noProof/>
          <w:sz w:val="20"/>
        </w:rPr>
      </w:pPr>
      <w:r>
        <w:rPr>
          <w:rFonts w:ascii="Arial" w:hAnsi="Arial" w:cs="Arial"/>
          <w:noProof/>
          <w:sz w:val="20"/>
        </w:rPr>
        <w:t>public health.</w:t>
      </w:r>
    </w:p>
    <w:p w:rsidR="00E201F7" w:rsidRDefault="00E24EFF">
      <w:pPr>
        <w:spacing w:after="0"/>
        <w:jc w:val="left"/>
        <w:rPr>
          <w:rFonts w:cs="Arial"/>
          <w:noProof/>
          <w:sz w:val="20"/>
        </w:rPr>
      </w:pPr>
      <w:r>
        <w:rPr>
          <w:rFonts w:cs="Arial"/>
          <w:noProof/>
        </w:rPr>
        <w:br w:type="page"/>
      </w:r>
    </w:p>
    <w:p w:rsidR="00E201F7" w:rsidRDefault="00E24EFF">
      <w:pPr>
        <w:pStyle w:val="kop2"/>
        <w:rPr>
          <w:noProof/>
        </w:rPr>
      </w:pPr>
      <w:r>
        <w:rPr>
          <w:noProof/>
        </w:rPr>
        <w:t>INFRINGEMENT CASES</w:t>
      </w:r>
    </w:p>
    <w:p w:rsidR="00E201F7" w:rsidRDefault="00E24EFF">
      <w:pPr>
        <w:numPr>
          <w:ilvl w:val="0"/>
          <w:numId w:val="122"/>
        </w:numPr>
        <w:spacing w:before="240"/>
        <w:ind w:left="714" w:hanging="357"/>
        <w:jc w:val="left"/>
        <w:outlineLvl w:val="1"/>
        <w:rPr>
          <w:rFonts w:ascii="Arial" w:hAnsi="Arial" w:cs="Arial"/>
          <w:noProof/>
          <w:color w:val="002060"/>
          <w:sz w:val="22"/>
        </w:rPr>
      </w:pPr>
      <w:r>
        <w:rPr>
          <w:rFonts w:ascii="Arial" w:hAnsi="Arial" w:cs="Arial"/>
          <w:noProof/>
          <w:color w:val="002060"/>
          <w:sz w:val="22"/>
        </w:rPr>
        <w:t>Infringement cases open on 31 December (2013-2017)</w:t>
      </w:r>
    </w:p>
    <w:p w:rsidR="00E201F7" w:rsidRDefault="00E24EFF">
      <w:pPr>
        <w:ind w:left="720"/>
        <w:rPr>
          <w:rFonts w:cs="Arial"/>
          <w:noProof/>
          <w:sz w:val="20"/>
        </w:rPr>
      </w:pPr>
      <w:r>
        <w:rPr>
          <w:rFonts w:ascii="Verdana" w:hAnsi="Verdana"/>
          <w:noProof/>
          <w:sz w:val="20"/>
        </w:rPr>
        <w:drawing>
          <wp:inline distT="0" distB="0" distL="0" distR="0" wp14:anchorId="4A362F43" wp14:editId="1BBFF383">
            <wp:extent cx="4612640" cy="2153920"/>
            <wp:effectExtent l="0" t="0" r="16510" b="17780"/>
            <wp:docPr id="301" name="Grafie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E201F7" w:rsidRDefault="00E24EFF">
      <w:pPr>
        <w:numPr>
          <w:ilvl w:val="0"/>
          <w:numId w:val="122"/>
        </w:numPr>
        <w:spacing w:before="240"/>
        <w:ind w:left="714" w:hanging="357"/>
        <w:jc w:val="left"/>
        <w:outlineLvl w:val="1"/>
        <w:rPr>
          <w:rFonts w:ascii="Arial" w:hAnsi="Arial" w:cs="Arial"/>
          <w:noProof/>
          <w:color w:val="002060"/>
          <w:sz w:val="22"/>
        </w:rPr>
      </w:pPr>
      <w:r>
        <w:rPr>
          <w:rFonts w:ascii="Arial" w:hAnsi="Arial" w:cs="Arial"/>
          <w:noProof/>
          <w:color w:val="002060"/>
          <w:sz w:val="22"/>
        </w:rPr>
        <w:t>Infringement cases open on 31 December 2017: main policy sectors</w:t>
      </w:r>
    </w:p>
    <w:p w:rsidR="00E201F7" w:rsidRDefault="00E24EFF">
      <w:pPr>
        <w:ind w:left="720"/>
        <w:rPr>
          <w:rFonts w:ascii="Verdana" w:hAnsi="Verdana"/>
          <w:noProof/>
          <w:sz w:val="20"/>
        </w:rPr>
      </w:pPr>
      <w:r>
        <w:rPr>
          <w:rFonts w:ascii="Verdana" w:hAnsi="Verdana"/>
          <w:noProof/>
          <w:sz w:val="20"/>
        </w:rPr>
        <w:drawing>
          <wp:inline distT="0" distB="0" distL="0" distR="0" wp14:anchorId="2DED97B9" wp14:editId="0EE2515A">
            <wp:extent cx="4592320" cy="2143760"/>
            <wp:effectExtent l="0" t="0" r="17780" b="27940"/>
            <wp:docPr id="300"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E201F7" w:rsidRDefault="00E24EFF">
      <w:pPr>
        <w:numPr>
          <w:ilvl w:val="0"/>
          <w:numId w:val="122"/>
        </w:numPr>
        <w:spacing w:before="240"/>
        <w:ind w:left="714" w:hanging="357"/>
        <w:jc w:val="left"/>
        <w:outlineLvl w:val="1"/>
        <w:rPr>
          <w:rFonts w:ascii="Arial" w:hAnsi="Arial" w:cs="Arial"/>
          <w:noProof/>
          <w:color w:val="002060"/>
          <w:sz w:val="22"/>
        </w:rPr>
      </w:pPr>
      <w:r>
        <w:rPr>
          <w:rFonts w:ascii="Arial" w:hAnsi="Arial" w:cs="Arial"/>
          <w:noProof/>
          <w:color w:val="002060"/>
          <w:sz w:val="22"/>
        </w:rPr>
        <w:t>New infringement cases opened in 2017: main policy sectors</w:t>
      </w:r>
    </w:p>
    <w:p w:rsidR="00E201F7" w:rsidRDefault="00E24EFF">
      <w:pPr>
        <w:spacing w:before="120"/>
        <w:ind w:firstLine="720"/>
        <w:rPr>
          <w:rFonts w:ascii="Arial" w:hAnsi="Arial" w:cs="Arial"/>
          <w:noProof/>
          <w:sz w:val="20"/>
        </w:rPr>
      </w:pPr>
      <w:r>
        <w:rPr>
          <w:rFonts w:ascii="Arial" w:hAnsi="Arial" w:cs="Arial"/>
          <w:noProof/>
          <w:sz w:val="20"/>
        </w:rPr>
        <w:t xml:space="preserve">All 62 new infringement cases </w:t>
      </w:r>
      <w:r>
        <w:rPr>
          <w:rFonts w:ascii="Arial" w:hAnsi="Arial" w:cs="Arial"/>
          <w:noProof/>
          <w:sz w:val="20"/>
        </w:rPr>
        <w:t>opened concerned food safety.</w:t>
      </w:r>
    </w:p>
    <w:p w:rsidR="00E201F7" w:rsidRDefault="00E24EFF">
      <w:pPr>
        <w:numPr>
          <w:ilvl w:val="0"/>
          <w:numId w:val="122"/>
        </w:numPr>
        <w:spacing w:before="240"/>
        <w:ind w:left="714" w:hanging="357"/>
        <w:jc w:val="left"/>
        <w:outlineLvl w:val="1"/>
        <w:rPr>
          <w:rFonts w:ascii="Arial" w:hAnsi="Arial" w:cs="Arial"/>
          <w:noProof/>
          <w:color w:val="002060"/>
          <w:sz w:val="22"/>
        </w:rPr>
      </w:pPr>
      <w:r>
        <w:rPr>
          <w:rFonts w:ascii="Arial" w:hAnsi="Arial" w:cs="Arial"/>
          <w:noProof/>
          <w:color w:val="002060"/>
          <w:sz w:val="22"/>
        </w:rPr>
        <w:t>Key infringement cases and referrals to the Court</w:t>
      </w:r>
    </w:p>
    <w:p w:rsidR="00E201F7" w:rsidRDefault="00E24EFF">
      <w:pPr>
        <w:pStyle w:val="Lijstje"/>
        <w:numPr>
          <w:ilvl w:val="0"/>
          <w:numId w:val="46"/>
        </w:numPr>
        <w:spacing w:after="120"/>
        <w:ind w:left="1276" w:hanging="425"/>
        <w:rPr>
          <w:rFonts w:ascii="Arial" w:hAnsi="Arial" w:cs="Arial"/>
          <w:noProof/>
          <w:lang w:val="en-GB"/>
        </w:rPr>
      </w:pPr>
      <w:r>
        <w:rPr>
          <w:rFonts w:ascii="Arial" w:hAnsi="Arial" w:cs="Arial"/>
          <w:noProof/>
          <w:lang w:val="en-GB"/>
        </w:rPr>
        <w:t>The Commission opened 62 new infringement cases in 2017. These, and other major ongoing infringement cases, include the following:</w:t>
      </w:r>
    </w:p>
    <w:p w:rsidR="00E201F7" w:rsidRDefault="00E24EFF">
      <w:pPr>
        <w:pStyle w:val="Lijstje2"/>
        <w:ind w:left="1843" w:hanging="425"/>
        <w:rPr>
          <w:rFonts w:ascii="Arial" w:hAnsi="Arial" w:cs="Arial"/>
          <w:noProof/>
          <w:lang w:val="en-GB"/>
        </w:rPr>
      </w:pPr>
      <w:r>
        <w:rPr>
          <w:rFonts w:ascii="Arial" w:hAnsi="Arial" w:cs="Arial"/>
          <w:i/>
          <w:noProof/>
          <w:lang w:val="en-GB"/>
        </w:rPr>
        <w:t>Czech Republic, Germany and Luxembourg</w:t>
      </w:r>
      <w:r>
        <w:rPr>
          <w:rFonts w:ascii="Arial" w:hAnsi="Arial" w:cs="Arial"/>
          <w:noProof/>
          <w:lang w:val="en-GB"/>
        </w:rPr>
        <w:t xml:space="preserve">: </w:t>
      </w:r>
      <w:r>
        <w:rPr>
          <w:rFonts w:ascii="Arial" w:hAnsi="Arial" w:cs="Arial"/>
          <w:noProof/>
          <w:lang w:val="en-GB"/>
        </w:rPr>
        <w:t>failure to notify national measures transposing the Directives on the registration of suppliers and of varieties and the common list of varieties, on requirements for the labelling, sealing and packaging of fruit plant propagating material and on the speci</w:t>
      </w:r>
      <w:r>
        <w:rPr>
          <w:rFonts w:ascii="Arial" w:hAnsi="Arial" w:cs="Arial"/>
          <w:noProof/>
          <w:lang w:val="en-GB"/>
        </w:rPr>
        <w:t>fic requirements for the genus and species of fruit plants</w:t>
      </w:r>
      <w:r>
        <w:rPr>
          <w:rStyle w:val="FootnoteReference"/>
          <w:rFonts w:ascii="Arial" w:hAnsi="Arial" w:cs="Arial"/>
          <w:noProof/>
          <w:lang w:val="en-GB"/>
        </w:rPr>
        <w:footnoteReference w:id="206"/>
      </w:r>
      <w:r>
        <w:rPr>
          <w:rFonts w:ascii="Arial" w:hAnsi="Arial" w:cs="Arial"/>
          <w:noProof/>
          <w:lang w:val="en-GB"/>
        </w:rPr>
        <w:t>;</w:t>
      </w:r>
    </w:p>
    <w:p w:rsidR="00E201F7" w:rsidRDefault="00E24EFF">
      <w:pPr>
        <w:pStyle w:val="Lijstje2"/>
        <w:ind w:left="1843" w:hanging="425"/>
        <w:rPr>
          <w:rFonts w:ascii="Arial" w:hAnsi="Arial" w:cs="Arial"/>
          <w:noProof/>
          <w:lang w:val="en-GB"/>
        </w:rPr>
      </w:pPr>
      <w:r>
        <w:rPr>
          <w:rFonts w:ascii="Arial" w:hAnsi="Arial" w:cs="Arial"/>
          <w:i/>
          <w:noProof/>
          <w:lang w:val="en-GB"/>
        </w:rPr>
        <w:t xml:space="preserve">Italy: </w:t>
      </w:r>
      <w:r>
        <w:rPr>
          <w:rFonts w:ascii="Arial" w:hAnsi="Arial" w:cs="Arial"/>
          <w:noProof/>
          <w:lang w:val="en-GB"/>
        </w:rPr>
        <w:t xml:space="preserve">non-compliance with the Commission’s decision on measures to prevent the spread within the EU of the plant bacterium </w:t>
      </w:r>
      <w:r>
        <w:rPr>
          <w:rFonts w:ascii="Arial" w:hAnsi="Arial" w:cs="Arial"/>
          <w:i/>
          <w:noProof/>
          <w:lang w:val="en-GB"/>
        </w:rPr>
        <w:t>Xylella fastidiosa</w:t>
      </w:r>
      <w:r>
        <w:rPr>
          <w:rStyle w:val="FootnoteReference"/>
          <w:rFonts w:ascii="Arial" w:hAnsi="Arial" w:cs="Arial"/>
          <w:noProof/>
          <w:lang w:val="en-GB"/>
        </w:rPr>
        <w:footnoteReference w:id="207"/>
      </w:r>
      <w:r>
        <w:rPr>
          <w:rFonts w:ascii="Arial" w:hAnsi="Arial" w:cs="Arial"/>
          <w:i/>
          <w:noProof/>
          <w:lang w:val="en-GB"/>
        </w:rPr>
        <w:t>.</w:t>
      </w:r>
    </w:p>
    <w:p w:rsidR="00E201F7" w:rsidRDefault="00E24EFF">
      <w:pPr>
        <w:pStyle w:val="Lijstje"/>
        <w:numPr>
          <w:ilvl w:val="0"/>
          <w:numId w:val="46"/>
        </w:numPr>
        <w:spacing w:after="120"/>
        <w:ind w:left="1276" w:hanging="425"/>
        <w:rPr>
          <w:rFonts w:ascii="Arial" w:hAnsi="Arial" w:cs="Arial"/>
          <w:noProof/>
          <w:lang w:val="en-GB"/>
        </w:rPr>
      </w:pPr>
      <w:r>
        <w:rPr>
          <w:rFonts w:ascii="Arial" w:hAnsi="Arial" w:cs="Arial"/>
          <w:noProof/>
          <w:lang w:val="en-GB"/>
        </w:rPr>
        <w:t>The Commission did not refer any cases to the Cour</w:t>
      </w:r>
      <w:r>
        <w:rPr>
          <w:rFonts w:ascii="Arial" w:hAnsi="Arial" w:cs="Arial"/>
          <w:noProof/>
          <w:lang w:val="en-GB"/>
        </w:rPr>
        <w:t>t under Article 258 TFEU.</w:t>
      </w:r>
    </w:p>
    <w:p w:rsidR="00E201F7" w:rsidRDefault="00E24EFF">
      <w:pPr>
        <w:pStyle w:val="Lijstje"/>
        <w:numPr>
          <w:ilvl w:val="0"/>
          <w:numId w:val="46"/>
        </w:numPr>
        <w:spacing w:after="120"/>
        <w:ind w:left="1276" w:hanging="425"/>
        <w:rPr>
          <w:rFonts w:ascii="Arial" w:hAnsi="Arial" w:cs="Arial"/>
          <w:noProof/>
          <w:lang w:val="en-GB"/>
        </w:rPr>
      </w:pPr>
      <w:r>
        <w:rPr>
          <w:rFonts w:ascii="Arial" w:hAnsi="Arial" w:cs="Arial"/>
          <w:noProof/>
          <w:lang w:val="en-GB"/>
        </w:rPr>
        <w:t>The Commission did not refer any cases to the Court under Article 260(2) TFEU.</w:t>
      </w:r>
    </w:p>
    <w:p w:rsidR="00E201F7" w:rsidRDefault="00E24EFF">
      <w:pPr>
        <w:pStyle w:val="kop2"/>
        <w:rPr>
          <w:noProof/>
        </w:rPr>
      </w:pPr>
      <w:r>
        <w:rPr>
          <w:noProof/>
        </w:rPr>
        <w:t>TRANSPOSITION OF DIRECTIVES</w:t>
      </w:r>
    </w:p>
    <w:p w:rsidR="00E201F7" w:rsidRDefault="00E24EFF">
      <w:pPr>
        <w:numPr>
          <w:ilvl w:val="0"/>
          <w:numId w:val="123"/>
        </w:numPr>
        <w:spacing w:before="240"/>
        <w:ind w:left="714" w:hanging="357"/>
        <w:jc w:val="left"/>
        <w:outlineLvl w:val="1"/>
        <w:rPr>
          <w:rFonts w:ascii="Arial" w:hAnsi="Arial" w:cs="Arial"/>
          <w:noProof/>
          <w:color w:val="002060"/>
          <w:sz w:val="22"/>
        </w:rPr>
      </w:pPr>
      <w:r>
        <w:rPr>
          <w:rFonts w:ascii="Arial" w:hAnsi="Arial" w:cs="Arial"/>
          <w:noProof/>
          <w:color w:val="002060"/>
          <w:sz w:val="22"/>
        </w:rPr>
        <w:t>New late transposition infringement cases (2013-2017)</w:t>
      </w:r>
    </w:p>
    <w:p w:rsidR="00E201F7" w:rsidRDefault="00E24EFF">
      <w:pPr>
        <w:ind w:left="720"/>
        <w:rPr>
          <w:rFonts w:ascii="Verdana" w:hAnsi="Verdana"/>
          <w:noProof/>
          <w:sz w:val="20"/>
        </w:rPr>
      </w:pPr>
      <w:r>
        <w:rPr>
          <w:rFonts w:ascii="Verdana" w:hAnsi="Verdana"/>
          <w:noProof/>
          <w:sz w:val="20"/>
        </w:rPr>
        <w:drawing>
          <wp:inline distT="0" distB="0" distL="0" distR="0" wp14:anchorId="1B57A591" wp14:editId="0C77642D">
            <wp:extent cx="4612640" cy="2092960"/>
            <wp:effectExtent l="0" t="0" r="0" b="0"/>
            <wp:docPr id="299" name="Grafiek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E201F7" w:rsidRDefault="00E24EFF">
      <w:pPr>
        <w:numPr>
          <w:ilvl w:val="0"/>
          <w:numId w:val="123"/>
        </w:numPr>
        <w:spacing w:before="240"/>
        <w:ind w:left="714" w:hanging="357"/>
        <w:jc w:val="left"/>
        <w:outlineLvl w:val="1"/>
        <w:rPr>
          <w:rFonts w:ascii="Arial" w:hAnsi="Arial" w:cs="Arial"/>
          <w:noProof/>
          <w:color w:val="002060"/>
          <w:sz w:val="22"/>
        </w:rPr>
      </w:pPr>
      <w:r>
        <w:rPr>
          <w:rFonts w:ascii="Arial" w:hAnsi="Arial" w:cs="Arial"/>
          <w:noProof/>
          <w:color w:val="002060"/>
          <w:sz w:val="22"/>
        </w:rPr>
        <w:t>New late transposition infringement cases opened in 2017: main poli</w:t>
      </w:r>
      <w:r>
        <w:rPr>
          <w:rFonts w:ascii="Arial" w:hAnsi="Arial" w:cs="Arial"/>
          <w:noProof/>
          <w:color w:val="002060"/>
          <w:sz w:val="22"/>
        </w:rPr>
        <w:t>cy sectors</w:t>
      </w:r>
    </w:p>
    <w:p w:rsidR="00E201F7" w:rsidRDefault="00E24EFF">
      <w:pPr>
        <w:ind w:left="360" w:firstLine="360"/>
        <w:rPr>
          <w:rFonts w:ascii="Arial" w:hAnsi="Arial" w:cs="Arial"/>
          <w:noProof/>
          <w:sz w:val="20"/>
        </w:rPr>
      </w:pPr>
      <w:r>
        <w:rPr>
          <w:rFonts w:ascii="Arial" w:hAnsi="Arial" w:cs="Arial"/>
          <w:noProof/>
          <w:sz w:val="20"/>
        </w:rPr>
        <w:t>There are 62 new late transposition cases, all concerning food safety.</w:t>
      </w:r>
    </w:p>
    <w:p w:rsidR="00E201F7" w:rsidRDefault="00E24EFF">
      <w:pPr>
        <w:numPr>
          <w:ilvl w:val="0"/>
          <w:numId w:val="123"/>
        </w:numPr>
        <w:spacing w:before="240"/>
        <w:ind w:left="714" w:hanging="357"/>
        <w:jc w:val="left"/>
        <w:outlineLvl w:val="1"/>
        <w:rPr>
          <w:rFonts w:ascii="Arial" w:hAnsi="Arial" w:cs="Arial"/>
          <w:noProof/>
          <w:color w:val="002060"/>
          <w:sz w:val="22"/>
        </w:rPr>
      </w:pPr>
      <w:r>
        <w:rPr>
          <w:rFonts w:ascii="Arial" w:hAnsi="Arial" w:cs="Arial"/>
          <w:noProof/>
          <w:color w:val="002060"/>
          <w:sz w:val="22"/>
        </w:rPr>
        <w:t>Key infringement cases and referrals to the Court</w:t>
      </w:r>
    </w:p>
    <w:p w:rsidR="00E201F7" w:rsidRDefault="00E24EFF">
      <w:pPr>
        <w:numPr>
          <w:ilvl w:val="0"/>
          <w:numId w:val="58"/>
        </w:numPr>
        <w:spacing w:after="120"/>
        <w:ind w:hanging="426"/>
        <w:rPr>
          <w:rFonts w:ascii="Arial" w:eastAsia="Calibri" w:hAnsi="Arial" w:cs="Arial"/>
          <w:noProof/>
          <w:kern w:val="20"/>
          <w:sz w:val="20"/>
        </w:rPr>
      </w:pPr>
      <w:r>
        <w:rPr>
          <w:rFonts w:ascii="Arial" w:eastAsia="Calibri" w:hAnsi="Arial" w:cs="Arial"/>
          <w:noProof/>
          <w:kern w:val="20"/>
          <w:sz w:val="20"/>
        </w:rPr>
        <w:t>The Commission opened 62 cases for late transposition in 2017. Most concern:</w:t>
      </w:r>
    </w:p>
    <w:p w:rsidR="00E201F7" w:rsidRDefault="00E24EFF">
      <w:pPr>
        <w:pStyle w:val="Lijstje2"/>
        <w:ind w:left="1800"/>
        <w:rPr>
          <w:rFonts w:ascii="Arial" w:hAnsi="Arial" w:cs="Arial"/>
          <w:noProof/>
          <w:lang w:val="en-GB"/>
        </w:rPr>
      </w:pPr>
      <w:r>
        <w:rPr>
          <w:rFonts w:ascii="Arial" w:hAnsi="Arial" w:cs="Arial"/>
          <w:noProof/>
          <w:lang w:val="en-GB"/>
        </w:rPr>
        <w:t xml:space="preserve">the Directive on requirements for the </w:t>
      </w:r>
      <w:r>
        <w:rPr>
          <w:rFonts w:ascii="Arial" w:hAnsi="Arial" w:cs="Arial"/>
          <w:noProof/>
          <w:lang w:val="en-GB"/>
        </w:rPr>
        <w:t>labelling, sealing and packaging of fruit plant propagating material</w:t>
      </w:r>
      <w:r>
        <w:rPr>
          <w:rStyle w:val="FootnoteReference"/>
          <w:rFonts w:ascii="Arial" w:hAnsi="Arial" w:cs="Arial"/>
          <w:noProof/>
          <w:lang w:val="en-GB"/>
        </w:rPr>
        <w:footnoteReference w:id="208"/>
      </w:r>
      <w:r>
        <w:rPr>
          <w:rFonts w:ascii="Arial" w:hAnsi="Arial" w:cs="Arial"/>
          <w:noProof/>
          <w:lang w:val="en-GB"/>
        </w:rPr>
        <w:t>;</w:t>
      </w:r>
    </w:p>
    <w:p w:rsidR="00E201F7" w:rsidRDefault="00E24EFF">
      <w:pPr>
        <w:pStyle w:val="Lijstje2"/>
        <w:ind w:left="1800"/>
        <w:rPr>
          <w:rFonts w:ascii="Arial" w:hAnsi="Arial" w:cs="Arial"/>
          <w:noProof/>
          <w:lang w:val="en-GB"/>
        </w:rPr>
      </w:pPr>
      <w:r>
        <w:rPr>
          <w:rFonts w:ascii="Arial" w:hAnsi="Arial" w:cs="Arial"/>
          <w:noProof/>
          <w:lang w:val="en-GB"/>
        </w:rPr>
        <w:t>the Directive on the registration of suppliers and of varieties and the common list of varieties</w:t>
      </w:r>
      <w:r>
        <w:rPr>
          <w:rStyle w:val="FootnoteReference"/>
          <w:rFonts w:ascii="Arial" w:hAnsi="Arial" w:cs="Arial"/>
          <w:noProof/>
          <w:lang w:val="en-GB"/>
        </w:rPr>
        <w:footnoteReference w:id="209"/>
      </w:r>
      <w:r>
        <w:rPr>
          <w:rFonts w:ascii="Arial" w:hAnsi="Arial" w:cs="Arial"/>
          <w:noProof/>
          <w:lang w:val="en-GB"/>
        </w:rPr>
        <w:t>;</w:t>
      </w:r>
    </w:p>
    <w:p w:rsidR="00E201F7" w:rsidRDefault="00E24EFF">
      <w:pPr>
        <w:pStyle w:val="Lijstje2"/>
        <w:ind w:left="1800"/>
        <w:rPr>
          <w:rFonts w:ascii="Arial" w:hAnsi="Arial" w:cs="Arial"/>
          <w:noProof/>
          <w:lang w:val="en-GB"/>
        </w:rPr>
      </w:pPr>
      <w:r>
        <w:rPr>
          <w:rFonts w:ascii="Arial" w:hAnsi="Arial" w:cs="Arial"/>
          <w:noProof/>
          <w:lang w:val="en-GB"/>
        </w:rPr>
        <w:t>the Directive on the specific requirements for the genus and species of fruit plants</w:t>
      </w:r>
      <w:r>
        <w:rPr>
          <w:rStyle w:val="FootnoteReference"/>
          <w:rFonts w:ascii="Arial" w:hAnsi="Arial" w:cs="Arial"/>
          <w:noProof/>
          <w:lang w:val="en-GB"/>
        </w:rPr>
        <w:footnoteReference w:id="210"/>
      </w:r>
      <w:r>
        <w:rPr>
          <w:rFonts w:ascii="Arial" w:hAnsi="Arial" w:cs="Arial"/>
          <w:noProof/>
          <w:lang w:val="en-GB"/>
        </w:rPr>
        <w:t>.</w:t>
      </w:r>
    </w:p>
    <w:p w:rsidR="00E201F7" w:rsidRDefault="00E24EFF">
      <w:pPr>
        <w:numPr>
          <w:ilvl w:val="0"/>
          <w:numId w:val="58"/>
        </w:numPr>
        <w:spacing w:after="120"/>
        <w:ind w:hanging="426"/>
        <w:rPr>
          <w:rFonts w:ascii="Arial" w:eastAsia="Calibri" w:hAnsi="Arial" w:cs="Arial"/>
          <w:b/>
          <w:noProof/>
          <w:kern w:val="20"/>
          <w:sz w:val="20"/>
        </w:rPr>
      </w:pPr>
      <w:r>
        <w:rPr>
          <w:rFonts w:ascii="Arial" w:eastAsia="Calibri" w:hAnsi="Arial" w:cs="Arial"/>
          <w:noProof/>
          <w:kern w:val="20"/>
          <w:sz w:val="20"/>
        </w:rPr>
        <w:t>The Commission did not refer any cases to the Court under Articles 258 and 260(3) TFEU.</w:t>
      </w:r>
    </w:p>
    <w:p w:rsidR="00E201F7" w:rsidRDefault="00E24EFF">
      <w:pPr>
        <w:pStyle w:val="kop2"/>
        <w:rPr>
          <w:noProof/>
        </w:rPr>
      </w:pPr>
      <w:r>
        <w:rPr>
          <w:noProof/>
        </w:rPr>
        <w:t>EARLY RESOLUTION OF INFRINGEMENT CASES</w:t>
      </w:r>
    </w:p>
    <w:p w:rsidR="00E201F7" w:rsidRDefault="00E24EFF">
      <w:pPr>
        <w:spacing w:after="60"/>
        <w:ind w:left="360"/>
        <w:jc w:val="left"/>
        <w:outlineLvl w:val="1"/>
        <w:rPr>
          <w:rFonts w:ascii="Arial" w:hAnsi="Arial" w:cs="Arial"/>
          <w:noProof/>
          <w:color w:val="002060"/>
          <w:sz w:val="22"/>
        </w:rPr>
      </w:pPr>
      <w:r>
        <w:rPr>
          <w:rFonts w:ascii="Arial" w:hAnsi="Arial" w:cs="Arial"/>
          <w:noProof/>
          <w:color w:val="002060"/>
          <w:sz w:val="22"/>
        </w:rPr>
        <w:t>Major cases closed without a Court judgment in 2017</w:t>
      </w:r>
    </w:p>
    <w:p w:rsidR="00E201F7" w:rsidRDefault="00E24EFF">
      <w:pPr>
        <w:spacing w:before="120"/>
        <w:ind w:left="720"/>
        <w:rPr>
          <w:rFonts w:ascii="Arial" w:hAnsi="Arial" w:cs="Arial"/>
          <w:noProof/>
          <w:sz w:val="20"/>
          <w:szCs w:val="20"/>
        </w:rPr>
      </w:pPr>
      <w:r>
        <w:rPr>
          <w:rFonts w:ascii="Arial" w:hAnsi="Arial" w:cs="Arial"/>
          <w:noProof/>
          <w:sz w:val="20"/>
          <w:szCs w:val="20"/>
        </w:rPr>
        <w:t>These concerned:</w:t>
      </w:r>
    </w:p>
    <w:p w:rsidR="00E201F7" w:rsidRDefault="00E24EFF">
      <w:pPr>
        <w:numPr>
          <w:ilvl w:val="0"/>
          <w:numId w:val="24"/>
        </w:numPr>
        <w:spacing w:after="200"/>
        <w:ind w:left="1200"/>
        <w:contextualSpacing/>
        <w:rPr>
          <w:rFonts w:ascii="Arial" w:eastAsia="Calibri" w:hAnsi="Arial" w:cs="Arial"/>
          <w:noProof/>
          <w:kern w:val="20"/>
          <w:sz w:val="20"/>
          <w:szCs w:val="20"/>
        </w:rPr>
      </w:pPr>
      <w:r>
        <w:rPr>
          <w:rFonts w:ascii="Arial" w:eastAsia="Calibri" w:hAnsi="Arial" w:cs="Arial"/>
          <w:i/>
          <w:noProof/>
          <w:kern w:val="20"/>
          <w:sz w:val="20"/>
          <w:szCs w:val="20"/>
        </w:rPr>
        <w:t xml:space="preserve">Belgium: </w:t>
      </w:r>
      <w:r>
        <w:rPr>
          <w:rFonts w:ascii="Arial" w:eastAsia="Calibri" w:hAnsi="Arial" w:cs="Arial"/>
          <w:noProof/>
          <w:kern w:val="20"/>
          <w:sz w:val="20"/>
          <w:szCs w:val="20"/>
        </w:rPr>
        <w:t>incorrect application of</w:t>
      </w:r>
      <w:r>
        <w:rPr>
          <w:rFonts w:ascii="Arial" w:eastAsia="Calibri" w:hAnsi="Arial" w:cs="Arial"/>
          <w:i/>
          <w:noProof/>
          <w:kern w:val="20"/>
          <w:sz w:val="20"/>
          <w:szCs w:val="20"/>
        </w:rPr>
        <w:t xml:space="preserve"> </w:t>
      </w:r>
      <w:r>
        <w:rPr>
          <w:rFonts w:ascii="Arial" w:eastAsia="Calibri" w:hAnsi="Arial" w:cs="Arial"/>
          <w:noProof/>
          <w:kern w:val="20"/>
          <w:sz w:val="20"/>
          <w:szCs w:val="20"/>
        </w:rPr>
        <w:t xml:space="preserve">the Directive on the </w:t>
      </w:r>
      <w:r>
        <w:rPr>
          <w:rFonts w:ascii="Arial" w:eastAsia="Calibri" w:hAnsi="Arial" w:cs="Arial"/>
          <w:noProof/>
          <w:kern w:val="20"/>
          <w:sz w:val="20"/>
          <w:szCs w:val="20"/>
        </w:rPr>
        <w:t>protection of pigs as regards group housing of sows</w:t>
      </w:r>
      <w:r>
        <w:rPr>
          <w:rStyle w:val="FootnoteReference"/>
          <w:rFonts w:ascii="Arial" w:eastAsia="Calibri" w:hAnsi="Arial" w:cs="Arial"/>
          <w:noProof/>
          <w:kern w:val="20"/>
          <w:sz w:val="20"/>
          <w:szCs w:val="20"/>
        </w:rPr>
        <w:footnoteReference w:id="211"/>
      </w:r>
      <w:r>
        <w:rPr>
          <w:rFonts w:ascii="Arial" w:eastAsia="Calibri" w:hAnsi="Arial" w:cs="Arial"/>
          <w:noProof/>
          <w:kern w:val="20"/>
          <w:sz w:val="20"/>
          <w:szCs w:val="20"/>
        </w:rPr>
        <w:t>;</w:t>
      </w:r>
    </w:p>
    <w:p w:rsidR="00E201F7" w:rsidRDefault="00E24EFF">
      <w:pPr>
        <w:numPr>
          <w:ilvl w:val="0"/>
          <w:numId w:val="24"/>
        </w:numPr>
        <w:spacing w:after="200"/>
        <w:ind w:left="1200"/>
        <w:contextualSpacing/>
        <w:rPr>
          <w:rFonts w:ascii="Arial" w:eastAsia="Calibri" w:hAnsi="Arial" w:cs="Arial"/>
          <w:noProof/>
          <w:kern w:val="20"/>
          <w:sz w:val="20"/>
          <w:szCs w:val="20"/>
        </w:rPr>
      </w:pPr>
      <w:r>
        <w:rPr>
          <w:rFonts w:ascii="Arial" w:hAnsi="Arial" w:cs="Arial"/>
          <w:i/>
          <w:noProof/>
          <w:sz w:val="20"/>
          <w:szCs w:val="20"/>
        </w:rPr>
        <w:t xml:space="preserve">Czech Republic: </w:t>
      </w:r>
      <w:r>
        <w:rPr>
          <w:rFonts w:ascii="Arial" w:hAnsi="Arial" w:cs="Arial"/>
          <w:noProof/>
          <w:sz w:val="20"/>
          <w:szCs w:val="20"/>
        </w:rPr>
        <w:t>placing on the market of certain plant protection products that were not authorised under the provisions of EU legislation</w:t>
      </w:r>
      <w:r>
        <w:rPr>
          <w:rStyle w:val="FootnoteReference"/>
          <w:rFonts w:ascii="Arial" w:hAnsi="Arial" w:cs="Arial"/>
          <w:noProof/>
          <w:sz w:val="20"/>
          <w:szCs w:val="20"/>
        </w:rPr>
        <w:footnoteReference w:id="212"/>
      </w:r>
      <w:r>
        <w:rPr>
          <w:rFonts w:ascii="Arial" w:hAnsi="Arial" w:cs="Arial"/>
          <w:noProof/>
          <w:sz w:val="20"/>
          <w:szCs w:val="20"/>
        </w:rPr>
        <w:t>.</w:t>
      </w:r>
    </w:p>
    <w:p w:rsidR="00E201F7" w:rsidRDefault="00E24EFF">
      <w:pPr>
        <w:pStyle w:val="kop2"/>
        <w:rPr>
          <w:noProof/>
        </w:rPr>
      </w:pPr>
      <w:r>
        <w:rPr>
          <w:noProof/>
        </w:rPr>
        <w:t>IMPORTANT JUDGMENTS</w:t>
      </w:r>
    </w:p>
    <w:p w:rsidR="00E201F7" w:rsidRDefault="00E24EFF">
      <w:pPr>
        <w:numPr>
          <w:ilvl w:val="0"/>
          <w:numId w:val="124"/>
        </w:numPr>
        <w:spacing w:before="120" w:after="120"/>
        <w:jc w:val="left"/>
        <w:outlineLvl w:val="1"/>
        <w:rPr>
          <w:rFonts w:ascii="Arial" w:hAnsi="Arial" w:cs="Arial"/>
          <w:noProof/>
          <w:color w:val="002060"/>
          <w:sz w:val="22"/>
        </w:rPr>
      </w:pPr>
      <w:r>
        <w:rPr>
          <w:rFonts w:ascii="Arial" w:hAnsi="Arial" w:cs="Arial"/>
          <w:noProof/>
          <w:color w:val="002060"/>
          <w:sz w:val="22"/>
        </w:rPr>
        <w:t>Court rulings</w:t>
      </w:r>
    </w:p>
    <w:p w:rsidR="00E201F7" w:rsidRDefault="00E24EFF">
      <w:pPr>
        <w:pStyle w:val="Lijstje2"/>
        <w:numPr>
          <w:ilvl w:val="0"/>
          <w:numId w:val="0"/>
        </w:numPr>
        <w:ind w:left="1166" w:hanging="360"/>
        <w:rPr>
          <w:rFonts w:ascii="Arial" w:eastAsia="Times New Roman" w:hAnsi="Arial" w:cs="Arial"/>
          <w:noProof/>
          <w:kern w:val="0"/>
          <w:lang w:val="en-GB"/>
        </w:rPr>
      </w:pPr>
      <w:r>
        <w:rPr>
          <w:rFonts w:ascii="Arial" w:eastAsia="Times New Roman" w:hAnsi="Arial" w:cs="Arial"/>
          <w:noProof/>
          <w:kern w:val="0"/>
          <w:lang w:val="en-GB"/>
        </w:rPr>
        <w:t>There were no major Court r</w:t>
      </w:r>
      <w:r>
        <w:rPr>
          <w:rFonts w:ascii="Arial" w:eastAsia="Times New Roman" w:hAnsi="Arial" w:cs="Arial"/>
          <w:noProof/>
          <w:kern w:val="0"/>
          <w:lang w:val="en-GB"/>
        </w:rPr>
        <w:t xml:space="preserve">ulings in </w:t>
      </w:r>
      <w:smartTag w:uri="urn:schemas-microsoft-com:office:smarttags" w:element="metricconverter">
        <w:smartTagPr>
          <w:attr w:name="ProductID" w:val="2017 in"/>
        </w:smartTagPr>
        <w:r>
          <w:rPr>
            <w:rFonts w:ascii="Arial" w:eastAsia="Times New Roman" w:hAnsi="Arial" w:cs="Arial"/>
            <w:noProof/>
            <w:kern w:val="0"/>
            <w:lang w:val="en-GB"/>
          </w:rPr>
          <w:t>2017</w:t>
        </w:r>
        <w:r>
          <w:rPr>
            <w:rFonts w:ascii="Arial" w:hAnsi="Arial" w:cs="Arial"/>
            <w:noProof/>
            <w:lang w:val="en-GB"/>
          </w:rPr>
          <w:t xml:space="preserve"> in</w:t>
        </w:r>
      </w:smartTag>
      <w:r>
        <w:rPr>
          <w:rFonts w:ascii="Arial" w:hAnsi="Arial" w:cs="Arial"/>
          <w:noProof/>
          <w:lang w:val="en-GB"/>
        </w:rPr>
        <w:t xml:space="preserve"> this area</w:t>
      </w:r>
      <w:r>
        <w:rPr>
          <w:rFonts w:ascii="Arial" w:eastAsia="Times New Roman" w:hAnsi="Arial" w:cs="Arial"/>
          <w:noProof/>
          <w:kern w:val="0"/>
          <w:lang w:val="en-GB"/>
        </w:rPr>
        <w:t>.</w:t>
      </w:r>
    </w:p>
    <w:p w:rsidR="00E201F7" w:rsidRDefault="00E24EFF">
      <w:pPr>
        <w:numPr>
          <w:ilvl w:val="0"/>
          <w:numId w:val="124"/>
        </w:numPr>
        <w:spacing w:before="120" w:after="120"/>
        <w:jc w:val="left"/>
        <w:outlineLvl w:val="1"/>
        <w:rPr>
          <w:rFonts w:ascii="Arial" w:hAnsi="Arial" w:cs="Arial"/>
          <w:noProof/>
          <w:color w:val="002060"/>
          <w:sz w:val="22"/>
        </w:rPr>
      </w:pPr>
      <w:r>
        <w:rPr>
          <w:rFonts w:ascii="Arial" w:hAnsi="Arial" w:cs="Arial"/>
          <w:noProof/>
          <w:color w:val="002060"/>
          <w:sz w:val="22"/>
        </w:rPr>
        <w:t>Preliminary rulings</w:t>
      </w:r>
    </w:p>
    <w:p w:rsidR="00E201F7" w:rsidRDefault="00E24EFF">
      <w:pPr>
        <w:ind w:left="720"/>
        <w:rPr>
          <w:rFonts w:ascii="Arial" w:hAnsi="Arial" w:cs="Arial"/>
          <w:noProof/>
          <w:sz w:val="20"/>
        </w:rPr>
      </w:pPr>
      <w:r>
        <w:rPr>
          <w:rFonts w:ascii="Arial" w:hAnsi="Arial" w:cs="Arial"/>
          <w:noProof/>
          <w:sz w:val="20"/>
        </w:rPr>
        <w:t xml:space="preserve">There were no major Court preliminary rulings in </w:t>
      </w:r>
      <w:smartTag w:uri="urn:schemas-microsoft-com:office:smarttags" w:element="metricconverter">
        <w:smartTagPr>
          <w:attr w:name="ProductID" w:val="2017 in"/>
        </w:smartTagPr>
        <w:r>
          <w:rPr>
            <w:rFonts w:ascii="Arial" w:hAnsi="Arial" w:cs="Arial"/>
            <w:noProof/>
            <w:sz w:val="20"/>
          </w:rPr>
          <w:t>2017 in</w:t>
        </w:r>
      </w:smartTag>
      <w:r>
        <w:rPr>
          <w:rFonts w:ascii="Arial" w:hAnsi="Arial" w:cs="Arial"/>
          <w:noProof/>
          <w:sz w:val="20"/>
        </w:rPr>
        <w:t xml:space="preserve"> this area.</w:t>
      </w:r>
    </w:p>
    <w:p w:rsidR="00E201F7" w:rsidRDefault="00E24EFF">
      <w:pPr>
        <w:pStyle w:val="kop2"/>
        <w:rPr>
          <w:noProof/>
        </w:rPr>
      </w:pPr>
      <w:r>
        <w:rPr>
          <w:noProof/>
        </w:rPr>
        <w:t>Outlook</w:t>
      </w:r>
    </w:p>
    <w:p w:rsidR="00E201F7" w:rsidRDefault="00E24EFF">
      <w:pPr>
        <w:spacing w:after="60"/>
        <w:ind w:left="360"/>
        <w:jc w:val="left"/>
        <w:outlineLvl w:val="1"/>
        <w:rPr>
          <w:rFonts w:ascii="Arial" w:hAnsi="Arial" w:cs="Arial"/>
          <w:noProof/>
          <w:color w:val="002060"/>
          <w:sz w:val="22"/>
        </w:rPr>
      </w:pPr>
      <w:r>
        <w:rPr>
          <w:rFonts w:ascii="Arial" w:hAnsi="Arial" w:cs="Arial"/>
          <w:noProof/>
          <w:color w:val="002060"/>
          <w:sz w:val="22"/>
        </w:rPr>
        <w:t>Important implementation work in 2018 includes:</w:t>
      </w:r>
    </w:p>
    <w:p w:rsidR="00E201F7" w:rsidRDefault="00E24EFF">
      <w:pPr>
        <w:numPr>
          <w:ilvl w:val="0"/>
          <w:numId w:val="25"/>
        </w:numPr>
        <w:ind w:left="1276"/>
        <w:contextualSpacing/>
        <w:rPr>
          <w:rFonts w:ascii="Arial" w:eastAsia="Calibri" w:hAnsi="Arial" w:cs="Arial"/>
          <w:noProof/>
          <w:color w:val="000000"/>
          <w:kern w:val="20"/>
          <w:sz w:val="20"/>
        </w:rPr>
      </w:pPr>
      <w:r>
        <w:rPr>
          <w:rFonts w:ascii="Arial" w:eastAsia="Calibri" w:hAnsi="Arial" w:cs="Arial"/>
          <w:noProof/>
          <w:kern w:val="20"/>
          <w:sz w:val="20"/>
        </w:rPr>
        <w:t xml:space="preserve">checking the compliance of national transposition measures with the Tobacco </w:t>
      </w:r>
      <w:r>
        <w:rPr>
          <w:rFonts w:ascii="Arial" w:eastAsia="Calibri" w:hAnsi="Arial" w:cs="Arial"/>
          <w:noProof/>
          <w:kern w:val="20"/>
          <w:sz w:val="20"/>
        </w:rPr>
        <w:t>Products Directive</w:t>
      </w:r>
      <w:r>
        <w:rPr>
          <w:rStyle w:val="FootnoteReference"/>
          <w:rFonts w:ascii="Arial" w:eastAsia="Calibri" w:hAnsi="Arial" w:cs="Arial"/>
          <w:noProof/>
          <w:kern w:val="20"/>
          <w:sz w:val="20"/>
        </w:rPr>
        <w:footnoteReference w:id="213"/>
      </w:r>
      <w:r>
        <w:rPr>
          <w:rFonts w:ascii="Arial" w:eastAsia="Calibri" w:hAnsi="Arial" w:cs="Arial"/>
          <w:noProof/>
          <w:kern w:val="20"/>
          <w:sz w:val="20"/>
        </w:rPr>
        <w:t>;</w:t>
      </w:r>
    </w:p>
    <w:p w:rsidR="00E201F7" w:rsidRDefault="00E24EFF">
      <w:pPr>
        <w:numPr>
          <w:ilvl w:val="0"/>
          <w:numId w:val="25"/>
        </w:numPr>
        <w:ind w:left="1276"/>
        <w:contextualSpacing/>
        <w:rPr>
          <w:rFonts w:ascii="Arial" w:eastAsia="Calibri" w:hAnsi="Arial" w:cs="Arial"/>
          <w:noProof/>
          <w:kern w:val="20"/>
          <w:sz w:val="20"/>
        </w:rPr>
      </w:pPr>
      <w:r>
        <w:rPr>
          <w:rFonts w:ascii="Arial" w:eastAsia="Calibri" w:hAnsi="Arial" w:cs="Arial"/>
          <w:noProof/>
          <w:kern w:val="20"/>
          <w:sz w:val="20"/>
        </w:rPr>
        <w:t xml:space="preserve">continuing to monitor plant health-related cases, in particular </w:t>
      </w:r>
      <w:r>
        <w:rPr>
          <w:rFonts w:ascii="Arial" w:eastAsia="Calibri" w:hAnsi="Arial" w:cs="Arial"/>
          <w:i/>
          <w:noProof/>
          <w:kern w:val="20"/>
          <w:sz w:val="20"/>
        </w:rPr>
        <w:t>Xylella fastidiosa</w:t>
      </w:r>
      <w:r>
        <w:rPr>
          <w:rFonts w:ascii="Arial" w:eastAsia="Calibri" w:hAnsi="Arial" w:cs="Arial"/>
          <w:noProof/>
          <w:kern w:val="20"/>
          <w:sz w:val="20"/>
        </w:rPr>
        <w:t xml:space="preserve"> in </w:t>
      </w:r>
      <w:smartTag w:uri="urn:schemas-microsoft-com:office:smarttags" w:element="country-region">
        <w:r>
          <w:rPr>
            <w:rFonts w:ascii="Arial" w:eastAsia="Calibri" w:hAnsi="Arial" w:cs="Arial"/>
            <w:noProof/>
            <w:kern w:val="20"/>
            <w:sz w:val="20"/>
          </w:rPr>
          <w:t>Italy</w:t>
        </w:r>
      </w:smartTag>
      <w:r>
        <w:rPr>
          <w:rFonts w:ascii="Arial" w:eastAsia="Calibri" w:hAnsi="Arial" w:cs="Arial"/>
          <w:noProof/>
          <w:kern w:val="20"/>
          <w:sz w:val="20"/>
        </w:rPr>
        <w:t xml:space="preserve"> and the </w:t>
      </w:r>
      <w:r>
        <w:rPr>
          <w:rFonts w:ascii="Arial" w:eastAsia="Calibri" w:hAnsi="Arial" w:cs="Arial"/>
          <w:i/>
          <w:noProof/>
          <w:kern w:val="20"/>
          <w:sz w:val="20"/>
        </w:rPr>
        <w:t>Pinewood Nematode</w:t>
      </w:r>
      <w:r>
        <w:rPr>
          <w:rFonts w:ascii="Arial" w:eastAsia="Calibri" w:hAnsi="Arial" w:cs="Arial"/>
          <w:noProof/>
          <w:kern w:val="20"/>
          <w:sz w:val="20"/>
        </w:rPr>
        <w:t xml:space="preserve"> in </w:t>
      </w:r>
      <w:smartTag w:uri="urn:schemas-microsoft-com:office:smarttags" w:element="country-region">
        <w:smartTag w:uri="urn:schemas-microsoft-com:office:smarttags" w:element="place">
          <w:r>
            <w:rPr>
              <w:rFonts w:ascii="Arial" w:eastAsia="Calibri" w:hAnsi="Arial" w:cs="Arial"/>
              <w:noProof/>
              <w:kern w:val="20"/>
              <w:sz w:val="20"/>
            </w:rPr>
            <w:t>Portugal</w:t>
          </w:r>
        </w:smartTag>
      </w:smartTag>
      <w:r>
        <w:rPr>
          <w:rFonts w:ascii="Arial" w:eastAsia="Calibri" w:hAnsi="Arial" w:cs="Arial"/>
          <w:noProof/>
          <w:kern w:val="20"/>
          <w:sz w:val="20"/>
        </w:rPr>
        <w:t>.</w:t>
      </w:r>
    </w:p>
    <w:p w:rsidR="00E201F7" w:rsidRDefault="00E201F7">
      <w:pPr>
        <w:ind w:left="1276"/>
        <w:contextualSpacing/>
        <w:rPr>
          <w:rFonts w:eastAsia="Calibri" w:cs="Arial"/>
          <w:noProof/>
          <w:color w:val="000000"/>
          <w:kern w:val="20"/>
          <w:sz w:val="20"/>
        </w:rPr>
      </w:pPr>
    </w:p>
    <w:p w:rsidR="00E201F7" w:rsidRDefault="00E201F7">
      <w:pPr>
        <w:rPr>
          <w:rFonts w:cs="Arial"/>
          <w:noProof/>
          <w:sz w:val="20"/>
        </w:rPr>
        <w:sectPr w:rsidR="00E201F7">
          <w:headerReference w:type="even" r:id="rId108"/>
          <w:headerReference w:type="default" r:id="rId109"/>
          <w:footerReference w:type="even" r:id="rId110"/>
          <w:footerReference w:type="default" r:id="rId111"/>
          <w:headerReference w:type="first" r:id="rId112"/>
          <w:footerReference w:type="first" r:id="rId113"/>
          <w:footnotePr>
            <w:numRestart w:val="eachSect"/>
          </w:footnotePr>
          <w:pgSz w:w="11907" w:h="16839" w:code="9"/>
          <w:pgMar w:top="1843" w:right="1275" w:bottom="737" w:left="1418" w:header="567" w:footer="352" w:gutter="0"/>
          <w:cols w:space="720"/>
          <w:titlePg/>
          <w:docGrid w:linePitch="326"/>
        </w:sectPr>
      </w:pPr>
    </w:p>
    <w:p w:rsidR="00E201F7" w:rsidRDefault="00E24EFF">
      <w:pPr>
        <w:pStyle w:val="Heading1"/>
        <w:spacing w:after="0"/>
        <w:ind w:left="0"/>
        <w:rPr>
          <w:rFonts w:ascii="Arial" w:hAnsi="Arial" w:cs="Arial"/>
          <w:noProof/>
        </w:rPr>
      </w:pPr>
      <w:bookmarkStart w:id="86" w:name="_Toc443057941"/>
      <w:bookmarkStart w:id="87" w:name="_Toc475524737"/>
      <w:bookmarkStart w:id="88" w:name="_Toc475529504"/>
      <w:bookmarkStart w:id="89" w:name="_Toc475529543"/>
      <w:bookmarkStart w:id="90" w:name="_Toc475529871"/>
      <w:bookmarkStart w:id="91" w:name="_Toc475550836"/>
      <w:bookmarkStart w:id="92" w:name="_Toc475551376"/>
      <w:bookmarkStart w:id="93" w:name="_Toc507510319"/>
      <w:bookmarkStart w:id="94" w:name="_Toc507517733"/>
      <w:bookmarkStart w:id="95" w:name="_Toc507520114"/>
      <w:bookmarkStart w:id="96" w:name="_Toc510016531"/>
      <w:r>
        <w:rPr>
          <w:rFonts w:ascii="Arial" w:hAnsi="Arial" w:cs="Arial"/>
          <w:noProof/>
        </w:rPr>
        <w:t>Internal market, industry, entrepreneurship and SMEs</w:t>
      </w:r>
      <w:bookmarkEnd w:id="86"/>
      <w:bookmarkEnd w:id="87"/>
      <w:bookmarkEnd w:id="88"/>
      <w:bookmarkEnd w:id="89"/>
      <w:bookmarkEnd w:id="90"/>
      <w:bookmarkEnd w:id="91"/>
      <w:bookmarkEnd w:id="92"/>
      <w:bookmarkEnd w:id="93"/>
      <w:bookmarkEnd w:id="94"/>
      <w:bookmarkEnd w:id="95"/>
      <w:bookmarkEnd w:id="96"/>
    </w:p>
    <w:p w:rsidR="00E201F7" w:rsidRDefault="00E24EFF">
      <w:pPr>
        <w:pStyle w:val="kop2"/>
        <w:numPr>
          <w:ilvl w:val="0"/>
          <w:numId w:val="87"/>
        </w:numPr>
        <w:rPr>
          <w:noProof/>
        </w:rPr>
      </w:pPr>
      <w:r>
        <w:rPr>
          <w:noProof/>
        </w:rPr>
        <w:t>COMPLAINTS</w:t>
      </w:r>
    </w:p>
    <w:p w:rsidR="00E201F7" w:rsidRDefault="00E24EFF">
      <w:pPr>
        <w:numPr>
          <w:ilvl w:val="0"/>
          <w:numId w:val="125"/>
        </w:numPr>
        <w:spacing w:before="240"/>
        <w:ind w:left="714" w:hanging="357"/>
        <w:jc w:val="left"/>
        <w:outlineLvl w:val="1"/>
        <w:rPr>
          <w:rFonts w:ascii="Arial" w:hAnsi="Arial" w:cs="Arial"/>
          <w:noProof/>
          <w:color w:val="002060"/>
          <w:sz w:val="22"/>
        </w:rPr>
      </w:pPr>
      <w:r>
        <w:rPr>
          <w:rFonts w:ascii="Arial" w:hAnsi="Arial" w:cs="Arial"/>
          <w:noProof/>
          <w:color w:val="002060"/>
          <w:sz w:val="22"/>
        </w:rPr>
        <w:t xml:space="preserve">New complaints received from </w:t>
      </w:r>
      <w:r>
        <w:rPr>
          <w:rFonts w:ascii="Arial" w:hAnsi="Arial" w:cs="Arial"/>
          <w:noProof/>
          <w:color w:val="002060"/>
          <w:sz w:val="22"/>
        </w:rPr>
        <w:t>members of the public (2016-2017)</w:t>
      </w:r>
    </w:p>
    <w:p w:rsidR="00E201F7" w:rsidRDefault="00E24EFF">
      <w:pPr>
        <w:ind w:left="720"/>
        <w:rPr>
          <w:rFonts w:ascii="Arial" w:hAnsi="Arial" w:cs="Arial"/>
          <w:noProof/>
        </w:rPr>
      </w:pPr>
      <w:r>
        <w:rPr>
          <w:rFonts w:ascii="Arial" w:hAnsi="Arial" w:cs="Arial"/>
          <w:noProof/>
          <w:sz w:val="20"/>
        </w:rPr>
        <w:t xml:space="preserve">The Commission received 476 complaints from the members of the public in the area of internal market, industry, entrepreneurship and SMEs in 2017, and </w:t>
      </w:r>
      <w:smartTag w:uri="urn:schemas-microsoft-com:office:smarttags" w:element="metricconverter">
        <w:smartTagPr>
          <w:attr w:name="ProductID" w:val="483 in"/>
        </w:smartTagPr>
        <w:r>
          <w:rPr>
            <w:rFonts w:ascii="Arial" w:hAnsi="Arial" w:cs="Arial"/>
            <w:noProof/>
            <w:sz w:val="20"/>
          </w:rPr>
          <w:t>483 in</w:t>
        </w:r>
      </w:smartTag>
      <w:r>
        <w:rPr>
          <w:rFonts w:ascii="Arial" w:hAnsi="Arial" w:cs="Arial"/>
          <w:noProof/>
          <w:sz w:val="20"/>
        </w:rPr>
        <w:t xml:space="preserve"> 2016.</w:t>
      </w:r>
    </w:p>
    <w:p w:rsidR="00E201F7" w:rsidRDefault="00E24EFF">
      <w:pPr>
        <w:numPr>
          <w:ilvl w:val="0"/>
          <w:numId w:val="125"/>
        </w:numPr>
        <w:spacing w:before="240"/>
        <w:ind w:left="714" w:hanging="357"/>
        <w:jc w:val="left"/>
        <w:outlineLvl w:val="1"/>
        <w:rPr>
          <w:rFonts w:ascii="Arial" w:hAnsi="Arial" w:cs="Arial"/>
          <w:noProof/>
          <w:color w:val="002060"/>
          <w:sz w:val="22"/>
        </w:rPr>
      </w:pPr>
      <w:r>
        <w:rPr>
          <w:rFonts w:ascii="Arial" w:hAnsi="Arial" w:cs="Arial"/>
          <w:noProof/>
          <w:color w:val="002060"/>
          <w:sz w:val="22"/>
        </w:rPr>
        <w:t>Public complaints open at year-end</w:t>
      </w:r>
    </w:p>
    <w:tbl>
      <w:tblPr>
        <w:tblW w:w="0" w:type="auto"/>
        <w:jc w:val="center"/>
        <w:tblLook w:val="04A0" w:firstRow="1" w:lastRow="0" w:firstColumn="1" w:lastColumn="0" w:noHBand="0" w:noVBand="1"/>
      </w:tblPr>
      <w:tblGrid>
        <w:gridCol w:w="1697"/>
        <w:gridCol w:w="431"/>
        <w:gridCol w:w="5310"/>
      </w:tblGrid>
      <w:tr w:rsidR="00E201F7">
        <w:trPr>
          <w:trHeight w:val="403"/>
          <w:jc w:val="center"/>
        </w:trPr>
        <w:tc>
          <w:tcPr>
            <w:tcW w:w="1697" w:type="dxa"/>
            <w:shd w:val="clear" w:color="auto" w:fill="auto"/>
            <w:vAlign w:val="center"/>
          </w:tcPr>
          <w:p w:rsidR="00E201F7" w:rsidRDefault="00E24EFF">
            <w:pPr>
              <w:spacing w:after="0"/>
              <w:jc w:val="right"/>
              <w:rPr>
                <w:rFonts w:ascii="Arial" w:hAnsi="Arial" w:cs="Arial"/>
                <w:noProof/>
                <w:color w:val="548DD4"/>
                <w:sz w:val="22"/>
              </w:rPr>
            </w:pPr>
            <w:r>
              <w:rPr>
                <w:rFonts w:ascii="Arial" w:hAnsi="Arial" w:cs="Arial"/>
                <w:noProof/>
                <w:color w:val="548DD4"/>
                <w:sz w:val="22"/>
              </w:rPr>
              <w:t>631</w:t>
            </w:r>
          </w:p>
        </w:tc>
        <w:tc>
          <w:tcPr>
            <w:tcW w:w="431" w:type="dxa"/>
            <w:shd w:val="clear" w:color="auto" w:fill="auto"/>
            <w:vAlign w:val="center"/>
          </w:tcPr>
          <w:p w:rsidR="00E201F7" w:rsidRDefault="00E24EFF">
            <w:pPr>
              <w:spacing w:after="0"/>
              <w:jc w:val="right"/>
              <w:rPr>
                <w:rFonts w:ascii="Arial" w:hAnsi="Arial" w:cs="Arial"/>
                <w:noProof/>
                <w:color w:val="548DD4"/>
                <w:sz w:val="22"/>
              </w:rPr>
            </w:pPr>
            <w:r>
              <w:rPr>
                <w:rFonts w:ascii="Arial" w:hAnsi="Arial" w:cs="Arial"/>
                <w:noProof/>
                <w:color w:val="548DD4"/>
                <w:sz w:val="22"/>
              </w:rPr>
              <w:t>&gt;</w:t>
            </w:r>
          </w:p>
        </w:tc>
        <w:tc>
          <w:tcPr>
            <w:tcW w:w="5310" w:type="dxa"/>
            <w:shd w:val="clear" w:color="auto" w:fill="auto"/>
            <w:vAlign w:val="center"/>
          </w:tcPr>
          <w:p w:rsidR="00E201F7" w:rsidRDefault="00E24EFF">
            <w:pPr>
              <w:spacing w:after="0"/>
              <w:jc w:val="left"/>
              <w:rPr>
                <w:rFonts w:ascii="Arial" w:hAnsi="Arial" w:cs="Arial"/>
                <w:noProof/>
                <w:color w:val="548DD4"/>
                <w:sz w:val="22"/>
              </w:rPr>
            </w:pPr>
            <w:r>
              <w:rPr>
                <w:rFonts w:ascii="Arial" w:hAnsi="Arial" w:cs="Arial"/>
                <w:noProof/>
                <w:color w:val="548DD4"/>
                <w:sz w:val="22"/>
              </w:rPr>
              <w:t>Complaints open a</w:t>
            </w:r>
            <w:r>
              <w:rPr>
                <w:rFonts w:ascii="Arial" w:hAnsi="Arial" w:cs="Arial"/>
                <w:noProof/>
                <w:color w:val="548DD4"/>
                <w:sz w:val="22"/>
              </w:rPr>
              <w:t>t end-2016</w:t>
            </w:r>
          </w:p>
        </w:tc>
      </w:tr>
      <w:tr w:rsidR="00E201F7">
        <w:trPr>
          <w:trHeight w:val="403"/>
          <w:jc w:val="center"/>
        </w:trPr>
        <w:tc>
          <w:tcPr>
            <w:tcW w:w="1697" w:type="dxa"/>
            <w:shd w:val="clear" w:color="auto" w:fill="auto"/>
            <w:vAlign w:val="center"/>
          </w:tcPr>
          <w:p w:rsidR="00E201F7" w:rsidRDefault="00E24EFF">
            <w:pPr>
              <w:spacing w:after="0"/>
              <w:jc w:val="right"/>
              <w:rPr>
                <w:rFonts w:ascii="Arial" w:hAnsi="Arial" w:cs="Arial"/>
                <w:noProof/>
                <w:color w:val="548DD4"/>
                <w:sz w:val="22"/>
              </w:rPr>
            </w:pPr>
            <w:r>
              <w:rPr>
                <w:rFonts w:ascii="Arial" w:hAnsi="Arial" w:cs="Arial"/>
                <w:noProof/>
                <w:color w:val="548DD4"/>
                <w:sz w:val="22"/>
              </w:rPr>
              <w:t>476</w:t>
            </w:r>
          </w:p>
        </w:tc>
        <w:tc>
          <w:tcPr>
            <w:tcW w:w="431" w:type="dxa"/>
            <w:shd w:val="clear" w:color="auto" w:fill="auto"/>
            <w:vAlign w:val="center"/>
          </w:tcPr>
          <w:p w:rsidR="00E201F7" w:rsidRDefault="00E24EFF">
            <w:pPr>
              <w:spacing w:after="0"/>
              <w:jc w:val="right"/>
              <w:rPr>
                <w:rFonts w:ascii="Arial" w:hAnsi="Arial" w:cs="Arial"/>
                <w:noProof/>
                <w:color w:val="548DD4"/>
                <w:sz w:val="22"/>
              </w:rPr>
            </w:pPr>
            <w:r>
              <w:rPr>
                <w:rFonts w:ascii="Arial" w:hAnsi="Arial" w:cs="Arial"/>
                <w:noProof/>
                <w:color w:val="548DD4"/>
                <w:sz w:val="22"/>
              </w:rPr>
              <w:t>&gt;</w:t>
            </w:r>
          </w:p>
        </w:tc>
        <w:tc>
          <w:tcPr>
            <w:tcW w:w="5310" w:type="dxa"/>
            <w:shd w:val="clear" w:color="auto" w:fill="auto"/>
            <w:vAlign w:val="center"/>
          </w:tcPr>
          <w:p w:rsidR="00E201F7" w:rsidRDefault="00E24EFF">
            <w:pPr>
              <w:spacing w:after="0"/>
              <w:jc w:val="left"/>
              <w:rPr>
                <w:rFonts w:ascii="Arial" w:hAnsi="Arial" w:cs="Arial"/>
                <w:noProof/>
                <w:color w:val="548DD4"/>
                <w:sz w:val="22"/>
              </w:rPr>
            </w:pPr>
            <w:r>
              <w:rPr>
                <w:rFonts w:ascii="Arial" w:hAnsi="Arial" w:cs="Arial"/>
                <w:noProof/>
                <w:color w:val="548DD4"/>
                <w:sz w:val="22"/>
              </w:rPr>
              <w:t>New complaints registered in 2017</w:t>
            </w:r>
          </w:p>
        </w:tc>
      </w:tr>
      <w:tr w:rsidR="00E201F7">
        <w:trPr>
          <w:trHeight w:val="403"/>
          <w:jc w:val="center"/>
        </w:trPr>
        <w:tc>
          <w:tcPr>
            <w:tcW w:w="1697" w:type="dxa"/>
            <w:tcBorders>
              <w:bottom w:val="single" w:sz="24" w:space="0" w:color="548DD4"/>
            </w:tcBorders>
            <w:shd w:val="clear" w:color="auto" w:fill="auto"/>
            <w:vAlign w:val="center"/>
          </w:tcPr>
          <w:p w:rsidR="00E201F7" w:rsidRDefault="00E24EFF">
            <w:pPr>
              <w:spacing w:after="0"/>
              <w:jc w:val="right"/>
              <w:rPr>
                <w:rFonts w:ascii="Arial" w:hAnsi="Arial" w:cs="Arial"/>
                <w:noProof/>
                <w:color w:val="548DD4"/>
                <w:sz w:val="22"/>
              </w:rPr>
            </w:pPr>
            <w:r>
              <w:rPr>
                <w:rFonts w:ascii="Arial" w:hAnsi="Arial" w:cs="Arial"/>
                <w:noProof/>
                <w:color w:val="548DD4"/>
                <w:sz w:val="22"/>
              </w:rPr>
              <w:t>466</w:t>
            </w:r>
          </w:p>
        </w:tc>
        <w:tc>
          <w:tcPr>
            <w:tcW w:w="431" w:type="dxa"/>
            <w:shd w:val="clear" w:color="auto" w:fill="auto"/>
            <w:vAlign w:val="center"/>
          </w:tcPr>
          <w:p w:rsidR="00E201F7" w:rsidRDefault="00E24EFF">
            <w:pPr>
              <w:spacing w:after="0"/>
              <w:jc w:val="right"/>
              <w:rPr>
                <w:rFonts w:ascii="Arial" w:hAnsi="Arial" w:cs="Arial"/>
                <w:noProof/>
                <w:color w:val="548DD4"/>
                <w:sz w:val="22"/>
              </w:rPr>
            </w:pPr>
            <w:r>
              <w:rPr>
                <w:rFonts w:ascii="Arial" w:hAnsi="Arial" w:cs="Arial"/>
                <w:noProof/>
                <w:color w:val="548DD4"/>
                <w:sz w:val="22"/>
              </w:rPr>
              <w:t>&gt;</w:t>
            </w:r>
          </w:p>
        </w:tc>
        <w:tc>
          <w:tcPr>
            <w:tcW w:w="5310" w:type="dxa"/>
            <w:shd w:val="clear" w:color="auto" w:fill="auto"/>
            <w:vAlign w:val="center"/>
          </w:tcPr>
          <w:p w:rsidR="00E201F7" w:rsidRDefault="00E24EFF">
            <w:pPr>
              <w:spacing w:after="0"/>
              <w:jc w:val="left"/>
              <w:rPr>
                <w:rFonts w:ascii="Arial" w:hAnsi="Arial" w:cs="Arial"/>
                <w:noProof/>
                <w:color w:val="548DD4"/>
                <w:sz w:val="22"/>
              </w:rPr>
            </w:pPr>
            <w:r>
              <w:rPr>
                <w:rFonts w:ascii="Arial" w:hAnsi="Arial" w:cs="Arial"/>
                <w:noProof/>
                <w:color w:val="548DD4"/>
                <w:sz w:val="22"/>
              </w:rPr>
              <w:t>Complaints handled in 2017</w:t>
            </w:r>
          </w:p>
        </w:tc>
      </w:tr>
      <w:tr w:rsidR="00E201F7">
        <w:trPr>
          <w:trHeight w:val="403"/>
          <w:jc w:val="center"/>
        </w:trPr>
        <w:tc>
          <w:tcPr>
            <w:tcW w:w="1697" w:type="dxa"/>
            <w:tcBorders>
              <w:top w:val="single" w:sz="24" w:space="0" w:color="548DD4"/>
            </w:tcBorders>
            <w:shd w:val="clear" w:color="auto" w:fill="auto"/>
            <w:vAlign w:val="center"/>
          </w:tcPr>
          <w:p w:rsidR="00E201F7" w:rsidRDefault="00E24EFF">
            <w:pPr>
              <w:spacing w:after="0"/>
              <w:jc w:val="right"/>
              <w:rPr>
                <w:rFonts w:ascii="Arial" w:hAnsi="Arial" w:cs="Arial"/>
                <w:noProof/>
                <w:color w:val="C00000"/>
                <w:sz w:val="22"/>
              </w:rPr>
            </w:pPr>
            <w:r>
              <w:rPr>
                <w:rFonts w:ascii="Arial" w:hAnsi="Arial" w:cs="Arial"/>
                <w:noProof/>
                <w:color w:val="FF0000"/>
                <w:sz w:val="22"/>
              </w:rPr>
              <w:t>641</w:t>
            </w:r>
          </w:p>
        </w:tc>
        <w:tc>
          <w:tcPr>
            <w:tcW w:w="431" w:type="dxa"/>
            <w:shd w:val="clear" w:color="auto" w:fill="auto"/>
            <w:vAlign w:val="center"/>
          </w:tcPr>
          <w:p w:rsidR="00E201F7" w:rsidRDefault="00E24EFF">
            <w:pPr>
              <w:spacing w:after="0"/>
              <w:jc w:val="right"/>
              <w:rPr>
                <w:rFonts w:ascii="Arial" w:hAnsi="Arial" w:cs="Arial"/>
                <w:noProof/>
                <w:color w:val="548DD4"/>
                <w:sz w:val="22"/>
              </w:rPr>
            </w:pPr>
            <w:r>
              <w:rPr>
                <w:rFonts w:ascii="Arial" w:hAnsi="Arial" w:cs="Arial"/>
                <w:noProof/>
                <w:color w:val="548DD4"/>
                <w:sz w:val="22"/>
              </w:rPr>
              <w:t>&gt;</w:t>
            </w:r>
          </w:p>
        </w:tc>
        <w:tc>
          <w:tcPr>
            <w:tcW w:w="5310" w:type="dxa"/>
            <w:shd w:val="clear" w:color="auto" w:fill="auto"/>
            <w:vAlign w:val="center"/>
          </w:tcPr>
          <w:p w:rsidR="00E201F7" w:rsidRDefault="00E24EFF">
            <w:pPr>
              <w:spacing w:after="0"/>
              <w:jc w:val="left"/>
              <w:rPr>
                <w:rFonts w:ascii="Arial" w:hAnsi="Arial" w:cs="Arial"/>
                <w:noProof/>
                <w:color w:val="548DD4"/>
                <w:sz w:val="22"/>
              </w:rPr>
            </w:pPr>
            <w:r>
              <w:rPr>
                <w:rFonts w:ascii="Arial" w:hAnsi="Arial" w:cs="Arial"/>
                <w:noProof/>
                <w:color w:val="548DD4"/>
                <w:sz w:val="22"/>
              </w:rPr>
              <w:t>Complaints open at end-2017</w:t>
            </w:r>
          </w:p>
        </w:tc>
      </w:tr>
    </w:tbl>
    <w:p w:rsidR="00E201F7" w:rsidRDefault="00E24EFF">
      <w:pPr>
        <w:numPr>
          <w:ilvl w:val="0"/>
          <w:numId w:val="125"/>
        </w:numPr>
        <w:spacing w:before="240"/>
        <w:ind w:left="714" w:hanging="357"/>
        <w:jc w:val="left"/>
        <w:outlineLvl w:val="1"/>
        <w:rPr>
          <w:rFonts w:ascii="Arial" w:hAnsi="Arial" w:cs="Arial"/>
          <w:noProof/>
          <w:color w:val="002060"/>
          <w:sz w:val="22"/>
        </w:rPr>
      </w:pPr>
      <w:r>
        <w:rPr>
          <w:rFonts w:ascii="Arial" w:hAnsi="Arial" w:cs="Arial"/>
          <w:noProof/>
          <w:color w:val="002060"/>
          <w:sz w:val="22"/>
        </w:rPr>
        <w:t>New complaints registered in 2017: main policy sectors</w:t>
      </w:r>
    </w:p>
    <w:p w:rsidR="00E201F7" w:rsidRDefault="00E24EFF">
      <w:pPr>
        <w:ind w:left="720"/>
        <w:rPr>
          <w:rFonts w:ascii="Verdana" w:hAnsi="Verdana"/>
          <w:noProof/>
          <w:sz w:val="20"/>
        </w:rPr>
      </w:pPr>
      <w:r>
        <w:rPr>
          <w:rFonts w:ascii="Verdana" w:hAnsi="Verdana"/>
          <w:noProof/>
          <w:sz w:val="20"/>
        </w:rPr>
        <w:drawing>
          <wp:inline distT="0" distB="0" distL="0" distR="0" wp14:anchorId="5B4AC42C" wp14:editId="5E54C42B">
            <wp:extent cx="4592320" cy="2458720"/>
            <wp:effectExtent l="0" t="0" r="17780" b="17780"/>
            <wp:docPr id="298"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E201F7" w:rsidRDefault="00E24EFF">
      <w:pPr>
        <w:pStyle w:val="kop2"/>
        <w:rPr>
          <w:noProof/>
        </w:rPr>
      </w:pPr>
      <w:r>
        <w:rPr>
          <w:noProof/>
        </w:rPr>
        <w:t>EU PILOT</w:t>
      </w:r>
    </w:p>
    <w:p w:rsidR="00E201F7" w:rsidRDefault="00E24EFF">
      <w:pPr>
        <w:numPr>
          <w:ilvl w:val="0"/>
          <w:numId w:val="126"/>
        </w:numPr>
        <w:spacing w:before="240"/>
        <w:ind w:left="714" w:hanging="357"/>
        <w:jc w:val="left"/>
        <w:outlineLvl w:val="1"/>
        <w:rPr>
          <w:rFonts w:ascii="Arial" w:hAnsi="Arial" w:cs="Arial"/>
          <w:noProof/>
          <w:color w:val="002060"/>
          <w:sz w:val="22"/>
        </w:rPr>
      </w:pPr>
      <w:r>
        <w:rPr>
          <w:rFonts w:ascii="Arial" w:hAnsi="Arial" w:cs="Arial"/>
          <w:noProof/>
          <w:color w:val="002060"/>
          <w:sz w:val="22"/>
        </w:rPr>
        <w:t>New EU Pilot files (2016-2017)</w:t>
      </w:r>
    </w:p>
    <w:p w:rsidR="00E201F7" w:rsidRDefault="00E24EFF">
      <w:pPr>
        <w:ind w:left="720"/>
        <w:rPr>
          <w:rFonts w:ascii="Arial" w:hAnsi="Arial"/>
          <w:noProof/>
          <w:sz w:val="20"/>
        </w:rPr>
      </w:pPr>
      <w:r>
        <w:rPr>
          <w:rFonts w:ascii="Arial" w:hAnsi="Arial"/>
          <w:noProof/>
          <w:sz w:val="20"/>
        </w:rPr>
        <w:t xml:space="preserve">In 2017 the Commission opened 9 new EU Pilot files in this area, against </w:t>
      </w:r>
      <w:smartTag w:uri="urn:schemas-microsoft-com:office:smarttags" w:element="metricconverter">
        <w:smartTagPr>
          <w:attr w:name="ProductID" w:val="111 in"/>
        </w:smartTagPr>
        <w:r>
          <w:rPr>
            <w:rFonts w:ascii="Arial" w:hAnsi="Arial"/>
            <w:noProof/>
            <w:sz w:val="20"/>
          </w:rPr>
          <w:t>111 in</w:t>
        </w:r>
      </w:smartTag>
      <w:r>
        <w:rPr>
          <w:rFonts w:ascii="Arial" w:hAnsi="Arial"/>
          <w:noProof/>
          <w:sz w:val="20"/>
        </w:rPr>
        <w:t xml:space="preserve"> 2016.</w:t>
      </w:r>
    </w:p>
    <w:p w:rsidR="00E201F7" w:rsidRDefault="00E24EFF">
      <w:pPr>
        <w:numPr>
          <w:ilvl w:val="0"/>
          <w:numId w:val="126"/>
        </w:numPr>
        <w:spacing w:before="240"/>
        <w:ind w:left="714" w:hanging="357"/>
        <w:jc w:val="left"/>
        <w:outlineLvl w:val="1"/>
        <w:rPr>
          <w:rFonts w:ascii="Arial" w:hAnsi="Arial" w:cs="Arial"/>
          <w:noProof/>
          <w:color w:val="002060"/>
          <w:sz w:val="22"/>
        </w:rPr>
      </w:pPr>
      <w:r>
        <w:rPr>
          <w:rFonts w:ascii="Arial" w:hAnsi="Arial" w:cs="Arial"/>
          <w:noProof/>
          <w:color w:val="002060"/>
          <w:sz w:val="22"/>
        </w:rPr>
        <w:t>EU Pilot files open at year-end</w:t>
      </w:r>
    </w:p>
    <w:p w:rsidR="00E201F7" w:rsidRDefault="00E24EFF">
      <w:pPr>
        <w:ind w:left="720"/>
        <w:rPr>
          <w:rFonts w:ascii="Arial" w:hAnsi="Arial"/>
          <w:noProof/>
          <w:sz w:val="20"/>
        </w:rPr>
      </w:pPr>
      <w:r>
        <w:rPr>
          <w:rFonts w:ascii="Arial" w:hAnsi="Arial"/>
          <w:noProof/>
          <w:sz w:val="20"/>
        </w:rPr>
        <w:t>At the end of 2017, 90 EU Pilot files remained open.</w:t>
      </w:r>
    </w:p>
    <w:p w:rsidR="00E201F7" w:rsidRDefault="00E24EFF">
      <w:pPr>
        <w:spacing w:after="0"/>
        <w:jc w:val="left"/>
        <w:rPr>
          <w:noProof/>
          <w:color w:val="002060"/>
        </w:rPr>
      </w:pPr>
      <w:r>
        <w:rPr>
          <w:noProof/>
          <w:color w:val="002060"/>
        </w:rPr>
        <w:br w:type="page"/>
      </w:r>
    </w:p>
    <w:p w:rsidR="00E201F7" w:rsidRDefault="00E24EFF">
      <w:pPr>
        <w:numPr>
          <w:ilvl w:val="0"/>
          <w:numId w:val="126"/>
        </w:numPr>
        <w:spacing w:before="240"/>
        <w:ind w:left="714" w:hanging="357"/>
        <w:jc w:val="left"/>
        <w:outlineLvl w:val="1"/>
        <w:rPr>
          <w:rFonts w:ascii="Arial" w:hAnsi="Arial" w:cs="Arial"/>
          <w:noProof/>
          <w:color w:val="002060"/>
          <w:sz w:val="22"/>
        </w:rPr>
      </w:pPr>
      <w:r>
        <w:rPr>
          <w:rFonts w:ascii="Arial" w:hAnsi="Arial" w:cs="Arial"/>
          <w:noProof/>
          <w:color w:val="002060"/>
          <w:sz w:val="22"/>
        </w:rPr>
        <w:t>New EU Pilot files opened in 2017: main policy sectors</w:t>
      </w:r>
    </w:p>
    <w:p w:rsidR="00E201F7" w:rsidRDefault="00E24EFF">
      <w:pPr>
        <w:ind w:left="720"/>
        <w:rPr>
          <w:rFonts w:ascii="Verdana" w:hAnsi="Verdana"/>
          <w:noProof/>
          <w:sz w:val="20"/>
        </w:rPr>
      </w:pPr>
      <w:r>
        <w:rPr>
          <w:rFonts w:ascii="Verdana" w:hAnsi="Verdana"/>
          <w:noProof/>
          <w:sz w:val="20"/>
        </w:rPr>
        <w:drawing>
          <wp:inline distT="0" distB="0" distL="0" distR="0" wp14:anchorId="74F68CF2" wp14:editId="318A0C43">
            <wp:extent cx="4861560" cy="2872740"/>
            <wp:effectExtent l="0" t="0" r="15240" b="3810"/>
            <wp:docPr id="297"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E201F7" w:rsidRDefault="00E24EFF">
      <w:pPr>
        <w:numPr>
          <w:ilvl w:val="0"/>
          <w:numId w:val="126"/>
        </w:numPr>
        <w:spacing w:before="240"/>
        <w:ind w:left="714" w:hanging="357"/>
        <w:jc w:val="left"/>
        <w:outlineLvl w:val="1"/>
        <w:rPr>
          <w:rFonts w:ascii="Arial" w:hAnsi="Arial" w:cs="Arial"/>
          <w:noProof/>
          <w:color w:val="002060"/>
          <w:sz w:val="22"/>
        </w:rPr>
      </w:pPr>
      <w:r>
        <w:rPr>
          <w:rFonts w:ascii="Arial" w:hAnsi="Arial" w:cs="Arial"/>
          <w:noProof/>
          <w:color w:val="002060"/>
          <w:sz w:val="22"/>
        </w:rPr>
        <w:t>EU Pilot files: resolution</w:t>
      </w:r>
      <w:r>
        <w:rPr>
          <w:rFonts w:ascii="Arial" w:hAnsi="Arial" w:cs="Arial"/>
          <w:noProof/>
          <w:color w:val="002060"/>
          <w:sz w:val="22"/>
        </w:rPr>
        <w:t xml:space="preserve"> rate for policies (2016-2017)</w:t>
      </w:r>
    </w:p>
    <w:p w:rsidR="00E201F7" w:rsidRDefault="00E24EFF">
      <w:pPr>
        <w:ind w:left="720"/>
        <w:rPr>
          <w:rFonts w:ascii="Arial" w:hAnsi="Arial"/>
          <w:noProof/>
          <w:sz w:val="20"/>
        </w:rPr>
      </w:pPr>
      <w:r>
        <w:rPr>
          <w:rFonts w:ascii="Arial" w:hAnsi="Arial"/>
          <w:noProof/>
          <w:sz w:val="20"/>
        </w:rPr>
        <w:t>The resolution rate for files concerning the internal market, industry, entrepreneurship and SMEs in 2017 was 73 %.</w:t>
      </w:r>
    </w:p>
    <w:p w:rsidR="00E201F7" w:rsidRDefault="00E24EFF">
      <w:pPr>
        <w:pStyle w:val="kop2"/>
        <w:rPr>
          <w:noProof/>
        </w:rPr>
      </w:pPr>
      <w:r>
        <w:rPr>
          <w:noProof/>
        </w:rPr>
        <w:t>OWN-INITIATIVE CASES</w:t>
      </w:r>
    </w:p>
    <w:p w:rsidR="00E201F7" w:rsidRDefault="00E24EFF">
      <w:pPr>
        <w:spacing w:after="60"/>
        <w:ind w:left="360"/>
        <w:jc w:val="left"/>
        <w:outlineLvl w:val="1"/>
        <w:rPr>
          <w:rFonts w:ascii="Arial" w:hAnsi="Arial"/>
          <w:noProof/>
          <w:color w:val="002060"/>
          <w:sz w:val="22"/>
        </w:rPr>
      </w:pPr>
      <w:r>
        <w:rPr>
          <w:rFonts w:ascii="Arial" w:hAnsi="Arial"/>
          <w:noProof/>
          <w:color w:val="002060"/>
          <w:sz w:val="22"/>
        </w:rPr>
        <w:t>New own-initiative infringement cases</w:t>
      </w:r>
    </w:p>
    <w:p w:rsidR="00E201F7" w:rsidRDefault="00E24EFF">
      <w:pPr>
        <w:autoSpaceDE w:val="0"/>
        <w:autoSpaceDN w:val="0"/>
        <w:adjustRightInd w:val="0"/>
        <w:spacing w:before="120" w:after="120"/>
        <w:ind w:left="720"/>
        <w:rPr>
          <w:rFonts w:ascii="Arial" w:hAnsi="Arial"/>
          <w:noProof/>
          <w:sz w:val="20"/>
        </w:rPr>
      </w:pPr>
      <w:r>
        <w:rPr>
          <w:rFonts w:ascii="Arial" w:hAnsi="Arial"/>
          <w:noProof/>
          <w:sz w:val="20"/>
        </w:rPr>
        <w:t xml:space="preserve">In 2017 the Commission opened own-initiative </w:t>
      </w:r>
      <w:r>
        <w:rPr>
          <w:rFonts w:ascii="Arial" w:hAnsi="Arial"/>
          <w:noProof/>
          <w:sz w:val="20"/>
        </w:rPr>
        <w:t>infringement cases over:</w:t>
      </w:r>
    </w:p>
    <w:p w:rsidR="00E201F7" w:rsidRDefault="00E24EFF">
      <w:pPr>
        <w:pStyle w:val="ListParagraph"/>
        <w:numPr>
          <w:ilvl w:val="0"/>
          <w:numId w:val="25"/>
        </w:numPr>
        <w:autoSpaceDE w:val="0"/>
        <w:autoSpaceDN w:val="0"/>
        <w:adjustRightInd w:val="0"/>
        <w:ind w:left="1200"/>
        <w:rPr>
          <w:rFonts w:ascii="Arial" w:hAnsi="Arial"/>
          <w:noProof/>
          <w:sz w:val="20"/>
        </w:rPr>
      </w:pPr>
      <w:r>
        <w:rPr>
          <w:rFonts w:ascii="Arial" w:hAnsi="Arial"/>
          <w:noProof/>
          <w:sz w:val="20"/>
        </w:rPr>
        <w:t>public procurement;</w:t>
      </w:r>
    </w:p>
    <w:p w:rsidR="00E201F7" w:rsidRDefault="00E24EFF">
      <w:pPr>
        <w:pStyle w:val="ListParagraph"/>
        <w:numPr>
          <w:ilvl w:val="0"/>
          <w:numId w:val="25"/>
        </w:numPr>
        <w:autoSpaceDE w:val="0"/>
        <w:autoSpaceDN w:val="0"/>
        <w:adjustRightInd w:val="0"/>
        <w:ind w:left="1200"/>
        <w:rPr>
          <w:rFonts w:ascii="Arial" w:hAnsi="Arial"/>
          <w:noProof/>
          <w:sz w:val="20"/>
        </w:rPr>
      </w:pPr>
      <w:r>
        <w:rPr>
          <w:rFonts w:ascii="Arial" w:hAnsi="Arial"/>
          <w:noProof/>
          <w:sz w:val="20"/>
        </w:rPr>
        <w:t xml:space="preserve">the Late Payment Directive; </w:t>
      </w:r>
      <w:r>
        <w:rPr>
          <w:rStyle w:val="FootnoteReference"/>
          <w:rFonts w:ascii="Arial" w:hAnsi="Arial"/>
          <w:noProof/>
          <w:sz w:val="20"/>
        </w:rPr>
        <w:footnoteReference w:id="214"/>
      </w:r>
    </w:p>
    <w:p w:rsidR="00E201F7" w:rsidRDefault="00E24EFF">
      <w:pPr>
        <w:pStyle w:val="ListParagraph"/>
        <w:numPr>
          <w:ilvl w:val="0"/>
          <w:numId w:val="25"/>
        </w:numPr>
        <w:autoSpaceDE w:val="0"/>
        <w:autoSpaceDN w:val="0"/>
        <w:adjustRightInd w:val="0"/>
        <w:ind w:left="1200"/>
        <w:rPr>
          <w:rFonts w:ascii="Arial" w:hAnsi="Arial"/>
          <w:noProof/>
          <w:sz w:val="20"/>
        </w:rPr>
      </w:pPr>
      <w:r>
        <w:rPr>
          <w:rFonts w:ascii="Arial" w:hAnsi="Arial"/>
          <w:noProof/>
          <w:sz w:val="20"/>
        </w:rPr>
        <w:t xml:space="preserve">the automotive and mobility industries. </w:t>
      </w:r>
    </w:p>
    <w:p w:rsidR="00E201F7" w:rsidRDefault="00E24EFF">
      <w:pPr>
        <w:pStyle w:val="kop2"/>
        <w:rPr>
          <w:noProof/>
        </w:rPr>
      </w:pPr>
      <w:r>
        <w:rPr>
          <w:noProof/>
        </w:rPr>
        <w:t>INFRINGEMENT CASES</w:t>
      </w:r>
    </w:p>
    <w:p w:rsidR="00E201F7" w:rsidRDefault="00E24EFF">
      <w:pPr>
        <w:numPr>
          <w:ilvl w:val="0"/>
          <w:numId w:val="127"/>
        </w:numPr>
        <w:spacing w:before="240"/>
        <w:ind w:left="714" w:hanging="357"/>
        <w:jc w:val="left"/>
        <w:outlineLvl w:val="1"/>
        <w:rPr>
          <w:rFonts w:ascii="Arial" w:hAnsi="Arial" w:cs="Arial"/>
          <w:noProof/>
          <w:color w:val="002060"/>
          <w:sz w:val="22"/>
        </w:rPr>
      </w:pPr>
      <w:r>
        <w:rPr>
          <w:rFonts w:ascii="Arial" w:hAnsi="Arial" w:cs="Arial"/>
          <w:noProof/>
          <w:color w:val="002060"/>
          <w:sz w:val="22"/>
        </w:rPr>
        <w:t>Infringement cases open on 31 December 2017</w:t>
      </w:r>
    </w:p>
    <w:p w:rsidR="00E201F7" w:rsidRDefault="00E24EFF">
      <w:pPr>
        <w:ind w:left="720"/>
        <w:rPr>
          <w:rFonts w:ascii="Arial" w:hAnsi="Arial"/>
          <w:noProof/>
          <w:sz w:val="20"/>
        </w:rPr>
      </w:pPr>
      <w:r>
        <w:rPr>
          <w:rFonts w:ascii="Arial" w:hAnsi="Arial"/>
          <w:noProof/>
          <w:sz w:val="20"/>
        </w:rPr>
        <w:t xml:space="preserve">There were 158 infringement cases open on 31 December </w:t>
      </w:r>
      <w:smartTag w:uri="urn:schemas-microsoft-com:office:smarttags" w:element="metricconverter">
        <w:smartTagPr>
          <w:attr w:name="ProductID" w:val="2017 in"/>
        </w:smartTagPr>
        <w:r>
          <w:rPr>
            <w:rFonts w:ascii="Arial" w:hAnsi="Arial"/>
            <w:noProof/>
            <w:sz w:val="20"/>
          </w:rPr>
          <w:t>2017 in</w:t>
        </w:r>
      </w:smartTag>
      <w:r>
        <w:rPr>
          <w:rFonts w:ascii="Arial" w:hAnsi="Arial"/>
          <w:noProof/>
          <w:sz w:val="20"/>
        </w:rPr>
        <w:t xml:space="preserve"> this area.</w:t>
      </w:r>
    </w:p>
    <w:p w:rsidR="00E201F7" w:rsidRDefault="00E24EFF">
      <w:pPr>
        <w:spacing w:after="0"/>
        <w:jc w:val="left"/>
        <w:rPr>
          <w:rFonts w:ascii="Arial" w:hAnsi="Arial" w:cs="Arial"/>
          <w:noProof/>
          <w:color w:val="002060"/>
          <w:sz w:val="22"/>
        </w:rPr>
      </w:pPr>
      <w:r>
        <w:rPr>
          <w:rFonts w:ascii="Arial" w:hAnsi="Arial" w:cs="Arial"/>
          <w:noProof/>
          <w:color w:val="002060"/>
          <w:sz w:val="22"/>
        </w:rPr>
        <w:br w:type="page"/>
      </w:r>
    </w:p>
    <w:p w:rsidR="00E201F7" w:rsidRDefault="00E24EFF">
      <w:pPr>
        <w:numPr>
          <w:ilvl w:val="0"/>
          <w:numId w:val="127"/>
        </w:numPr>
        <w:spacing w:before="240"/>
        <w:ind w:left="714" w:hanging="357"/>
        <w:jc w:val="left"/>
        <w:outlineLvl w:val="1"/>
        <w:rPr>
          <w:rFonts w:ascii="Arial" w:hAnsi="Arial" w:cs="Arial"/>
          <w:noProof/>
          <w:color w:val="002060"/>
          <w:sz w:val="22"/>
        </w:rPr>
      </w:pPr>
      <w:r>
        <w:rPr>
          <w:rFonts w:ascii="Arial" w:hAnsi="Arial" w:cs="Arial"/>
          <w:noProof/>
          <w:color w:val="002060"/>
          <w:sz w:val="22"/>
        </w:rPr>
        <w:t>Infringement cases open on 31 December 2017: main policy sectors</w:t>
      </w:r>
    </w:p>
    <w:p w:rsidR="00E201F7" w:rsidRDefault="00E24EFF">
      <w:pPr>
        <w:ind w:left="720"/>
        <w:rPr>
          <w:rFonts w:ascii="Verdana" w:hAnsi="Verdana"/>
          <w:noProof/>
          <w:sz w:val="20"/>
        </w:rPr>
      </w:pPr>
      <w:r>
        <w:rPr>
          <w:rFonts w:ascii="Verdana" w:hAnsi="Verdana"/>
          <w:noProof/>
          <w:sz w:val="20"/>
        </w:rPr>
        <w:drawing>
          <wp:inline distT="0" distB="0" distL="0" distR="0" wp14:anchorId="180532D8" wp14:editId="1A7C4D68">
            <wp:extent cx="5006340" cy="2423160"/>
            <wp:effectExtent l="0" t="0" r="3810" b="15240"/>
            <wp:docPr id="296"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E201F7" w:rsidRDefault="00E24EFF">
      <w:pPr>
        <w:numPr>
          <w:ilvl w:val="0"/>
          <w:numId w:val="127"/>
        </w:numPr>
        <w:spacing w:before="240"/>
        <w:ind w:left="714" w:hanging="357"/>
        <w:jc w:val="left"/>
        <w:outlineLvl w:val="1"/>
        <w:rPr>
          <w:noProof/>
          <w:color w:val="002060"/>
        </w:rPr>
      </w:pPr>
      <w:r>
        <w:rPr>
          <w:rFonts w:ascii="Arial" w:hAnsi="Arial" w:cs="Arial"/>
          <w:noProof/>
          <w:color w:val="002060"/>
          <w:sz w:val="22"/>
        </w:rPr>
        <w:t>New infringement cases opened in 2017: main policy sectors</w:t>
      </w:r>
    </w:p>
    <w:p w:rsidR="00E201F7" w:rsidRDefault="00E24EFF">
      <w:pPr>
        <w:ind w:left="720"/>
        <w:rPr>
          <w:rFonts w:ascii="Verdana" w:hAnsi="Verdana"/>
          <w:noProof/>
          <w:sz w:val="20"/>
        </w:rPr>
      </w:pPr>
      <w:r>
        <w:rPr>
          <w:rFonts w:ascii="Verdana" w:hAnsi="Verdana"/>
          <w:noProof/>
          <w:sz w:val="20"/>
        </w:rPr>
        <w:drawing>
          <wp:inline distT="0" distB="0" distL="0" distR="0" wp14:anchorId="2DB24674" wp14:editId="2B45A868">
            <wp:extent cx="5036820" cy="2446020"/>
            <wp:effectExtent l="0" t="0" r="11430" b="11430"/>
            <wp:docPr id="295" name="Object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E201F7" w:rsidRDefault="00E24EFF">
      <w:pPr>
        <w:numPr>
          <w:ilvl w:val="0"/>
          <w:numId w:val="127"/>
        </w:numPr>
        <w:spacing w:before="240"/>
        <w:ind w:left="714" w:hanging="357"/>
        <w:jc w:val="left"/>
        <w:outlineLvl w:val="1"/>
        <w:rPr>
          <w:rFonts w:ascii="Arial" w:hAnsi="Arial" w:cs="Arial"/>
          <w:noProof/>
          <w:color w:val="002060"/>
          <w:sz w:val="22"/>
        </w:rPr>
      </w:pPr>
      <w:r>
        <w:rPr>
          <w:rFonts w:ascii="Arial" w:hAnsi="Arial" w:cs="Arial"/>
          <w:noProof/>
          <w:color w:val="002060"/>
          <w:sz w:val="22"/>
        </w:rPr>
        <w:t>Key infringement cases and referrals to the Court</w:t>
      </w:r>
    </w:p>
    <w:p w:rsidR="00E201F7" w:rsidRDefault="00E24EFF">
      <w:pPr>
        <w:pStyle w:val="Lijstje"/>
        <w:numPr>
          <w:ilvl w:val="0"/>
          <w:numId w:val="47"/>
        </w:numPr>
        <w:spacing w:after="120"/>
        <w:ind w:left="1200" w:hanging="360"/>
        <w:rPr>
          <w:rFonts w:ascii="Arial" w:hAnsi="Arial" w:cs="Arial"/>
          <w:noProof/>
          <w:lang w:val="en-GB"/>
        </w:rPr>
      </w:pPr>
      <w:r>
        <w:rPr>
          <w:rFonts w:ascii="Arial" w:hAnsi="Arial" w:cs="Arial"/>
          <w:noProof/>
          <w:lang w:val="en-GB"/>
        </w:rPr>
        <w:t xml:space="preserve">The Commission opened 29 new infringement cases in 2017. These, and other </w:t>
      </w:r>
      <w:r>
        <w:rPr>
          <w:rFonts w:ascii="Arial" w:hAnsi="Arial" w:cs="Arial"/>
          <w:noProof/>
          <w:lang w:val="en-GB"/>
        </w:rPr>
        <w:t>major ongoing infringement cases, include the following:</w:t>
      </w:r>
    </w:p>
    <w:p w:rsidR="00E201F7" w:rsidRDefault="00E24EFF">
      <w:pPr>
        <w:pStyle w:val="Lijstje2"/>
        <w:ind w:left="1800"/>
        <w:rPr>
          <w:rFonts w:ascii="Arial" w:hAnsi="Arial" w:cs="Arial"/>
          <w:noProof/>
          <w:lang w:val="en-GB"/>
        </w:rPr>
      </w:pPr>
      <w:r>
        <w:rPr>
          <w:rFonts w:ascii="Arial" w:hAnsi="Arial" w:cs="Arial"/>
          <w:i/>
          <w:noProof/>
          <w:lang w:val="en-GB"/>
        </w:rPr>
        <w:t>Greece, Spain, Malta, Austria</w:t>
      </w:r>
      <w:r>
        <w:rPr>
          <w:rFonts w:ascii="Arial" w:hAnsi="Arial" w:cs="Arial"/>
          <w:noProof/>
          <w:lang w:val="en-GB"/>
        </w:rPr>
        <w:t xml:space="preserve"> </w:t>
      </w:r>
      <w:r>
        <w:rPr>
          <w:rFonts w:ascii="Arial" w:hAnsi="Arial" w:cs="Arial"/>
          <w:i/>
          <w:noProof/>
          <w:lang w:val="en-GB"/>
        </w:rPr>
        <w:t>and Portugal</w:t>
      </w:r>
      <w:r>
        <w:rPr>
          <w:rFonts w:ascii="Arial" w:hAnsi="Arial"/>
          <w:i/>
          <w:noProof/>
          <w:lang w:val="en-GB"/>
        </w:rPr>
        <w:t>:</w:t>
      </w:r>
      <w:r>
        <w:rPr>
          <w:rFonts w:ascii="Arial" w:hAnsi="Arial" w:cs="Arial"/>
          <w:noProof/>
          <w:lang w:val="en-GB"/>
        </w:rPr>
        <w:t xml:space="preserve"> failure to notify national measures transposing the Directive on recognition of professional qualifications</w:t>
      </w:r>
      <w:r>
        <w:rPr>
          <w:rStyle w:val="FootnoteReference"/>
          <w:noProof/>
          <w:lang w:val="en-GB"/>
        </w:rPr>
        <w:footnoteReference w:id="215"/>
      </w:r>
      <w:r>
        <w:rPr>
          <w:rFonts w:ascii="Arial" w:hAnsi="Arial" w:cs="Arial"/>
          <w:noProof/>
          <w:lang w:val="en-GB"/>
        </w:rPr>
        <w:t>;</w:t>
      </w:r>
    </w:p>
    <w:p w:rsidR="00E201F7" w:rsidRDefault="00E24EFF">
      <w:pPr>
        <w:pStyle w:val="Lijstje2"/>
        <w:ind w:left="1800"/>
        <w:rPr>
          <w:rFonts w:ascii="Arial" w:hAnsi="Arial" w:cs="Arial"/>
          <w:noProof/>
          <w:szCs w:val="20"/>
          <w:lang w:val="en-GB"/>
        </w:rPr>
      </w:pPr>
      <w:r>
        <w:rPr>
          <w:rFonts w:ascii="Arial" w:hAnsi="Arial" w:cs="Arial"/>
          <w:i/>
          <w:noProof/>
          <w:szCs w:val="20"/>
          <w:lang w:val="en-GB"/>
        </w:rPr>
        <w:t>France:</w:t>
      </w:r>
      <w:r>
        <w:rPr>
          <w:rFonts w:ascii="Arial" w:hAnsi="Arial" w:cs="Arial"/>
          <w:noProof/>
          <w:szCs w:val="20"/>
          <w:lang w:val="en-GB"/>
        </w:rPr>
        <w:t xml:space="preserve"> restrictions on the exercise of the p</w:t>
      </w:r>
      <w:r>
        <w:rPr>
          <w:rFonts w:ascii="Arial" w:hAnsi="Arial" w:cs="Arial"/>
          <w:noProof/>
          <w:szCs w:val="20"/>
          <w:lang w:val="en-GB"/>
        </w:rPr>
        <w:t>rofessions of psychomotor therapists and snowboard instructors;</w:t>
      </w:r>
    </w:p>
    <w:p w:rsidR="00E201F7" w:rsidRDefault="00E24EFF">
      <w:pPr>
        <w:pStyle w:val="Lijstje2"/>
        <w:ind w:left="1800"/>
        <w:rPr>
          <w:rFonts w:ascii="Arial" w:hAnsi="Arial" w:cs="Arial"/>
          <w:noProof/>
          <w:szCs w:val="20"/>
          <w:lang w:val="en-GB"/>
        </w:rPr>
      </w:pPr>
      <w:r>
        <w:rPr>
          <w:rFonts w:ascii="Arial" w:hAnsi="Arial" w:cs="Arial"/>
          <w:i/>
          <w:noProof/>
          <w:lang w:val="en-GB"/>
        </w:rPr>
        <w:t>Croatia</w:t>
      </w:r>
      <w:r>
        <w:rPr>
          <w:rFonts w:ascii="Arial" w:hAnsi="Arial" w:cs="Arial"/>
          <w:noProof/>
          <w:lang w:val="en-GB"/>
        </w:rPr>
        <w:t>: restrictions on the exercise of the pro</w:t>
      </w:r>
      <w:r>
        <w:rPr>
          <w:rFonts w:ascii="Arial" w:hAnsi="Arial" w:cs="Arial"/>
          <w:noProof/>
          <w:szCs w:val="20"/>
          <w:lang w:val="en-GB"/>
        </w:rPr>
        <w:t>fession of lawyers;</w:t>
      </w:r>
    </w:p>
    <w:p w:rsidR="00E201F7" w:rsidRDefault="00E24EFF">
      <w:pPr>
        <w:pStyle w:val="Lijstje2"/>
        <w:ind w:left="1800"/>
        <w:rPr>
          <w:rFonts w:ascii="Arial" w:hAnsi="Arial" w:cs="Arial"/>
          <w:noProof/>
          <w:szCs w:val="20"/>
          <w:lang w:val="en-GB"/>
        </w:rPr>
      </w:pPr>
      <w:r>
        <w:rPr>
          <w:rFonts w:ascii="Arial" w:hAnsi="Arial" w:cs="Arial"/>
          <w:i/>
          <w:noProof/>
          <w:szCs w:val="20"/>
          <w:lang w:val="en-GB"/>
        </w:rPr>
        <w:t>Cyprus:</w:t>
      </w:r>
      <w:r>
        <w:rPr>
          <w:rFonts w:ascii="Arial" w:hAnsi="Arial" w:cs="Arial"/>
          <w:noProof/>
          <w:szCs w:val="20"/>
          <w:lang w:val="en-GB"/>
        </w:rPr>
        <w:t xml:space="preserve"> non-recognition of professional training in engineering and architecture acquired abroad by Cypriot citizens</w:t>
      </w:r>
      <w:r>
        <w:rPr>
          <w:rStyle w:val="FootnoteReference"/>
          <w:rFonts w:ascii="Arial" w:hAnsi="Arial" w:cs="Arial"/>
          <w:noProof/>
          <w:szCs w:val="20"/>
          <w:lang w:val="en-GB"/>
        </w:rPr>
        <w:footnoteReference w:id="216"/>
      </w:r>
      <w:r>
        <w:rPr>
          <w:rFonts w:ascii="Arial" w:hAnsi="Arial" w:cs="Arial"/>
          <w:noProof/>
          <w:szCs w:val="20"/>
          <w:lang w:val="en-GB"/>
        </w:rPr>
        <w:t>;</w:t>
      </w:r>
    </w:p>
    <w:p w:rsidR="00E201F7" w:rsidRDefault="00E24EFF">
      <w:pPr>
        <w:pStyle w:val="Lijstje2"/>
        <w:ind w:left="1800"/>
        <w:rPr>
          <w:rFonts w:ascii="Arial" w:hAnsi="Arial" w:cs="Arial"/>
          <w:noProof/>
          <w:lang w:val="en-GB"/>
        </w:rPr>
      </w:pPr>
      <w:r>
        <w:rPr>
          <w:rFonts w:ascii="Arial" w:hAnsi="Arial" w:cs="Arial"/>
          <w:i/>
          <w:noProof/>
          <w:lang w:val="en-GB"/>
        </w:rPr>
        <w:t>Hunga</w:t>
      </w:r>
      <w:r>
        <w:rPr>
          <w:rFonts w:ascii="Arial" w:hAnsi="Arial" w:cs="Arial"/>
          <w:i/>
          <w:noProof/>
          <w:lang w:val="en-GB"/>
        </w:rPr>
        <w:t>ry:</w:t>
      </w:r>
      <w:r>
        <w:rPr>
          <w:rFonts w:ascii="Arial" w:hAnsi="Arial" w:cs="Arial"/>
          <w:noProof/>
          <w:lang w:val="en-GB"/>
        </w:rPr>
        <w:t xml:space="preserve"> amendments to the Hungarian Higher Education Act violate EU law by restricting EU and non-EU universities in their operations</w:t>
      </w:r>
      <w:r>
        <w:rPr>
          <w:rStyle w:val="FootnoteReference"/>
          <w:rFonts w:ascii="Arial" w:hAnsi="Arial" w:cs="Arial"/>
          <w:noProof/>
          <w:lang w:val="en-GB"/>
        </w:rPr>
        <w:footnoteReference w:id="217"/>
      </w:r>
      <w:r>
        <w:rPr>
          <w:rFonts w:ascii="Arial" w:hAnsi="Arial" w:cs="Arial"/>
          <w:noProof/>
          <w:lang w:val="en-GB"/>
        </w:rPr>
        <w:t>.</w:t>
      </w:r>
    </w:p>
    <w:p w:rsidR="00E201F7" w:rsidRDefault="00E24EFF">
      <w:pPr>
        <w:pStyle w:val="Lijstje"/>
        <w:numPr>
          <w:ilvl w:val="0"/>
          <w:numId w:val="47"/>
        </w:numPr>
        <w:spacing w:after="120"/>
        <w:ind w:left="1200" w:hanging="360"/>
        <w:rPr>
          <w:rFonts w:ascii="Arial" w:hAnsi="Arial" w:cs="Arial"/>
          <w:noProof/>
          <w:szCs w:val="20"/>
          <w:lang w:val="en-GB"/>
        </w:rPr>
      </w:pPr>
      <w:r>
        <w:rPr>
          <w:rFonts w:ascii="Arial" w:hAnsi="Arial" w:cs="Arial"/>
          <w:noProof/>
          <w:szCs w:val="20"/>
          <w:lang w:val="en-GB"/>
        </w:rPr>
        <w:t>The Commission referred four cases to the Court under Article 258 TFEU. They concern:</w:t>
      </w:r>
    </w:p>
    <w:p w:rsidR="00E201F7" w:rsidRDefault="00E24EFF">
      <w:pPr>
        <w:pStyle w:val="Lijstje2"/>
        <w:ind w:left="1800"/>
        <w:rPr>
          <w:rFonts w:ascii="Arial" w:hAnsi="Arial" w:cs="Arial"/>
          <w:noProof/>
          <w:szCs w:val="20"/>
          <w:lang w:val="en-GB"/>
        </w:rPr>
      </w:pPr>
      <w:r>
        <w:rPr>
          <w:rFonts w:ascii="Arial" w:hAnsi="Arial" w:cs="Arial"/>
          <w:i/>
          <w:noProof/>
          <w:szCs w:val="20"/>
          <w:lang w:val="en-GB"/>
        </w:rPr>
        <w:t>Germany</w:t>
      </w:r>
      <w:r>
        <w:rPr>
          <w:rFonts w:ascii="Arial" w:hAnsi="Arial" w:cs="Arial"/>
          <w:noProof/>
          <w:szCs w:val="20"/>
          <w:lang w:val="en-GB"/>
        </w:rPr>
        <w:t>: authorisation of a car manufa</w:t>
      </w:r>
      <w:r>
        <w:rPr>
          <w:rFonts w:ascii="Arial" w:hAnsi="Arial" w:cs="Arial"/>
          <w:noProof/>
          <w:szCs w:val="20"/>
          <w:lang w:val="en-GB"/>
        </w:rPr>
        <w:t>cturer to place vehicles on the EU market using a banned greenhouse gas in their air-conditioning systems</w:t>
      </w:r>
      <w:r>
        <w:rPr>
          <w:rStyle w:val="FootnoteReference"/>
          <w:rFonts w:ascii="Arial" w:hAnsi="Arial" w:cs="Arial"/>
          <w:noProof/>
          <w:szCs w:val="20"/>
          <w:lang w:val="en-GB"/>
        </w:rPr>
        <w:footnoteReference w:id="218"/>
      </w:r>
      <w:r>
        <w:rPr>
          <w:rFonts w:ascii="Arial" w:hAnsi="Arial" w:cs="Arial"/>
          <w:noProof/>
          <w:szCs w:val="20"/>
          <w:lang w:val="en-GB"/>
        </w:rPr>
        <w:t>;</w:t>
      </w:r>
    </w:p>
    <w:p w:rsidR="00E201F7" w:rsidRDefault="00E24EFF">
      <w:pPr>
        <w:pStyle w:val="Lijstje2"/>
        <w:ind w:left="1800"/>
        <w:rPr>
          <w:rFonts w:ascii="Arial" w:hAnsi="Arial" w:cs="Arial"/>
          <w:noProof/>
          <w:szCs w:val="20"/>
          <w:lang w:val="en-GB"/>
        </w:rPr>
      </w:pPr>
      <w:r>
        <w:rPr>
          <w:rFonts w:ascii="Arial" w:hAnsi="Arial" w:cs="Arial"/>
          <w:i/>
          <w:noProof/>
          <w:szCs w:val="20"/>
          <w:lang w:val="en-GB"/>
        </w:rPr>
        <w:t>Germany</w:t>
      </w:r>
      <w:r>
        <w:rPr>
          <w:rFonts w:ascii="Arial" w:hAnsi="Arial" w:cs="Arial"/>
          <w:noProof/>
          <w:szCs w:val="20"/>
          <w:lang w:val="en-GB"/>
        </w:rPr>
        <w:t>: imposition of excessive and unjustified obstacles to the provision of services across the internal market</w:t>
      </w:r>
      <w:r>
        <w:rPr>
          <w:rStyle w:val="FootnoteReference"/>
          <w:rFonts w:ascii="Arial" w:hAnsi="Arial" w:cs="Arial"/>
          <w:noProof/>
          <w:szCs w:val="20"/>
          <w:lang w:val="en-GB"/>
        </w:rPr>
        <w:footnoteReference w:id="219"/>
      </w:r>
      <w:r>
        <w:rPr>
          <w:rFonts w:ascii="Arial" w:hAnsi="Arial" w:cs="Arial"/>
          <w:noProof/>
          <w:szCs w:val="20"/>
          <w:lang w:val="en-GB"/>
        </w:rPr>
        <w:t>;</w:t>
      </w:r>
    </w:p>
    <w:p w:rsidR="00E201F7" w:rsidRDefault="00E24EFF">
      <w:pPr>
        <w:pStyle w:val="Lijstje2"/>
        <w:ind w:left="1800"/>
        <w:rPr>
          <w:rFonts w:ascii="Arial" w:hAnsi="Arial" w:cs="Arial"/>
          <w:noProof/>
          <w:szCs w:val="20"/>
          <w:lang w:val="en-GB"/>
        </w:rPr>
      </w:pPr>
      <w:r>
        <w:rPr>
          <w:rFonts w:ascii="Arial" w:hAnsi="Arial" w:cs="Arial"/>
          <w:i/>
          <w:noProof/>
          <w:szCs w:val="20"/>
          <w:lang w:val="en-GB"/>
        </w:rPr>
        <w:t>Italy</w:t>
      </w:r>
      <w:r>
        <w:rPr>
          <w:rFonts w:ascii="Arial" w:hAnsi="Arial" w:cs="Arial"/>
          <w:noProof/>
          <w:szCs w:val="20"/>
          <w:lang w:val="en-GB"/>
        </w:rPr>
        <w:t xml:space="preserve">: extension of a motorway </w:t>
      </w:r>
      <w:r>
        <w:rPr>
          <w:rFonts w:ascii="Arial" w:hAnsi="Arial" w:cs="Arial"/>
          <w:noProof/>
          <w:szCs w:val="20"/>
          <w:lang w:val="en-GB"/>
        </w:rPr>
        <w:t>concession contract without a prior call for tenders</w:t>
      </w:r>
      <w:r>
        <w:rPr>
          <w:rStyle w:val="FootnoteReference"/>
          <w:rFonts w:ascii="Arial" w:hAnsi="Arial" w:cs="Arial"/>
          <w:noProof/>
          <w:szCs w:val="20"/>
          <w:lang w:val="en-GB"/>
        </w:rPr>
        <w:footnoteReference w:id="220"/>
      </w:r>
      <w:r>
        <w:rPr>
          <w:rFonts w:ascii="Arial" w:hAnsi="Arial" w:cs="Arial"/>
          <w:noProof/>
          <w:szCs w:val="20"/>
          <w:lang w:val="en-GB"/>
        </w:rPr>
        <w:t>;</w:t>
      </w:r>
    </w:p>
    <w:p w:rsidR="00E201F7" w:rsidRDefault="00E24EFF">
      <w:pPr>
        <w:pStyle w:val="Lijstje2"/>
        <w:ind w:left="1800"/>
        <w:rPr>
          <w:rFonts w:ascii="Arial" w:hAnsi="Arial" w:cs="Arial"/>
          <w:noProof/>
          <w:szCs w:val="20"/>
          <w:lang w:val="en-GB"/>
        </w:rPr>
      </w:pPr>
      <w:r>
        <w:rPr>
          <w:rFonts w:ascii="Arial" w:hAnsi="Arial" w:cs="Arial"/>
          <w:i/>
          <w:noProof/>
          <w:szCs w:val="20"/>
          <w:lang w:val="en-GB"/>
        </w:rPr>
        <w:t>Hungary</w:t>
      </w:r>
      <w:r>
        <w:rPr>
          <w:rFonts w:ascii="Arial" w:hAnsi="Arial" w:cs="Arial"/>
          <w:noProof/>
          <w:szCs w:val="20"/>
          <w:lang w:val="en-GB"/>
        </w:rPr>
        <w:t>: imposition of excessive and unjustified obstacles to cross-border activities by granting an exclusive right to a single operator to provide a service</w:t>
      </w:r>
      <w:r>
        <w:rPr>
          <w:rStyle w:val="FootnoteReference"/>
          <w:rFonts w:ascii="Arial" w:hAnsi="Arial" w:cs="Arial"/>
          <w:noProof/>
          <w:szCs w:val="20"/>
          <w:lang w:val="en-GB"/>
        </w:rPr>
        <w:footnoteReference w:id="221"/>
      </w:r>
      <w:r>
        <w:rPr>
          <w:rFonts w:ascii="Arial" w:hAnsi="Arial" w:cs="Arial"/>
          <w:noProof/>
          <w:szCs w:val="20"/>
          <w:lang w:val="en-GB"/>
        </w:rPr>
        <w:t>.</w:t>
      </w:r>
    </w:p>
    <w:p w:rsidR="00E201F7" w:rsidRDefault="00E24EFF">
      <w:pPr>
        <w:pStyle w:val="Lijstje"/>
        <w:numPr>
          <w:ilvl w:val="0"/>
          <w:numId w:val="47"/>
        </w:numPr>
        <w:spacing w:after="120"/>
        <w:ind w:left="1200" w:hanging="360"/>
        <w:rPr>
          <w:rFonts w:ascii="Arial" w:hAnsi="Arial" w:cs="Arial"/>
          <w:noProof/>
          <w:szCs w:val="20"/>
          <w:lang w:val="en-GB"/>
        </w:rPr>
      </w:pPr>
      <w:r>
        <w:rPr>
          <w:rFonts w:ascii="Arial" w:hAnsi="Arial" w:cs="Arial"/>
          <w:noProof/>
          <w:szCs w:val="20"/>
          <w:lang w:val="en-GB"/>
        </w:rPr>
        <w:t xml:space="preserve">The Commission did not refer any cases </w:t>
      </w:r>
      <w:r>
        <w:rPr>
          <w:rFonts w:ascii="Arial" w:hAnsi="Arial" w:cs="Arial"/>
          <w:noProof/>
          <w:szCs w:val="20"/>
          <w:lang w:val="en-GB"/>
        </w:rPr>
        <w:t>to the Court under Article 260(2) TFEU.</w:t>
      </w:r>
    </w:p>
    <w:p w:rsidR="00E201F7" w:rsidRDefault="00E24EFF">
      <w:pPr>
        <w:pStyle w:val="kop2"/>
        <w:rPr>
          <w:noProof/>
        </w:rPr>
      </w:pPr>
      <w:r>
        <w:rPr>
          <w:noProof/>
        </w:rPr>
        <w:t>TRANSPOSITION OF DIRECTIVES</w:t>
      </w:r>
    </w:p>
    <w:p w:rsidR="00E201F7" w:rsidRDefault="00E24EFF">
      <w:pPr>
        <w:numPr>
          <w:ilvl w:val="0"/>
          <w:numId w:val="128"/>
        </w:numPr>
        <w:spacing w:before="120" w:after="120"/>
        <w:jc w:val="left"/>
        <w:outlineLvl w:val="1"/>
        <w:rPr>
          <w:rFonts w:ascii="Arial" w:hAnsi="Arial" w:cs="Arial"/>
          <w:noProof/>
          <w:color w:val="002060"/>
          <w:sz w:val="20"/>
          <w:szCs w:val="20"/>
        </w:rPr>
      </w:pPr>
      <w:r>
        <w:rPr>
          <w:rFonts w:ascii="Arial" w:hAnsi="Arial" w:cs="Arial"/>
          <w:noProof/>
          <w:color w:val="002060"/>
          <w:sz w:val="20"/>
          <w:szCs w:val="20"/>
        </w:rPr>
        <w:t>New late transposition infringement cases 2017</w:t>
      </w:r>
    </w:p>
    <w:p w:rsidR="00E201F7" w:rsidRDefault="00E24EFF">
      <w:pPr>
        <w:ind w:left="720"/>
        <w:rPr>
          <w:rFonts w:ascii="Arial" w:eastAsia="Calibri" w:hAnsi="Arial" w:cs="Arial"/>
          <w:noProof/>
          <w:sz w:val="20"/>
          <w:szCs w:val="20"/>
        </w:rPr>
      </w:pPr>
      <w:r>
        <w:rPr>
          <w:rFonts w:ascii="Arial" w:eastAsia="Calibri" w:hAnsi="Arial" w:cs="Arial"/>
          <w:noProof/>
          <w:sz w:val="20"/>
          <w:szCs w:val="20"/>
        </w:rPr>
        <w:t>Seven new late transposition infringement cases were opened in 2017. They all concerned the space and defence sector.</w:t>
      </w:r>
    </w:p>
    <w:p w:rsidR="00E201F7" w:rsidRDefault="00E24EFF">
      <w:pPr>
        <w:numPr>
          <w:ilvl w:val="0"/>
          <w:numId w:val="128"/>
        </w:numPr>
        <w:spacing w:before="120" w:after="120"/>
        <w:jc w:val="left"/>
        <w:outlineLvl w:val="1"/>
        <w:rPr>
          <w:rFonts w:ascii="Arial" w:hAnsi="Arial" w:cs="Arial"/>
          <w:noProof/>
          <w:color w:val="002060"/>
          <w:sz w:val="20"/>
          <w:szCs w:val="20"/>
        </w:rPr>
      </w:pPr>
      <w:r>
        <w:rPr>
          <w:rFonts w:ascii="Arial" w:hAnsi="Arial" w:cs="Arial"/>
          <w:noProof/>
          <w:color w:val="002060"/>
          <w:sz w:val="20"/>
          <w:szCs w:val="20"/>
        </w:rPr>
        <w:t xml:space="preserve">Key infringement cases </w:t>
      </w:r>
      <w:r>
        <w:rPr>
          <w:rFonts w:ascii="Arial" w:hAnsi="Arial" w:cs="Arial"/>
          <w:noProof/>
          <w:color w:val="002060"/>
          <w:sz w:val="20"/>
          <w:szCs w:val="20"/>
        </w:rPr>
        <w:t>and referrals to the Court</w:t>
      </w:r>
    </w:p>
    <w:p w:rsidR="00E201F7" w:rsidRDefault="00E24EFF">
      <w:pPr>
        <w:pStyle w:val="Lijstje"/>
        <w:numPr>
          <w:ilvl w:val="0"/>
          <w:numId w:val="148"/>
        </w:numPr>
        <w:spacing w:after="120"/>
        <w:ind w:left="1276" w:hanging="425"/>
        <w:rPr>
          <w:rFonts w:ascii="Arial" w:hAnsi="Arial" w:cs="Arial"/>
          <w:noProof/>
          <w:szCs w:val="20"/>
          <w:lang w:val="en-GB"/>
        </w:rPr>
      </w:pPr>
      <w:r>
        <w:rPr>
          <w:rFonts w:ascii="Arial" w:hAnsi="Arial" w:cs="Arial"/>
          <w:noProof/>
          <w:szCs w:val="20"/>
          <w:lang w:val="en-GB"/>
        </w:rPr>
        <w:t>The Commission opened 7 cases for late transposition in 2017. They concern:</w:t>
      </w:r>
    </w:p>
    <w:p w:rsidR="00E201F7" w:rsidRDefault="00E24EFF">
      <w:pPr>
        <w:numPr>
          <w:ilvl w:val="0"/>
          <w:numId w:val="24"/>
        </w:numPr>
        <w:spacing w:after="200"/>
        <w:ind w:left="1800"/>
        <w:contextualSpacing/>
        <w:rPr>
          <w:rFonts w:ascii="Arial" w:eastAsia="Calibri" w:hAnsi="Arial" w:cs="Arial"/>
          <w:noProof/>
          <w:sz w:val="20"/>
          <w:szCs w:val="20"/>
        </w:rPr>
      </w:pPr>
      <w:r>
        <w:rPr>
          <w:rFonts w:ascii="Arial" w:eastAsia="Calibri" w:hAnsi="Arial" w:cs="Arial"/>
          <w:noProof/>
          <w:kern w:val="20"/>
          <w:sz w:val="20"/>
          <w:szCs w:val="20"/>
        </w:rPr>
        <w:t>the Directive on defence-related products</w:t>
      </w:r>
      <w:r>
        <w:rPr>
          <w:rStyle w:val="FootnoteReference"/>
          <w:rFonts w:ascii="Arial" w:hAnsi="Arial" w:cs="Arial"/>
          <w:noProof/>
          <w:sz w:val="20"/>
          <w:szCs w:val="20"/>
        </w:rPr>
        <w:footnoteReference w:id="222"/>
      </w:r>
      <w:r>
        <w:rPr>
          <w:rFonts w:ascii="Arial" w:hAnsi="Arial" w:cs="Arial"/>
          <w:noProof/>
          <w:sz w:val="20"/>
          <w:szCs w:val="20"/>
        </w:rPr>
        <w:t>.</w:t>
      </w:r>
    </w:p>
    <w:p w:rsidR="00E201F7" w:rsidRDefault="00E24EFF">
      <w:pPr>
        <w:pStyle w:val="Lijstje"/>
        <w:numPr>
          <w:ilvl w:val="0"/>
          <w:numId w:val="148"/>
        </w:numPr>
        <w:spacing w:after="120"/>
        <w:ind w:left="1276" w:hanging="425"/>
        <w:rPr>
          <w:rFonts w:ascii="Arial" w:hAnsi="Arial" w:cs="Arial"/>
          <w:b/>
          <w:noProof/>
          <w:szCs w:val="20"/>
          <w:lang w:val="en-GB"/>
        </w:rPr>
      </w:pPr>
      <w:r>
        <w:rPr>
          <w:rFonts w:ascii="Arial" w:hAnsi="Arial" w:cs="Arial"/>
          <w:noProof/>
          <w:szCs w:val="20"/>
          <w:lang w:val="en-GB"/>
        </w:rPr>
        <w:t>The Commission did not refer any cases to the Court under Articles 258 and 260(3) TFEU.</w:t>
      </w:r>
    </w:p>
    <w:p w:rsidR="00E201F7" w:rsidRDefault="00E24EFF">
      <w:pPr>
        <w:pStyle w:val="kop2"/>
        <w:rPr>
          <w:noProof/>
        </w:rPr>
      </w:pPr>
      <w:r>
        <w:rPr>
          <w:noProof/>
        </w:rPr>
        <w:t>EARLY RESOLUTION OF I</w:t>
      </w:r>
      <w:r>
        <w:rPr>
          <w:noProof/>
        </w:rPr>
        <w:t>NFRINGEMENT CASES</w:t>
      </w:r>
    </w:p>
    <w:p w:rsidR="00E201F7" w:rsidRDefault="00E24EFF">
      <w:pPr>
        <w:spacing w:before="120" w:after="120"/>
        <w:ind w:left="357"/>
        <w:jc w:val="left"/>
        <w:outlineLvl w:val="1"/>
        <w:rPr>
          <w:rFonts w:ascii="Arial" w:hAnsi="Arial" w:cs="Arial"/>
          <w:noProof/>
          <w:color w:val="002060"/>
          <w:sz w:val="20"/>
          <w:szCs w:val="20"/>
        </w:rPr>
      </w:pPr>
      <w:r>
        <w:rPr>
          <w:rFonts w:ascii="Arial" w:hAnsi="Arial" w:cs="Arial"/>
          <w:noProof/>
          <w:color w:val="002060"/>
          <w:sz w:val="20"/>
          <w:szCs w:val="20"/>
        </w:rPr>
        <w:t>Major cases closed without a Court judgment in 2017</w:t>
      </w:r>
    </w:p>
    <w:p w:rsidR="00E201F7" w:rsidRDefault="00E24EFF">
      <w:pPr>
        <w:autoSpaceDE w:val="0"/>
        <w:autoSpaceDN w:val="0"/>
        <w:adjustRightInd w:val="0"/>
        <w:spacing w:after="60"/>
        <w:ind w:left="360" w:firstLine="360"/>
        <w:jc w:val="left"/>
        <w:rPr>
          <w:rFonts w:ascii="Arial" w:hAnsi="Arial" w:cs="Arial"/>
          <w:noProof/>
          <w:sz w:val="20"/>
          <w:szCs w:val="20"/>
        </w:rPr>
      </w:pPr>
      <w:r>
        <w:rPr>
          <w:rFonts w:ascii="Arial" w:hAnsi="Arial" w:cs="Arial"/>
          <w:noProof/>
          <w:sz w:val="20"/>
          <w:szCs w:val="20"/>
        </w:rPr>
        <w:t>These concerned mainly:</w:t>
      </w:r>
    </w:p>
    <w:p w:rsidR="00E201F7" w:rsidRDefault="00E24EFF">
      <w:pPr>
        <w:pStyle w:val="ListParagraph"/>
        <w:numPr>
          <w:ilvl w:val="0"/>
          <w:numId w:val="75"/>
        </w:numPr>
        <w:autoSpaceDE w:val="0"/>
        <w:autoSpaceDN w:val="0"/>
        <w:adjustRightInd w:val="0"/>
        <w:spacing w:before="120" w:after="120"/>
        <w:ind w:left="1077" w:hanging="357"/>
        <w:contextualSpacing w:val="0"/>
        <w:jc w:val="left"/>
        <w:rPr>
          <w:rFonts w:ascii="Arial" w:hAnsi="Arial" w:cs="Arial"/>
          <w:noProof/>
          <w:sz w:val="20"/>
          <w:szCs w:val="20"/>
        </w:rPr>
      </w:pPr>
      <w:r>
        <w:rPr>
          <w:rFonts w:ascii="Arial" w:hAnsi="Arial" w:cs="Arial"/>
          <w:noProof/>
          <w:sz w:val="20"/>
          <w:szCs w:val="20"/>
        </w:rPr>
        <w:t>gambling</w:t>
      </w:r>
      <w:r>
        <w:rPr>
          <w:rStyle w:val="FootnoteReference"/>
          <w:rFonts w:ascii="Arial" w:hAnsi="Arial" w:cs="Arial"/>
          <w:noProof/>
          <w:sz w:val="20"/>
          <w:szCs w:val="20"/>
        </w:rPr>
        <w:footnoteReference w:id="223"/>
      </w:r>
      <w:r>
        <w:rPr>
          <w:rFonts w:ascii="Arial" w:hAnsi="Arial" w:cs="Arial"/>
          <w:noProof/>
          <w:sz w:val="20"/>
          <w:szCs w:val="20"/>
        </w:rPr>
        <w:t>:</w:t>
      </w:r>
    </w:p>
    <w:p w:rsidR="00E201F7" w:rsidRDefault="00E24EFF">
      <w:pPr>
        <w:pStyle w:val="ListParagraph"/>
        <w:autoSpaceDE w:val="0"/>
        <w:autoSpaceDN w:val="0"/>
        <w:adjustRightInd w:val="0"/>
        <w:spacing w:before="120" w:after="60"/>
        <w:ind w:left="1077"/>
        <w:jc w:val="left"/>
        <w:rPr>
          <w:rFonts w:ascii="Arial" w:hAnsi="Arial" w:cs="Arial"/>
          <w:i/>
          <w:noProof/>
          <w:sz w:val="20"/>
          <w:szCs w:val="20"/>
        </w:rPr>
      </w:pPr>
      <w:r>
        <w:rPr>
          <w:rFonts w:ascii="Arial" w:hAnsi="Arial" w:cs="Arial"/>
          <w:noProof/>
          <w:sz w:val="20"/>
          <w:szCs w:val="20"/>
        </w:rPr>
        <w:t xml:space="preserve">- </w:t>
      </w:r>
      <w:r>
        <w:rPr>
          <w:rFonts w:ascii="Arial" w:hAnsi="Arial" w:cs="Arial"/>
          <w:i/>
          <w:noProof/>
          <w:sz w:val="20"/>
          <w:szCs w:val="20"/>
        </w:rPr>
        <w:t xml:space="preserve">Belgium: </w:t>
      </w:r>
      <w:r>
        <w:rPr>
          <w:rFonts w:ascii="Arial" w:hAnsi="Arial" w:cs="Arial"/>
          <w:noProof/>
          <w:sz w:val="20"/>
          <w:szCs w:val="20"/>
        </w:rPr>
        <w:t>permanent establishment requirement under the Belgian gambling regulations;</w:t>
      </w:r>
    </w:p>
    <w:p w:rsidR="00E201F7" w:rsidRDefault="00E24EFF">
      <w:pPr>
        <w:pStyle w:val="ListParagraph"/>
        <w:autoSpaceDE w:val="0"/>
        <w:autoSpaceDN w:val="0"/>
        <w:adjustRightInd w:val="0"/>
        <w:spacing w:after="60"/>
        <w:ind w:left="1080"/>
        <w:jc w:val="left"/>
        <w:rPr>
          <w:rFonts w:ascii="Arial" w:hAnsi="Arial" w:cs="Arial"/>
          <w:noProof/>
          <w:sz w:val="20"/>
          <w:szCs w:val="20"/>
        </w:rPr>
      </w:pPr>
      <w:r>
        <w:rPr>
          <w:rFonts w:ascii="Arial" w:hAnsi="Arial" w:cs="Arial"/>
          <w:i/>
          <w:noProof/>
          <w:sz w:val="20"/>
          <w:szCs w:val="20"/>
        </w:rPr>
        <w:t xml:space="preserve">- </w:t>
      </w:r>
      <w:smartTag w:uri="urn:schemas-microsoft-com:office:smarttags" w:element="country-region">
        <w:smartTag w:uri="urn:schemas-microsoft-com:office:smarttags" w:element="place">
          <w:r>
            <w:rPr>
              <w:rFonts w:ascii="Arial" w:hAnsi="Arial" w:cs="Arial"/>
              <w:i/>
              <w:noProof/>
              <w:sz w:val="20"/>
              <w:szCs w:val="20"/>
            </w:rPr>
            <w:t>Cyprus</w:t>
          </w:r>
        </w:smartTag>
      </w:smartTag>
      <w:r>
        <w:rPr>
          <w:rFonts w:ascii="Arial" w:hAnsi="Arial" w:cs="Arial"/>
          <w:i/>
          <w:noProof/>
          <w:sz w:val="20"/>
          <w:szCs w:val="20"/>
        </w:rPr>
        <w:t xml:space="preserve">: </w:t>
      </w:r>
      <w:r>
        <w:rPr>
          <w:rFonts w:ascii="Arial" w:hAnsi="Arial" w:cs="Arial"/>
          <w:noProof/>
          <w:sz w:val="20"/>
          <w:szCs w:val="20"/>
        </w:rPr>
        <w:t xml:space="preserve">permanent establishment requirement under the Cypriot </w:t>
      </w:r>
      <w:r>
        <w:rPr>
          <w:rFonts w:ascii="Arial" w:hAnsi="Arial" w:cs="Arial"/>
          <w:noProof/>
          <w:sz w:val="20"/>
          <w:szCs w:val="20"/>
        </w:rPr>
        <w:t>gambling law;</w:t>
      </w:r>
    </w:p>
    <w:p w:rsidR="00E201F7" w:rsidRDefault="00E24EFF">
      <w:pPr>
        <w:pStyle w:val="ListParagraph"/>
        <w:autoSpaceDE w:val="0"/>
        <w:autoSpaceDN w:val="0"/>
        <w:adjustRightInd w:val="0"/>
        <w:spacing w:after="60"/>
        <w:ind w:left="1080"/>
        <w:jc w:val="left"/>
        <w:rPr>
          <w:rFonts w:ascii="Arial" w:hAnsi="Arial" w:cs="Arial"/>
          <w:i/>
          <w:noProof/>
          <w:sz w:val="20"/>
          <w:szCs w:val="20"/>
        </w:rPr>
      </w:pPr>
      <w:r>
        <w:rPr>
          <w:rFonts w:ascii="Arial" w:hAnsi="Arial" w:cs="Arial"/>
          <w:i/>
          <w:noProof/>
          <w:sz w:val="20"/>
          <w:szCs w:val="20"/>
        </w:rPr>
        <w:t xml:space="preserve">- </w:t>
      </w:r>
      <w:smartTag w:uri="urn:schemas-microsoft-com:office:smarttags" w:element="country-region">
        <w:smartTag w:uri="urn:schemas-microsoft-com:office:smarttags" w:element="place">
          <w:r>
            <w:rPr>
              <w:rFonts w:ascii="Arial" w:hAnsi="Arial" w:cs="Arial"/>
              <w:i/>
              <w:noProof/>
              <w:sz w:val="20"/>
              <w:szCs w:val="20"/>
            </w:rPr>
            <w:t>Netherlands</w:t>
          </w:r>
        </w:smartTag>
      </w:smartTag>
      <w:r>
        <w:rPr>
          <w:rFonts w:ascii="Arial" w:hAnsi="Arial" w:cs="Arial"/>
          <w:i/>
          <w:noProof/>
          <w:sz w:val="20"/>
          <w:szCs w:val="20"/>
        </w:rPr>
        <w:t xml:space="preserve">: </w:t>
      </w:r>
      <w:r>
        <w:rPr>
          <w:rFonts w:ascii="Arial" w:hAnsi="Arial" w:cs="Arial"/>
          <w:noProof/>
          <w:sz w:val="20"/>
          <w:szCs w:val="20"/>
        </w:rPr>
        <w:t>non-respect of freedom of establishment (hazard games act);</w:t>
      </w:r>
    </w:p>
    <w:p w:rsidR="00E201F7" w:rsidRDefault="00E24EFF">
      <w:pPr>
        <w:pStyle w:val="ListParagraph"/>
        <w:autoSpaceDE w:val="0"/>
        <w:autoSpaceDN w:val="0"/>
        <w:adjustRightInd w:val="0"/>
        <w:spacing w:after="60"/>
        <w:ind w:left="1080"/>
        <w:jc w:val="left"/>
        <w:rPr>
          <w:rFonts w:ascii="Arial" w:hAnsi="Arial" w:cs="Arial"/>
          <w:i/>
          <w:noProof/>
          <w:sz w:val="20"/>
          <w:szCs w:val="20"/>
        </w:rPr>
      </w:pPr>
      <w:r>
        <w:rPr>
          <w:rFonts w:ascii="Arial" w:hAnsi="Arial" w:cs="Arial"/>
          <w:i/>
          <w:noProof/>
          <w:sz w:val="20"/>
          <w:szCs w:val="20"/>
        </w:rPr>
        <w:t xml:space="preserve">- </w:t>
      </w:r>
      <w:smartTag w:uri="urn:schemas-microsoft-com:office:smarttags" w:element="country-region">
        <w:smartTag w:uri="urn:schemas-microsoft-com:office:smarttags" w:element="place">
          <w:r>
            <w:rPr>
              <w:rFonts w:ascii="Arial" w:hAnsi="Arial" w:cs="Arial"/>
              <w:i/>
              <w:noProof/>
              <w:sz w:val="20"/>
              <w:szCs w:val="20"/>
            </w:rPr>
            <w:t>Poland</w:t>
          </w:r>
        </w:smartTag>
      </w:smartTag>
      <w:r>
        <w:rPr>
          <w:rFonts w:ascii="Arial" w:hAnsi="Arial" w:cs="Arial"/>
          <w:i/>
          <w:noProof/>
          <w:sz w:val="20"/>
          <w:szCs w:val="20"/>
        </w:rPr>
        <w:t xml:space="preserve">: </w:t>
      </w:r>
      <w:r>
        <w:rPr>
          <w:rFonts w:ascii="Arial" w:hAnsi="Arial" w:cs="Arial"/>
          <w:noProof/>
          <w:sz w:val="20"/>
          <w:szCs w:val="20"/>
        </w:rPr>
        <w:t>seat requirements under Polish gambling regulations;</w:t>
      </w:r>
    </w:p>
    <w:p w:rsidR="00E201F7" w:rsidRDefault="00E24EFF">
      <w:pPr>
        <w:pStyle w:val="ListParagraph"/>
        <w:autoSpaceDE w:val="0"/>
        <w:autoSpaceDN w:val="0"/>
        <w:adjustRightInd w:val="0"/>
        <w:spacing w:after="60"/>
        <w:ind w:left="1080"/>
        <w:jc w:val="left"/>
        <w:rPr>
          <w:rFonts w:ascii="Arial" w:hAnsi="Arial" w:cs="Arial"/>
          <w:i/>
          <w:noProof/>
          <w:sz w:val="20"/>
          <w:szCs w:val="20"/>
        </w:rPr>
      </w:pPr>
      <w:r>
        <w:rPr>
          <w:rFonts w:ascii="Arial" w:hAnsi="Arial" w:cs="Arial"/>
          <w:i/>
          <w:noProof/>
          <w:sz w:val="20"/>
          <w:szCs w:val="20"/>
        </w:rPr>
        <w:t xml:space="preserve">- </w:t>
      </w:r>
      <w:smartTag w:uri="urn:schemas-microsoft-com:office:smarttags" w:element="country-region">
        <w:smartTag w:uri="urn:schemas-microsoft-com:office:smarttags" w:element="place">
          <w:r>
            <w:rPr>
              <w:rFonts w:ascii="Arial" w:hAnsi="Arial" w:cs="Arial"/>
              <w:i/>
              <w:noProof/>
              <w:sz w:val="20"/>
              <w:szCs w:val="20"/>
            </w:rPr>
            <w:t>Sweden</w:t>
          </w:r>
        </w:smartTag>
      </w:smartTag>
      <w:r>
        <w:rPr>
          <w:rFonts w:ascii="Arial" w:hAnsi="Arial" w:cs="Arial"/>
          <w:i/>
          <w:noProof/>
          <w:sz w:val="20"/>
          <w:szCs w:val="20"/>
        </w:rPr>
        <w:t xml:space="preserve">: </w:t>
      </w:r>
      <w:r>
        <w:rPr>
          <w:rFonts w:ascii="Arial" w:hAnsi="Arial" w:cs="Arial"/>
          <w:noProof/>
          <w:sz w:val="20"/>
          <w:szCs w:val="20"/>
        </w:rPr>
        <w:t>non-respect of freedom of establishment (hazard games act).</w:t>
      </w:r>
    </w:p>
    <w:p w:rsidR="00E201F7" w:rsidRDefault="00E24EFF">
      <w:pPr>
        <w:pStyle w:val="ListParagraph"/>
        <w:numPr>
          <w:ilvl w:val="0"/>
          <w:numId w:val="75"/>
        </w:numPr>
        <w:autoSpaceDE w:val="0"/>
        <w:autoSpaceDN w:val="0"/>
        <w:adjustRightInd w:val="0"/>
        <w:spacing w:before="120" w:after="120"/>
        <w:ind w:left="1077" w:hanging="357"/>
        <w:contextualSpacing w:val="0"/>
        <w:jc w:val="left"/>
        <w:rPr>
          <w:rFonts w:ascii="Arial" w:hAnsi="Arial" w:cs="Arial"/>
          <w:noProof/>
          <w:sz w:val="20"/>
          <w:szCs w:val="20"/>
        </w:rPr>
      </w:pPr>
      <w:r>
        <w:rPr>
          <w:rFonts w:ascii="Arial" w:hAnsi="Arial" w:cs="Arial"/>
          <w:noProof/>
          <w:sz w:val="20"/>
          <w:szCs w:val="20"/>
        </w:rPr>
        <w:t xml:space="preserve">non-communication of national </w:t>
      </w:r>
      <w:r>
        <w:rPr>
          <w:rFonts w:ascii="Arial" w:hAnsi="Arial" w:cs="Arial"/>
          <w:noProof/>
          <w:sz w:val="20"/>
          <w:szCs w:val="20"/>
        </w:rPr>
        <w:t>measures transposing:</w:t>
      </w:r>
    </w:p>
    <w:p w:rsidR="00E201F7" w:rsidRDefault="00E24EFF">
      <w:pPr>
        <w:pStyle w:val="ListParagraph"/>
        <w:autoSpaceDE w:val="0"/>
        <w:autoSpaceDN w:val="0"/>
        <w:adjustRightInd w:val="0"/>
        <w:spacing w:after="200"/>
        <w:ind w:left="1080"/>
        <w:rPr>
          <w:rFonts w:ascii="Arial" w:hAnsi="Arial" w:cs="Arial"/>
          <w:iCs/>
          <w:noProof/>
          <w:kern w:val="20"/>
          <w:sz w:val="20"/>
          <w:szCs w:val="20"/>
        </w:rPr>
      </w:pPr>
      <w:r>
        <w:rPr>
          <w:rFonts w:ascii="Arial" w:hAnsi="Arial" w:cs="Arial"/>
          <w:noProof/>
          <w:kern w:val="20"/>
          <w:sz w:val="20"/>
          <w:szCs w:val="20"/>
        </w:rPr>
        <w:t xml:space="preserve">- </w:t>
      </w:r>
      <w:r>
        <w:rPr>
          <w:rFonts w:ascii="Arial" w:hAnsi="Arial" w:cs="Arial"/>
          <w:i/>
          <w:noProof/>
          <w:kern w:val="20"/>
          <w:sz w:val="20"/>
          <w:szCs w:val="20"/>
        </w:rPr>
        <w:t>Bulgaria, Ireland, Greece, Spain, Cyprus, Latvia, Luxembourg, Netherlands, Austria, Portugal, Slovenia, Finland and United Kingdom</w:t>
      </w:r>
      <w:r>
        <w:rPr>
          <w:rFonts w:ascii="Arial" w:hAnsi="Arial" w:cs="Arial"/>
          <w:noProof/>
          <w:kern w:val="20"/>
          <w:sz w:val="20"/>
          <w:szCs w:val="20"/>
        </w:rPr>
        <w:t>: the Directive on recognition of professional qualifications</w:t>
      </w:r>
      <w:r>
        <w:rPr>
          <w:rStyle w:val="FootnoteReference"/>
          <w:rFonts w:ascii="Arial" w:hAnsi="Arial" w:cs="Arial"/>
          <w:noProof/>
          <w:kern w:val="20"/>
          <w:sz w:val="20"/>
          <w:szCs w:val="20"/>
        </w:rPr>
        <w:footnoteReference w:id="224"/>
      </w:r>
      <w:r>
        <w:rPr>
          <w:rFonts w:ascii="Arial" w:hAnsi="Arial" w:cs="Arial"/>
          <w:noProof/>
          <w:kern w:val="20"/>
          <w:sz w:val="20"/>
          <w:szCs w:val="20"/>
        </w:rPr>
        <w:t>;</w:t>
      </w:r>
    </w:p>
    <w:p w:rsidR="00E201F7" w:rsidRDefault="00E24EFF">
      <w:pPr>
        <w:pStyle w:val="ListParagraph"/>
        <w:autoSpaceDE w:val="0"/>
        <w:autoSpaceDN w:val="0"/>
        <w:adjustRightInd w:val="0"/>
        <w:spacing w:after="200"/>
        <w:ind w:left="1080"/>
        <w:rPr>
          <w:rFonts w:ascii="Arial" w:hAnsi="Arial" w:cs="Arial"/>
          <w:iCs/>
          <w:noProof/>
          <w:kern w:val="20"/>
          <w:sz w:val="20"/>
          <w:szCs w:val="20"/>
        </w:rPr>
      </w:pPr>
      <w:r>
        <w:rPr>
          <w:rFonts w:ascii="Arial" w:hAnsi="Arial" w:cs="Arial"/>
          <w:i/>
          <w:noProof/>
          <w:kern w:val="20"/>
          <w:sz w:val="20"/>
          <w:szCs w:val="20"/>
        </w:rPr>
        <w:t xml:space="preserve">- </w:t>
      </w:r>
      <w:smartTag w:uri="urn:schemas-microsoft-com:office:smarttags" w:element="country-region">
        <w:smartTag w:uri="urn:schemas-microsoft-com:office:smarttags" w:element="place">
          <w:r>
            <w:rPr>
              <w:rFonts w:ascii="Arial" w:hAnsi="Arial" w:cs="Arial"/>
              <w:i/>
              <w:noProof/>
              <w:kern w:val="20"/>
              <w:sz w:val="20"/>
              <w:szCs w:val="20"/>
            </w:rPr>
            <w:t>Germany</w:t>
          </w:r>
        </w:smartTag>
      </w:smartTag>
      <w:r>
        <w:rPr>
          <w:rFonts w:ascii="Arial" w:hAnsi="Arial" w:cs="Arial"/>
          <w:noProof/>
          <w:kern w:val="20"/>
          <w:sz w:val="20"/>
          <w:szCs w:val="20"/>
        </w:rPr>
        <w:t xml:space="preserve">: the </w:t>
      </w:r>
      <w:r>
        <w:rPr>
          <w:rFonts w:ascii="Arial" w:hAnsi="Arial" w:cs="Arial"/>
          <w:iCs/>
          <w:noProof/>
          <w:kern w:val="20"/>
          <w:sz w:val="20"/>
          <w:szCs w:val="20"/>
        </w:rPr>
        <w:t>Directive on the harmon</w:t>
      </w:r>
      <w:r>
        <w:rPr>
          <w:rFonts w:ascii="Arial" w:hAnsi="Arial" w:cs="Arial"/>
          <w:iCs/>
          <w:noProof/>
          <w:kern w:val="20"/>
          <w:sz w:val="20"/>
          <w:szCs w:val="20"/>
        </w:rPr>
        <w:t>isation of the laws of the Member States relating to the making available on the market of pyrotechnic articles</w:t>
      </w:r>
      <w:r>
        <w:rPr>
          <w:rStyle w:val="FootnoteReference"/>
          <w:rFonts w:ascii="Arial" w:hAnsi="Arial" w:cs="Arial"/>
          <w:iCs/>
          <w:noProof/>
          <w:kern w:val="20"/>
          <w:sz w:val="20"/>
          <w:szCs w:val="20"/>
        </w:rPr>
        <w:footnoteReference w:id="225"/>
      </w:r>
      <w:r>
        <w:rPr>
          <w:rFonts w:ascii="Arial" w:hAnsi="Arial" w:cs="Arial"/>
          <w:iCs/>
          <w:noProof/>
          <w:kern w:val="20"/>
          <w:sz w:val="20"/>
          <w:szCs w:val="20"/>
        </w:rPr>
        <w:t>;</w:t>
      </w:r>
    </w:p>
    <w:p w:rsidR="00E201F7" w:rsidRDefault="00E24EFF">
      <w:pPr>
        <w:pStyle w:val="ListParagraph"/>
        <w:autoSpaceDE w:val="0"/>
        <w:autoSpaceDN w:val="0"/>
        <w:adjustRightInd w:val="0"/>
        <w:spacing w:after="200"/>
        <w:ind w:left="1080"/>
        <w:rPr>
          <w:rFonts w:ascii="Arial" w:hAnsi="Arial" w:cs="Arial"/>
          <w:i/>
          <w:noProof/>
          <w:kern w:val="20"/>
          <w:sz w:val="20"/>
          <w:szCs w:val="20"/>
        </w:rPr>
      </w:pPr>
      <w:r>
        <w:rPr>
          <w:rFonts w:ascii="Arial" w:hAnsi="Arial" w:cs="Arial"/>
          <w:i/>
          <w:noProof/>
          <w:kern w:val="20"/>
          <w:sz w:val="20"/>
          <w:szCs w:val="20"/>
        </w:rPr>
        <w:t xml:space="preserve">- Croatia, Cyprus, Malta and Romania: </w:t>
      </w:r>
      <w:r>
        <w:rPr>
          <w:rFonts w:ascii="Arial" w:hAnsi="Arial" w:cs="Arial"/>
          <w:noProof/>
          <w:kern w:val="20"/>
          <w:sz w:val="20"/>
          <w:szCs w:val="20"/>
        </w:rPr>
        <w:t xml:space="preserve">the Directive on procurement by entities operating in the water, energy, transport and postal services </w:t>
      </w:r>
      <w:r>
        <w:rPr>
          <w:rFonts w:ascii="Arial" w:hAnsi="Arial" w:cs="Arial"/>
          <w:noProof/>
          <w:kern w:val="20"/>
          <w:sz w:val="20"/>
          <w:szCs w:val="20"/>
        </w:rPr>
        <w:t>sectors</w:t>
      </w:r>
      <w:r>
        <w:rPr>
          <w:rStyle w:val="FootnoteReference"/>
          <w:rFonts w:ascii="Arial" w:hAnsi="Arial" w:cs="Arial"/>
          <w:noProof/>
          <w:kern w:val="20"/>
          <w:sz w:val="20"/>
          <w:szCs w:val="20"/>
        </w:rPr>
        <w:footnoteReference w:id="226"/>
      </w:r>
      <w:r>
        <w:rPr>
          <w:rFonts w:ascii="Arial" w:hAnsi="Arial" w:cs="Arial"/>
          <w:noProof/>
          <w:kern w:val="20"/>
          <w:sz w:val="20"/>
          <w:szCs w:val="20"/>
        </w:rPr>
        <w:t>;</w:t>
      </w:r>
    </w:p>
    <w:p w:rsidR="00E201F7" w:rsidRDefault="00E24EFF">
      <w:pPr>
        <w:pStyle w:val="ListParagraph"/>
        <w:autoSpaceDE w:val="0"/>
        <w:autoSpaceDN w:val="0"/>
        <w:adjustRightInd w:val="0"/>
        <w:spacing w:after="200"/>
        <w:ind w:left="1080"/>
        <w:rPr>
          <w:rFonts w:ascii="Arial" w:hAnsi="Arial" w:cs="Arial"/>
          <w:i/>
          <w:noProof/>
          <w:kern w:val="20"/>
          <w:sz w:val="20"/>
          <w:szCs w:val="20"/>
        </w:rPr>
      </w:pPr>
      <w:r>
        <w:rPr>
          <w:rFonts w:ascii="Arial" w:hAnsi="Arial" w:cs="Arial"/>
          <w:i/>
          <w:noProof/>
          <w:kern w:val="20"/>
          <w:sz w:val="20"/>
          <w:szCs w:val="20"/>
        </w:rPr>
        <w:t>-</w:t>
      </w:r>
      <w:r>
        <w:rPr>
          <w:rFonts w:ascii="Arial" w:hAnsi="Arial" w:cs="Arial"/>
          <w:i/>
          <w:noProof/>
          <w:sz w:val="20"/>
          <w:szCs w:val="20"/>
        </w:rPr>
        <w:t xml:space="preserve"> </w:t>
      </w:r>
      <w:r>
        <w:rPr>
          <w:rFonts w:ascii="Arial" w:hAnsi="Arial" w:cs="Arial"/>
          <w:i/>
          <w:noProof/>
          <w:kern w:val="20"/>
          <w:sz w:val="20"/>
          <w:szCs w:val="20"/>
        </w:rPr>
        <w:t xml:space="preserve">Croatia, Malta and Romania: </w:t>
      </w:r>
      <w:r>
        <w:rPr>
          <w:rFonts w:ascii="Arial" w:hAnsi="Arial" w:cs="Arial"/>
          <w:noProof/>
          <w:kern w:val="20"/>
          <w:sz w:val="20"/>
          <w:szCs w:val="20"/>
        </w:rPr>
        <w:t>Public Procurement Directive</w:t>
      </w:r>
      <w:r>
        <w:rPr>
          <w:rStyle w:val="FootnoteReference"/>
          <w:rFonts w:ascii="Arial" w:hAnsi="Arial" w:cs="Arial"/>
          <w:noProof/>
          <w:kern w:val="20"/>
          <w:sz w:val="20"/>
          <w:szCs w:val="20"/>
        </w:rPr>
        <w:footnoteReference w:id="227"/>
      </w:r>
      <w:r>
        <w:rPr>
          <w:rFonts w:ascii="Arial" w:hAnsi="Arial" w:cs="Arial"/>
          <w:i/>
          <w:noProof/>
          <w:kern w:val="20"/>
          <w:sz w:val="20"/>
          <w:szCs w:val="20"/>
        </w:rPr>
        <w:t>;</w:t>
      </w:r>
    </w:p>
    <w:p w:rsidR="00E201F7" w:rsidRDefault="00E24EFF">
      <w:pPr>
        <w:pStyle w:val="ListParagraph"/>
        <w:autoSpaceDE w:val="0"/>
        <w:autoSpaceDN w:val="0"/>
        <w:adjustRightInd w:val="0"/>
        <w:spacing w:after="200"/>
        <w:ind w:left="1080"/>
        <w:rPr>
          <w:rFonts w:ascii="Arial" w:hAnsi="Arial" w:cs="Arial"/>
          <w:i/>
          <w:noProof/>
          <w:kern w:val="20"/>
          <w:sz w:val="20"/>
          <w:szCs w:val="20"/>
        </w:rPr>
      </w:pPr>
      <w:r>
        <w:rPr>
          <w:rFonts w:ascii="Arial" w:hAnsi="Arial" w:cs="Arial"/>
          <w:i/>
          <w:noProof/>
          <w:kern w:val="20"/>
          <w:sz w:val="20"/>
          <w:szCs w:val="20"/>
        </w:rPr>
        <w:t xml:space="preserve">- Malta, Poland and Romania: </w:t>
      </w:r>
      <w:r>
        <w:rPr>
          <w:rFonts w:ascii="Arial" w:hAnsi="Arial" w:cs="Arial"/>
          <w:noProof/>
          <w:kern w:val="20"/>
          <w:sz w:val="20"/>
          <w:szCs w:val="20"/>
        </w:rPr>
        <w:t>Directive on the award of concession contracts</w:t>
      </w:r>
      <w:r>
        <w:rPr>
          <w:rStyle w:val="FootnoteReference"/>
          <w:rFonts w:ascii="Arial" w:hAnsi="Arial" w:cs="Arial"/>
          <w:noProof/>
          <w:kern w:val="20"/>
          <w:sz w:val="20"/>
          <w:szCs w:val="20"/>
        </w:rPr>
        <w:footnoteReference w:id="228"/>
      </w:r>
      <w:r>
        <w:rPr>
          <w:rFonts w:ascii="Arial" w:hAnsi="Arial" w:cs="Arial"/>
          <w:noProof/>
          <w:kern w:val="20"/>
          <w:sz w:val="20"/>
          <w:szCs w:val="20"/>
        </w:rPr>
        <w:t>.</w:t>
      </w:r>
    </w:p>
    <w:p w:rsidR="00E201F7" w:rsidRDefault="00E24EFF">
      <w:pPr>
        <w:pStyle w:val="kop2"/>
        <w:rPr>
          <w:noProof/>
        </w:rPr>
      </w:pPr>
      <w:r>
        <w:rPr>
          <w:noProof/>
        </w:rPr>
        <w:t>IMPORTANT JUDGMENTS</w:t>
      </w:r>
    </w:p>
    <w:p w:rsidR="00E201F7" w:rsidRDefault="00E24EFF">
      <w:pPr>
        <w:numPr>
          <w:ilvl w:val="0"/>
          <w:numId w:val="36"/>
        </w:numPr>
        <w:spacing w:before="120" w:after="120"/>
        <w:ind w:left="714" w:hanging="357"/>
        <w:jc w:val="left"/>
        <w:outlineLvl w:val="1"/>
        <w:rPr>
          <w:noProof/>
          <w:color w:val="002060"/>
        </w:rPr>
      </w:pPr>
      <w:r>
        <w:rPr>
          <w:rFonts w:ascii="Arial" w:hAnsi="Arial" w:cs="Arial"/>
          <w:noProof/>
          <w:color w:val="002060"/>
          <w:sz w:val="22"/>
        </w:rPr>
        <w:t>Court rulings</w:t>
      </w:r>
      <w:r>
        <w:rPr>
          <w:rStyle w:val="FootnoteReference"/>
          <w:noProof/>
          <w:color w:val="002060"/>
        </w:rPr>
        <w:footnoteReference w:id="229"/>
      </w:r>
    </w:p>
    <w:p w:rsidR="00E201F7" w:rsidRDefault="00E24EFF">
      <w:pPr>
        <w:autoSpaceDE w:val="0"/>
        <w:autoSpaceDN w:val="0"/>
        <w:adjustRightInd w:val="0"/>
        <w:spacing w:after="60"/>
        <w:ind w:left="360" w:firstLine="360"/>
        <w:jc w:val="left"/>
        <w:rPr>
          <w:rFonts w:ascii="Arial" w:hAnsi="Arial"/>
          <w:noProof/>
          <w:sz w:val="20"/>
        </w:rPr>
      </w:pPr>
      <w:r>
        <w:rPr>
          <w:rFonts w:ascii="Arial" w:hAnsi="Arial"/>
          <w:noProof/>
          <w:sz w:val="20"/>
        </w:rPr>
        <w:t>The Court ruled that:</w:t>
      </w:r>
    </w:p>
    <w:p w:rsidR="00E201F7" w:rsidRDefault="00E24EFF">
      <w:pPr>
        <w:pStyle w:val="Lijstje2"/>
        <w:ind w:left="1200"/>
        <w:rPr>
          <w:rFonts w:ascii="Arial" w:hAnsi="Arial" w:cs="Arial"/>
          <w:noProof/>
          <w:lang w:val="en-GB"/>
        </w:rPr>
      </w:pPr>
      <w:smartTag w:uri="urn:schemas-microsoft-com:office:smarttags" w:element="country-region">
        <w:smartTag w:uri="urn:schemas-microsoft-com:office:smarttags" w:element="place">
          <w:r>
            <w:rPr>
              <w:rFonts w:ascii="Arial" w:hAnsi="Arial" w:cs="Arial"/>
              <w:i/>
              <w:noProof/>
              <w:lang w:val="en-GB"/>
            </w:rPr>
            <w:t>Hungary</w:t>
          </w:r>
        </w:smartTag>
      </w:smartTag>
      <w:r>
        <w:rPr>
          <w:rFonts w:ascii="Arial" w:hAnsi="Arial" w:cs="Arial"/>
          <w:i/>
          <w:noProof/>
          <w:lang w:val="en-GB"/>
        </w:rPr>
        <w:t xml:space="preserve">: </w:t>
      </w:r>
      <w:r>
        <w:rPr>
          <w:rFonts w:ascii="Arial" w:hAnsi="Arial" w:cs="Arial"/>
          <w:noProof/>
          <w:lang w:val="en-GB"/>
        </w:rPr>
        <w:t xml:space="preserve">the requirement to hold Hungarian </w:t>
      </w:r>
      <w:r>
        <w:rPr>
          <w:rFonts w:ascii="Arial" w:hAnsi="Arial" w:cs="Arial"/>
          <w:noProof/>
          <w:lang w:val="en-GB"/>
        </w:rPr>
        <w:t>nationality in order to work as a notary constitutes discrimination based on nationality prohibited by the Treaty</w:t>
      </w:r>
      <w:r>
        <w:rPr>
          <w:rStyle w:val="FootnoteReference"/>
          <w:rFonts w:ascii="Arial" w:hAnsi="Arial" w:cs="Arial"/>
          <w:noProof/>
          <w:lang w:val="en-GB"/>
        </w:rPr>
        <w:footnoteReference w:id="230"/>
      </w:r>
      <w:r>
        <w:rPr>
          <w:rFonts w:ascii="Arial" w:hAnsi="Arial" w:cs="Arial"/>
          <w:i/>
          <w:noProof/>
          <w:lang w:val="en-GB"/>
        </w:rPr>
        <w:t>.</w:t>
      </w:r>
    </w:p>
    <w:p w:rsidR="00E201F7" w:rsidRDefault="00E24EFF">
      <w:pPr>
        <w:numPr>
          <w:ilvl w:val="0"/>
          <w:numId w:val="36"/>
        </w:numPr>
        <w:spacing w:before="120" w:after="120"/>
        <w:ind w:left="714" w:hanging="357"/>
        <w:jc w:val="left"/>
        <w:outlineLvl w:val="1"/>
        <w:rPr>
          <w:rFonts w:ascii="Arial" w:hAnsi="Arial" w:cs="Arial"/>
          <w:noProof/>
          <w:color w:val="002060"/>
          <w:sz w:val="22"/>
        </w:rPr>
      </w:pPr>
      <w:r>
        <w:rPr>
          <w:rFonts w:ascii="Arial" w:hAnsi="Arial" w:cs="Arial"/>
          <w:noProof/>
          <w:color w:val="002060"/>
          <w:sz w:val="22"/>
        </w:rPr>
        <w:t>Preliminary rulings</w:t>
      </w:r>
    </w:p>
    <w:p w:rsidR="00E201F7" w:rsidRDefault="00E24EFF">
      <w:pPr>
        <w:pStyle w:val="Basis"/>
        <w:ind w:left="360" w:firstLine="354"/>
        <w:rPr>
          <w:rFonts w:ascii="Arial" w:hAnsi="Arial" w:cs="Arial"/>
          <w:noProof/>
          <w:lang w:val="en-GB"/>
        </w:rPr>
      </w:pPr>
      <w:r>
        <w:rPr>
          <w:rFonts w:ascii="Arial" w:hAnsi="Arial" w:cs="Arial"/>
          <w:noProof/>
          <w:lang w:val="en-GB"/>
        </w:rPr>
        <w:t>The Court gave the following preliminary rulings.</w:t>
      </w:r>
    </w:p>
    <w:p w:rsidR="00E201F7" w:rsidRDefault="00E24EFF">
      <w:pPr>
        <w:pStyle w:val="ListParagraph"/>
        <w:numPr>
          <w:ilvl w:val="0"/>
          <w:numId w:val="74"/>
        </w:numPr>
        <w:spacing w:after="120"/>
        <w:ind w:left="1196" w:hanging="357"/>
        <w:contextualSpacing w:val="0"/>
        <w:rPr>
          <w:rFonts w:ascii="Arial" w:hAnsi="Arial"/>
          <w:noProof/>
          <w:sz w:val="20"/>
        </w:rPr>
      </w:pPr>
      <w:smartTag w:uri="urn:schemas-microsoft-com:office:smarttags" w:element="country-region">
        <w:smartTag w:uri="urn:schemas-microsoft-com:office:smarttags" w:element="place">
          <w:r>
            <w:rPr>
              <w:rFonts w:ascii="Arial" w:hAnsi="Arial"/>
              <w:i/>
              <w:noProof/>
              <w:sz w:val="20"/>
            </w:rPr>
            <w:t>Belgium</w:t>
          </w:r>
        </w:smartTag>
      </w:smartTag>
      <w:r>
        <w:rPr>
          <w:rFonts w:ascii="Arial" w:hAnsi="Arial"/>
          <w:noProof/>
          <w:sz w:val="20"/>
        </w:rPr>
        <w:t xml:space="preserve">: A general and absolute prohibition of any advertising </w:t>
      </w:r>
      <w:r>
        <w:rPr>
          <w:rFonts w:ascii="Arial" w:hAnsi="Arial"/>
          <w:noProof/>
          <w:sz w:val="20"/>
        </w:rPr>
        <w:t>relating to the provision of oral and dental care services and the establishment of certain requirements of discretion regarding signs of dental practices violates the freedom to provide services</w:t>
      </w:r>
      <w:r>
        <w:rPr>
          <w:rStyle w:val="FootnoteReference"/>
          <w:rFonts w:ascii="Arial" w:hAnsi="Arial"/>
          <w:noProof/>
          <w:sz w:val="20"/>
        </w:rPr>
        <w:footnoteReference w:id="231"/>
      </w:r>
      <w:r>
        <w:rPr>
          <w:rFonts w:ascii="Arial" w:hAnsi="Arial"/>
          <w:noProof/>
          <w:sz w:val="20"/>
        </w:rPr>
        <w:t>.</w:t>
      </w:r>
    </w:p>
    <w:p w:rsidR="00E201F7" w:rsidRDefault="00E24EFF">
      <w:pPr>
        <w:pStyle w:val="ListParagraph"/>
        <w:numPr>
          <w:ilvl w:val="0"/>
          <w:numId w:val="74"/>
        </w:numPr>
        <w:spacing w:after="120"/>
        <w:ind w:left="1196" w:hanging="357"/>
        <w:contextualSpacing w:val="0"/>
        <w:rPr>
          <w:rFonts w:ascii="Arial" w:hAnsi="Arial"/>
          <w:noProof/>
          <w:sz w:val="20"/>
        </w:rPr>
      </w:pPr>
      <w:r>
        <w:rPr>
          <w:rFonts w:ascii="Arial" w:hAnsi="Arial"/>
          <w:i/>
          <w:noProof/>
          <w:sz w:val="20"/>
        </w:rPr>
        <w:t>France</w:t>
      </w:r>
      <w:r>
        <w:rPr>
          <w:rFonts w:ascii="Arial" w:hAnsi="Arial"/>
          <w:noProof/>
          <w:sz w:val="20"/>
        </w:rPr>
        <w:t>: The case concerned a refusal to issue a router for</w:t>
      </w:r>
      <w:r>
        <w:rPr>
          <w:rFonts w:ascii="Arial" w:hAnsi="Arial"/>
          <w:noProof/>
          <w:sz w:val="20"/>
        </w:rPr>
        <w:t xml:space="preserve"> access to the private virtual network for lawyers to a lawyer duly registered at a Bar of another Member State, for the sole reason that that lawyer is not registered at a Bar of the first Member State, in which he wishes to practise his profession as a f</w:t>
      </w:r>
      <w:r>
        <w:rPr>
          <w:rFonts w:ascii="Arial" w:hAnsi="Arial"/>
          <w:noProof/>
          <w:sz w:val="20"/>
        </w:rPr>
        <w:t>ree provider of services. The Court held that the refusal constitutes a restriction on the freedom to provide services under Council Directive 77/249/EEC</w:t>
      </w:r>
      <w:r>
        <w:rPr>
          <w:rStyle w:val="FootnoteReference"/>
          <w:rFonts w:ascii="Arial" w:hAnsi="Arial"/>
          <w:noProof/>
          <w:sz w:val="20"/>
        </w:rPr>
        <w:footnoteReference w:id="232"/>
      </w:r>
      <w:r>
        <w:rPr>
          <w:rFonts w:ascii="Arial" w:hAnsi="Arial"/>
          <w:noProof/>
          <w:sz w:val="20"/>
        </w:rPr>
        <w:t>.</w:t>
      </w:r>
    </w:p>
    <w:p w:rsidR="00E201F7" w:rsidRDefault="00E24EFF">
      <w:pPr>
        <w:pStyle w:val="ListParagraph"/>
        <w:numPr>
          <w:ilvl w:val="0"/>
          <w:numId w:val="74"/>
        </w:numPr>
        <w:spacing w:after="120"/>
        <w:ind w:left="1196" w:hanging="357"/>
        <w:contextualSpacing w:val="0"/>
        <w:rPr>
          <w:rFonts w:ascii="Arial" w:hAnsi="Arial" w:cs="Arial"/>
          <w:noProof/>
          <w:sz w:val="20"/>
        </w:rPr>
      </w:pPr>
      <w:r>
        <w:rPr>
          <w:rFonts w:ascii="Arial" w:hAnsi="Arial"/>
          <w:i/>
          <w:noProof/>
          <w:sz w:val="20"/>
        </w:rPr>
        <w:t>Italy</w:t>
      </w:r>
      <w:r>
        <w:rPr>
          <w:rFonts w:ascii="Arial" w:hAnsi="Arial"/>
          <w:noProof/>
          <w:sz w:val="20"/>
        </w:rPr>
        <w:t xml:space="preserve">: Restrictions imposed on gambling concession holders through new legislation may be compliant </w:t>
      </w:r>
      <w:r>
        <w:rPr>
          <w:rFonts w:ascii="Arial" w:hAnsi="Arial"/>
          <w:noProof/>
          <w:sz w:val="20"/>
        </w:rPr>
        <w:t>with the TFEU principles provided they are justified by overriding reasons relating to the general interest and are enacted proportionately i.e. with an amendment to the concession providing for a transitional period of sufficient length</w:t>
      </w:r>
      <w:r>
        <w:rPr>
          <w:rStyle w:val="FootnoteReference"/>
          <w:rFonts w:ascii="Arial" w:hAnsi="Arial"/>
          <w:noProof/>
          <w:sz w:val="20"/>
        </w:rPr>
        <w:footnoteReference w:id="233"/>
      </w:r>
      <w:r>
        <w:rPr>
          <w:rFonts w:ascii="Arial" w:hAnsi="Arial"/>
          <w:noProof/>
          <w:sz w:val="20"/>
        </w:rPr>
        <w:t>.</w:t>
      </w:r>
    </w:p>
    <w:p w:rsidR="00E201F7" w:rsidRDefault="00E24EFF">
      <w:pPr>
        <w:pStyle w:val="ListParagraph"/>
        <w:numPr>
          <w:ilvl w:val="0"/>
          <w:numId w:val="74"/>
        </w:numPr>
        <w:spacing w:after="120"/>
        <w:ind w:left="1196" w:hanging="357"/>
        <w:contextualSpacing w:val="0"/>
        <w:rPr>
          <w:rFonts w:ascii="Arial" w:hAnsi="Arial" w:cs="Arial"/>
          <w:noProof/>
          <w:sz w:val="20"/>
        </w:rPr>
      </w:pPr>
      <w:r>
        <w:rPr>
          <w:rFonts w:ascii="Arial" w:hAnsi="Arial"/>
          <w:i/>
          <w:noProof/>
          <w:sz w:val="20"/>
        </w:rPr>
        <w:t>Italy</w:t>
      </w:r>
      <w:r>
        <w:rPr>
          <w:rFonts w:ascii="Arial" w:hAnsi="Arial" w:cs="Arial"/>
          <w:noProof/>
          <w:sz w:val="20"/>
        </w:rPr>
        <w:t>: The Itali</w:t>
      </w:r>
      <w:r>
        <w:rPr>
          <w:rFonts w:ascii="Arial" w:hAnsi="Arial" w:cs="Arial"/>
          <w:noProof/>
          <w:sz w:val="20"/>
        </w:rPr>
        <w:t>an measures regarding the allocation of digital TV frequencies may violate in several regards the EU law on the internal market</w:t>
      </w:r>
      <w:r>
        <w:rPr>
          <w:rStyle w:val="FootnoteReference"/>
          <w:rFonts w:ascii="Arial" w:hAnsi="Arial" w:cs="Arial"/>
          <w:noProof/>
          <w:sz w:val="20"/>
        </w:rPr>
        <w:footnoteReference w:id="234"/>
      </w:r>
      <w:r>
        <w:rPr>
          <w:rFonts w:ascii="Arial" w:hAnsi="Arial" w:cs="Arial"/>
          <w:noProof/>
          <w:sz w:val="20"/>
        </w:rPr>
        <w:t>.</w:t>
      </w:r>
    </w:p>
    <w:p w:rsidR="00E201F7" w:rsidRDefault="00E24EFF">
      <w:pPr>
        <w:pStyle w:val="ListParagraph"/>
        <w:numPr>
          <w:ilvl w:val="0"/>
          <w:numId w:val="74"/>
        </w:numPr>
        <w:spacing w:after="120"/>
        <w:ind w:left="1196" w:hanging="357"/>
        <w:contextualSpacing w:val="0"/>
        <w:rPr>
          <w:rFonts w:ascii="Arial" w:hAnsi="Arial"/>
          <w:noProof/>
          <w:sz w:val="20"/>
        </w:rPr>
      </w:pPr>
      <w:r>
        <w:rPr>
          <w:rFonts w:ascii="Arial" w:hAnsi="Arial"/>
          <w:i/>
          <w:noProof/>
          <w:sz w:val="20"/>
        </w:rPr>
        <w:t>Hungary:</w:t>
      </w:r>
      <w:r>
        <w:rPr>
          <w:rFonts w:ascii="Arial" w:hAnsi="Arial"/>
          <w:noProof/>
          <w:sz w:val="20"/>
        </w:rPr>
        <w:t xml:space="preserve"> The Hungarian legislation prohibiting the organisation of games of chance without a licence violates the freedom to provide services. The requirement of having provided such services in </w:t>
      </w:r>
      <w:smartTag w:uri="urn:schemas-microsoft-com:office:smarttags" w:element="country-region">
        <w:smartTag w:uri="urn:schemas-microsoft-com:office:smarttags" w:element="place">
          <w:r>
            <w:rPr>
              <w:rFonts w:ascii="Arial" w:hAnsi="Arial"/>
              <w:noProof/>
              <w:sz w:val="20"/>
            </w:rPr>
            <w:t>Hungary</w:t>
          </w:r>
        </w:smartTag>
      </w:smartTag>
      <w:r>
        <w:rPr>
          <w:rFonts w:ascii="Arial" w:hAnsi="Arial"/>
          <w:noProof/>
          <w:sz w:val="20"/>
        </w:rPr>
        <w:t xml:space="preserve"> for at least 10 years constitutes discrimination</w:t>
      </w:r>
      <w:r>
        <w:rPr>
          <w:rStyle w:val="FootnoteReference"/>
          <w:rFonts w:ascii="Arial" w:hAnsi="Arial"/>
          <w:noProof/>
          <w:sz w:val="20"/>
        </w:rPr>
        <w:footnoteReference w:id="235"/>
      </w:r>
      <w:r>
        <w:rPr>
          <w:rFonts w:ascii="Arial" w:hAnsi="Arial"/>
          <w:noProof/>
          <w:sz w:val="20"/>
        </w:rPr>
        <w:t>.</w:t>
      </w:r>
    </w:p>
    <w:p w:rsidR="00E201F7" w:rsidRDefault="00E24EFF">
      <w:pPr>
        <w:pStyle w:val="ListParagraph"/>
        <w:numPr>
          <w:ilvl w:val="0"/>
          <w:numId w:val="74"/>
        </w:numPr>
        <w:spacing w:after="120"/>
        <w:ind w:left="1196" w:hanging="357"/>
        <w:contextualSpacing w:val="0"/>
        <w:rPr>
          <w:rFonts w:ascii="Arial" w:hAnsi="Arial"/>
          <w:noProof/>
          <w:sz w:val="20"/>
        </w:rPr>
      </w:pPr>
      <w:r>
        <w:rPr>
          <w:rFonts w:ascii="Arial" w:hAnsi="Arial"/>
          <w:i/>
          <w:noProof/>
          <w:sz w:val="20"/>
        </w:rPr>
        <w:t>Finland</w:t>
      </w:r>
      <w:r>
        <w:rPr>
          <w:rFonts w:ascii="Arial" w:hAnsi="Arial"/>
          <w:noProof/>
          <w:sz w:val="20"/>
        </w:rPr>
        <w:t>: A</w:t>
      </w:r>
      <w:r>
        <w:rPr>
          <w:rFonts w:ascii="Arial" w:hAnsi="Arial"/>
          <w:noProof/>
          <w:sz w:val="20"/>
        </w:rPr>
        <w:t>ll postal service providers may be subject to obligations concerning quality, availability and</w:t>
      </w:r>
      <w:r>
        <w:rPr>
          <w:rFonts w:ascii="Arial" w:eastAsia="MS Mincho" w:hAnsi="Arial"/>
          <w:noProof/>
          <w:lang w:eastAsia="ja-JP"/>
        </w:rPr>
        <w:t xml:space="preserve"> </w:t>
      </w:r>
      <w:r>
        <w:rPr>
          <w:rFonts w:ascii="Arial" w:hAnsi="Arial"/>
          <w:noProof/>
          <w:sz w:val="20"/>
        </w:rPr>
        <w:t>performance; express/courier/parcel service providers are subject to the Postal Services Directive</w:t>
      </w:r>
      <w:r>
        <w:rPr>
          <w:rStyle w:val="FootnoteReference"/>
          <w:rFonts w:ascii="Arial" w:hAnsi="Arial"/>
          <w:noProof/>
          <w:sz w:val="20"/>
        </w:rPr>
        <w:footnoteReference w:id="236"/>
      </w:r>
      <w:r>
        <w:rPr>
          <w:rFonts w:ascii="Arial" w:hAnsi="Arial"/>
          <w:noProof/>
          <w:sz w:val="20"/>
        </w:rPr>
        <w:t>.</w:t>
      </w:r>
    </w:p>
    <w:p w:rsidR="00E201F7" w:rsidRDefault="00E24EFF">
      <w:pPr>
        <w:pStyle w:val="ListParagraph"/>
        <w:numPr>
          <w:ilvl w:val="0"/>
          <w:numId w:val="74"/>
        </w:numPr>
        <w:spacing w:after="120"/>
        <w:ind w:left="1196" w:hanging="357"/>
        <w:contextualSpacing w:val="0"/>
        <w:rPr>
          <w:rFonts w:ascii="Arial" w:hAnsi="Arial" w:cs="Arial"/>
          <w:noProof/>
          <w:sz w:val="20"/>
        </w:rPr>
      </w:pPr>
      <w:smartTag w:uri="urn:schemas-microsoft-com:office:smarttags" w:element="country-region">
        <w:smartTag w:uri="urn:schemas-microsoft-com:office:smarttags" w:element="place">
          <w:r>
            <w:rPr>
              <w:rFonts w:ascii="Arial" w:hAnsi="Arial" w:cs="Arial"/>
              <w:i/>
              <w:noProof/>
              <w:sz w:val="20"/>
            </w:rPr>
            <w:t>United Kingdom</w:t>
          </w:r>
        </w:smartTag>
      </w:smartTag>
      <w:r>
        <w:rPr>
          <w:rFonts w:ascii="Arial" w:hAnsi="Arial" w:cs="Arial"/>
          <w:noProof/>
          <w:sz w:val="20"/>
        </w:rPr>
        <w:t>: T</w:t>
      </w:r>
      <w:r>
        <w:rPr>
          <w:rFonts w:ascii="Arial" w:hAnsi="Arial" w:cs="Arial"/>
          <w:bCs/>
          <w:noProof/>
          <w:sz w:val="20"/>
        </w:rPr>
        <w:t>he national legislation goes beyond what is</w:t>
      </w:r>
      <w:r>
        <w:rPr>
          <w:rFonts w:ascii="Arial" w:hAnsi="Arial" w:cs="Arial"/>
          <w:bCs/>
          <w:noProof/>
          <w:sz w:val="20"/>
        </w:rPr>
        <w:t xml:space="preserve"> considered necessary to achieve the objectives of preserving the allocation of powers of taxation between the Member States</w:t>
      </w:r>
      <w:r>
        <w:rPr>
          <w:rStyle w:val="FootnoteReference"/>
          <w:rFonts w:ascii="Arial" w:hAnsi="Arial" w:cs="Arial"/>
          <w:bCs/>
          <w:noProof/>
          <w:sz w:val="20"/>
        </w:rPr>
        <w:footnoteReference w:id="237"/>
      </w:r>
      <w:r>
        <w:rPr>
          <w:rFonts w:ascii="Arial" w:hAnsi="Arial" w:cs="Arial"/>
          <w:bCs/>
          <w:noProof/>
          <w:sz w:val="20"/>
        </w:rPr>
        <w:t>.</w:t>
      </w:r>
    </w:p>
    <w:p w:rsidR="00E201F7" w:rsidRDefault="00E24EFF">
      <w:pPr>
        <w:pStyle w:val="ListParagraph"/>
        <w:numPr>
          <w:ilvl w:val="0"/>
          <w:numId w:val="74"/>
        </w:numPr>
        <w:spacing w:after="120"/>
        <w:ind w:left="1196" w:hanging="357"/>
        <w:contextualSpacing w:val="0"/>
        <w:rPr>
          <w:rFonts w:ascii="Arial" w:hAnsi="Arial"/>
          <w:noProof/>
          <w:sz w:val="20"/>
        </w:rPr>
      </w:pPr>
      <w:r>
        <w:rPr>
          <w:rFonts w:ascii="Arial" w:hAnsi="Arial" w:cs="Arial"/>
          <w:i/>
          <w:noProof/>
          <w:sz w:val="20"/>
        </w:rPr>
        <w:t>United Kingdom</w:t>
      </w:r>
      <w:r>
        <w:rPr>
          <w:rFonts w:ascii="Arial" w:hAnsi="Arial" w:cs="Arial"/>
          <w:noProof/>
          <w:sz w:val="20"/>
        </w:rPr>
        <w:t xml:space="preserve">: </w:t>
      </w:r>
      <w:r>
        <w:rPr>
          <w:rFonts w:ascii="Arial" w:hAnsi="Arial" w:cs="Arial"/>
          <w:bCs/>
          <w:noProof/>
          <w:sz w:val="20"/>
        </w:rPr>
        <w:t xml:space="preserve">The TFEU cannot be invoked between the </w:t>
      </w:r>
      <w:smartTag w:uri="urn:schemas-microsoft-com:office:smarttags" w:element="country-region">
        <w:r>
          <w:rPr>
            <w:rFonts w:ascii="Arial" w:hAnsi="Arial" w:cs="Arial"/>
            <w:bCs/>
            <w:noProof/>
            <w:sz w:val="20"/>
          </w:rPr>
          <w:t>United Kingdom</w:t>
        </w:r>
      </w:smartTag>
      <w:r>
        <w:rPr>
          <w:rFonts w:ascii="Arial" w:hAnsi="Arial" w:cs="Arial"/>
          <w:bCs/>
          <w:noProof/>
          <w:sz w:val="20"/>
        </w:rPr>
        <w:t xml:space="preserve"> and Gibraltar regarding the </w:t>
      </w:r>
      <w:smartTag w:uri="urn:schemas-microsoft-com:office:smarttags" w:element="country-region">
        <w:smartTag w:uri="urn:schemas-microsoft-com:office:smarttags" w:element="place">
          <w:r>
            <w:rPr>
              <w:rFonts w:ascii="Arial" w:hAnsi="Arial" w:cs="Arial"/>
              <w:bCs/>
              <w:noProof/>
              <w:sz w:val="20"/>
            </w:rPr>
            <w:t>UK</w:t>
          </w:r>
        </w:smartTag>
      </w:smartTag>
      <w:r>
        <w:rPr>
          <w:rFonts w:ascii="Arial" w:hAnsi="Arial" w:cs="Arial"/>
          <w:bCs/>
          <w:noProof/>
          <w:sz w:val="20"/>
        </w:rPr>
        <w:t xml:space="preserve"> tax regime on the provision </w:t>
      </w:r>
      <w:r>
        <w:rPr>
          <w:rFonts w:ascii="Arial" w:hAnsi="Arial" w:cs="Arial"/>
          <w:bCs/>
          <w:noProof/>
          <w:sz w:val="20"/>
        </w:rPr>
        <w:t>of gambling services</w:t>
      </w:r>
      <w:r>
        <w:rPr>
          <w:rStyle w:val="FootnoteReference"/>
          <w:rFonts w:ascii="Arial" w:hAnsi="Arial" w:cs="Arial"/>
          <w:bCs/>
          <w:noProof/>
          <w:sz w:val="20"/>
        </w:rPr>
        <w:footnoteReference w:id="238"/>
      </w:r>
      <w:r>
        <w:rPr>
          <w:rFonts w:ascii="Arial" w:hAnsi="Arial" w:cs="Arial"/>
          <w:bCs/>
          <w:noProof/>
          <w:sz w:val="20"/>
        </w:rPr>
        <w:t>.</w:t>
      </w:r>
    </w:p>
    <w:p w:rsidR="00E201F7" w:rsidRDefault="00E24EFF">
      <w:pPr>
        <w:pStyle w:val="kop2"/>
        <w:rPr>
          <w:noProof/>
        </w:rPr>
      </w:pPr>
      <w:r>
        <w:rPr>
          <w:noProof/>
        </w:rPr>
        <w:t>Outlook</w:t>
      </w:r>
    </w:p>
    <w:p w:rsidR="00E201F7" w:rsidRDefault="00E24EFF">
      <w:pPr>
        <w:spacing w:after="60"/>
        <w:ind w:left="360"/>
        <w:jc w:val="left"/>
        <w:outlineLvl w:val="1"/>
        <w:rPr>
          <w:rFonts w:ascii="Arial" w:hAnsi="Arial"/>
          <w:noProof/>
          <w:color w:val="002060"/>
          <w:sz w:val="22"/>
        </w:rPr>
      </w:pPr>
      <w:r>
        <w:rPr>
          <w:rFonts w:ascii="Arial" w:hAnsi="Arial"/>
          <w:noProof/>
          <w:color w:val="002060"/>
          <w:sz w:val="22"/>
        </w:rPr>
        <w:t>Important implementation work in 2018 includes:</w:t>
      </w:r>
    </w:p>
    <w:p w:rsidR="00E201F7" w:rsidRDefault="00E24EFF">
      <w:pPr>
        <w:pStyle w:val="ListParagraph"/>
        <w:numPr>
          <w:ilvl w:val="0"/>
          <w:numId w:val="75"/>
        </w:numPr>
        <w:autoSpaceDE w:val="0"/>
        <w:autoSpaceDN w:val="0"/>
        <w:adjustRightInd w:val="0"/>
        <w:spacing w:before="120" w:after="120"/>
        <w:ind w:left="1276" w:hanging="425"/>
        <w:rPr>
          <w:rFonts w:ascii="Arial" w:hAnsi="Arial"/>
          <w:noProof/>
          <w:sz w:val="20"/>
        </w:rPr>
      </w:pPr>
      <w:r>
        <w:rPr>
          <w:rFonts w:ascii="Arial" w:eastAsia="Calibri" w:hAnsi="Arial"/>
          <w:noProof/>
          <w:sz w:val="20"/>
        </w:rPr>
        <w:t>monitoring the transposition of important Directives:</w:t>
      </w:r>
    </w:p>
    <w:p w:rsidR="00E201F7" w:rsidRDefault="00E24EFF">
      <w:pPr>
        <w:pStyle w:val="ListParagraph"/>
        <w:ind w:left="1418"/>
        <w:rPr>
          <w:rFonts w:ascii="Arial" w:eastAsia="Calibri" w:hAnsi="Arial"/>
          <w:noProof/>
          <w:sz w:val="20"/>
        </w:rPr>
      </w:pPr>
      <w:r>
        <w:rPr>
          <w:rFonts w:ascii="Arial" w:eastAsia="Calibri" w:hAnsi="Arial"/>
          <w:noProof/>
          <w:sz w:val="20"/>
        </w:rPr>
        <w:t>- on the protection of undisclosed know-how and business information against their unlawful acquisition, use and disclosure</w:t>
      </w:r>
      <w:r>
        <w:rPr>
          <w:rStyle w:val="FootnoteReference"/>
          <w:rFonts w:ascii="Arial" w:eastAsia="Calibri" w:hAnsi="Arial"/>
          <w:noProof/>
          <w:sz w:val="20"/>
        </w:rPr>
        <w:footnoteReference w:id="239"/>
      </w:r>
      <w:r>
        <w:rPr>
          <w:rFonts w:ascii="Arial" w:eastAsia="Calibri" w:hAnsi="Arial"/>
          <w:noProof/>
          <w:sz w:val="20"/>
        </w:rPr>
        <w:t>; and</w:t>
      </w:r>
    </w:p>
    <w:p w:rsidR="00E201F7" w:rsidRDefault="00E24EFF">
      <w:pPr>
        <w:pStyle w:val="ListParagraph"/>
        <w:ind w:left="1418"/>
        <w:rPr>
          <w:rFonts w:ascii="Arial" w:hAnsi="Arial"/>
          <w:noProof/>
          <w:sz w:val="20"/>
        </w:rPr>
      </w:pPr>
      <w:r>
        <w:rPr>
          <w:rFonts w:ascii="Arial" w:eastAsia="Calibri" w:hAnsi="Arial"/>
          <w:noProof/>
          <w:sz w:val="20"/>
        </w:rPr>
        <w:t>- on electronic invoicing in public procurement</w:t>
      </w:r>
      <w:r>
        <w:rPr>
          <w:rStyle w:val="FootnoteReference"/>
          <w:rFonts w:ascii="Arial" w:eastAsia="Calibri" w:hAnsi="Arial"/>
          <w:noProof/>
          <w:sz w:val="20"/>
        </w:rPr>
        <w:footnoteReference w:id="240"/>
      </w:r>
      <w:r>
        <w:rPr>
          <w:rFonts w:ascii="Arial" w:eastAsia="Calibri" w:hAnsi="Arial"/>
          <w:noProof/>
          <w:sz w:val="20"/>
        </w:rPr>
        <w:t>.</w:t>
      </w:r>
    </w:p>
    <w:p w:rsidR="00E201F7" w:rsidRDefault="00E24EFF">
      <w:pPr>
        <w:pStyle w:val="ListParagraph"/>
        <w:numPr>
          <w:ilvl w:val="0"/>
          <w:numId w:val="75"/>
        </w:numPr>
        <w:autoSpaceDE w:val="0"/>
        <w:autoSpaceDN w:val="0"/>
        <w:adjustRightInd w:val="0"/>
        <w:spacing w:before="120" w:after="120"/>
        <w:ind w:left="1276" w:hanging="425"/>
        <w:rPr>
          <w:rFonts w:ascii="Arial" w:hAnsi="Arial"/>
          <w:noProof/>
          <w:sz w:val="20"/>
        </w:rPr>
      </w:pPr>
      <w:r>
        <w:rPr>
          <w:rFonts w:ascii="Arial" w:hAnsi="Arial"/>
          <w:noProof/>
          <w:sz w:val="20"/>
        </w:rPr>
        <w:t>continuing to follow very closely national authorities’ enforcement of EU rules in the automobile sector;</w:t>
      </w:r>
    </w:p>
    <w:p w:rsidR="00E201F7" w:rsidRDefault="00E24EFF">
      <w:pPr>
        <w:pStyle w:val="ListParagraph"/>
        <w:numPr>
          <w:ilvl w:val="0"/>
          <w:numId w:val="75"/>
        </w:numPr>
        <w:autoSpaceDE w:val="0"/>
        <w:autoSpaceDN w:val="0"/>
        <w:adjustRightInd w:val="0"/>
        <w:spacing w:before="120" w:after="120"/>
        <w:ind w:left="1276" w:hanging="425"/>
        <w:rPr>
          <w:rFonts w:ascii="Arial" w:hAnsi="Arial"/>
          <w:noProof/>
          <w:sz w:val="20"/>
        </w:rPr>
      </w:pPr>
      <w:r>
        <w:rPr>
          <w:rFonts w:ascii="Arial" w:hAnsi="Arial"/>
          <w:noProof/>
          <w:sz w:val="20"/>
        </w:rPr>
        <w:t xml:space="preserve">to tackle restrictions in the retail sector under the Single Market strategy, the Commission </w:t>
      </w:r>
      <w:r>
        <w:rPr>
          <w:rFonts w:ascii="Arial" w:hAnsi="Arial"/>
          <w:noProof/>
          <w:sz w:val="20"/>
        </w:rPr>
        <w:t>will adopt a Communication addressing the need ‘to set out best practices for facilitating retail establishment and reducing operational restrictions in the Single Market (…).’</w:t>
      </w:r>
    </w:p>
    <w:p w:rsidR="00E201F7" w:rsidRDefault="00E201F7">
      <w:pPr>
        <w:rPr>
          <w:noProof/>
        </w:rPr>
        <w:sectPr w:rsidR="00E201F7">
          <w:headerReference w:type="even" r:id="rId118"/>
          <w:headerReference w:type="default" r:id="rId119"/>
          <w:footerReference w:type="even" r:id="rId120"/>
          <w:footerReference w:type="default" r:id="rId121"/>
          <w:headerReference w:type="first" r:id="rId122"/>
          <w:footerReference w:type="first" r:id="rId123"/>
          <w:footnotePr>
            <w:numRestart w:val="eachSect"/>
          </w:footnotePr>
          <w:pgSz w:w="11907" w:h="16839" w:code="9"/>
          <w:pgMar w:top="1843" w:right="1275" w:bottom="737" w:left="1418" w:header="567" w:footer="352" w:gutter="0"/>
          <w:cols w:space="720"/>
          <w:titlePg/>
          <w:docGrid w:linePitch="326"/>
        </w:sectPr>
      </w:pPr>
    </w:p>
    <w:p w:rsidR="00E201F7" w:rsidRDefault="00E24EFF">
      <w:pPr>
        <w:pStyle w:val="Heading1"/>
        <w:spacing w:after="0"/>
        <w:ind w:left="0"/>
        <w:rPr>
          <w:rFonts w:ascii="Arial" w:hAnsi="Arial"/>
          <w:noProof/>
        </w:rPr>
      </w:pPr>
      <w:bookmarkStart w:id="97" w:name="_Toc443057942"/>
      <w:bookmarkStart w:id="98" w:name="_Toc475524738"/>
      <w:bookmarkStart w:id="99" w:name="_Toc475529505"/>
      <w:bookmarkStart w:id="100" w:name="_Toc475529544"/>
      <w:bookmarkStart w:id="101" w:name="_Toc475529872"/>
      <w:bookmarkStart w:id="102" w:name="_Toc475550837"/>
      <w:bookmarkStart w:id="103" w:name="_Toc475551377"/>
      <w:bookmarkStart w:id="104" w:name="_Toc507510320"/>
      <w:bookmarkStart w:id="105" w:name="_Toc507517734"/>
      <w:bookmarkStart w:id="106" w:name="_Toc507520115"/>
      <w:bookmarkStart w:id="107" w:name="_Toc510016532"/>
      <w:r>
        <w:rPr>
          <w:rFonts w:ascii="Arial" w:hAnsi="Arial"/>
          <w:noProof/>
        </w:rPr>
        <w:t>Justice and consumers</w:t>
      </w:r>
      <w:bookmarkEnd w:id="97"/>
      <w:bookmarkEnd w:id="98"/>
      <w:bookmarkEnd w:id="99"/>
      <w:bookmarkEnd w:id="100"/>
      <w:bookmarkEnd w:id="101"/>
      <w:bookmarkEnd w:id="102"/>
      <w:bookmarkEnd w:id="103"/>
      <w:bookmarkEnd w:id="104"/>
      <w:bookmarkEnd w:id="105"/>
      <w:bookmarkEnd w:id="106"/>
      <w:bookmarkEnd w:id="107"/>
    </w:p>
    <w:p w:rsidR="00E201F7" w:rsidRDefault="00E24EFF">
      <w:pPr>
        <w:pStyle w:val="kop2"/>
        <w:numPr>
          <w:ilvl w:val="0"/>
          <w:numId w:val="88"/>
        </w:numPr>
        <w:rPr>
          <w:noProof/>
        </w:rPr>
      </w:pPr>
      <w:r>
        <w:rPr>
          <w:noProof/>
        </w:rPr>
        <w:t>COMPLAINTS</w:t>
      </w:r>
    </w:p>
    <w:p w:rsidR="00E201F7" w:rsidRDefault="00E24EFF">
      <w:pPr>
        <w:numPr>
          <w:ilvl w:val="0"/>
          <w:numId w:val="129"/>
        </w:numPr>
        <w:spacing w:before="240"/>
        <w:ind w:left="714" w:hanging="357"/>
        <w:jc w:val="left"/>
        <w:outlineLvl w:val="1"/>
        <w:rPr>
          <w:rFonts w:ascii="Arial" w:hAnsi="Arial"/>
          <w:noProof/>
          <w:color w:val="002060"/>
          <w:sz w:val="22"/>
        </w:rPr>
      </w:pPr>
      <w:r>
        <w:rPr>
          <w:rFonts w:ascii="Arial" w:hAnsi="Arial"/>
          <w:noProof/>
          <w:color w:val="002060"/>
          <w:sz w:val="22"/>
        </w:rPr>
        <w:t xml:space="preserve">New </w:t>
      </w:r>
      <w:r>
        <w:rPr>
          <w:rFonts w:ascii="Arial" w:hAnsi="Arial"/>
          <w:noProof/>
          <w:color w:val="002060"/>
          <w:sz w:val="22"/>
        </w:rPr>
        <w:t>complaints received from members of the public (2013-2017)</w:t>
      </w:r>
    </w:p>
    <w:p w:rsidR="00E201F7" w:rsidRDefault="00E24EFF">
      <w:pPr>
        <w:ind w:left="720"/>
        <w:rPr>
          <w:rFonts w:ascii="Verdana" w:hAnsi="Verdana"/>
          <w:noProof/>
          <w:sz w:val="20"/>
        </w:rPr>
      </w:pPr>
      <w:r>
        <w:rPr>
          <w:rFonts w:ascii="Verdana" w:hAnsi="Verdana"/>
          <w:noProof/>
          <w:sz w:val="20"/>
        </w:rPr>
        <w:drawing>
          <wp:inline distT="0" distB="0" distL="0" distR="0" wp14:anchorId="2A5A7693" wp14:editId="6B83A23E">
            <wp:extent cx="4612640" cy="2286000"/>
            <wp:effectExtent l="0" t="0" r="16510" b="19050"/>
            <wp:docPr id="294"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E201F7" w:rsidRDefault="00E24EFF">
      <w:pPr>
        <w:numPr>
          <w:ilvl w:val="0"/>
          <w:numId w:val="129"/>
        </w:numPr>
        <w:spacing w:before="240"/>
        <w:ind w:left="714" w:hanging="357"/>
        <w:jc w:val="left"/>
        <w:outlineLvl w:val="1"/>
        <w:rPr>
          <w:rFonts w:ascii="Arial" w:hAnsi="Arial"/>
          <w:noProof/>
          <w:color w:val="002060"/>
          <w:sz w:val="22"/>
        </w:rPr>
      </w:pPr>
      <w:r>
        <w:rPr>
          <w:rFonts w:ascii="Arial" w:hAnsi="Arial"/>
          <w:noProof/>
          <w:color w:val="002060"/>
          <w:sz w:val="22"/>
        </w:rPr>
        <w:t>Public complaints open at year-end</w:t>
      </w:r>
    </w:p>
    <w:tbl>
      <w:tblPr>
        <w:tblW w:w="0" w:type="auto"/>
        <w:jc w:val="center"/>
        <w:tblLook w:val="04A0" w:firstRow="1" w:lastRow="0" w:firstColumn="1" w:lastColumn="0" w:noHBand="0" w:noVBand="1"/>
      </w:tblPr>
      <w:tblGrid>
        <w:gridCol w:w="1697"/>
        <w:gridCol w:w="381"/>
        <w:gridCol w:w="5310"/>
      </w:tblGrid>
      <w:tr w:rsidR="00E201F7">
        <w:trPr>
          <w:trHeight w:val="403"/>
          <w:jc w:val="center"/>
        </w:trPr>
        <w:tc>
          <w:tcPr>
            <w:tcW w:w="1697" w:type="dxa"/>
            <w:shd w:val="clear" w:color="auto" w:fill="auto"/>
            <w:vAlign w:val="center"/>
          </w:tcPr>
          <w:p w:rsidR="00E201F7" w:rsidRDefault="00E24EFF">
            <w:pPr>
              <w:spacing w:after="0"/>
              <w:jc w:val="right"/>
              <w:rPr>
                <w:rFonts w:ascii="Arial" w:hAnsi="Arial"/>
                <w:noProof/>
                <w:color w:val="548DD4"/>
                <w:sz w:val="22"/>
              </w:rPr>
            </w:pPr>
            <w:r>
              <w:rPr>
                <w:rFonts w:ascii="Arial" w:hAnsi="Arial"/>
                <w:noProof/>
                <w:color w:val="548DD4"/>
                <w:sz w:val="22"/>
              </w:rPr>
              <w:t>722</w:t>
            </w:r>
          </w:p>
        </w:tc>
        <w:tc>
          <w:tcPr>
            <w:tcW w:w="381" w:type="dxa"/>
            <w:shd w:val="clear" w:color="auto" w:fill="auto"/>
            <w:vAlign w:val="center"/>
          </w:tcPr>
          <w:p w:rsidR="00E201F7" w:rsidRDefault="00E24EFF">
            <w:pPr>
              <w:spacing w:after="0"/>
              <w:jc w:val="right"/>
              <w:rPr>
                <w:rFonts w:ascii="Arial" w:hAnsi="Arial"/>
                <w:noProof/>
                <w:color w:val="548DD4"/>
                <w:sz w:val="22"/>
              </w:rPr>
            </w:pPr>
            <w:r>
              <w:rPr>
                <w:rFonts w:ascii="Arial" w:hAnsi="Arial"/>
                <w:noProof/>
                <w:color w:val="548DD4"/>
                <w:sz w:val="22"/>
              </w:rPr>
              <w:t>&gt;</w:t>
            </w:r>
          </w:p>
        </w:tc>
        <w:tc>
          <w:tcPr>
            <w:tcW w:w="5310" w:type="dxa"/>
            <w:shd w:val="clear" w:color="auto" w:fill="auto"/>
            <w:vAlign w:val="center"/>
          </w:tcPr>
          <w:p w:rsidR="00E201F7" w:rsidRDefault="00E24EFF">
            <w:pPr>
              <w:spacing w:after="0"/>
              <w:jc w:val="left"/>
              <w:rPr>
                <w:rFonts w:ascii="Arial" w:hAnsi="Arial"/>
                <w:noProof/>
                <w:color w:val="548DD4"/>
                <w:sz w:val="22"/>
              </w:rPr>
            </w:pPr>
            <w:r>
              <w:rPr>
                <w:rFonts w:ascii="Arial" w:hAnsi="Arial"/>
                <w:noProof/>
                <w:color w:val="548DD4"/>
                <w:sz w:val="22"/>
              </w:rPr>
              <w:t>Complaints open at end-2016</w:t>
            </w:r>
          </w:p>
        </w:tc>
      </w:tr>
      <w:tr w:rsidR="00E201F7">
        <w:trPr>
          <w:trHeight w:val="403"/>
          <w:jc w:val="center"/>
        </w:trPr>
        <w:tc>
          <w:tcPr>
            <w:tcW w:w="1697" w:type="dxa"/>
            <w:shd w:val="clear" w:color="auto" w:fill="auto"/>
            <w:vAlign w:val="center"/>
          </w:tcPr>
          <w:p w:rsidR="00E201F7" w:rsidRDefault="00E24EFF">
            <w:pPr>
              <w:spacing w:after="0"/>
              <w:jc w:val="right"/>
              <w:rPr>
                <w:rFonts w:ascii="Arial" w:hAnsi="Arial"/>
                <w:noProof/>
                <w:color w:val="548DD4"/>
                <w:sz w:val="22"/>
              </w:rPr>
            </w:pPr>
            <w:r>
              <w:rPr>
                <w:rFonts w:ascii="Arial" w:hAnsi="Arial"/>
                <w:noProof/>
                <w:color w:val="548DD4"/>
                <w:sz w:val="22"/>
              </w:rPr>
              <w:t>864</w:t>
            </w:r>
          </w:p>
        </w:tc>
        <w:tc>
          <w:tcPr>
            <w:tcW w:w="381" w:type="dxa"/>
            <w:shd w:val="clear" w:color="auto" w:fill="auto"/>
            <w:vAlign w:val="center"/>
          </w:tcPr>
          <w:p w:rsidR="00E201F7" w:rsidRDefault="00E24EFF">
            <w:pPr>
              <w:spacing w:after="0"/>
              <w:jc w:val="right"/>
              <w:rPr>
                <w:rFonts w:ascii="Arial" w:hAnsi="Arial"/>
                <w:noProof/>
                <w:color w:val="548DD4"/>
                <w:sz w:val="22"/>
              </w:rPr>
            </w:pPr>
            <w:r>
              <w:rPr>
                <w:rFonts w:ascii="Arial" w:hAnsi="Arial"/>
                <w:noProof/>
                <w:color w:val="548DD4"/>
                <w:sz w:val="22"/>
              </w:rPr>
              <w:t>&gt;</w:t>
            </w:r>
          </w:p>
        </w:tc>
        <w:tc>
          <w:tcPr>
            <w:tcW w:w="5310" w:type="dxa"/>
            <w:shd w:val="clear" w:color="auto" w:fill="auto"/>
            <w:vAlign w:val="center"/>
          </w:tcPr>
          <w:p w:rsidR="00E201F7" w:rsidRDefault="00E24EFF">
            <w:pPr>
              <w:spacing w:after="0"/>
              <w:jc w:val="left"/>
              <w:rPr>
                <w:rFonts w:ascii="Arial" w:hAnsi="Arial"/>
                <w:noProof/>
                <w:color w:val="548DD4"/>
                <w:sz w:val="22"/>
              </w:rPr>
            </w:pPr>
            <w:r>
              <w:rPr>
                <w:rFonts w:ascii="Arial" w:hAnsi="Arial"/>
                <w:noProof/>
                <w:color w:val="548DD4"/>
                <w:sz w:val="22"/>
              </w:rPr>
              <w:t>New complaints registered in 2017</w:t>
            </w:r>
          </w:p>
        </w:tc>
      </w:tr>
      <w:tr w:rsidR="00E201F7">
        <w:trPr>
          <w:trHeight w:val="403"/>
          <w:jc w:val="center"/>
        </w:trPr>
        <w:tc>
          <w:tcPr>
            <w:tcW w:w="1697" w:type="dxa"/>
            <w:tcBorders>
              <w:bottom w:val="single" w:sz="24" w:space="0" w:color="548DD4"/>
            </w:tcBorders>
            <w:shd w:val="clear" w:color="auto" w:fill="auto"/>
            <w:vAlign w:val="center"/>
          </w:tcPr>
          <w:p w:rsidR="00E201F7" w:rsidRDefault="00E24EFF">
            <w:pPr>
              <w:spacing w:after="0"/>
              <w:jc w:val="right"/>
              <w:rPr>
                <w:rFonts w:ascii="Arial" w:hAnsi="Arial"/>
                <w:noProof/>
                <w:color w:val="548DD4"/>
                <w:sz w:val="22"/>
              </w:rPr>
            </w:pPr>
            <w:r>
              <w:rPr>
                <w:rFonts w:ascii="Arial" w:hAnsi="Arial"/>
                <w:noProof/>
                <w:color w:val="548DD4"/>
                <w:sz w:val="22"/>
              </w:rPr>
              <w:t>829</w:t>
            </w:r>
          </w:p>
        </w:tc>
        <w:tc>
          <w:tcPr>
            <w:tcW w:w="381" w:type="dxa"/>
            <w:shd w:val="clear" w:color="auto" w:fill="auto"/>
            <w:vAlign w:val="center"/>
          </w:tcPr>
          <w:p w:rsidR="00E201F7" w:rsidRDefault="00E24EFF">
            <w:pPr>
              <w:spacing w:after="0"/>
              <w:jc w:val="right"/>
              <w:rPr>
                <w:rFonts w:ascii="Arial" w:hAnsi="Arial"/>
                <w:noProof/>
                <w:color w:val="548DD4"/>
                <w:sz w:val="22"/>
              </w:rPr>
            </w:pPr>
            <w:r>
              <w:rPr>
                <w:rFonts w:ascii="Arial" w:hAnsi="Arial"/>
                <w:noProof/>
                <w:color w:val="548DD4"/>
                <w:sz w:val="22"/>
              </w:rPr>
              <w:t>&gt;</w:t>
            </w:r>
          </w:p>
        </w:tc>
        <w:tc>
          <w:tcPr>
            <w:tcW w:w="5310" w:type="dxa"/>
            <w:shd w:val="clear" w:color="auto" w:fill="auto"/>
            <w:vAlign w:val="center"/>
          </w:tcPr>
          <w:p w:rsidR="00E201F7" w:rsidRDefault="00E24EFF">
            <w:pPr>
              <w:spacing w:after="0"/>
              <w:jc w:val="left"/>
              <w:rPr>
                <w:rFonts w:ascii="Arial" w:hAnsi="Arial"/>
                <w:noProof/>
                <w:color w:val="548DD4"/>
                <w:sz w:val="22"/>
              </w:rPr>
            </w:pPr>
            <w:r>
              <w:rPr>
                <w:rFonts w:ascii="Arial" w:hAnsi="Arial"/>
                <w:noProof/>
                <w:color w:val="548DD4"/>
                <w:sz w:val="22"/>
              </w:rPr>
              <w:t>Complaints handled in 2017</w:t>
            </w:r>
          </w:p>
        </w:tc>
      </w:tr>
      <w:tr w:rsidR="00E201F7">
        <w:trPr>
          <w:trHeight w:val="403"/>
          <w:jc w:val="center"/>
        </w:trPr>
        <w:tc>
          <w:tcPr>
            <w:tcW w:w="1697" w:type="dxa"/>
            <w:tcBorders>
              <w:top w:val="single" w:sz="24" w:space="0" w:color="548DD4"/>
            </w:tcBorders>
            <w:shd w:val="clear" w:color="auto" w:fill="auto"/>
            <w:vAlign w:val="center"/>
          </w:tcPr>
          <w:p w:rsidR="00E201F7" w:rsidRDefault="00E24EFF">
            <w:pPr>
              <w:spacing w:after="0"/>
              <w:jc w:val="right"/>
              <w:rPr>
                <w:rFonts w:ascii="Arial" w:hAnsi="Arial"/>
                <w:noProof/>
                <w:color w:val="C00000"/>
                <w:sz w:val="22"/>
              </w:rPr>
            </w:pPr>
            <w:r>
              <w:rPr>
                <w:rFonts w:ascii="Arial" w:hAnsi="Arial"/>
                <w:noProof/>
                <w:color w:val="C00000"/>
                <w:sz w:val="22"/>
              </w:rPr>
              <w:t>= 757</w:t>
            </w:r>
          </w:p>
        </w:tc>
        <w:tc>
          <w:tcPr>
            <w:tcW w:w="381" w:type="dxa"/>
            <w:shd w:val="clear" w:color="auto" w:fill="auto"/>
            <w:vAlign w:val="center"/>
          </w:tcPr>
          <w:p w:rsidR="00E201F7" w:rsidRDefault="00E24EFF">
            <w:pPr>
              <w:spacing w:after="0"/>
              <w:jc w:val="right"/>
              <w:rPr>
                <w:rFonts w:ascii="Arial" w:hAnsi="Arial"/>
                <w:noProof/>
                <w:color w:val="548DD4"/>
                <w:sz w:val="22"/>
              </w:rPr>
            </w:pPr>
            <w:r>
              <w:rPr>
                <w:rFonts w:ascii="Arial" w:hAnsi="Arial"/>
                <w:noProof/>
                <w:color w:val="548DD4"/>
                <w:sz w:val="22"/>
              </w:rPr>
              <w:t>&gt;</w:t>
            </w:r>
          </w:p>
        </w:tc>
        <w:tc>
          <w:tcPr>
            <w:tcW w:w="5310" w:type="dxa"/>
            <w:shd w:val="clear" w:color="auto" w:fill="auto"/>
            <w:vAlign w:val="center"/>
          </w:tcPr>
          <w:p w:rsidR="00E201F7" w:rsidRDefault="00E24EFF">
            <w:pPr>
              <w:spacing w:after="0"/>
              <w:jc w:val="left"/>
              <w:rPr>
                <w:rFonts w:ascii="Arial" w:hAnsi="Arial"/>
                <w:noProof/>
                <w:color w:val="548DD4"/>
                <w:sz w:val="22"/>
              </w:rPr>
            </w:pPr>
            <w:r>
              <w:rPr>
                <w:rFonts w:ascii="Arial" w:hAnsi="Arial"/>
                <w:noProof/>
                <w:color w:val="548DD4"/>
                <w:sz w:val="22"/>
              </w:rPr>
              <w:t>Complaints open at end-2017</w:t>
            </w:r>
          </w:p>
        </w:tc>
      </w:tr>
    </w:tbl>
    <w:p w:rsidR="00E201F7" w:rsidRDefault="00E24EFF">
      <w:pPr>
        <w:numPr>
          <w:ilvl w:val="0"/>
          <w:numId w:val="129"/>
        </w:numPr>
        <w:spacing w:before="240"/>
        <w:ind w:left="714" w:hanging="357"/>
        <w:jc w:val="left"/>
        <w:outlineLvl w:val="1"/>
        <w:rPr>
          <w:rFonts w:ascii="Arial" w:hAnsi="Arial"/>
          <w:noProof/>
          <w:color w:val="002060"/>
          <w:sz w:val="22"/>
        </w:rPr>
      </w:pPr>
      <w:r>
        <w:rPr>
          <w:rFonts w:ascii="Arial" w:hAnsi="Arial"/>
          <w:noProof/>
          <w:color w:val="002060"/>
          <w:sz w:val="22"/>
        </w:rPr>
        <w:t xml:space="preserve">New </w:t>
      </w:r>
      <w:r>
        <w:rPr>
          <w:rFonts w:ascii="Arial" w:hAnsi="Arial"/>
          <w:noProof/>
          <w:color w:val="002060"/>
          <w:sz w:val="22"/>
        </w:rPr>
        <w:t>complaints registered in 2017: main policy sectors</w:t>
      </w:r>
    </w:p>
    <w:p w:rsidR="00E201F7" w:rsidRDefault="00E24EFF">
      <w:pPr>
        <w:ind w:left="720"/>
        <w:rPr>
          <w:rFonts w:ascii="Verdana" w:hAnsi="Verdana"/>
          <w:noProof/>
          <w:sz w:val="20"/>
        </w:rPr>
      </w:pPr>
      <w:r>
        <w:rPr>
          <w:rFonts w:ascii="Verdana" w:hAnsi="Verdana"/>
          <w:noProof/>
          <w:sz w:val="20"/>
        </w:rPr>
        <w:drawing>
          <wp:inline distT="0" distB="0" distL="0" distR="0" wp14:anchorId="33F4113F" wp14:editId="354666F1">
            <wp:extent cx="4592320" cy="2489200"/>
            <wp:effectExtent l="0" t="0" r="17780" b="25400"/>
            <wp:docPr id="293"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E201F7" w:rsidRDefault="00E24EFF">
      <w:pPr>
        <w:spacing w:after="0"/>
        <w:jc w:val="left"/>
        <w:rPr>
          <w:caps/>
          <w:noProof/>
          <w:color w:val="4F81BD"/>
          <w:szCs w:val="24"/>
        </w:rPr>
      </w:pPr>
      <w:r>
        <w:rPr>
          <w:caps/>
          <w:noProof/>
          <w:color w:val="4F81BD"/>
          <w:szCs w:val="24"/>
        </w:rPr>
        <w:br w:type="page"/>
      </w:r>
    </w:p>
    <w:p w:rsidR="00E201F7" w:rsidRDefault="00E24EFF">
      <w:pPr>
        <w:pStyle w:val="kop2"/>
        <w:rPr>
          <w:noProof/>
        </w:rPr>
      </w:pPr>
      <w:r>
        <w:rPr>
          <w:noProof/>
        </w:rPr>
        <w:t>EU PILOT</w:t>
      </w:r>
    </w:p>
    <w:p w:rsidR="00E201F7" w:rsidRDefault="00E24EFF">
      <w:pPr>
        <w:numPr>
          <w:ilvl w:val="0"/>
          <w:numId w:val="130"/>
        </w:numPr>
        <w:spacing w:before="240"/>
        <w:ind w:left="714" w:hanging="357"/>
        <w:jc w:val="left"/>
        <w:outlineLvl w:val="1"/>
        <w:rPr>
          <w:rFonts w:ascii="Arial" w:hAnsi="Arial"/>
          <w:noProof/>
          <w:color w:val="002060"/>
          <w:sz w:val="22"/>
        </w:rPr>
      </w:pPr>
      <w:r>
        <w:rPr>
          <w:rFonts w:ascii="Arial" w:hAnsi="Arial"/>
          <w:noProof/>
          <w:color w:val="002060"/>
          <w:sz w:val="22"/>
        </w:rPr>
        <w:t>New EU Pilot files (2013-2017)</w:t>
      </w:r>
    </w:p>
    <w:p w:rsidR="00E201F7" w:rsidRDefault="00E24EFF">
      <w:pPr>
        <w:ind w:left="720"/>
        <w:rPr>
          <w:rFonts w:ascii="Verdana" w:hAnsi="Verdana"/>
          <w:noProof/>
          <w:sz w:val="20"/>
        </w:rPr>
      </w:pPr>
      <w:r>
        <w:rPr>
          <w:rFonts w:ascii="Verdana" w:hAnsi="Verdana"/>
          <w:noProof/>
          <w:sz w:val="20"/>
        </w:rPr>
        <w:drawing>
          <wp:inline distT="0" distB="0" distL="0" distR="0" wp14:anchorId="68E80935" wp14:editId="28B63868">
            <wp:extent cx="4592320" cy="1991360"/>
            <wp:effectExtent l="0" t="0" r="0" b="0"/>
            <wp:docPr id="58"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E201F7" w:rsidRDefault="00E24EFF">
      <w:pPr>
        <w:numPr>
          <w:ilvl w:val="0"/>
          <w:numId w:val="130"/>
        </w:numPr>
        <w:spacing w:before="240"/>
        <w:ind w:left="714" w:hanging="357"/>
        <w:jc w:val="left"/>
        <w:outlineLvl w:val="1"/>
        <w:rPr>
          <w:rFonts w:ascii="Arial" w:hAnsi="Arial"/>
          <w:noProof/>
          <w:color w:val="002060"/>
          <w:sz w:val="22"/>
        </w:rPr>
      </w:pPr>
      <w:r>
        <w:rPr>
          <w:rFonts w:ascii="Arial" w:hAnsi="Arial"/>
          <w:noProof/>
          <w:color w:val="002060"/>
          <w:sz w:val="22"/>
        </w:rPr>
        <w:t>EU Pilot files open at year-end</w:t>
      </w:r>
    </w:p>
    <w:p w:rsidR="00E201F7" w:rsidRDefault="00E24EFF">
      <w:pPr>
        <w:autoSpaceDE w:val="0"/>
        <w:autoSpaceDN w:val="0"/>
        <w:adjustRightInd w:val="0"/>
        <w:spacing w:before="120"/>
        <w:ind w:left="357" w:firstLine="357"/>
        <w:jc w:val="left"/>
        <w:rPr>
          <w:rFonts w:ascii="Arial" w:hAnsi="Arial"/>
          <w:noProof/>
          <w:sz w:val="20"/>
        </w:rPr>
      </w:pPr>
      <w:r>
        <w:rPr>
          <w:rFonts w:ascii="Arial" w:hAnsi="Arial"/>
          <w:noProof/>
          <w:sz w:val="20"/>
        </w:rPr>
        <w:t>At the end of 2017, 127 EU Pilot files remained open.</w:t>
      </w:r>
    </w:p>
    <w:p w:rsidR="00E201F7" w:rsidRDefault="00E24EFF">
      <w:pPr>
        <w:numPr>
          <w:ilvl w:val="0"/>
          <w:numId w:val="130"/>
        </w:numPr>
        <w:spacing w:before="240"/>
        <w:ind w:left="714" w:hanging="357"/>
        <w:jc w:val="left"/>
        <w:outlineLvl w:val="1"/>
        <w:rPr>
          <w:rFonts w:ascii="Arial" w:hAnsi="Arial"/>
          <w:noProof/>
          <w:color w:val="002060"/>
          <w:sz w:val="22"/>
        </w:rPr>
      </w:pPr>
      <w:r>
        <w:rPr>
          <w:rFonts w:ascii="Arial" w:hAnsi="Arial"/>
          <w:noProof/>
          <w:color w:val="002060"/>
          <w:sz w:val="22"/>
        </w:rPr>
        <w:t>EU Pilot files: resolution rate for policies (2013-2017)</w:t>
      </w:r>
    </w:p>
    <w:p w:rsidR="00E201F7" w:rsidRDefault="00E24EFF">
      <w:pPr>
        <w:spacing w:before="240"/>
        <w:ind w:left="714"/>
        <w:jc w:val="left"/>
        <w:outlineLvl w:val="1"/>
        <w:rPr>
          <w:rFonts w:ascii="Arial" w:hAnsi="Arial"/>
          <w:noProof/>
          <w:color w:val="002060"/>
          <w:sz w:val="22"/>
        </w:rPr>
      </w:pPr>
      <w:r>
        <w:rPr>
          <w:rFonts w:ascii="Verdana" w:hAnsi="Verdana"/>
          <w:noProof/>
          <w:sz w:val="20"/>
        </w:rPr>
        <w:drawing>
          <wp:inline distT="0" distB="0" distL="0" distR="0" wp14:anchorId="719EB4D0" wp14:editId="708B70E4">
            <wp:extent cx="4572000" cy="2247900"/>
            <wp:effectExtent l="0" t="0" r="19050" b="19050"/>
            <wp:docPr id="418"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E201F7" w:rsidRDefault="00E24EFF">
      <w:pPr>
        <w:spacing w:after="0"/>
        <w:jc w:val="left"/>
        <w:rPr>
          <w:caps/>
          <w:noProof/>
          <w:color w:val="4F81BD"/>
          <w:szCs w:val="24"/>
        </w:rPr>
      </w:pPr>
      <w:r>
        <w:rPr>
          <w:caps/>
          <w:noProof/>
          <w:color w:val="4F81BD"/>
          <w:szCs w:val="24"/>
        </w:rPr>
        <w:br w:type="page"/>
      </w:r>
    </w:p>
    <w:p w:rsidR="00E201F7" w:rsidRDefault="00E24EFF">
      <w:pPr>
        <w:pStyle w:val="kop2"/>
        <w:rPr>
          <w:noProof/>
        </w:rPr>
      </w:pPr>
      <w:r>
        <w:rPr>
          <w:noProof/>
        </w:rPr>
        <w:t>OWN-INITIATIVE CASES</w:t>
      </w:r>
    </w:p>
    <w:p w:rsidR="00E201F7" w:rsidRDefault="00E24EFF">
      <w:pPr>
        <w:spacing w:after="60"/>
        <w:ind w:left="360"/>
        <w:jc w:val="left"/>
        <w:outlineLvl w:val="1"/>
        <w:rPr>
          <w:rFonts w:ascii="Arial" w:hAnsi="Arial"/>
          <w:noProof/>
          <w:color w:val="002060"/>
          <w:sz w:val="22"/>
        </w:rPr>
      </w:pPr>
      <w:r>
        <w:rPr>
          <w:rFonts w:ascii="Arial" w:hAnsi="Arial"/>
          <w:noProof/>
          <w:color w:val="002060"/>
          <w:sz w:val="22"/>
        </w:rPr>
        <w:t>New own-initiative infringement cases</w:t>
      </w:r>
    </w:p>
    <w:p w:rsidR="00E201F7" w:rsidRDefault="00E24EFF">
      <w:pPr>
        <w:autoSpaceDE w:val="0"/>
        <w:autoSpaceDN w:val="0"/>
        <w:adjustRightInd w:val="0"/>
        <w:spacing w:before="120"/>
        <w:ind w:left="720"/>
        <w:rPr>
          <w:rFonts w:ascii="Arial" w:hAnsi="Arial"/>
          <w:noProof/>
          <w:sz w:val="20"/>
        </w:rPr>
      </w:pPr>
      <w:r>
        <w:rPr>
          <w:rFonts w:ascii="Arial" w:hAnsi="Arial"/>
          <w:noProof/>
          <w:sz w:val="20"/>
        </w:rPr>
        <w:t>In 2017, the Commission opened own-initiative infringement cases over:</w:t>
      </w:r>
    </w:p>
    <w:p w:rsidR="00E201F7" w:rsidRDefault="00E24EFF">
      <w:pPr>
        <w:pStyle w:val="ListParagraph"/>
        <w:numPr>
          <w:ilvl w:val="0"/>
          <w:numId w:val="134"/>
        </w:numPr>
        <w:autoSpaceDE w:val="0"/>
        <w:autoSpaceDN w:val="0"/>
        <w:adjustRightInd w:val="0"/>
        <w:ind w:left="1200"/>
        <w:rPr>
          <w:rFonts w:ascii="Arial" w:hAnsi="Arial"/>
          <w:noProof/>
          <w:sz w:val="20"/>
        </w:rPr>
      </w:pPr>
      <w:r>
        <w:rPr>
          <w:rFonts w:ascii="Arial" w:hAnsi="Arial"/>
          <w:noProof/>
          <w:sz w:val="20"/>
        </w:rPr>
        <w:t>protection of consumers and marketing law;</w:t>
      </w:r>
    </w:p>
    <w:p w:rsidR="00E201F7" w:rsidRDefault="00E24EFF">
      <w:pPr>
        <w:pStyle w:val="ListParagraph"/>
        <w:numPr>
          <w:ilvl w:val="0"/>
          <w:numId w:val="134"/>
        </w:numPr>
        <w:autoSpaceDE w:val="0"/>
        <w:autoSpaceDN w:val="0"/>
        <w:adjustRightInd w:val="0"/>
        <w:ind w:left="1200"/>
        <w:rPr>
          <w:rFonts w:ascii="Arial" w:hAnsi="Arial"/>
          <w:noProof/>
          <w:sz w:val="20"/>
        </w:rPr>
      </w:pPr>
      <w:r>
        <w:rPr>
          <w:rFonts w:ascii="Arial" w:hAnsi="Arial"/>
          <w:noProof/>
          <w:sz w:val="20"/>
        </w:rPr>
        <w:t>lack of transposition of the Fourth Anti-Money Laundering Directive</w:t>
      </w:r>
      <w:r>
        <w:rPr>
          <w:rStyle w:val="FootnoteReference"/>
          <w:rFonts w:ascii="Arial" w:hAnsi="Arial"/>
          <w:noProof/>
          <w:sz w:val="20"/>
        </w:rPr>
        <w:footnoteReference w:id="241"/>
      </w:r>
      <w:r>
        <w:rPr>
          <w:rFonts w:ascii="Arial" w:hAnsi="Arial"/>
          <w:noProof/>
          <w:sz w:val="20"/>
        </w:rPr>
        <w:t>;</w:t>
      </w:r>
    </w:p>
    <w:p w:rsidR="00E201F7" w:rsidRDefault="00E24EFF">
      <w:pPr>
        <w:pStyle w:val="ListParagraph"/>
        <w:numPr>
          <w:ilvl w:val="0"/>
          <w:numId w:val="134"/>
        </w:numPr>
        <w:autoSpaceDE w:val="0"/>
        <w:autoSpaceDN w:val="0"/>
        <w:adjustRightInd w:val="0"/>
        <w:ind w:left="1200"/>
        <w:rPr>
          <w:rFonts w:ascii="Arial" w:hAnsi="Arial"/>
          <w:noProof/>
          <w:sz w:val="20"/>
        </w:rPr>
      </w:pPr>
      <w:r>
        <w:rPr>
          <w:rFonts w:ascii="Arial" w:hAnsi="Arial"/>
          <w:noProof/>
          <w:sz w:val="20"/>
        </w:rPr>
        <w:t>respect of fu</w:t>
      </w:r>
      <w:r>
        <w:rPr>
          <w:rFonts w:ascii="Arial" w:hAnsi="Arial"/>
          <w:noProof/>
          <w:sz w:val="20"/>
        </w:rPr>
        <w:t>ndamental rights.</w:t>
      </w:r>
    </w:p>
    <w:p w:rsidR="00E201F7" w:rsidRDefault="00E24EFF">
      <w:pPr>
        <w:pStyle w:val="kop2"/>
        <w:rPr>
          <w:noProof/>
        </w:rPr>
      </w:pPr>
      <w:r>
        <w:rPr>
          <w:noProof/>
        </w:rPr>
        <w:t>INFRINGEMENT CASES</w:t>
      </w:r>
    </w:p>
    <w:p w:rsidR="00E201F7" w:rsidRDefault="00E24EFF">
      <w:pPr>
        <w:numPr>
          <w:ilvl w:val="0"/>
          <w:numId w:val="131"/>
        </w:numPr>
        <w:spacing w:before="240"/>
        <w:ind w:left="714" w:hanging="357"/>
        <w:jc w:val="left"/>
        <w:outlineLvl w:val="1"/>
        <w:rPr>
          <w:rFonts w:ascii="Arial" w:hAnsi="Arial"/>
          <w:noProof/>
          <w:color w:val="002060"/>
          <w:sz w:val="22"/>
        </w:rPr>
      </w:pPr>
      <w:r>
        <w:rPr>
          <w:rFonts w:ascii="Arial" w:hAnsi="Arial"/>
          <w:noProof/>
          <w:color w:val="002060"/>
          <w:sz w:val="22"/>
        </w:rPr>
        <w:t>Infringement cases open on 31</w:t>
      </w:r>
      <w:r>
        <w:rPr>
          <w:rFonts w:ascii="Arial" w:hAnsi="Arial" w:cs="Arial"/>
          <w:noProof/>
          <w:color w:val="002060"/>
          <w:sz w:val="22"/>
        </w:rPr>
        <w:t xml:space="preserve"> </w:t>
      </w:r>
      <w:r>
        <w:rPr>
          <w:rFonts w:ascii="Arial" w:hAnsi="Arial"/>
          <w:noProof/>
          <w:color w:val="002060"/>
          <w:sz w:val="22"/>
        </w:rPr>
        <w:t>December (2013-2017)</w:t>
      </w:r>
    </w:p>
    <w:p w:rsidR="00E201F7" w:rsidRDefault="00E24EFF">
      <w:pPr>
        <w:ind w:left="720"/>
        <w:rPr>
          <w:rFonts w:ascii="Verdana" w:hAnsi="Verdana"/>
          <w:noProof/>
          <w:sz w:val="20"/>
          <w:u w:val="single"/>
        </w:rPr>
      </w:pPr>
      <w:r>
        <w:rPr>
          <w:rFonts w:ascii="Verdana" w:hAnsi="Verdana"/>
          <w:noProof/>
          <w:sz w:val="20"/>
        </w:rPr>
        <w:drawing>
          <wp:inline distT="0" distB="0" distL="0" distR="0" wp14:anchorId="3076D93C" wp14:editId="5A7896C1">
            <wp:extent cx="4561840" cy="2123440"/>
            <wp:effectExtent l="0" t="0" r="0" b="0"/>
            <wp:docPr id="60" name="Grafie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E201F7" w:rsidRDefault="00E24EFF">
      <w:pPr>
        <w:numPr>
          <w:ilvl w:val="0"/>
          <w:numId w:val="131"/>
        </w:numPr>
        <w:spacing w:before="240"/>
        <w:ind w:left="714" w:hanging="357"/>
        <w:jc w:val="left"/>
        <w:outlineLvl w:val="1"/>
        <w:rPr>
          <w:rFonts w:ascii="Arial" w:hAnsi="Arial"/>
          <w:noProof/>
          <w:color w:val="002060"/>
          <w:sz w:val="22"/>
        </w:rPr>
      </w:pPr>
      <w:r>
        <w:rPr>
          <w:rFonts w:ascii="Arial" w:hAnsi="Arial"/>
          <w:noProof/>
          <w:color w:val="002060"/>
          <w:sz w:val="22"/>
        </w:rPr>
        <w:t>Infringement cases open on 31 December 2017: main policy sectors</w:t>
      </w:r>
    </w:p>
    <w:p w:rsidR="00E201F7" w:rsidRDefault="00E24EFF">
      <w:pPr>
        <w:ind w:left="720"/>
        <w:rPr>
          <w:rFonts w:ascii="Verdana" w:hAnsi="Verdana"/>
          <w:noProof/>
          <w:sz w:val="20"/>
        </w:rPr>
      </w:pPr>
      <w:r>
        <w:rPr>
          <w:rFonts w:ascii="Verdana" w:hAnsi="Verdana"/>
          <w:noProof/>
          <w:sz w:val="20"/>
        </w:rPr>
        <w:drawing>
          <wp:inline distT="0" distB="0" distL="0" distR="0" wp14:anchorId="5F3C60A6" wp14:editId="2A54A7C8">
            <wp:extent cx="4561840" cy="2550160"/>
            <wp:effectExtent l="0" t="0" r="10160" b="21590"/>
            <wp:docPr id="61"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E201F7" w:rsidRDefault="00E24EFF">
      <w:pPr>
        <w:spacing w:after="0"/>
        <w:jc w:val="left"/>
        <w:rPr>
          <w:noProof/>
          <w:color w:val="002060"/>
        </w:rPr>
      </w:pPr>
      <w:r>
        <w:rPr>
          <w:noProof/>
          <w:color w:val="002060"/>
        </w:rPr>
        <w:br w:type="page"/>
      </w:r>
    </w:p>
    <w:p w:rsidR="00E201F7" w:rsidRDefault="00E24EFF">
      <w:pPr>
        <w:numPr>
          <w:ilvl w:val="0"/>
          <w:numId w:val="131"/>
        </w:numPr>
        <w:spacing w:before="240"/>
        <w:ind w:left="714" w:hanging="357"/>
        <w:jc w:val="left"/>
        <w:outlineLvl w:val="1"/>
        <w:rPr>
          <w:rFonts w:ascii="Arial" w:hAnsi="Arial"/>
          <w:noProof/>
          <w:color w:val="002060"/>
          <w:sz w:val="22"/>
        </w:rPr>
      </w:pPr>
      <w:r>
        <w:rPr>
          <w:rFonts w:ascii="Arial" w:hAnsi="Arial"/>
          <w:noProof/>
          <w:color w:val="002060"/>
          <w:sz w:val="22"/>
        </w:rPr>
        <w:t>New infringement cases opened in 2017: main policy sectors</w:t>
      </w:r>
    </w:p>
    <w:p w:rsidR="00E201F7" w:rsidRDefault="00E24EFF">
      <w:pPr>
        <w:ind w:left="720"/>
        <w:rPr>
          <w:rFonts w:ascii="Verdana" w:hAnsi="Verdana"/>
          <w:noProof/>
          <w:sz w:val="20"/>
        </w:rPr>
      </w:pPr>
      <w:r>
        <w:rPr>
          <w:rFonts w:ascii="Verdana" w:hAnsi="Verdana"/>
          <w:noProof/>
          <w:sz w:val="20"/>
        </w:rPr>
        <w:drawing>
          <wp:inline distT="0" distB="0" distL="0" distR="0" wp14:anchorId="0CB57794" wp14:editId="28B92D07">
            <wp:extent cx="4533900" cy="2369820"/>
            <wp:effectExtent l="0" t="0" r="0" b="11430"/>
            <wp:docPr id="57"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E201F7" w:rsidRDefault="00E24EFF">
      <w:pPr>
        <w:numPr>
          <w:ilvl w:val="0"/>
          <w:numId w:val="131"/>
        </w:numPr>
        <w:spacing w:before="120" w:after="120"/>
        <w:jc w:val="left"/>
        <w:outlineLvl w:val="1"/>
        <w:rPr>
          <w:rFonts w:ascii="Arial" w:hAnsi="Arial"/>
          <w:noProof/>
          <w:color w:val="002060"/>
          <w:sz w:val="22"/>
        </w:rPr>
      </w:pPr>
      <w:r>
        <w:rPr>
          <w:rFonts w:ascii="Arial" w:hAnsi="Arial"/>
          <w:noProof/>
          <w:color w:val="002060"/>
          <w:sz w:val="22"/>
        </w:rPr>
        <w:t>Key infringement cases and referrals</w:t>
      </w:r>
      <w:r>
        <w:rPr>
          <w:rFonts w:ascii="Arial" w:hAnsi="Arial"/>
          <w:noProof/>
          <w:color w:val="002060"/>
          <w:sz w:val="22"/>
        </w:rPr>
        <w:t xml:space="preserve"> to the Court</w:t>
      </w:r>
    </w:p>
    <w:p w:rsidR="00E201F7" w:rsidRDefault="00E24EFF">
      <w:pPr>
        <w:pStyle w:val="Lijstje"/>
        <w:numPr>
          <w:ilvl w:val="0"/>
          <w:numId w:val="48"/>
        </w:numPr>
        <w:spacing w:after="120"/>
        <w:ind w:left="1200" w:hanging="360"/>
        <w:rPr>
          <w:rFonts w:ascii="Arial" w:hAnsi="Arial" w:cs="Arial"/>
          <w:noProof/>
          <w:lang w:val="en-GB"/>
        </w:rPr>
      </w:pPr>
      <w:r>
        <w:rPr>
          <w:rFonts w:ascii="Arial" w:hAnsi="Arial" w:cs="Arial"/>
          <w:noProof/>
          <w:lang w:val="en-GB"/>
        </w:rPr>
        <w:t>The Commission opened 48 new infringement cases in 2017. These, and other major ongoing infringement cases, include the following.</w:t>
      </w:r>
    </w:p>
    <w:p w:rsidR="00E201F7" w:rsidRDefault="00E24EFF">
      <w:pPr>
        <w:pStyle w:val="Lijstje2"/>
        <w:ind w:left="1843"/>
        <w:rPr>
          <w:rFonts w:ascii="Arial" w:hAnsi="Arial" w:cs="Arial"/>
          <w:noProof/>
          <w:lang w:val="en-GB"/>
        </w:rPr>
      </w:pPr>
      <w:r>
        <w:rPr>
          <w:rFonts w:ascii="Arial" w:hAnsi="Arial" w:cs="Arial"/>
          <w:i/>
          <w:noProof/>
          <w:lang w:val="en-GB"/>
        </w:rPr>
        <w:t>Hungary:</w:t>
      </w:r>
      <w:r>
        <w:rPr>
          <w:noProof/>
          <w:lang w:val="en-GB"/>
        </w:rPr>
        <w:t xml:space="preserve"> I</w:t>
      </w:r>
      <w:r>
        <w:rPr>
          <w:rFonts w:ascii="Arial" w:hAnsi="Arial" w:cs="Arial"/>
          <w:noProof/>
          <w:lang w:val="en-GB"/>
        </w:rPr>
        <w:t>ncompatibility of the Hungarian law on foreign-funded civil society organisations law with the free m</w:t>
      </w:r>
      <w:r>
        <w:rPr>
          <w:rFonts w:ascii="Arial" w:hAnsi="Arial" w:cs="Arial"/>
          <w:noProof/>
          <w:lang w:val="en-GB"/>
        </w:rPr>
        <w:t>ovement of capital, right to freedom of association and the rights to protection of private life and personal data enshrined in the EU Charter of Fundamental Rights</w:t>
      </w:r>
      <w:r>
        <w:rPr>
          <w:rStyle w:val="FootnoteReference"/>
          <w:rFonts w:ascii="Arial" w:hAnsi="Arial" w:cs="Arial"/>
          <w:noProof/>
          <w:lang w:val="en-GB"/>
        </w:rPr>
        <w:footnoteReference w:id="242"/>
      </w:r>
      <w:r>
        <w:rPr>
          <w:rFonts w:ascii="Arial" w:hAnsi="Arial" w:cs="Arial"/>
          <w:noProof/>
          <w:lang w:val="en-GB"/>
        </w:rPr>
        <w:t>.</w:t>
      </w:r>
    </w:p>
    <w:p w:rsidR="00E201F7" w:rsidRDefault="00E24EFF">
      <w:pPr>
        <w:pStyle w:val="Lijstje2"/>
        <w:ind w:left="1843"/>
        <w:rPr>
          <w:rFonts w:ascii="Arial" w:hAnsi="Arial" w:cs="Arial"/>
          <w:noProof/>
          <w:lang w:val="en-GB"/>
        </w:rPr>
      </w:pPr>
      <w:smartTag w:uri="urn:schemas-microsoft-com:office:smarttags" w:element="country-region">
        <w:smartTag w:uri="urn:schemas-microsoft-com:office:smarttags" w:element="place">
          <w:r>
            <w:rPr>
              <w:rFonts w:ascii="Arial" w:hAnsi="Arial" w:cs="Arial"/>
              <w:i/>
              <w:noProof/>
              <w:lang w:val="en-GB"/>
            </w:rPr>
            <w:t>Poland</w:t>
          </w:r>
        </w:smartTag>
      </w:smartTag>
      <w:r>
        <w:rPr>
          <w:rFonts w:ascii="Arial" w:hAnsi="Arial" w:cs="Arial"/>
          <w:i/>
          <w:noProof/>
          <w:lang w:val="en-GB"/>
        </w:rPr>
        <w:t xml:space="preserve">: </w:t>
      </w:r>
      <w:r>
        <w:rPr>
          <w:rFonts w:ascii="Arial" w:hAnsi="Arial" w:cs="Arial"/>
          <w:noProof/>
          <w:lang w:val="en-GB"/>
        </w:rPr>
        <w:t>Incompatibility of the Polish law on the Ordinary Courts Organisation with EU law</w:t>
      </w:r>
      <w:r>
        <w:rPr>
          <w:rFonts w:ascii="Arial" w:hAnsi="Arial" w:cs="Arial"/>
          <w:noProof/>
          <w:lang w:val="en-GB"/>
        </w:rPr>
        <w:t xml:space="preserve"> because of:</w:t>
      </w:r>
      <w:r>
        <w:rPr>
          <w:noProof/>
          <w:lang w:val="en-GB"/>
        </w:rPr>
        <w:t xml:space="preserve"> </w:t>
      </w:r>
    </w:p>
    <w:p w:rsidR="00E201F7" w:rsidRDefault="00E24EFF">
      <w:pPr>
        <w:pStyle w:val="Lijstje2"/>
        <w:numPr>
          <w:ilvl w:val="0"/>
          <w:numId w:val="153"/>
        </w:numPr>
        <w:rPr>
          <w:rFonts w:ascii="Arial" w:hAnsi="Arial" w:cs="Arial"/>
          <w:noProof/>
          <w:lang w:val="en-GB"/>
        </w:rPr>
      </w:pPr>
      <w:r>
        <w:rPr>
          <w:rFonts w:ascii="Arial" w:hAnsi="Arial" w:cs="Arial"/>
          <w:noProof/>
          <w:lang w:val="en-GB"/>
        </w:rPr>
        <w:t xml:space="preserve">discrimination on the basis of gender due to the introduction of a different retirement age for female judges (60 years) and male judges (65 years) contrary to Article 157 TFEU and the Directive on gender equality in employment; and </w:t>
      </w:r>
    </w:p>
    <w:p w:rsidR="00E201F7" w:rsidRDefault="00E24EFF">
      <w:pPr>
        <w:pStyle w:val="Lijstje2"/>
        <w:numPr>
          <w:ilvl w:val="0"/>
          <w:numId w:val="153"/>
        </w:numPr>
        <w:rPr>
          <w:rFonts w:ascii="Arial" w:hAnsi="Arial" w:cs="Arial"/>
          <w:noProof/>
          <w:lang w:val="en-GB"/>
        </w:rPr>
      </w:pPr>
      <w:r>
        <w:rPr>
          <w:rFonts w:ascii="Arial" w:hAnsi="Arial" w:cs="Arial"/>
          <w:noProof/>
          <w:lang w:val="en-GB"/>
        </w:rPr>
        <w:t>the disc</w:t>
      </w:r>
      <w:r>
        <w:rPr>
          <w:rFonts w:ascii="Arial" w:hAnsi="Arial" w:cs="Arial"/>
          <w:noProof/>
          <w:lang w:val="en-GB"/>
        </w:rPr>
        <w:t>retionary power of the Minister of Justice to prolong the mandate of judges who have reached the retirement age which undermines the independence of Polish courts, in breach of Article 19(1) TEU and Article 47 of the Charter of Fundamental Rights</w:t>
      </w:r>
      <w:r>
        <w:rPr>
          <w:rStyle w:val="FootnoteReference"/>
          <w:rFonts w:ascii="Arial" w:hAnsi="Arial" w:cs="Arial"/>
          <w:noProof/>
          <w:lang w:val="en-GB"/>
        </w:rPr>
        <w:footnoteReference w:id="243"/>
      </w:r>
      <w:r>
        <w:rPr>
          <w:rFonts w:ascii="Arial" w:hAnsi="Arial" w:cs="Arial"/>
          <w:noProof/>
          <w:lang w:val="en-GB"/>
        </w:rPr>
        <w:t>.</w:t>
      </w:r>
    </w:p>
    <w:p w:rsidR="00E201F7" w:rsidRDefault="00E24EFF">
      <w:pPr>
        <w:pStyle w:val="Lijstje"/>
        <w:numPr>
          <w:ilvl w:val="0"/>
          <w:numId w:val="48"/>
        </w:numPr>
        <w:spacing w:after="120"/>
        <w:ind w:left="1200" w:hanging="360"/>
        <w:rPr>
          <w:rFonts w:ascii="Arial" w:hAnsi="Arial" w:cs="Arial"/>
          <w:noProof/>
          <w:lang w:val="en-GB"/>
        </w:rPr>
      </w:pPr>
      <w:r>
        <w:rPr>
          <w:rFonts w:ascii="Arial" w:hAnsi="Arial" w:cs="Arial"/>
          <w:noProof/>
          <w:lang w:val="en-GB"/>
        </w:rPr>
        <w:t>The Com</w:t>
      </w:r>
      <w:r>
        <w:rPr>
          <w:rFonts w:ascii="Arial" w:hAnsi="Arial" w:cs="Arial"/>
          <w:noProof/>
          <w:lang w:val="en-GB"/>
        </w:rPr>
        <w:t>mission did not refer any cases to the Court under Article 258 TFEU.</w:t>
      </w:r>
    </w:p>
    <w:p w:rsidR="00E201F7" w:rsidRDefault="00E24EFF">
      <w:pPr>
        <w:pStyle w:val="Lijstje"/>
        <w:numPr>
          <w:ilvl w:val="0"/>
          <w:numId w:val="48"/>
        </w:numPr>
        <w:spacing w:after="120"/>
        <w:ind w:left="1200" w:hanging="360"/>
        <w:rPr>
          <w:rFonts w:cs="Arial"/>
          <w:noProof/>
          <w:lang w:val="en-GB"/>
        </w:rPr>
      </w:pPr>
      <w:r>
        <w:rPr>
          <w:rFonts w:ascii="Arial" w:hAnsi="Arial" w:cs="Arial"/>
          <w:noProof/>
          <w:lang w:val="en-GB"/>
        </w:rPr>
        <w:t xml:space="preserve"> The Commission did not refer any cases to the Court under Article 260(2) TFEU.</w:t>
      </w:r>
      <w:r>
        <w:rPr>
          <w:rFonts w:cs="Arial"/>
          <w:noProof/>
          <w:lang w:val="en-GB"/>
        </w:rPr>
        <w:br w:type="page"/>
      </w:r>
    </w:p>
    <w:p w:rsidR="00E201F7" w:rsidRDefault="00E24EFF">
      <w:pPr>
        <w:pStyle w:val="kop2"/>
        <w:rPr>
          <w:noProof/>
        </w:rPr>
      </w:pPr>
      <w:r>
        <w:rPr>
          <w:noProof/>
        </w:rPr>
        <w:t>TRANSPOSITION OF DIRECTIVES</w:t>
      </w:r>
    </w:p>
    <w:p w:rsidR="00E201F7" w:rsidRDefault="00E24EFF">
      <w:pPr>
        <w:numPr>
          <w:ilvl w:val="0"/>
          <w:numId w:val="132"/>
        </w:numPr>
        <w:spacing w:before="240"/>
        <w:ind w:left="714" w:hanging="357"/>
        <w:jc w:val="left"/>
        <w:outlineLvl w:val="1"/>
        <w:rPr>
          <w:rFonts w:ascii="Arial" w:hAnsi="Arial"/>
          <w:noProof/>
          <w:color w:val="002060"/>
          <w:sz w:val="22"/>
        </w:rPr>
      </w:pPr>
      <w:r>
        <w:rPr>
          <w:rFonts w:ascii="Arial" w:hAnsi="Arial"/>
          <w:noProof/>
          <w:color w:val="002060"/>
          <w:sz w:val="22"/>
        </w:rPr>
        <w:t>New late transposition infringement cases (2013-2017)</w:t>
      </w:r>
    </w:p>
    <w:p w:rsidR="00E201F7" w:rsidRDefault="00E24EFF">
      <w:pPr>
        <w:ind w:left="720"/>
        <w:rPr>
          <w:rFonts w:ascii="Verdana" w:hAnsi="Verdana"/>
          <w:noProof/>
          <w:sz w:val="20"/>
        </w:rPr>
      </w:pPr>
      <w:r>
        <w:rPr>
          <w:rFonts w:ascii="Verdana" w:hAnsi="Verdana"/>
          <w:noProof/>
          <w:sz w:val="20"/>
        </w:rPr>
        <w:drawing>
          <wp:inline distT="0" distB="0" distL="0" distR="0" wp14:anchorId="63012B39" wp14:editId="3EE42710">
            <wp:extent cx="4622800" cy="2095500"/>
            <wp:effectExtent l="0" t="0" r="6350" b="0"/>
            <wp:docPr id="56" name="Grafiek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E201F7" w:rsidRDefault="00E24EFF">
      <w:pPr>
        <w:numPr>
          <w:ilvl w:val="0"/>
          <w:numId w:val="132"/>
        </w:numPr>
        <w:spacing w:before="240"/>
        <w:ind w:left="714" w:hanging="357"/>
        <w:jc w:val="left"/>
        <w:outlineLvl w:val="1"/>
        <w:rPr>
          <w:rFonts w:ascii="Arial" w:hAnsi="Arial"/>
          <w:noProof/>
          <w:color w:val="002060"/>
          <w:sz w:val="22"/>
        </w:rPr>
      </w:pPr>
      <w:r>
        <w:rPr>
          <w:rFonts w:ascii="Arial" w:hAnsi="Arial"/>
          <w:noProof/>
          <w:color w:val="002060"/>
          <w:sz w:val="22"/>
        </w:rPr>
        <w:t>New late transposition</w:t>
      </w:r>
      <w:r>
        <w:rPr>
          <w:rFonts w:ascii="Arial" w:hAnsi="Arial"/>
          <w:noProof/>
          <w:color w:val="002060"/>
          <w:sz w:val="22"/>
        </w:rPr>
        <w:t xml:space="preserve"> infringement cases opened in 2017: main policy sectors</w:t>
      </w:r>
    </w:p>
    <w:p w:rsidR="00E201F7" w:rsidRDefault="00E24EFF">
      <w:pPr>
        <w:ind w:left="720"/>
        <w:rPr>
          <w:rFonts w:ascii="Arial" w:hAnsi="Arial"/>
          <w:noProof/>
          <w:sz w:val="20"/>
        </w:rPr>
      </w:pPr>
      <w:r>
        <w:rPr>
          <w:rFonts w:ascii="Arial" w:hAnsi="Arial"/>
          <w:noProof/>
          <w:sz w:val="20"/>
        </w:rPr>
        <w:t>All 41 new late transposition cases concerned the judicial cooperation in criminal matters (23 cases) and financial crime (18 cases).</w:t>
      </w:r>
    </w:p>
    <w:p w:rsidR="00E201F7" w:rsidRDefault="00E24EFF">
      <w:pPr>
        <w:numPr>
          <w:ilvl w:val="0"/>
          <w:numId w:val="132"/>
        </w:numPr>
        <w:spacing w:before="240"/>
        <w:ind w:left="714" w:hanging="357"/>
        <w:jc w:val="left"/>
        <w:outlineLvl w:val="1"/>
        <w:rPr>
          <w:rFonts w:ascii="Arial" w:hAnsi="Arial"/>
          <w:noProof/>
          <w:color w:val="002060"/>
          <w:sz w:val="22"/>
        </w:rPr>
      </w:pPr>
      <w:r>
        <w:rPr>
          <w:rFonts w:ascii="Arial" w:hAnsi="Arial"/>
          <w:noProof/>
          <w:color w:val="002060"/>
          <w:sz w:val="22"/>
        </w:rPr>
        <w:t>Key infringement cases and referrals to the Court</w:t>
      </w:r>
    </w:p>
    <w:p w:rsidR="00E201F7" w:rsidRDefault="00E24EFF">
      <w:pPr>
        <w:numPr>
          <w:ilvl w:val="0"/>
          <w:numId w:val="59"/>
        </w:numPr>
        <w:spacing w:after="120"/>
        <w:ind w:left="1200" w:hanging="360"/>
        <w:rPr>
          <w:rFonts w:ascii="Arial" w:eastAsia="Calibri" w:hAnsi="Arial"/>
          <w:noProof/>
          <w:kern w:val="20"/>
          <w:sz w:val="20"/>
        </w:rPr>
      </w:pPr>
      <w:r>
        <w:rPr>
          <w:rFonts w:ascii="Arial" w:eastAsia="Calibri" w:hAnsi="Arial"/>
          <w:noProof/>
          <w:kern w:val="20"/>
          <w:sz w:val="20"/>
        </w:rPr>
        <w:t>The Commission o</w:t>
      </w:r>
      <w:r>
        <w:rPr>
          <w:rFonts w:ascii="Arial" w:eastAsia="Calibri" w:hAnsi="Arial"/>
          <w:noProof/>
          <w:kern w:val="20"/>
          <w:sz w:val="20"/>
        </w:rPr>
        <w:t>pened 41 cases for late transposition in 2017. They concern:</w:t>
      </w:r>
    </w:p>
    <w:p w:rsidR="00E201F7" w:rsidRDefault="00E24EFF">
      <w:pPr>
        <w:pStyle w:val="Lijstje2"/>
        <w:ind w:left="1560"/>
        <w:rPr>
          <w:rFonts w:ascii="Arial" w:hAnsi="Arial" w:cs="Arial"/>
          <w:noProof/>
          <w:lang w:val="en-GB"/>
        </w:rPr>
      </w:pPr>
      <w:r>
        <w:rPr>
          <w:rFonts w:ascii="Arial" w:hAnsi="Arial" w:cs="Arial"/>
          <w:noProof/>
          <w:lang w:val="en-GB"/>
        </w:rPr>
        <w:t>the Directive on the European Investigation Order in criminal matters (19 Members States concerned)</w:t>
      </w:r>
      <w:r>
        <w:rPr>
          <w:rStyle w:val="FootnoteReference"/>
          <w:rFonts w:ascii="Arial" w:hAnsi="Arial" w:cs="Arial"/>
          <w:noProof/>
          <w:lang w:val="en-GB"/>
        </w:rPr>
        <w:footnoteReference w:id="244"/>
      </w:r>
      <w:r>
        <w:rPr>
          <w:rFonts w:ascii="Arial" w:hAnsi="Arial" w:cs="Arial"/>
          <w:noProof/>
          <w:lang w:val="en-GB"/>
        </w:rPr>
        <w:t>;</w:t>
      </w:r>
    </w:p>
    <w:p w:rsidR="00E201F7" w:rsidRDefault="00E24EFF">
      <w:pPr>
        <w:pStyle w:val="Lijstje2"/>
        <w:ind w:left="1560"/>
        <w:rPr>
          <w:rFonts w:ascii="Arial" w:hAnsi="Arial" w:cs="Arial"/>
          <w:noProof/>
          <w:lang w:val="en-GB"/>
        </w:rPr>
      </w:pPr>
      <w:r>
        <w:rPr>
          <w:rFonts w:ascii="Arial" w:hAnsi="Arial" w:cs="Arial"/>
          <w:noProof/>
          <w:lang w:val="en-GB"/>
        </w:rPr>
        <w:t>the Fourth Anti-Money Laundering Directive (18 Members States concerned)</w:t>
      </w:r>
      <w:r>
        <w:rPr>
          <w:rStyle w:val="FootnoteReference"/>
          <w:rFonts w:ascii="Arial" w:hAnsi="Arial"/>
          <w:noProof/>
          <w:lang w:val="en-GB"/>
        </w:rPr>
        <w:footnoteReference w:id="245"/>
      </w:r>
      <w:r>
        <w:rPr>
          <w:rFonts w:ascii="Arial" w:hAnsi="Arial" w:cs="Arial"/>
          <w:noProof/>
          <w:lang w:val="en-GB"/>
        </w:rPr>
        <w:t>;</w:t>
      </w:r>
    </w:p>
    <w:p w:rsidR="00E201F7" w:rsidRDefault="00E24EFF">
      <w:pPr>
        <w:pStyle w:val="Lijstje2"/>
        <w:ind w:left="1560"/>
        <w:rPr>
          <w:rFonts w:ascii="Arial" w:hAnsi="Arial" w:cs="Arial"/>
          <w:noProof/>
          <w:lang w:val="en-GB"/>
        </w:rPr>
      </w:pPr>
      <w:r>
        <w:rPr>
          <w:rFonts w:ascii="Arial" w:hAnsi="Arial" w:cs="Arial"/>
          <w:noProof/>
          <w:lang w:val="en-GB"/>
        </w:rPr>
        <w:t xml:space="preserve">the Directive on </w:t>
      </w:r>
      <w:r>
        <w:rPr>
          <w:rFonts w:ascii="Arial" w:hAnsi="Arial" w:cs="Arial"/>
          <w:noProof/>
          <w:lang w:val="en-GB"/>
        </w:rPr>
        <w:t>the right of access to a lawyer in criminal proceedings and in European arrest warrant proceedings (9 Members States concerned)</w:t>
      </w:r>
      <w:r>
        <w:rPr>
          <w:rStyle w:val="FootnoteReference"/>
          <w:rFonts w:ascii="Arial" w:hAnsi="Arial" w:cs="Arial"/>
          <w:noProof/>
          <w:lang w:val="en-GB"/>
        </w:rPr>
        <w:footnoteReference w:id="246"/>
      </w:r>
      <w:r>
        <w:rPr>
          <w:rFonts w:ascii="Arial" w:hAnsi="Arial" w:cs="Arial"/>
          <w:noProof/>
          <w:lang w:val="en-GB"/>
        </w:rPr>
        <w:t>.</w:t>
      </w:r>
    </w:p>
    <w:p w:rsidR="00E201F7" w:rsidRDefault="00E24EFF">
      <w:pPr>
        <w:numPr>
          <w:ilvl w:val="0"/>
          <w:numId w:val="59"/>
        </w:numPr>
        <w:spacing w:after="120"/>
        <w:ind w:left="1200" w:hanging="360"/>
        <w:rPr>
          <w:rFonts w:ascii="Arial" w:eastAsia="Calibri" w:hAnsi="Arial"/>
          <w:noProof/>
          <w:kern w:val="20"/>
          <w:sz w:val="20"/>
        </w:rPr>
      </w:pPr>
      <w:r>
        <w:rPr>
          <w:rFonts w:ascii="Arial" w:eastAsia="Calibri" w:hAnsi="Arial"/>
          <w:noProof/>
          <w:kern w:val="20"/>
          <w:sz w:val="20"/>
        </w:rPr>
        <w:t>The Commission did not refer any cases to the Court under Articles 258 and 260(3) TFEU.</w:t>
      </w:r>
    </w:p>
    <w:p w:rsidR="00E201F7" w:rsidRDefault="00E24EFF">
      <w:pPr>
        <w:pStyle w:val="kop2"/>
        <w:rPr>
          <w:noProof/>
        </w:rPr>
      </w:pPr>
      <w:r>
        <w:rPr>
          <w:noProof/>
        </w:rPr>
        <w:t>EARLY RESOLUTION OF INFRINGEMENT CASES</w:t>
      </w:r>
    </w:p>
    <w:p w:rsidR="00E201F7" w:rsidRDefault="00E24EFF">
      <w:pPr>
        <w:spacing w:after="60"/>
        <w:ind w:left="360"/>
        <w:jc w:val="left"/>
        <w:outlineLvl w:val="1"/>
        <w:rPr>
          <w:rFonts w:ascii="Arial" w:hAnsi="Arial"/>
          <w:noProof/>
          <w:color w:val="002060"/>
          <w:sz w:val="22"/>
        </w:rPr>
      </w:pPr>
      <w:r>
        <w:rPr>
          <w:rFonts w:ascii="Arial" w:hAnsi="Arial"/>
          <w:noProof/>
          <w:color w:val="002060"/>
          <w:sz w:val="22"/>
        </w:rPr>
        <w:t>Major cases closed without a Court judgment in 2017</w:t>
      </w:r>
    </w:p>
    <w:p w:rsidR="00E201F7" w:rsidRDefault="00E24EFF">
      <w:pPr>
        <w:pStyle w:val="ListParagraph"/>
        <w:numPr>
          <w:ilvl w:val="0"/>
          <w:numId w:val="77"/>
        </w:numPr>
        <w:autoSpaceDE w:val="0"/>
        <w:autoSpaceDN w:val="0"/>
        <w:adjustRightInd w:val="0"/>
        <w:spacing w:after="0"/>
        <w:ind w:left="1200"/>
        <w:rPr>
          <w:rFonts w:ascii="Arial" w:hAnsi="Arial"/>
          <w:noProof/>
          <w:sz w:val="20"/>
        </w:rPr>
      </w:pPr>
      <w:smartTag w:uri="urn:schemas-microsoft-com:office:smarttags" w:element="country-region">
        <w:smartTag w:uri="urn:schemas-microsoft-com:office:smarttags" w:element="place">
          <w:r>
            <w:rPr>
              <w:rFonts w:ascii="Arial" w:hAnsi="Arial"/>
              <w:i/>
              <w:noProof/>
              <w:kern w:val="20"/>
              <w:sz w:val="20"/>
            </w:rPr>
            <w:t>Germany</w:t>
          </w:r>
        </w:smartTag>
      </w:smartTag>
      <w:r>
        <w:rPr>
          <w:rFonts w:ascii="Arial" w:hAnsi="Arial"/>
          <w:noProof/>
          <w:kern w:val="20"/>
          <w:sz w:val="20"/>
        </w:rPr>
        <w:t xml:space="preserve">: Incorrect </w:t>
      </w:r>
      <w:r>
        <w:rPr>
          <w:rFonts w:ascii="Arial" w:hAnsi="Arial"/>
          <w:noProof/>
          <w:sz w:val="20"/>
        </w:rPr>
        <w:t>transposition into national law of the Directive on unfair commercial practices</w:t>
      </w:r>
      <w:r>
        <w:rPr>
          <w:rStyle w:val="FootnoteReference"/>
          <w:rFonts w:ascii="Arial" w:hAnsi="Arial"/>
          <w:noProof/>
          <w:sz w:val="20"/>
        </w:rPr>
        <w:footnoteReference w:id="247"/>
      </w:r>
      <w:r>
        <w:rPr>
          <w:rFonts w:ascii="Arial" w:hAnsi="Arial"/>
          <w:noProof/>
          <w:sz w:val="20"/>
        </w:rPr>
        <w:t>.</w:t>
      </w:r>
    </w:p>
    <w:p w:rsidR="00E201F7" w:rsidRDefault="00E24EFF">
      <w:pPr>
        <w:pStyle w:val="ListParagraph"/>
        <w:numPr>
          <w:ilvl w:val="1"/>
          <w:numId w:val="77"/>
        </w:numPr>
        <w:autoSpaceDE w:val="0"/>
        <w:autoSpaceDN w:val="0"/>
        <w:adjustRightInd w:val="0"/>
        <w:spacing w:after="200"/>
        <w:ind w:left="1200"/>
        <w:rPr>
          <w:rFonts w:ascii="Arial" w:hAnsi="Arial"/>
          <w:noProof/>
          <w:sz w:val="20"/>
        </w:rPr>
      </w:pPr>
      <w:r>
        <w:rPr>
          <w:rFonts w:ascii="Arial" w:hAnsi="Arial"/>
          <w:i/>
          <w:noProof/>
          <w:sz w:val="20"/>
        </w:rPr>
        <w:t>Italy and Lithuania:</w:t>
      </w:r>
      <w:r>
        <w:rPr>
          <w:rFonts w:ascii="Arial" w:hAnsi="Arial"/>
          <w:noProof/>
          <w:sz w:val="20"/>
        </w:rPr>
        <w:t xml:space="preserve"> I</w:t>
      </w:r>
      <w:r>
        <w:rPr>
          <w:rFonts w:ascii="Arial" w:hAnsi="Arial"/>
          <w:noProof/>
          <w:kern w:val="20"/>
          <w:sz w:val="20"/>
        </w:rPr>
        <w:t>ncorrect</w:t>
      </w:r>
      <w:r>
        <w:rPr>
          <w:rFonts w:ascii="Arial" w:hAnsi="Arial"/>
          <w:noProof/>
          <w:sz w:val="20"/>
        </w:rPr>
        <w:t xml:space="preserve"> transposition into national law of the Directive on package travel</w:t>
      </w:r>
      <w:r>
        <w:rPr>
          <w:rStyle w:val="FootnoteReference"/>
          <w:rFonts w:ascii="Arial" w:hAnsi="Arial"/>
          <w:noProof/>
          <w:sz w:val="20"/>
        </w:rPr>
        <w:footnoteReference w:id="248"/>
      </w:r>
      <w:r>
        <w:rPr>
          <w:rFonts w:ascii="Arial" w:hAnsi="Arial"/>
          <w:noProof/>
          <w:sz w:val="20"/>
        </w:rPr>
        <w:t xml:space="preserve">. </w:t>
      </w:r>
      <w:r>
        <w:rPr>
          <w:rFonts w:ascii="Arial" w:hAnsi="Arial"/>
          <w:noProof/>
          <w:sz w:val="20"/>
        </w:rPr>
        <w:t>Under the Directive, organisers of package tours must have insolvency protection guaranteeing that consumers receive a refund and are repatriated if the organiser becomes insolvent</w:t>
      </w:r>
      <w:r>
        <w:rPr>
          <w:rStyle w:val="FootnoteReference"/>
          <w:rFonts w:ascii="Arial" w:hAnsi="Arial"/>
          <w:noProof/>
          <w:sz w:val="20"/>
        </w:rPr>
        <w:footnoteReference w:id="249"/>
      </w:r>
    </w:p>
    <w:p w:rsidR="00E201F7" w:rsidRDefault="00E24EFF">
      <w:pPr>
        <w:pStyle w:val="ListParagraph"/>
        <w:autoSpaceDE w:val="0"/>
        <w:autoSpaceDN w:val="0"/>
        <w:adjustRightInd w:val="0"/>
        <w:spacing w:after="200"/>
        <w:ind w:left="840"/>
        <w:rPr>
          <w:rFonts w:ascii="Arial" w:hAnsi="Arial"/>
          <w:noProof/>
          <w:sz w:val="20"/>
        </w:rPr>
      </w:pPr>
      <w:r>
        <w:rPr>
          <w:rFonts w:ascii="Arial" w:hAnsi="Arial"/>
          <w:noProof/>
          <w:sz w:val="20"/>
        </w:rPr>
        <w:t>.</w:t>
      </w:r>
      <w:r>
        <w:rPr>
          <w:rFonts w:ascii="Arial" w:hAnsi="Arial"/>
          <w:noProof/>
          <w:sz w:val="20"/>
        </w:rPr>
        <w:br w:type="page"/>
      </w:r>
    </w:p>
    <w:p w:rsidR="00E201F7" w:rsidRDefault="00E24EFF">
      <w:pPr>
        <w:pStyle w:val="kop2"/>
        <w:rPr>
          <w:noProof/>
        </w:rPr>
      </w:pPr>
      <w:r>
        <w:rPr>
          <w:noProof/>
        </w:rPr>
        <w:t>IMPORTANT JUDGMENTS</w:t>
      </w:r>
    </w:p>
    <w:p w:rsidR="00E201F7" w:rsidRDefault="00E24EFF">
      <w:pPr>
        <w:numPr>
          <w:ilvl w:val="0"/>
          <w:numId w:val="133"/>
        </w:numPr>
        <w:spacing w:before="120" w:after="120"/>
        <w:jc w:val="left"/>
        <w:outlineLvl w:val="1"/>
        <w:rPr>
          <w:rFonts w:ascii="Arial" w:hAnsi="Arial"/>
          <w:noProof/>
          <w:color w:val="002060"/>
          <w:sz w:val="22"/>
        </w:rPr>
      </w:pPr>
      <w:r>
        <w:rPr>
          <w:rFonts w:ascii="Arial" w:hAnsi="Arial"/>
          <w:noProof/>
          <w:color w:val="002060"/>
          <w:sz w:val="22"/>
        </w:rPr>
        <w:t>Court rulings</w:t>
      </w:r>
    </w:p>
    <w:p w:rsidR="00E201F7" w:rsidRDefault="00E24EFF">
      <w:pPr>
        <w:ind w:left="720"/>
        <w:rPr>
          <w:rFonts w:ascii="Arial" w:hAnsi="Arial"/>
          <w:noProof/>
          <w:sz w:val="20"/>
        </w:rPr>
      </w:pPr>
      <w:r>
        <w:rPr>
          <w:rFonts w:ascii="Arial" w:hAnsi="Arial"/>
          <w:noProof/>
          <w:sz w:val="20"/>
        </w:rPr>
        <w:t xml:space="preserve">There were no major Court rulings in </w:t>
      </w:r>
      <w:smartTag w:uri="urn:schemas-microsoft-com:office:smarttags" w:element="metricconverter">
        <w:smartTagPr>
          <w:attr w:name="ProductID" w:val="2017 in"/>
        </w:smartTagPr>
        <w:r>
          <w:rPr>
            <w:rFonts w:ascii="Arial" w:hAnsi="Arial"/>
            <w:noProof/>
            <w:sz w:val="20"/>
          </w:rPr>
          <w:t>2017 in</w:t>
        </w:r>
      </w:smartTag>
      <w:r>
        <w:rPr>
          <w:rFonts w:ascii="Arial" w:hAnsi="Arial"/>
          <w:noProof/>
          <w:sz w:val="20"/>
        </w:rPr>
        <w:t xml:space="preserve"> this area.</w:t>
      </w:r>
    </w:p>
    <w:p w:rsidR="00E201F7" w:rsidRDefault="00E24EFF">
      <w:pPr>
        <w:numPr>
          <w:ilvl w:val="0"/>
          <w:numId w:val="133"/>
        </w:numPr>
        <w:spacing w:before="120" w:after="120"/>
        <w:jc w:val="left"/>
        <w:outlineLvl w:val="1"/>
        <w:rPr>
          <w:rFonts w:ascii="Arial" w:hAnsi="Arial"/>
          <w:noProof/>
          <w:color w:val="002060"/>
          <w:sz w:val="22"/>
        </w:rPr>
      </w:pPr>
      <w:r>
        <w:rPr>
          <w:rFonts w:ascii="Arial" w:hAnsi="Arial"/>
          <w:noProof/>
          <w:color w:val="002060"/>
          <w:sz w:val="22"/>
        </w:rPr>
        <w:t>Preliminary rulings</w:t>
      </w:r>
    </w:p>
    <w:p w:rsidR="00E201F7" w:rsidRDefault="00E24EFF">
      <w:pPr>
        <w:pStyle w:val="Basis"/>
        <w:ind w:left="360" w:firstLine="360"/>
        <w:rPr>
          <w:rFonts w:ascii="Arial" w:hAnsi="Arial" w:cs="Arial"/>
          <w:noProof/>
          <w:lang w:val="en-GB"/>
        </w:rPr>
      </w:pPr>
      <w:r>
        <w:rPr>
          <w:rFonts w:ascii="Arial" w:hAnsi="Arial" w:cs="Arial"/>
          <w:noProof/>
          <w:lang w:val="en-GB"/>
        </w:rPr>
        <w:t>The Court gave the following preliminary rulings.</w:t>
      </w:r>
    </w:p>
    <w:p w:rsidR="00E201F7" w:rsidRDefault="00E24EFF">
      <w:pPr>
        <w:pStyle w:val="Lijstje2"/>
        <w:spacing w:before="120" w:after="0"/>
        <w:ind w:left="1162" w:hanging="357"/>
        <w:contextualSpacing w:val="0"/>
        <w:rPr>
          <w:rFonts w:ascii="Arial" w:hAnsi="Arial" w:cs="Arial"/>
          <w:noProof/>
          <w:lang w:val="en-GB"/>
        </w:rPr>
      </w:pPr>
      <w:r>
        <w:rPr>
          <w:rFonts w:ascii="Arial" w:hAnsi="Arial" w:cs="Arial"/>
          <w:noProof/>
          <w:lang w:val="en-GB"/>
        </w:rPr>
        <w:t>Belgium: When determining the competent jurisdiction in relation to employment contracts of members of an airline crew, the Court used a set of indicators to determine</w:t>
      </w:r>
      <w:r>
        <w:rPr>
          <w:rFonts w:ascii="Arial" w:hAnsi="Arial" w:cs="Arial"/>
          <w:noProof/>
          <w:lang w:val="en-GB"/>
        </w:rPr>
        <w:t xml:space="preserve"> the “Member State where the employee habitually carries out his work” and retained that the “home base” amounts to a significant indicator. The Court also underlined that the jurisdiction clauses obliging those aircrew members to bring actions in Ireland </w:t>
      </w:r>
      <w:r>
        <w:rPr>
          <w:rFonts w:ascii="Arial" w:hAnsi="Arial" w:cs="Arial"/>
          <w:noProof/>
          <w:lang w:val="en-GB"/>
        </w:rPr>
        <w:t>were not enforceable against the employees as not meeting the conditions of the Regulation in question</w:t>
      </w:r>
      <w:r>
        <w:rPr>
          <w:rStyle w:val="FootnoteReference"/>
          <w:rFonts w:ascii="Arial" w:hAnsi="Arial" w:cs="Arial"/>
          <w:noProof/>
          <w:lang w:val="en-GB"/>
        </w:rPr>
        <w:footnoteReference w:id="250"/>
      </w:r>
      <w:r>
        <w:rPr>
          <w:rFonts w:ascii="Arial" w:hAnsi="Arial" w:cs="Arial"/>
          <w:noProof/>
          <w:lang w:val="en-GB"/>
        </w:rPr>
        <w:t>.</w:t>
      </w:r>
    </w:p>
    <w:p w:rsidR="00E201F7" w:rsidRDefault="00E24EFF">
      <w:pPr>
        <w:pStyle w:val="Lijstje2"/>
        <w:spacing w:before="120" w:after="0"/>
        <w:ind w:left="1162" w:hanging="357"/>
        <w:contextualSpacing w:val="0"/>
        <w:rPr>
          <w:rFonts w:ascii="Arial" w:hAnsi="Arial" w:cs="Arial"/>
          <w:noProof/>
          <w:lang w:val="en-GB"/>
        </w:rPr>
      </w:pPr>
      <w:r>
        <w:rPr>
          <w:rFonts w:ascii="Arial" w:hAnsi="Arial" w:cs="Arial"/>
          <w:i/>
          <w:noProof/>
          <w:lang w:val="en-GB"/>
        </w:rPr>
        <w:t>Germany:</w:t>
      </w:r>
      <w:r>
        <w:rPr>
          <w:rFonts w:ascii="Arial" w:hAnsi="Arial" w:cs="Arial"/>
          <w:noProof/>
          <w:lang w:val="en-GB"/>
        </w:rPr>
        <w:t xml:space="preserve"> The legal aid granted by the Member State of the court hearing a case, in which a natural person domiciled or resident in another Member State</w:t>
      </w:r>
      <w:r>
        <w:rPr>
          <w:rFonts w:ascii="Arial" w:hAnsi="Arial" w:cs="Arial"/>
          <w:noProof/>
          <w:lang w:val="en-GB"/>
        </w:rPr>
        <w:t xml:space="preserve"> has submitted a legal aid application in the context of a cross-border dispute, also covers the costs paid by that person for the translation of the supporting documents necessary for the processing of that application</w:t>
      </w:r>
      <w:r>
        <w:rPr>
          <w:rStyle w:val="FootnoteReference"/>
          <w:rFonts w:ascii="Arial" w:hAnsi="Arial" w:cs="Arial"/>
          <w:noProof/>
          <w:lang w:val="en-GB"/>
        </w:rPr>
        <w:footnoteReference w:id="251"/>
      </w:r>
      <w:r>
        <w:rPr>
          <w:rFonts w:ascii="Arial" w:hAnsi="Arial" w:cs="Arial"/>
          <w:noProof/>
          <w:lang w:val="en-GB"/>
        </w:rPr>
        <w:t>.</w:t>
      </w:r>
    </w:p>
    <w:p w:rsidR="00E201F7" w:rsidRDefault="00E24EFF">
      <w:pPr>
        <w:pStyle w:val="Lijstje2"/>
        <w:spacing w:before="120" w:after="0"/>
        <w:ind w:left="1162" w:hanging="357"/>
        <w:contextualSpacing w:val="0"/>
        <w:rPr>
          <w:noProof/>
          <w:lang w:val="en-GB"/>
        </w:rPr>
      </w:pPr>
      <w:r>
        <w:rPr>
          <w:rFonts w:ascii="Arial" w:hAnsi="Arial" w:cs="Arial"/>
          <w:i/>
          <w:noProof/>
          <w:lang w:val="en-GB"/>
        </w:rPr>
        <w:t xml:space="preserve">Germany: </w:t>
      </w:r>
      <w:r>
        <w:rPr>
          <w:rFonts w:ascii="Arial" w:hAnsi="Arial" w:cs="Arial"/>
          <w:noProof/>
          <w:lang w:val="en-GB"/>
        </w:rPr>
        <w:t>The Rome III Regulation</w:t>
      </w:r>
      <w:r>
        <w:rPr>
          <w:rStyle w:val="FootnoteReference"/>
          <w:rFonts w:ascii="Arial" w:hAnsi="Arial" w:cs="Arial"/>
          <w:noProof/>
          <w:lang w:val="en-GB"/>
        </w:rPr>
        <w:footnoteReference w:id="252"/>
      </w:r>
      <w:r>
        <w:rPr>
          <w:rFonts w:ascii="Arial" w:hAnsi="Arial" w:cs="Arial"/>
          <w:noProof/>
          <w:lang w:val="en-GB"/>
        </w:rPr>
        <w:t xml:space="preserve"> </w:t>
      </w:r>
      <w:r>
        <w:rPr>
          <w:rFonts w:ascii="Arial" w:hAnsi="Arial" w:cs="Arial"/>
          <w:noProof/>
          <w:lang w:val="en-GB"/>
        </w:rPr>
        <w:t>does not apply to private divorce (i.e. a divorce which is not pronounced by a court or public authority), such as a unilateral declaration made by a spouse before a religious court (for example, under sharia law). The Rome III Regulation aims at facilitat</w:t>
      </w:r>
      <w:r>
        <w:rPr>
          <w:rFonts w:ascii="Arial" w:hAnsi="Arial" w:cs="Arial"/>
          <w:noProof/>
          <w:lang w:val="en-GB"/>
        </w:rPr>
        <w:t>ing cross-border divorces by determining which national law, of all those potentially applicable, should be applied by the courts of Member States to resolve the divorce</w:t>
      </w:r>
      <w:r>
        <w:rPr>
          <w:rStyle w:val="FootnoteReference"/>
          <w:rFonts w:ascii="Arial" w:hAnsi="Arial" w:cs="Arial"/>
          <w:noProof/>
          <w:lang w:val="en-GB"/>
        </w:rPr>
        <w:footnoteReference w:id="253"/>
      </w:r>
      <w:r>
        <w:rPr>
          <w:rFonts w:ascii="Arial" w:hAnsi="Arial" w:cs="Arial"/>
          <w:i/>
          <w:noProof/>
          <w:lang w:val="en-GB"/>
        </w:rPr>
        <w:t>.</w:t>
      </w:r>
    </w:p>
    <w:p w:rsidR="00E201F7" w:rsidRDefault="00E24EFF">
      <w:pPr>
        <w:pStyle w:val="Lijstje2"/>
        <w:spacing w:before="120" w:after="0"/>
        <w:ind w:left="1162" w:hanging="357"/>
        <w:contextualSpacing w:val="0"/>
        <w:rPr>
          <w:rFonts w:ascii="Arial" w:hAnsi="Arial" w:cs="Arial"/>
          <w:i/>
          <w:noProof/>
          <w:lang w:val="en-GB"/>
        </w:rPr>
      </w:pPr>
      <w:r>
        <w:rPr>
          <w:rFonts w:ascii="Arial" w:hAnsi="Arial" w:cs="Arial"/>
          <w:i/>
          <w:noProof/>
          <w:lang w:val="en-GB"/>
        </w:rPr>
        <w:t xml:space="preserve">Germany: </w:t>
      </w:r>
      <w:r>
        <w:rPr>
          <w:rFonts w:ascii="Arial" w:hAnsi="Arial" w:cs="Arial"/>
          <w:noProof/>
          <w:lang w:val="en-GB"/>
        </w:rPr>
        <w:t>The concept of ‘basic rate’, referred to in the Directive on consumer right</w:t>
      </w:r>
      <w:r>
        <w:rPr>
          <w:rFonts w:ascii="Arial" w:hAnsi="Arial" w:cs="Arial"/>
          <w:noProof/>
          <w:lang w:val="en-GB"/>
        </w:rPr>
        <w:t>s</w:t>
      </w:r>
      <w:r>
        <w:rPr>
          <w:rStyle w:val="FootnoteReference"/>
          <w:rFonts w:ascii="Arial" w:hAnsi="Arial" w:cs="Arial"/>
          <w:noProof/>
          <w:lang w:val="en-GB"/>
        </w:rPr>
        <w:footnoteReference w:id="254"/>
      </w:r>
      <w:r>
        <w:rPr>
          <w:rFonts w:ascii="Arial" w:hAnsi="Arial" w:cs="Arial"/>
          <w:noProof/>
          <w:lang w:val="en-GB"/>
        </w:rPr>
        <w:t>, means that charges for the use of a telephone helpline operated by the trader, in order to contact him in relation to a concluded contract, may not exceed the cost of a call to a standard geographic landline or mobile telephone line. This is regardless</w:t>
      </w:r>
      <w:r>
        <w:rPr>
          <w:rFonts w:ascii="Arial" w:hAnsi="Arial" w:cs="Arial"/>
          <w:noProof/>
          <w:lang w:val="en-GB"/>
        </w:rPr>
        <w:t xml:space="preserve"> of whether the relevant trader does or does not make a profit through that telephone helpline</w:t>
      </w:r>
      <w:r>
        <w:rPr>
          <w:rStyle w:val="FootnoteReference"/>
          <w:rFonts w:ascii="Arial" w:hAnsi="Arial" w:cs="Arial"/>
          <w:noProof/>
          <w:lang w:val="en-GB"/>
        </w:rPr>
        <w:footnoteReference w:id="255"/>
      </w:r>
      <w:r>
        <w:rPr>
          <w:rFonts w:ascii="Arial" w:hAnsi="Arial" w:cs="Arial"/>
          <w:noProof/>
          <w:lang w:val="en-GB"/>
        </w:rPr>
        <w:t>.</w:t>
      </w:r>
    </w:p>
    <w:p w:rsidR="00E201F7" w:rsidRDefault="00E24EFF">
      <w:pPr>
        <w:pStyle w:val="Lijstje2"/>
        <w:spacing w:before="120" w:after="0"/>
        <w:ind w:left="1162" w:hanging="357"/>
        <w:contextualSpacing w:val="0"/>
        <w:rPr>
          <w:rFonts w:cs="Arial"/>
          <w:noProof/>
          <w:lang w:val="en-GB"/>
        </w:rPr>
      </w:pPr>
      <w:r>
        <w:rPr>
          <w:rFonts w:ascii="Arial" w:hAnsi="Arial" w:cs="Arial"/>
          <w:i/>
          <w:noProof/>
          <w:lang w:val="en-GB"/>
        </w:rPr>
        <w:t>Ireland:</w:t>
      </w:r>
      <w:r>
        <w:rPr>
          <w:rFonts w:ascii="Arial" w:hAnsi="Arial" w:cs="Arial"/>
          <w:noProof/>
          <w:lang w:val="en-GB"/>
        </w:rPr>
        <w:t xml:space="preserve"> An EU citizen who, after more than 1 year, has ceased to work in a self-employed capacity in another Member State for reasons beyond his control retains the status of self-employed person and, consequently, a right to reside in that Member State</w:t>
      </w:r>
      <w:r>
        <w:rPr>
          <w:rStyle w:val="FootnoteReference"/>
          <w:rFonts w:ascii="Arial" w:hAnsi="Arial" w:cs="Arial"/>
          <w:noProof/>
          <w:lang w:val="en-GB"/>
        </w:rPr>
        <w:footnoteReference w:id="256"/>
      </w:r>
      <w:r>
        <w:rPr>
          <w:rFonts w:ascii="Arial" w:hAnsi="Arial" w:cs="Arial"/>
          <w:noProof/>
          <w:lang w:val="en-GB"/>
        </w:rPr>
        <w:t>.</w:t>
      </w:r>
    </w:p>
    <w:p w:rsidR="00E201F7" w:rsidRDefault="00E24EFF">
      <w:pPr>
        <w:pStyle w:val="Lijstje2"/>
        <w:spacing w:before="120" w:after="0"/>
        <w:ind w:left="1162" w:hanging="357"/>
        <w:contextualSpacing w:val="0"/>
        <w:rPr>
          <w:rFonts w:cs="Arial"/>
          <w:noProof/>
          <w:lang w:val="en-GB"/>
        </w:rPr>
      </w:pPr>
      <w:r>
        <w:rPr>
          <w:rFonts w:ascii="Arial" w:hAnsi="Arial" w:cs="Arial"/>
          <w:i/>
          <w:noProof/>
          <w:lang w:val="en-GB"/>
        </w:rPr>
        <w:t>Greece:</w:t>
      </w:r>
      <w:r>
        <w:rPr>
          <w:rFonts w:ascii="Arial" w:hAnsi="Arial" w:cs="Arial"/>
          <w:noProof/>
          <w:lang w:val="en-GB"/>
        </w:rPr>
        <w:t xml:space="preserve"> A law that lays down, as a criterion for admission to a police school, a minimum height requirement irrespective of sex may constitute indirect sex discrimination against women. </w:t>
      </w:r>
      <w:r>
        <w:rPr>
          <w:rFonts w:ascii="Arial" w:hAnsi="Arial" w:cs="Arial"/>
          <w:iCs/>
          <w:noProof/>
          <w:lang w:val="en-GB"/>
        </w:rPr>
        <w:t xml:space="preserve">The </w:t>
      </w:r>
      <w:r>
        <w:rPr>
          <w:rFonts w:ascii="Arial" w:hAnsi="Arial" w:cs="Arial"/>
          <w:noProof/>
          <w:lang w:val="en-GB"/>
        </w:rPr>
        <w:t>objective of ensuring the effective accomplishment of the task of the pol</w:t>
      </w:r>
      <w:r>
        <w:rPr>
          <w:rFonts w:ascii="Arial" w:hAnsi="Arial" w:cs="Arial"/>
          <w:noProof/>
          <w:lang w:val="en-GB"/>
        </w:rPr>
        <w:t>ice could be achieved by measures that are less disadvantageous to women, such as a pre-selection of candidates allowing their physical ability to be assessed</w:t>
      </w:r>
      <w:r>
        <w:rPr>
          <w:rStyle w:val="FootnoteReference"/>
          <w:rFonts w:ascii="Arial" w:hAnsi="Arial" w:cs="Arial"/>
          <w:iCs/>
          <w:noProof/>
          <w:lang w:val="en-GB"/>
        </w:rPr>
        <w:footnoteReference w:id="257"/>
      </w:r>
      <w:r>
        <w:rPr>
          <w:rFonts w:ascii="Arial" w:hAnsi="Arial" w:cs="Arial"/>
          <w:noProof/>
          <w:lang w:val="en-GB"/>
        </w:rPr>
        <w:t>.</w:t>
      </w:r>
    </w:p>
    <w:p w:rsidR="00E201F7" w:rsidRDefault="00E24EFF">
      <w:pPr>
        <w:pStyle w:val="Lijstje2"/>
        <w:spacing w:before="120" w:after="0"/>
        <w:ind w:left="1162" w:hanging="357"/>
        <w:contextualSpacing w:val="0"/>
        <w:rPr>
          <w:rFonts w:ascii="Arial" w:hAnsi="Arial" w:cs="Arial"/>
          <w:noProof/>
          <w:lang w:val="en-GB"/>
        </w:rPr>
      </w:pPr>
      <w:r>
        <w:rPr>
          <w:rFonts w:ascii="Arial" w:hAnsi="Arial" w:cs="Arial"/>
          <w:i/>
          <w:noProof/>
          <w:lang w:val="en-GB"/>
        </w:rPr>
        <w:t>Spain:</w:t>
      </w:r>
      <w:r>
        <w:rPr>
          <w:rFonts w:ascii="Arial" w:hAnsi="Arial" w:cs="Arial"/>
          <w:noProof/>
          <w:lang w:val="en-GB"/>
        </w:rPr>
        <w:t xml:space="preserve"> The fact that a person is imprisoned, without the prospect of being released in the near</w:t>
      </w:r>
      <w:r>
        <w:rPr>
          <w:rFonts w:ascii="Arial" w:hAnsi="Arial" w:cs="Arial"/>
          <w:noProof/>
          <w:lang w:val="en-GB"/>
        </w:rPr>
        <w:t xml:space="preserve"> future, when an expulsion decision is adopted does not exclude that his conduct represents a genuine threat to a fundamental interest of the society of the host Member State. Therefore, expulsion while the person is already in prison may be considered jus</w:t>
      </w:r>
      <w:r>
        <w:rPr>
          <w:rFonts w:ascii="Arial" w:hAnsi="Arial" w:cs="Arial"/>
          <w:noProof/>
          <w:lang w:val="en-GB"/>
        </w:rPr>
        <w:t>tified</w:t>
      </w:r>
      <w:r>
        <w:rPr>
          <w:rStyle w:val="FootnoteReference"/>
          <w:rFonts w:ascii="Arial" w:hAnsi="Arial" w:cs="Arial"/>
          <w:noProof/>
          <w:lang w:val="en-GB"/>
        </w:rPr>
        <w:footnoteReference w:id="258"/>
      </w:r>
      <w:r>
        <w:rPr>
          <w:rFonts w:ascii="Arial" w:hAnsi="Arial" w:cs="Arial"/>
          <w:noProof/>
          <w:lang w:val="en-GB"/>
        </w:rPr>
        <w:t>.</w:t>
      </w:r>
    </w:p>
    <w:p w:rsidR="00E201F7" w:rsidRDefault="00E24EFF">
      <w:pPr>
        <w:pStyle w:val="Lijstje2"/>
        <w:spacing w:before="120" w:after="0"/>
        <w:ind w:left="1162" w:hanging="357"/>
        <w:contextualSpacing w:val="0"/>
        <w:rPr>
          <w:rFonts w:cs="Arial"/>
          <w:iCs/>
          <w:noProof/>
          <w:lang w:val="en-GB"/>
        </w:rPr>
      </w:pPr>
      <w:r>
        <w:rPr>
          <w:rFonts w:ascii="Arial" w:hAnsi="Arial" w:cs="Arial"/>
          <w:i/>
          <w:noProof/>
          <w:lang w:val="en-GB"/>
        </w:rPr>
        <w:t>Croatia:</w:t>
      </w:r>
      <w:r>
        <w:rPr>
          <w:noProof/>
          <w:lang w:val="en-GB"/>
        </w:rPr>
        <w:t xml:space="preserve"> N</w:t>
      </w:r>
      <w:r>
        <w:rPr>
          <w:rFonts w:ascii="Arial" w:hAnsi="Arial" w:cs="Arial"/>
          <w:noProof/>
          <w:lang w:val="en-GB"/>
        </w:rPr>
        <w:t>otaries, acting within the framework of the powers conferred on them by national law in enforcement proceedings based on an ‘authentic document’, do not fall within the concept of ‘court’ within the meaning of EU legislation</w:t>
      </w:r>
      <w:r>
        <w:rPr>
          <w:rStyle w:val="FootnoteReference"/>
          <w:rFonts w:ascii="Arial" w:hAnsi="Arial" w:cs="Arial"/>
          <w:iCs/>
          <w:noProof/>
          <w:lang w:val="en-GB"/>
        </w:rPr>
        <w:footnoteReference w:id="259"/>
      </w:r>
      <w:r>
        <w:rPr>
          <w:rFonts w:ascii="Arial" w:hAnsi="Arial" w:cs="Arial"/>
          <w:noProof/>
          <w:lang w:val="en-GB"/>
        </w:rPr>
        <w:t>. Thus, t</w:t>
      </w:r>
      <w:r>
        <w:rPr>
          <w:rFonts w:ascii="Arial" w:hAnsi="Arial" w:cs="Arial"/>
          <w:iCs/>
          <w:noProof/>
          <w:lang w:val="en-GB"/>
        </w:rPr>
        <w:t xml:space="preserve">he </w:t>
      </w:r>
      <w:r>
        <w:rPr>
          <w:rFonts w:ascii="Arial" w:hAnsi="Arial" w:cs="Arial"/>
          <w:iCs/>
          <w:noProof/>
          <w:lang w:val="en-GB"/>
        </w:rPr>
        <w:t>writs of execution which they issue may not be recognised or enforced in other Member States as judicial decisions</w:t>
      </w:r>
      <w:r>
        <w:rPr>
          <w:rStyle w:val="FootnoteReference"/>
          <w:rFonts w:ascii="Arial" w:hAnsi="Arial" w:cs="Arial"/>
          <w:noProof/>
          <w:lang w:val="en-GB"/>
        </w:rPr>
        <w:footnoteReference w:id="260"/>
      </w:r>
      <w:r>
        <w:rPr>
          <w:rFonts w:ascii="Arial" w:hAnsi="Arial" w:cs="Arial"/>
          <w:iCs/>
          <w:noProof/>
          <w:lang w:val="en-GB"/>
        </w:rPr>
        <w:t>.</w:t>
      </w:r>
    </w:p>
    <w:p w:rsidR="00E201F7" w:rsidRDefault="00E24EFF">
      <w:pPr>
        <w:pStyle w:val="Lijstje2"/>
        <w:spacing w:before="120" w:after="0"/>
        <w:ind w:left="1162" w:hanging="357"/>
        <w:contextualSpacing w:val="0"/>
        <w:rPr>
          <w:rFonts w:ascii="Arial" w:hAnsi="Arial" w:cs="Arial"/>
          <w:noProof/>
          <w:lang w:val="en-GB"/>
        </w:rPr>
      </w:pPr>
      <w:r>
        <w:rPr>
          <w:rFonts w:ascii="Arial" w:hAnsi="Arial" w:cs="Arial"/>
          <w:i/>
          <w:noProof/>
          <w:lang w:val="en-GB"/>
        </w:rPr>
        <w:t>Netherlands:</w:t>
      </w:r>
      <w:r>
        <w:rPr>
          <w:rFonts w:cs="Arial"/>
          <w:noProof/>
          <w:lang w:val="en-GB"/>
        </w:rPr>
        <w:t xml:space="preserve"> </w:t>
      </w:r>
      <w:r>
        <w:rPr>
          <w:rFonts w:ascii="Arial" w:hAnsi="Arial" w:cs="Arial"/>
          <w:bCs/>
          <w:noProof/>
          <w:lang w:val="en-GB"/>
        </w:rPr>
        <w:t>A third-country national may, as the parent of a minor child who is an EU citizen, rely on a derived right of residence in the</w:t>
      </w:r>
      <w:r>
        <w:rPr>
          <w:rFonts w:ascii="Arial" w:hAnsi="Arial" w:cs="Arial"/>
          <w:bCs/>
          <w:noProof/>
          <w:lang w:val="en-GB"/>
        </w:rPr>
        <w:t xml:space="preserve"> EU. </w:t>
      </w:r>
      <w:r>
        <w:rPr>
          <w:rFonts w:ascii="Arial" w:hAnsi="Arial" w:cs="Arial"/>
          <w:iCs/>
          <w:noProof/>
          <w:lang w:val="en-GB"/>
        </w:rPr>
        <w:t>The fact that the other parent, an EU citizen, could assume sole responsibility for the primary day-to-day care of the child is a relevant factor, but is not in itself a sufficient ground to refuse a residence permit. National authorities must also de</w:t>
      </w:r>
      <w:r>
        <w:rPr>
          <w:rFonts w:ascii="Arial" w:hAnsi="Arial" w:cs="Arial"/>
          <w:iCs/>
          <w:noProof/>
          <w:lang w:val="en-GB"/>
        </w:rPr>
        <w:t>termine whether there is, between the child and the third-country national parent, such a relationship of dependency that a decision to refuse a right of residence to that parent would compel the child to leave the EU</w:t>
      </w:r>
      <w:r>
        <w:rPr>
          <w:rStyle w:val="FootnoteReference"/>
          <w:rFonts w:ascii="Arial" w:hAnsi="Arial" w:cs="Arial"/>
          <w:iCs/>
          <w:noProof/>
          <w:lang w:val="en-GB"/>
        </w:rPr>
        <w:footnoteReference w:id="261"/>
      </w:r>
      <w:r>
        <w:rPr>
          <w:rFonts w:ascii="Arial" w:hAnsi="Arial" w:cs="Arial"/>
          <w:iCs/>
          <w:noProof/>
          <w:lang w:val="en-GB"/>
        </w:rPr>
        <w:t>.</w:t>
      </w:r>
    </w:p>
    <w:p w:rsidR="00E201F7" w:rsidRDefault="00E24EFF">
      <w:pPr>
        <w:pStyle w:val="Lijstje2"/>
        <w:spacing w:before="120" w:after="0"/>
        <w:ind w:left="1162" w:hanging="357"/>
        <w:contextualSpacing w:val="0"/>
        <w:rPr>
          <w:rFonts w:ascii="Arial" w:hAnsi="Arial" w:cs="Arial"/>
          <w:i/>
          <w:noProof/>
          <w:lang w:val="en-GB"/>
        </w:rPr>
      </w:pPr>
      <w:r>
        <w:rPr>
          <w:rFonts w:ascii="Arial" w:hAnsi="Arial" w:cs="Arial"/>
          <w:i/>
          <w:noProof/>
          <w:lang w:val="en-GB"/>
        </w:rPr>
        <w:t xml:space="preserve">Poland: </w:t>
      </w:r>
      <w:r>
        <w:rPr>
          <w:rFonts w:ascii="Arial" w:hAnsi="Arial" w:cs="Arial"/>
          <w:bCs/>
          <w:noProof/>
          <w:lang w:val="en-GB"/>
        </w:rPr>
        <w:t>Member States may not impose</w:t>
      </w:r>
      <w:r>
        <w:rPr>
          <w:rFonts w:ascii="Arial" w:hAnsi="Arial" w:cs="Arial"/>
          <w:bCs/>
          <w:noProof/>
          <w:lang w:val="en-GB"/>
        </w:rPr>
        <w:t xml:space="preserve"> mandatory liquidation on companies that wish to transfer their registered office to another Member State.</w:t>
      </w:r>
      <w:r>
        <w:rPr>
          <w:rFonts w:ascii="Arial" w:hAnsi="Arial" w:cs="Arial"/>
          <w:iCs/>
          <w:noProof/>
          <w:lang w:val="en-GB"/>
        </w:rPr>
        <w:t xml:space="preserve"> The transfer of the registered office of such a company, even with no change in the location of its real head office, falls within the scope of the f</w:t>
      </w:r>
      <w:r>
        <w:rPr>
          <w:rFonts w:ascii="Arial" w:hAnsi="Arial" w:cs="Arial"/>
          <w:iCs/>
          <w:noProof/>
          <w:lang w:val="en-GB"/>
        </w:rPr>
        <w:t>reedom of establishment protected by EU law</w:t>
      </w:r>
      <w:r>
        <w:rPr>
          <w:rStyle w:val="FootnoteReference"/>
          <w:rFonts w:ascii="Arial" w:hAnsi="Arial" w:cs="Arial"/>
          <w:iCs/>
          <w:noProof/>
          <w:lang w:val="en-GB"/>
        </w:rPr>
        <w:footnoteReference w:id="262"/>
      </w:r>
      <w:r>
        <w:rPr>
          <w:rFonts w:ascii="Arial" w:hAnsi="Arial" w:cs="Arial"/>
          <w:iCs/>
          <w:noProof/>
          <w:lang w:val="en-GB"/>
        </w:rPr>
        <w:t>.</w:t>
      </w:r>
    </w:p>
    <w:p w:rsidR="00E201F7" w:rsidRDefault="00E24EFF">
      <w:pPr>
        <w:pStyle w:val="Lijstje2"/>
        <w:spacing w:before="120" w:after="0"/>
        <w:ind w:left="1162" w:hanging="357"/>
        <w:contextualSpacing w:val="0"/>
        <w:rPr>
          <w:rFonts w:ascii="Arial" w:hAnsi="Arial" w:cs="Arial"/>
          <w:noProof/>
          <w:lang w:val="en-GB"/>
        </w:rPr>
      </w:pPr>
      <w:r>
        <w:rPr>
          <w:rFonts w:ascii="Arial" w:hAnsi="Arial" w:cs="Arial"/>
          <w:i/>
          <w:noProof/>
          <w:lang w:val="en-GB"/>
        </w:rPr>
        <w:t xml:space="preserve">Romania: </w:t>
      </w:r>
      <w:r>
        <w:rPr>
          <w:rFonts w:ascii="Arial" w:hAnsi="Arial" w:cs="Arial"/>
          <w:noProof/>
          <w:lang w:val="en-GB"/>
        </w:rPr>
        <w:t>When a financial institution grants a loan denominated in a foreign currency, it</w:t>
      </w:r>
      <w:r>
        <w:rPr>
          <w:rFonts w:ascii="Arial" w:hAnsi="Arial" w:cs="Arial"/>
          <w:iCs/>
          <w:noProof/>
          <w:lang w:val="en-GB"/>
        </w:rPr>
        <w:t xml:space="preserve"> must provide the borrower with sufficient information to enable him to take a prudent and well-informed decision and to evaluate the economic consequences of such clause on his financial obligations</w:t>
      </w:r>
      <w:r>
        <w:rPr>
          <w:rStyle w:val="FootnoteReference"/>
          <w:rFonts w:ascii="Arial" w:hAnsi="Arial" w:cs="Arial"/>
          <w:bCs/>
          <w:noProof/>
          <w:lang w:val="en-GB"/>
        </w:rPr>
        <w:footnoteReference w:id="263"/>
      </w:r>
      <w:r>
        <w:rPr>
          <w:rFonts w:ascii="Arial" w:hAnsi="Arial" w:cs="Arial"/>
          <w:iCs/>
          <w:noProof/>
          <w:lang w:val="en-GB"/>
        </w:rPr>
        <w:t>.</w:t>
      </w:r>
    </w:p>
    <w:p w:rsidR="00E201F7" w:rsidRDefault="00E24EFF">
      <w:pPr>
        <w:pStyle w:val="Lijstje2"/>
        <w:spacing w:before="120" w:after="0"/>
        <w:ind w:left="1162" w:hanging="357"/>
        <w:contextualSpacing w:val="0"/>
        <w:rPr>
          <w:rFonts w:ascii="Arial" w:hAnsi="Arial" w:cs="Arial"/>
          <w:noProof/>
          <w:lang w:val="en-GB"/>
        </w:rPr>
      </w:pPr>
      <w:r>
        <w:rPr>
          <w:rFonts w:ascii="Arial" w:hAnsi="Arial" w:cs="Arial"/>
          <w:i/>
          <w:noProof/>
          <w:lang w:val="en-GB"/>
        </w:rPr>
        <w:t>United Kingdom:</w:t>
      </w:r>
      <w:r>
        <w:rPr>
          <w:rFonts w:ascii="Arial" w:hAnsi="Arial" w:cs="Arial"/>
          <w:noProof/>
          <w:lang w:val="en-GB"/>
        </w:rPr>
        <w:t xml:space="preserve"> Once an EU citizen acquires the citize</w:t>
      </w:r>
      <w:r>
        <w:rPr>
          <w:rFonts w:ascii="Arial" w:hAnsi="Arial" w:cs="Arial"/>
          <w:noProof/>
          <w:lang w:val="en-GB"/>
        </w:rPr>
        <w:t>nship of another EU Member State, the Free Movement Directive ceases to apply to him/her.</w:t>
      </w:r>
      <w:r>
        <w:rPr>
          <w:rStyle w:val="FootnoteReference"/>
          <w:rFonts w:ascii="Arial" w:hAnsi="Arial" w:cs="Arial"/>
          <w:noProof/>
          <w:lang w:val="en-GB"/>
        </w:rPr>
        <w:footnoteReference w:id="264"/>
      </w:r>
      <w:r>
        <w:rPr>
          <w:rFonts w:ascii="Arial" w:hAnsi="Arial" w:cs="Arial"/>
          <w:noProof/>
          <w:lang w:val="en-GB"/>
        </w:rPr>
        <w:t xml:space="preserve"> Consequently, as a general rule his/her spouse cannot benefit from a derived right of residence in that EU Member State on the basis of the Directive unless this wou</w:t>
      </w:r>
      <w:r>
        <w:rPr>
          <w:rFonts w:ascii="Arial" w:hAnsi="Arial" w:cs="Arial"/>
          <w:noProof/>
          <w:lang w:val="en-GB"/>
        </w:rPr>
        <w:t>ld be necessary to ensure the effective exercise, by the EU citizen concerned, of his/her freedom of movement and of the rights which the Treaties affords him/her</w:t>
      </w:r>
      <w:r>
        <w:rPr>
          <w:rStyle w:val="FootnoteReference"/>
          <w:rFonts w:ascii="Arial" w:hAnsi="Arial" w:cs="Arial"/>
          <w:noProof/>
          <w:lang w:val="en-GB"/>
        </w:rPr>
        <w:footnoteReference w:id="265"/>
      </w:r>
      <w:r>
        <w:rPr>
          <w:rFonts w:ascii="Arial" w:hAnsi="Arial" w:cs="Arial"/>
          <w:noProof/>
          <w:lang w:val="en-GB"/>
        </w:rPr>
        <w:t>.</w:t>
      </w:r>
    </w:p>
    <w:p w:rsidR="00E201F7" w:rsidRDefault="00E24EFF">
      <w:pPr>
        <w:pStyle w:val="kop2"/>
        <w:rPr>
          <w:noProof/>
        </w:rPr>
      </w:pPr>
      <w:r>
        <w:rPr>
          <w:noProof/>
        </w:rPr>
        <w:t>Outlook</w:t>
      </w:r>
    </w:p>
    <w:p w:rsidR="00E201F7" w:rsidRDefault="00E24EFF">
      <w:pPr>
        <w:spacing w:after="60"/>
        <w:ind w:left="360"/>
        <w:jc w:val="left"/>
        <w:outlineLvl w:val="1"/>
        <w:rPr>
          <w:rFonts w:ascii="Arial" w:hAnsi="Arial"/>
          <w:noProof/>
          <w:color w:val="002060"/>
          <w:sz w:val="22"/>
        </w:rPr>
      </w:pPr>
      <w:r>
        <w:rPr>
          <w:rFonts w:ascii="Arial" w:hAnsi="Arial"/>
          <w:noProof/>
          <w:color w:val="002060"/>
          <w:sz w:val="22"/>
        </w:rPr>
        <w:t>Important implementation work in 2018 includes:</w:t>
      </w:r>
    </w:p>
    <w:p w:rsidR="00E201F7" w:rsidRDefault="00E24EFF">
      <w:pPr>
        <w:numPr>
          <w:ilvl w:val="0"/>
          <w:numId w:val="25"/>
        </w:numPr>
        <w:spacing w:before="120" w:after="120"/>
        <w:ind w:left="1276" w:hanging="357"/>
        <w:rPr>
          <w:rFonts w:ascii="Arial" w:eastAsia="Calibri" w:hAnsi="Arial"/>
          <w:noProof/>
          <w:color w:val="000000"/>
          <w:kern w:val="20"/>
          <w:sz w:val="20"/>
        </w:rPr>
      </w:pPr>
      <w:r>
        <w:rPr>
          <w:rFonts w:ascii="Arial" w:eastAsia="Calibri" w:hAnsi="Arial"/>
          <w:noProof/>
          <w:color w:val="000000"/>
          <w:kern w:val="20"/>
          <w:sz w:val="20"/>
        </w:rPr>
        <w:t xml:space="preserve">closely monitoring the application </w:t>
      </w:r>
      <w:r>
        <w:rPr>
          <w:rFonts w:ascii="Arial" w:eastAsia="Calibri" w:hAnsi="Arial"/>
          <w:noProof/>
          <w:color w:val="000000"/>
          <w:kern w:val="20"/>
          <w:sz w:val="20"/>
        </w:rPr>
        <w:t>of the:</w:t>
      </w:r>
    </w:p>
    <w:p w:rsidR="00E201F7" w:rsidRDefault="00E24EFF">
      <w:pPr>
        <w:numPr>
          <w:ilvl w:val="1"/>
          <w:numId w:val="25"/>
        </w:numPr>
        <w:ind w:left="1800"/>
        <w:contextualSpacing/>
        <w:rPr>
          <w:rFonts w:ascii="Arial" w:eastAsia="Calibri" w:hAnsi="Arial"/>
          <w:noProof/>
          <w:color w:val="000000"/>
          <w:kern w:val="20"/>
          <w:sz w:val="20"/>
        </w:rPr>
      </w:pPr>
      <w:r>
        <w:rPr>
          <w:rFonts w:ascii="Arial" w:eastAsia="Calibri" w:hAnsi="Arial"/>
          <w:noProof/>
          <w:color w:val="000000"/>
          <w:kern w:val="20"/>
          <w:sz w:val="20"/>
        </w:rPr>
        <w:t>General Data Protection Regulation</w:t>
      </w:r>
      <w:r>
        <w:rPr>
          <w:rStyle w:val="FootnoteReference"/>
          <w:rFonts w:ascii="Arial" w:eastAsia="Calibri" w:hAnsi="Arial"/>
          <w:noProof/>
          <w:color w:val="000000"/>
          <w:kern w:val="20"/>
          <w:sz w:val="20"/>
        </w:rPr>
        <w:footnoteReference w:id="266"/>
      </w:r>
      <w:r>
        <w:rPr>
          <w:rFonts w:ascii="Arial" w:eastAsia="Calibri" w:hAnsi="Arial"/>
          <w:noProof/>
          <w:color w:val="000000"/>
          <w:kern w:val="20"/>
          <w:sz w:val="20"/>
        </w:rPr>
        <w:t>;</w:t>
      </w:r>
    </w:p>
    <w:p w:rsidR="00E201F7" w:rsidRDefault="00E24EFF">
      <w:pPr>
        <w:numPr>
          <w:ilvl w:val="1"/>
          <w:numId w:val="25"/>
        </w:numPr>
        <w:spacing w:after="120"/>
        <w:ind w:left="1797" w:hanging="357"/>
        <w:rPr>
          <w:rFonts w:ascii="Arial" w:eastAsia="Calibri" w:hAnsi="Arial"/>
          <w:noProof/>
          <w:color w:val="000000"/>
          <w:kern w:val="20"/>
          <w:sz w:val="20"/>
        </w:rPr>
      </w:pPr>
      <w:r>
        <w:rPr>
          <w:rFonts w:ascii="Arial" w:eastAsia="Calibri" w:hAnsi="Arial"/>
          <w:noProof/>
          <w:color w:val="000000"/>
          <w:kern w:val="20"/>
          <w:sz w:val="20"/>
        </w:rPr>
        <w:t>Regulation on insolvency proceedings</w:t>
      </w:r>
      <w:r>
        <w:rPr>
          <w:rStyle w:val="FootnoteReference"/>
          <w:rFonts w:ascii="Arial" w:eastAsia="Calibri" w:hAnsi="Arial"/>
          <w:noProof/>
          <w:color w:val="000000"/>
          <w:kern w:val="20"/>
          <w:sz w:val="20"/>
        </w:rPr>
        <w:footnoteReference w:id="267"/>
      </w:r>
      <w:r>
        <w:rPr>
          <w:rFonts w:ascii="Arial" w:eastAsia="Calibri" w:hAnsi="Arial"/>
          <w:noProof/>
          <w:color w:val="000000"/>
          <w:kern w:val="20"/>
          <w:sz w:val="20"/>
        </w:rPr>
        <w:t>.</w:t>
      </w:r>
    </w:p>
    <w:p w:rsidR="00E201F7" w:rsidRDefault="00E24EFF">
      <w:pPr>
        <w:numPr>
          <w:ilvl w:val="0"/>
          <w:numId w:val="25"/>
        </w:numPr>
        <w:spacing w:before="120" w:after="120"/>
        <w:ind w:left="1276" w:hanging="357"/>
        <w:rPr>
          <w:rFonts w:ascii="Arial" w:eastAsia="Calibri" w:hAnsi="Arial"/>
          <w:noProof/>
          <w:color w:val="000000"/>
          <w:kern w:val="20"/>
          <w:sz w:val="20"/>
        </w:rPr>
      </w:pPr>
      <w:r>
        <w:rPr>
          <w:rFonts w:ascii="Arial" w:eastAsia="Calibri" w:hAnsi="Arial"/>
          <w:noProof/>
          <w:color w:val="000000"/>
          <w:kern w:val="20"/>
          <w:sz w:val="20"/>
        </w:rPr>
        <w:t>closely monitoring that Member States transpose on time the:</w:t>
      </w:r>
    </w:p>
    <w:p w:rsidR="00E201F7" w:rsidRDefault="00E24EFF">
      <w:pPr>
        <w:numPr>
          <w:ilvl w:val="1"/>
          <w:numId w:val="25"/>
        </w:numPr>
        <w:ind w:left="1800"/>
        <w:contextualSpacing/>
        <w:rPr>
          <w:rFonts w:ascii="Arial" w:eastAsia="Calibri" w:hAnsi="Arial"/>
          <w:noProof/>
          <w:color w:val="000000"/>
          <w:kern w:val="20"/>
          <w:sz w:val="20"/>
        </w:rPr>
      </w:pPr>
      <w:r>
        <w:rPr>
          <w:rFonts w:ascii="Arial" w:eastAsia="Calibri" w:hAnsi="Arial"/>
          <w:noProof/>
          <w:color w:val="000000"/>
          <w:kern w:val="20"/>
          <w:sz w:val="20"/>
        </w:rPr>
        <w:t xml:space="preserve">Directive on the protection of natural persons with regard to the processing of personal data by competent </w:t>
      </w:r>
      <w:r>
        <w:rPr>
          <w:rFonts w:ascii="Arial" w:eastAsia="Calibri" w:hAnsi="Arial"/>
          <w:noProof/>
          <w:color w:val="000000"/>
          <w:kern w:val="20"/>
          <w:sz w:val="20"/>
        </w:rPr>
        <w:t>authorities for the purpose of the prevention, investigation, detection or prosecution of criminal offences or the execution of criminal penalties, and on the free movement of such data</w:t>
      </w:r>
      <w:r>
        <w:rPr>
          <w:rStyle w:val="FootnoteReference"/>
          <w:rFonts w:ascii="Arial" w:eastAsia="Calibri" w:hAnsi="Arial"/>
          <w:noProof/>
          <w:color w:val="000000"/>
          <w:kern w:val="20"/>
          <w:sz w:val="20"/>
        </w:rPr>
        <w:footnoteReference w:id="268"/>
      </w:r>
      <w:r>
        <w:rPr>
          <w:rFonts w:ascii="Arial" w:eastAsia="Calibri" w:hAnsi="Arial"/>
          <w:noProof/>
          <w:color w:val="000000"/>
          <w:kern w:val="20"/>
          <w:sz w:val="20"/>
        </w:rPr>
        <w:t>;</w:t>
      </w:r>
    </w:p>
    <w:p w:rsidR="00E201F7" w:rsidRDefault="00E24EFF">
      <w:pPr>
        <w:numPr>
          <w:ilvl w:val="1"/>
          <w:numId w:val="25"/>
        </w:numPr>
        <w:ind w:left="1800"/>
        <w:contextualSpacing/>
        <w:rPr>
          <w:rFonts w:ascii="Arial" w:eastAsia="Calibri" w:hAnsi="Arial"/>
          <w:noProof/>
          <w:color w:val="000000"/>
          <w:kern w:val="20"/>
          <w:sz w:val="20"/>
        </w:rPr>
      </w:pPr>
      <w:r>
        <w:rPr>
          <w:rFonts w:ascii="Arial" w:eastAsia="Calibri" w:hAnsi="Arial"/>
          <w:noProof/>
          <w:color w:val="000000"/>
          <w:kern w:val="20"/>
          <w:sz w:val="20"/>
        </w:rPr>
        <w:t xml:space="preserve">Directive </w:t>
      </w:r>
      <w:r>
        <w:rPr>
          <w:rFonts w:ascii="Arial" w:hAnsi="Arial"/>
          <w:noProof/>
          <w:sz w:val="20"/>
        </w:rPr>
        <w:t>on the strengthening of certain aspects of the presumption</w:t>
      </w:r>
      <w:r>
        <w:rPr>
          <w:rFonts w:ascii="Arial" w:hAnsi="Arial"/>
          <w:noProof/>
          <w:sz w:val="20"/>
        </w:rPr>
        <w:t xml:space="preserve"> of innocence and of the right to be present at the trial in criminal law</w:t>
      </w:r>
      <w:r>
        <w:rPr>
          <w:rStyle w:val="FootnoteReference"/>
          <w:rFonts w:ascii="Arial" w:hAnsi="Arial"/>
          <w:noProof/>
          <w:sz w:val="20"/>
        </w:rPr>
        <w:footnoteReference w:id="269"/>
      </w:r>
      <w:r>
        <w:rPr>
          <w:rFonts w:ascii="Arial" w:hAnsi="Arial"/>
          <w:noProof/>
          <w:sz w:val="20"/>
        </w:rPr>
        <w:t>;</w:t>
      </w:r>
    </w:p>
    <w:p w:rsidR="00E201F7" w:rsidRDefault="00E24EFF">
      <w:pPr>
        <w:numPr>
          <w:ilvl w:val="1"/>
          <w:numId w:val="25"/>
        </w:numPr>
        <w:ind w:left="1800"/>
        <w:contextualSpacing/>
        <w:rPr>
          <w:rFonts w:ascii="Arial" w:eastAsia="Calibri" w:hAnsi="Arial"/>
          <w:noProof/>
          <w:color w:val="000000"/>
          <w:kern w:val="20"/>
          <w:sz w:val="20"/>
        </w:rPr>
      </w:pPr>
      <w:r>
        <w:rPr>
          <w:rFonts w:ascii="Arial" w:eastAsia="Calibri" w:hAnsi="Arial"/>
          <w:noProof/>
          <w:color w:val="000000"/>
          <w:kern w:val="20"/>
          <w:sz w:val="20"/>
        </w:rPr>
        <w:t>Directive on package travel and linked travel arrangements</w:t>
      </w:r>
      <w:r>
        <w:rPr>
          <w:rStyle w:val="FootnoteReference"/>
          <w:rFonts w:ascii="Arial" w:eastAsia="Calibri" w:hAnsi="Arial"/>
          <w:noProof/>
          <w:color w:val="000000"/>
          <w:kern w:val="20"/>
          <w:sz w:val="20"/>
        </w:rPr>
        <w:footnoteReference w:id="270"/>
      </w:r>
      <w:r>
        <w:rPr>
          <w:rFonts w:ascii="Arial" w:eastAsia="Calibri" w:hAnsi="Arial"/>
          <w:noProof/>
          <w:color w:val="000000"/>
          <w:kern w:val="20"/>
          <w:sz w:val="20"/>
        </w:rPr>
        <w:t>;</w:t>
      </w:r>
    </w:p>
    <w:p w:rsidR="00E201F7" w:rsidRDefault="00E24EFF">
      <w:pPr>
        <w:numPr>
          <w:ilvl w:val="1"/>
          <w:numId w:val="25"/>
        </w:numPr>
        <w:spacing w:after="120"/>
        <w:ind w:left="1797" w:hanging="357"/>
        <w:rPr>
          <w:rFonts w:ascii="Arial" w:eastAsia="Calibri" w:hAnsi="Arial"/>
          <w:noProof/>
          <w:color w:val="000000"/>
          <w:kern w:val="20"/>
          <w:sz w:val="20"/>
        </w:rPr>
      </w:pPr>
      <w:r>
        <w:rPr>
          <w:rFonts w:ascii="Arial" w:eastAsia="Calibri" w:hAnsi="Arial"/>
          <w:noProof/>
          <w:color w:val="000000"/>
          <w:kern w:val="20"/>
          <w:sz w:val="20"/>
        </w:rPr>
        <w:t>Council Directive</w:t>
      </w:r>
      <w:r>
        <w:rPr>
          <w:rFonts w:ascii="Arial" w:hAnsi="Arial"/>
          <w:b/>
          <w:noProof/>
          <w:sz w:val="20"/>
        </w:rPr>
        <w:t xml:space="preserve"> </w:t>
      </w:r>
      <w:r>
        <w:rPr>
          <w:rFonts w:ascii="Arial" w:hAnsi="Arial"/>
          <w:noProof/>
          <w:sz w:val="20"/>
        </w:rPr>
        <w:t>on the coordination and cooperation measures to facilitate consular protection for unrepresented citi</w:t>
      </w:r>
      <w:r>
        <w:rPr>
          <w:rFonts w:ascii="Arial" w:hAnsi="Arial"/>
          <w:noProof/>
          <w:sz w:val="20"/>
        </w:rPr>
        <w:t>zens of the Union in third countries</w:t>
      </w:r>
      <w:r>
        <w:rPr>
          <w:rStyle w:val="FootnoteReference"/>
          <w:rFonts w:ascii="Arial" w:hAnsi="Arial"/>
          <w:noProof/>
          <w:sz w:val="20"/>
        </w:rPr>
        <w:footnoteReference w:id="271"/>
      </w:r>
      <w:r>
        <w:rPr>
          <w:rFonts w:ascii="Arial" w:hAnsi="Arial"/>
          <w:noProof/>
          <w:sz w:val="20"/>
        </w:rPr>
        <w:t>.</w:t>
      </w:r>
    </w:p>
    <w:p w:rsidR="00E201F7" w:rsidRDefault="00E24EFF">
      <w:pPr>
        <w:numPr>
          <w:ilvl w:val="0"/>
          <w:numId w:val="25"/>
        </w:numPr>
        <w:spacing w:before="120" w:after="120"/>
        <w:ind w:left="1276" w:hanging="357"/>
        <w:rPr>
          <w:rFonts w:ascii="Arial" w:eastAsia="Calibri" w:hAnsi="Arial"/>
          <w:noProof/>
          <w:color w:val="000000"/>
          <w:kern w:val="20"/>
          <w:sz w:val="20"/>
        </w:rPr>
      </w:pPr>
      <w:r>
        <w:rPr>
          <w:rFonts w:ascii="Arial" w:eastAsia="Calibri" w:hAnsi="Arial"/>
          <w:noProof/>
          <w:color w:val="000000"/>
          <w:kern w:val="20"/>
          <w:sz w:val="20"/>
        </w:rPr>
        <w:t>assessing that Member States correctly transpose the:</w:t>
      </w:r>
    </w:p>
    <w:p w:rsidR="00E201F7" w:rsidRDefault="00E24EFF">
      <w:pPr>
        <w:numPr>
          <w:ilvl w:val="1"/>
          <w:numId w:val="25"/>
        </w:numPr>
        <w:ind w:left="1800"/>
        <w:contextualSpacing/>
        <w:rPr>
          <w:rFonts w:ascii="Arial" w:eastAsia="Calibri" w:hAnsi="Arial"/>
          <w:noProof/>
          <w:kern w:val="20"/>
          <w:sz w:val="20"/>
        </w:rPr>
      </w:pPr>
      <w:r>
        <w:rPr>
          <w:rFonts w:ascii="Arial" w:eastAsia="Calibri" w:hAnsi="Arial"/>
          <w:noProof/>
          <w:kern w:val="20"/>
          <w:sz w:val="20"/>
        </w:rPr>
        <w:t>Consumer Rights Directive</w:t>
      </w:r>
      <w:r>
        <w:rPr>
          <w:rStyle w:val="FootnoteReference"/>
          <w:rFonts w:ascii="Arial" w:eastAsia="Calibri" w:hAnsi="Arial"/>
          <w:noProof/>
          <w:kern w:val="20"/>
          <w:sz w:val="20"/>
        </w:rPr>
        <w:footnoteReference w:id="272"/>
      </w:r>
      <w:r>
        <w:rPr>
          <w:rFonts w:ascii="Arial" w:eastAsia="Calibri" w:hAnsi="Arial"/>
          <w:noProof/>
          <w:kern w:val="20"/>
          <w:sz w:val="20"/>
        </w:rPr>
        <w:t>;</w:t>
      </w:r>
    </w:p>
    <w:p w:rsidR="00E201F7" w:rsidRDefault="00E24EFF">
      <w:pPr>
        <w:numPr>
          <w:ilvl w:val="1"/>
          <w:numId w:val="25"/>
        </w:numPr>
        <w:spacing w:after="0"/>
        <w:ind w:left="1797" w:hanging="357"/>
        <w:rPr>
          <w:rFonts w:ascii="Arial" w:eastAsia="Calibri" w:hAnsi="Arial"/>
          <w:noProof/>
          <w:kern w:val="20"/>
          <w:sz w:val="20"/>
        </w:rPr>
      </w:pPr>
      <w:r>
        <w:rPr>
          <w:rFonts w:ascii="Arial" w:eastAsia="Calibri" w:hAnsi="Arial"/>
          <w:noProof/>
          <w:kern w:val="20"/>
          <w:sz w:val="20"/>
        </w:rPr>
        <w:t>Unfair Commercial Practices Directive</w:t>
      </w:r>
      <w:r>
        <w:rPr>
          <w:rStyle w:val="FootnoteReference"/>
          <w:rFonts w:ascii="Arial" w:eastAsia="Calibri" w:hAnsi="Arial"/>
          <w:noProof/>
          <w:kern w:val="20"/>
          <w:sz w:val="20"/>
        </w:rPr>
        <w:footnoteReference w:id="273"/>
      </w:r>
      <w:r>
        <w:rPr>
          <w:rFonts w:ascii="Arial" w:eastAsia="Calibri" w:hAnsi="Arial"/>
          <w:noProof/>
          <w:kern w:val="20"/>
          <w:sz w:val="20"/>
        </w:rPr>
        <w:t>;</w:t>
      </w:r>
    </w:p>
    <w:p w:rsidR="00E201F7" w:rsidRDefault="00E24EFF">
      <w:pPr>
        <w:numPr>
          <w:ilvl w:val="1"/>
          <w:numId w:val="25"/>
        </w:numPr>
        <w:spacing w:after="120"/>
        <w:ind w:left="1797" w:hanging="357"/>
        <w:rPr>
          <w:rFonts w:ascii="Arial" w:eastAsia="Calibri" w:hAnsi="Arial"/>
          <w:noProof/>
          <w:kern w:val="20"/>
          <w:sz w:val="20"/>
        </w:rPr>
      </w:pPr>
      <w:r>
        <w:rPr>
          <w:rFonts w:ascii="Arial" w:eastAsia="Calibri" w:hAnsi="Arial"/>
          <w:noProof/>
          <w:kern w:val="20"/>
          <w:sz w:val="20"/>
        </w:rPr>
        <w:t>Procedural rights of suspects and accused persons</w:t>
      </w:r>
      <w:r>
        <w:rPr>
          <w:rStyle w:val="FootnoteReference"/>
          <w:rFonts w:ascii="Arial" w:eastAsia="Calibri" w:hAnsi="Arial"/>
          <w:noProof/>
          <w:kern w:val="20"/>
          <w:sz w:val="20"/>
        </w:rPr>
        <w:footnoteReference w:id="274"/>
      </w:r>
      <w:r>
        <w:rPr>
          <w:rFonts w:ascii="Arial" w:eastAsia="Calibri" w:hAnsi="Arial"/>
          <w:noProof/>
          <w:kern w:val="20"/>
          <w:sz w:val="20"/>
        </w:rPr>
        <w:t>.</w:t>
      </w:r>
    </w:p>
    <w:p w:rsidR="00E201F7" w:rsidRDefault="00E24EFF">
      <w:pPr>
        <w:numPr>
          <w:ilvl w:val="0"/>
          <w:numId w:val="25"/>
        </w:numPr>
        <w:spacing w:before="120" w:after="120"/>
        <w:ind w:left="1276" w:hanging="357"/>
        <w:rPr>
          <w:rFonts w:ascii="Arial" w:eastAsia="Calibri" w:hAnsi="Arial"/>
          <w:noProof/>
          <w:color w:val="000000"/>
          <w:kern w:val="20"/>
          <w:sz w:val="20"/>
        </w:rPr>
      </w:pPr>
      <w:r>
        <w:rPr>
          <w:rFonts w:ascii="Arial" w:eastAsia="Calibri" w:hAnsi="Arial"/>
          <w:noProof/>
          <w:color w:val="000000"/>
          <w:kern w:val="20"/>
          <w:sz w:val="20"/>
        </w:rPr>
        <w:t>ensuring appropriate follow-up to the Court</w:t>
      </w:r>
      <w:r>
        <w:rPr>
          <w:rFonts w:ascii="Arial" w:eastAsia="Calibri" w:hAnsi="Arial"/>
          <w:noProof/>
          <w:color w:val="000000"/>
          <w:kern w:val="20"/>
          <w:sz w:val="20"/>
        </w:rPr>
        <w:t>’s preliminary rulings concerning:</w:t>
      </w:r>
    </w:p>
    <w:p w:rsidR="00E201F7" w:rsidRDefault="00E24EFF">
      <w:pPr>
        <w:numPr>
          <w:ilvl w:val="1"/>
          <w:numId w:val="25"/>
        </w:numPr>
        <w:ind w:left="1800"/>
        <w:contextualSpacing/>
        <w:rPr>
          <w:rFonts w:ascii="Arial" w:eastAsia="Calibri" w:hAnsi="Arial"/>
          <w:noProof/>
          <w:color w:val="000000"/>
          <w:kern w:val="20"/>
          <w:sz w:val="20"/>
        </w:rPr>
      </w:pPr>
      <w:r>
        <w:rPr>
          <w:rFonts w:ascii="Arial" w:eastAsia="Calibri" w:hAnsi="Arial"/>
          <w:noProof/>
          <w:color w:val="000000"/>
          <w:kern w:val="20"/>
          <w:sz w:val="20"/>
        </w:rPr>
        <w:t>free movement rights of same sex couples</w:t>
      </w:r>
      <w:r>
        <w:rPr>
          <w:rStyle w:val="FootnoteReference"/>
          <w:rFonts w:ascii="Arial" w:eastAsia="Calibri" w:hAnsi="Arial"/>
          <w:noProof/>
          <w:color w:val="000000"/>
          <w:kern w:val="20"/>
          <w:sz w:val="20"/>
        </w:rPr>
        <w:footnoteReference w:id="275"/>
      </w:r>
      <w:r>
        <w:rPr>
          <w:rFonts w:ascii="Arial" w:eastAsia="Calibri" w:hAnsi="Arial"/>
          <w:noProof/>
          <w:color w:val="000000"/>
          <w:kern w:val="20"/>
          <w:sz w:val="20"/>
        </w:rPr>
        <w:t>;</w:t>
      </w:r>
    </w:p>
    <w:p w:rsidR="00E201F7" w:rsidRDefault="00E24EFF">
      <w:pPr>
        <w:numPr>
          <w:ilvl w:val="1"/>
          <w:numId w:val="25"/>
        </w:numPr>
        <w:ind w:left="1800"/>
        <w:contextualSpacing/>
        <w:rPr>
          <w:rFonts w:ascii="Arial" w:eastAsia="Calibri" w:hAnsi="Arial"/>
          <w:noProof/>
          <w:color w:val="000000"/>
          <w:kern w:val="20"/>
          <w:sz w:val="20"/>
        </w:rPr>
      </w:pPr>
      <w:r>
        <w:rPr>
          <w:rFonts w:ascii="Arial" w:eastAsia="Calibri" w:hAnsi="Arial"/>
          <w:noProof/>
          <w:color w:val="000000"/>
          <w:kern w:val="20"/>
          <w:sz w:val="20"/>
        </w:rPr>
        <w:t>citizenship of the Union</w:t>
      </w:r>
      <w:r>
        <w:rPr>
          <w:rStyle w:val="FootnoteReference"/>
          <w:rFonts w:ascii="Arial" w:eastAsia="Calibri" w:hAnsi="Arial"/>
          <w:noProof/>
          <w:color w:val="000000"/>
          <w:kern w:val="20"/>
          <w:sz w:val="20"/>
        </w:rPr>
        <w:footnoteReference w:id="276"/>
      </w:r>
      <w:r>
        <w:rPr>
          <w:rFonts w:ascii="Arial" w:eastAsia="Calibri" w:hAnsi="Arial"/>
          <w:noProof/>
          <w:color w:val="000000"/>
          <w:kern w:val="20"/>
          <w:sz w:val="20"/>
        </w:rPr>
        <w:t>;</w:t>
      </w:r>
    </w:p>
    <w:p w:rsidR="00E201F7" w:rsidRDefault="00E24EFF">
      <w:pPr>
        <w:numPr>
          <w:ilvl w:val="1"/>
          <w:numId w:val="25"/>
        </w:numPr>
        <w:ind w:left="1800"/>
        <w:contextualSpacing/>
        <w:rPr>
          <w:rFonts w:ascii="Arial" w:eastAsia="Calibri" w:hAnsi="Arial"/>
          <w:noProof/>
          <w:color w:val="000000"/>
          <w:kern w:val="20"/>
          <w:sz w:val="20"/>
        </w:rPr>
      </w:pPr>
      <w:r>
        <w:rPr>
          <w:rFonts w:ascii="Arial" w:eastAsia="Calibri" w:hAnsi="Arial"/>
          <w:noProof/>
          <w:color w:val="000000"/>
          <w:kern w:val="20"/>
          <w:sz w:val="20"/>
        </w:rPr>
        <w:t>data protection</w:t>
      </w:r>
      <w:r>
        <w:rPr>
          <w:rStyle w:val="FootnoteReference"/>
          <w:rFonts w:ascii="Arial" w:eastAsia="Calibri" w:hAnsi="Arial"/>
          <w:noProof/>
          <w:color w:val="000000"/>
          <w:kern w:val="20"/>
          <w:sz w:val="20"/>
        </w:rPr>
        <w:footnoteReference w:id="277"/>
      </w:r>
      <w:r>
        <w:rPr>
          <w:rFonts w:ascii="Arial" w:eastAsia="Calibri" w:hAnsi="Arial"/>
          <w:noProof/>
          <w:color w:val="000000"/>
          <w:kern w:val="20"/>
          <w:sz w:val="20"/>
        </w:rPr>
        <w:t>.</w:t>
      </w:r>
    </w:p>
    <w:p w:rsidR="00E201F7" w:rsidRDefault="00E201F7">
      <w:pPr>
        <w:rPr>
          <w:noProof/>
        </w:rPr>
      </w:pPr>
    </w:p>
    <w:p w:rsidR="00E201F7" w:rsidRDefault="00E201F7">
      <w:pPr>
        <w:pStyle w:val="ListParagraph"/>
        <w:numPr>
          <w:ilvl w:val="0"/>
          <w:numId w:val="25"/>
        </w:numPr>
        <w:rPr>
          <w:rFonts w:cs="Arial"/>
          <w:noProof/>
          <w:sz w:val="20"/>
        </w:rPr>
        <w:sectPr w:rsidR="00E201F7">
          <w:headerReference w:type="even" r:id="rId132"/>
          <w:headerReference w:type="default" r:id="rId133"/>
          <w:footerReference w:type="even" r:id="rId134"/>
          <w:footerReference w:type="default" r:id="rId135"/>
          <w:headerReference w:type="first" r:id="rId136"/>
          <w:footerReference w:type="first" r:id="rId137"/>
          <w:footnotePr>
            <w:numRestart w:val="eachSect"/>
          </w:footnotePr>
          <w:pgSz w:w="11907" w:h="16839" w:code="9"/>
          <w:pgMar w:top="1843" w:right="1275" w:bottom="737" w:left="1418" w:header="567" w:footer="352" w:gutter="0"/>
          <w:cols w:space="720"/>
          <w:titlePg/>
          <w:docGrid w:linePitch="326"/>
        </w:sectPr>
      </w:pPr>
    </w:p>
    <w:p w:rsidR="00E201F7" w:rsidRDefault="00E24EFF">
      <w:pPr>
        <w:pStyle w:val="Heading1"/>
        <w:spacing w:after="0"/>
        <w:rPr>
          <w:rFonts w:ascii="Arial" w:hAnsi="Arial"/>
          <w:noProof/>
        </w:rPr>
      </w:pPr>
      <w:bookmarkStart w:id="108" w:name="_Toc443057943"/>
      <w:bookmarkStart w:id="109" w:name="_Toc475524739"/>
      <w:bookmarkStart w:id="110" w:name="_Toc475529506"/>
      <w:bookmarkStart w:id="111" w:name="_Toc475529545"/>
      <w:bookmarkStart w:id="112" w:name="_Toc475529873"/>
      <w:bookmarkStart w:id="113" w:name="_Toc475550838"/>
      <w:bookmarkStart w:id="114" w:name="_Toc475551378"/>
      <w:bookmarkStart w:id="115" w:name="_Toc507510321"/>
      <w:bookmarkStart w:id="116" w:name="_Toc507517735"/>
      <w:bookmarkStart w:id="117" w:name="_Toc507520116"/>
      <w:bookmarkStart w:id="118" w:name="_Toc510016533"/>
      <w:r>
        <w:rPr>
          <w:rFonts w:ascii="Arial" w:hAnsi="Arial"/>
          <w:noProof/>
        </w:rPr>
        <w:t>Maritime affairs and fisheries</w:t>
      </w:r>
      <w:bookmarkEnd w:id="108"/>
      <w:bookmarkEnd w:id="109"/>
      <w:bookmarkEnd w:id="110"/>
      <w:bookmarkEnd w:id="111"/>
      <w:bookmarkEnd w:id="112"/>
      <w:bookmarkEnd w:id="113"/>
      <w:bookmarkEnd w:id="114"/>
      <w:bookmarkEnd w:id="115"/>
      <w:bookmarkEnd w:id="116"/>
      <w:bookmarkEnd w:id="117"/>
      <w:bookmarkEnd w:id="118"/>
    </w:p>
    <w:p w:rsidR="00E201F7" w:rsidRDefault="00E24EFF">
      <w:pPr>
        <w:pStyle w:val="kop2"/>
        <w:numPr>
          <w:ilvl w:val="0"/>
          <w:numId w:val="89"/>
        </w:numPr>
        <w:rPr>
          <w:noProof/>
        </w:rPr>
      </w:pPr>
      <w:r>
        <w:rPr>
          <w:noProof/>
        </w:rPr>
        <w:t>COMPLAINTS</w:t>
      </w:r>
    </w:p>
    <w:p w:rsidR="00E201F7" w:rsidRDefault="00E24EFF">
      <w:pPr>
        <w:spacing w:before="240"/>
        <w:ind w:left="714" w:hanging="357"/>
        <w:jc w:val="left"/>
        <w:outlineLvl w:val="1"/>
        <w:rPr>
          <w:noProof/>
          <w:color w:val="002060"/>
        </w:rPr>
      </w:pPr>
      <w:r>
        <w:rPr>
          <w:noProof/>
          <w:color w:val="002060"/>
        </w:rPr>
        <w:t>1</w:t>
      </w:r>
      <w:r>
        <w:rPr>
          <w:rFonts w:ascii="Arial" w:hAnsi="Arial"/>
          <w:noProof/>
          <w:color w:val="002060"/>
          <w:sz w:val="22"/>
        </w:rPr>
        <w:t>.</w:t>
      </w:r>
      <w:r>
        <w:rPr>
          <w:rFonts w:ascii="Arial" w:hAnsi="Arial"/>
          <w:noProof/>
          <w:color w:val="002060"/>
          <w:sz w:val="22"/>
        </w:rPr>
        <w:tab/>
        <w:t>New complaints received from members of the public (2013-2017)</w:t>
      </w:r>
    </w:p>
    <w:p w:rsidR="00E201F7" w:rsidRDefault="00E24EFF">
      <w:pPr>
        <w:ind w:left="720"/>
        <w:rPr>
          <w:rFonts w:ascii="Calibri" w:eastAsia="Calibri" w:hAnsi="Calibri"/>
          <w:noProof/>
        </w:rPr>
      </w:pPr>
      <w:r>
        <w:rPr>
          <w:rFonts w:ascii="Calibri" w:eastAsia="Calibri" w:hAnsi="Calibri"/>
          <w:noProof/>
        </w:rPr>
        <w:drawing>
          <wp:inline distT="0" distB="0" distL="0" distR="0" wp14:anchorId="51BB663B" wp14:editId="1D4DC1F9">
            <wp:extent cx="4592320" cy="2032000"/>
            <wp:effectExtent l="0" t="0" r="0" b="0"/>
            <wp:docPr id="64"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E201F7" w:rsidRDefault="00E24EFF">
      <w:pPr>
        <w:spacing w:before="240"/>
        <w:ind w:left="714" w:hanging="357"/>
        <w:jc w:val="left"/>
        <w:outlineLvl w:val="1"/>
        <w:rPr>
          <w:rFonts w:ascii="Arial" w:hAnsi="Arial"/>
          <w:noProof/>
          <w:color w:val="002060"/>
          <w:sz w:val="22"/>
        </w:rPr>
      </w:pPr>
      <w:r>
        <w:rPr>
          <w:rFonts w:ascii="Arial" w:hAnsi="Arial"/>
          <w:noProof/>
          <w:color w:val="002060"/>
          <w:sz w:val="22"/>
        </w:rPr>
        <w:t>2.</w:t>
      </w:r>
      <w:r>
        <w:rPr>
          <w:rFonts w:ascii="Arial" w:hAnsi="Arial"/>
          <w:noProof/>
          <w:color w:val="002060"/>
          <w:sz w:val="22"/>
        </w:rPr>
        <w:tab/>
        <w:t xml:space="preserve">Public </w:t>
      </w:r>
      <w:r>
        <w:rPr>
          <w:rFonts w:ascii="Arial" w:hAnsi="Arial"/>
          <w:noProof/>
          <w:color w:val="002060"/>
          <w:sz w:val="22"/>
        </w:rPr>
        <w:t>complaints open at year-end</w:t>
      </w:r>
    </w:p>
    <w:tbl>
      <w:tblPr>
        <w:tblW w:w="0" w:type="auto"/>
        <w:jc w:val="center"/>
        <w:tblLook w:val="04A0" w:firstRow="1" w:lastRow="0" w:firstColumn="1" w:lastColumn="0" w:noHBand="0" w:noVBand="1"/>
      </w:tblPr>
      <w:tblGrid>
        <w:gridCol w:w="1697"/>
        <w:gridCol w:w="345"/>
        <w:gridCol w:w="5310"/>
      </w:tblGrid>
      <w:tr w:rsidR="00E201F7">
        <w:trPr>
          <w:trHeight w:val="403"/>
          <w:jc w:val="center"/>
        </w:trPr>
        <w:tc>
          <w:tcPr>
            <w:tcW w:w="1697" w:type="dxa"/>
            <w:shd w:val="clear" w:color="auto" w:fill="auto"/>
            <w:vAlign w:val="center"/>
          </w:tcPr>
          <w:p w:rsidR="00E201F7" w:rsidRDefault="00E24EFF">
            <w:pPr>
              <w:spacing w:after="0"/>
              <w:jc w:val="right"/>
              <w:rPr>
                <w:rFonts w:ascii="Arial" w:hAnsi="Arial"/>
                <w:noProof/>
                <w:color w:val="548DD4"/>
                <w:sz w:val="22"/>
              </w:rPr>
            </w:pPr>
            <w:r>
              <w:rPr>
                <w:rFonts w:ascii="Arial" w:hAnsi="Arial"/>
                <w:noProof/>
                <w:color w:val="548DD4"/>
                <w:sz w:val="22"/>
              </w:rPr>
              <w:t>17</w:t>
            </w:r>
          </w:p>
        </w:tc>
        <w:tc>
          <w:tcPr>
            <w:tcW w:w="319" w:type="dxa"/>
            <w:shd w:val="clear" w:color="auto" w:fill="auto"/>
            <w:vAlign w:val="center"/>
          </w:tcPr>
          <w:p w:rsidR="00E201F7" w:rsidRDefault="00E24EFF">
            <w:pPr>
              <w:spacing w:after="0"/>
              <w:jc w:val="right"/>
              <w:rPr>
                <w:rFonts w:ascii="Arial" w:hAnsi="Arial"/>
                <w:noProof/>
                <w:color w:val="548DD4"/>
                <w:sz w:val="22"/>
              </w:rPr>
            </w:pPr>
            <w:r>
              <w:rPr>
                <w:rFonts w:ascii="Arial" w:hAnsi="Arial"/>
                <w:noProof/>
                <w:color w:val="548DD4"/>
                <w:sz w:val="22"/>
              </w:rPr>
              <w:t>&gt;</w:t>
            </w:r>
          </w:p>
        </w:tc>
        <w:tc>
          <w:tcPr>
            <w:tcW w:w="5310" w:type="dxa"/>
            <w:shd w:val="clear" w:color="auto" w:fill="auto"/>
            <w:vAlign w:val="center"/>
          </w:tcPr>
          <w:p w:rsidR="00E201F7" w:rsidRDefault="00E24EFF">
            <w:pPr>
              <w:spacing w:after="0"/>
              <w:jc w:val="left"/>
              <w:rPr>
                <w:rFonts w:ascii="Arial" w:hAnsi="Arial"/>
                <w:noProof/>
                <w:color w:val="548DD4"/>
                <w:sz w:val="22"/>
              </w:rPr>
            </w:pPr>
            <w:r>
              <w:rPr>
                <w:rFonts w:ascii="Arial" w:hAnsi="Arial"/>
                <w:noProof/>
                <w:color w:val="548DD4"/>
                <w:sz w:val="22"/>
              </w:rPr>
              <w:t>Complaints open at end-2016</w:t>
            </w:r>
          </w:p>
        </w:tc>
      </w:tr>
      <w:tr w:rsidR="00E201F7">
        <w:trPr>
          <w:trHeight w:val="403"/>
          <w:jc w:val="center"/>
        </w:trPr>
        <w:tc>
          <w:tcPr>
            <w:tcW w:w="1697" w:type="dxa"/>
            <w:shd w:val="clear" w:color="auto" w:fill="auto"/>
            <w:vAlign w:val="center"/>
          </w:tcPr>
          <w:p w:rsidR="00E201F7" w:rsidRDefault="00E24EFF">
            <w:pPr>
              <w:spacing w:after="0"/>
              <w:jc w:val="right"/>
              <w:rPr>
                <w:rFonts w:ascii="Arial" w:hAnsi="Arial"/>
                <w:noProof/>
                <w:color w:val="548DD4"/>
                <w:sz w:val="22"/>
              </w:rPr>
            </w:pPr>
            <w:r>
              <w:rPr>
                <w:rFonts w:ascii="Arial" w:hAnsi="Arial"/>
                <w:noProof/>
                <w:color w:val="548DD4"/>
                <w:sz w:val="22"/>
              </w:rPr>
              <w:t>12</w:t>
            </w:r>
          </w:p>
        </w:tc>
        <w:tc>
          <w:tcPr>
            <w:tcW w:w="319" w:type="dxa"/>
            <w:shd w:val="clear" w:color="auto" w:fill="auto"/>
            <w:vAlign w:val="center"/>
          </w:tcPr>
          <w:p w:rsidR="00E201F7" w:rsidRDefault="00E24EFF">
            <w:pPr>
              <w:spacing w:after="0"/>
              <w:jc w:val="right"/>
              <w:rPr>
                <w:rFonts w:ascii="Arial" w:hAnsi="Arial"/>
                <w:noProof/>
                <w:color w:val="548DD4"/>
                <w:sz w:val="22"/>
              </w:rPr>
            </w:pPr>
            <w:r>
              <w:rPr>
                <w:rFonts w:ascii="Arial" w:hAnsi="Arial"/>
                <w:noProof/>
                <w:color w:val="548DD4"/>
                <w:sz w:val="22"/>
              </w:rPr>
              <w:t>&gt;</w:t>
            </w:r>
          </w:p>
        </w:tc>
        <w:tc>
          <w:tcPr>
            <w:tcW w:w="5310" w:type="dxa"/>
            <w:shd w:val="clear" w:color="auto" w:fill="auto"/>
            <w:vAlign w:val="center"/>
          </w:tcPr>
          <w:p w:rsidR="00E201F7" w:rsidRDefault="00E24EFF">
            <w:pPr>
              <w:spacing w:after="0"/>
              <w:jc w:val="left"/>
              <w:rPr>
                <w:rFonts w:ascii="Arial" w:hAnsi="Arial"/>
                <w:noProof/>
                <w:color w:val="548DD4"/>
                <w:sz w:val="22"/>
              </w:rPr>
            </w:pPr>
            <w:r>
              <w:rPr>
                <w:rFonts w:ascii="Arial" w:hAnsi="Arial"/>
                <w:noProof/>
                <w:color w:val="548DD4"/>
                <w:sz w:val="22"/>
              </w:rPr>
              <w:t>New complaints registered in 2017</w:t>
            </w:r>
          </w:p>
        </w:tc>
      </w:tr>
      <w:tr w:rsidR="00E201F7">
        <w:trPr>
          <w:trHeight w:val="403"/>
          <w:jc w:val="center"/>
        </w:trPr>
        <w:tc>
          <w:tcPr>
            <w:tcW w:w="1697" w:type="dxa"/>
            <w:tcBorders>
              <w:bottom w:val="single" w:sz="24" w:space="0" w:color="548DD4"/>
            </w:tcBorders>
            <w:shd w:val="clear" w:color="auto" w:fill="auto"/>
            <w:vAlign w:val="center"/>
          </w:tcPr>
          <w:p w:rsidR="00E201F7" w:rsidRDefault="00E24EFF">
            <w:pPr>
              <w:spacing w:after="0"/>
              <w:jc w:val="right"/>
              <w:rPr>
                <w:rFonts w:ascii="Arial" w:hAnsi="Arial"/>
                <w:noProof/>
                <w:color w:val="548DD4"/>
                <w:sz w:val="22"/>
              </w:rPr>
            </w:pPr>
            <w:r>
              <w:rPr>
                <w:rFonts w:ascii="Arial" w:hAnsi="Arial"/>
                <w:noProof/>
                <w:color w:val="548DD4"/>
                <w:sz w:val="22"/>
              </w:rPr>
              <w:t>5</w:t>
            </w:r>
          </w:p>
        </w:tc>
        <w:tc>
          <w:tcPr>
            <w:tcW w:w="319" w:type="dxa"/>
            <w:shd w:val="clear" w:color="auto" w:fill="auto"/>
            <w:vAlign w:val="center"/>
          </w:tcPr>
          <w:p w:rsidR="00E201F7" w:rsidRDefault="00E24EFF">
            <w:pPr>
              <w:spacing w:after="0"/>
              <w:jc w:val="right"/>
              <w:rPr>
                <w:rFonts w:ascii="Arial" w:hAnsi="Arial"/>
                <w:noProof/>
                <w:color w:val="548DD4"/>
                <w:sz w:val="22"/>
              </w:rPr>
            </w:pPr>
            <w:r>
              <w:rPr>
                <w:rFonts w:ascii="Arial" w:hAnsi="Arial"/>
                <w:noProof/>
                <w:color w:val="548DD4"/>
                <w:sz w:val="22"/>
              </w:rPr>
              <w:t>&gt;</w:t>
            </w:r>
          </w:p>
        </w:tc>
        <w:tc>
          <w:tcPr>
            <w:tcW w:w="5310" w:type="dxa"/>
            <w:shd w:val="clear" w:color="auto" w:fill="auto"/>
            <w:vAlign w:val="center"/>
          </w:tcPr>
          <w:p w:rsidR="00E201F7" w:rsidRDefault="00E24EFF">
            <w:pPr>
              <w:spacing w:after="0"/>
              <w:jc w:val="left"/>
              <w:rPr>
                <w:rFonts w:ascii="Arial" w:hAnsi="Arial"/>
                <w:noProof/>
                <w:color w:val="548DD4"/>
                <w:sz w:val="22"/>
              </w:rPr>
            </w:pPr>
            <w:r>
              <w:rPr>
                <w:rFonts w:ascii="Arial" w:hAnsi="Arial"/>
                <w:noProof/>
                <w:color w:val="548DD4"/>
                <w:sz w:val="22"/>
              </w:rPr>
              <w:t>Complaints handled in 2017</w:t>
            </w:r>
          </w:p>
        </w:tc>
      </w:tr>
      <w:tr w:rsidR="00E201F7">
        <w:trPr>
          <w:trHeight w:val="403"/>
          <w:jc w:val="center"/>
        </w:trPr>
        <w:tc>
          <w:tcPr>
            <w:tcW w:w="1697" w:type="dxa"/>
            <w:tcBorders>
              <w:top w:val="single" w:sz="24" w:space="0" w:color="548DD4"/>
            </w:tcBorders>
            <w:shd w:val="clear" w:color="auto" w:fill="auto"/>
            <w:vAlign w:val="center"/>
          </w:tcPr>
          <w:p w:rsidR="00E201F7" w:rsidRDefault="00E24EFF">
            <w:pPr>
              <w:spacing w:after="0"/>
              <w:jc w:val="right"/>
              <w:rPr>
                <w:rFonts w:ascii="Arial" w:hAnsi="Arial"/>
                <w:noProof/>
                <w:color w:val="C00000"/>
                <w:sz w:val="22"/>
              </w:rPr>
            </w:pPr>
            <w:r>
              <w:rPr>
                <w:rFonts w:ascii="Arial" w:hAnsi="Arial"/>
                <w:noProof/>
                <w:color w:val="C00000"/>
                <w:sz w:val="22"/>
              </w:rPr>
              <w:t>= 24</w:t>
            </w:r>
          </w:p>
        </w:tc>
        <w:tc>
          <w:tcPr>
            <w:tcW w:w="319" w:type="dxa"/>
            <w:shd w:val="clear" w:color="auto" w:fill="auto"/>
            <w:vAlign w:val="center"/>
          </w:tcPr>
          <w:p w:rsidR="00E201F7" w:rsidRDefault="00E24EFF">
            <w:pPr>
              <w:spacing w:after="0"/>
              <w:jc w:val="right"/>
              <w:rPr>
                <w:rFonts w:ascii="Arial" w:hAnsi="Arial"/>
                <w:noProof/>
                <w:color w:val="548DD4"/>
                <w:sz w:val="22"/>
              </w:rPr>
            </w:pPr>
            <w:r>
              <w:rPr>
                <w:rFonts w:ascii="Arial" w:hAnsi="Arial"/>
                <w:noProof/>
                <w:color w:val="548DD4"/>
                <w:sz w:val="22"/>
              </w:rPr>
              <w:t>&gt;</w:t>
            </w:r>
          </w:p>
        </w:tc>
        <w:tc>
          <w:tcPr>
            <w:tcW w:w="5310" w:type="dxa"/>
            <w:shd w:val="clear" w:color="auto" w:fill="auto"/>
            <w:vAlign w:val="center"/>
          </w:tcPr>
          <w:p w:rsidR="00E201F7" w:rsidRDefault="00E24EFF">
            <w:pPr>
              <w:spacing w:after="0"/>
              <w:jc w:val="left"/>
              <w:rPr>
                <w:rFonts w:ascii="Arial" w:hAnsi="Arial"/>
                <w:noProof/>
                <w:color w:val="548DD4"/>
                <w:sz w:val="22"/>
              </w:rPr>
            </w:pPr>
            <w:r>
              <w:rPr>
                <w:rFonts w:ascii="Arial" w:hAnsi="Arial"/>
                <w:noProof/>
                <w:color w:val="548DD4"/>
                <w:sz w:val="22"/>
              </w:rPr>
              <w:t>Complaints open at end-2017</w:t>
            </w:r>
          </w:p>
        </w:tc>
      </w:tr>
    </w:tbl>
    <w:p w:rsidR="00E201F7" w:rsidRDefault="00E24EFF">
      <w:pPr>
        <w:spacing w:before="240"/>
        <w:ind w:left="714" w:hanging="357"/>
        <w:jc w:val="left"/>
        <w:outlineLvl w:val="1"/>
        <w:rPr>
          <w:rFonts w:ascii="Arial" w:hAnsi="Arial"/>
          <w:noProof/>
          <w:color w:val="002060"/>
          <w:sz w:val="22"/>
        </w:rPr>
      </w:pPr>
      <w:r>
        <w:rPr>
          <w:rFonts w:ascii="Arial" w:hAnsi="Arial"/>
          <w:noProof/>
          <w:color w:val="002060"/>
          <w:sz w:val="22"/>
        </w:rPr>
        <w:t>3. New complaints registered in 2017: main policy sectors</w:t>
      </w:r>
    </w:p>
    <w:p w:rsidR="00E201F7" w:rsidRDefault="00E24EFF">
      <w:pPr>
        <w:ind w:left="720"/>
        <w:rPr>
          <w:rFonts w:ascii="Verdana" w:hAnsi="Verdana"/>
          <w:noProof/>
          <w:sz w:val="20"/>
        </w:rPr>
      </w:pPr>
      <w:r>
        <w:rPr>
          <w:rFonts w:ascii="Verdana" w:hAnsi="Verdana"/>
          <w:noProof/>
          <w:sz w:val="20"/>
        </w:rPr>
        <w:drawing>
          <wp:inline distT="0" distB="0" distL="0" distR="0" wp14:anchorId="4B172D72" wp14:editId="53374CE6">
            <wp:extent cx="4592320" cy="2489200"/>
            <wp:effectExtent l="0" t="0" r="17780" b="25400"/>
            <wp:docPr id="65"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E201F7" w:rsidRDefault="00E24EFF">
      <w:pPr>
        <w:spacing w:after="120" w:line="276" w:lineRule="auto"/>
        <w:ind w:left="714"/>
        <w:jc w:val="left"/>
        <w:rPr>
          <w:caps/>
          <w:noProof/>
          <w:color w:val="4F81BD"/>
          <w:szCs w:val="24"/>
        </w:rPr>
      </w:pPr>
      <w:r>
        <w:rPr>
          <w:caps/>
          <w:noProof/>
          <w:color w:val="4F81BD"/>
          <w:szCs w:val="24"/>
        </w:rPr>
        <w:br w:type="page"/>
      </w:r>
    </w:p>
    <w:p w:rsidR="00E201F7" w:rsidRDefault="00E24EFF">
      <w:pPr>
        <w:pStyle w:val="kop2"/>
        <w:rPr>
          <w:noProof/>
        </w:rPr>
      </w:pPr>
      <w:r>
        <w:rPr>
          <w:noProof/>
        </w:rPr>
        <w:t>EU PILOT</w:t>
      </w:r>
    </w:p>
    <w:p w:rsidR="00E201F7" w:rsidRDefault="00E24EFF">
      <w:pPr>
        <w:spacing w:after="60"/>
        <w:ind w:left="720" w:hanging="360"/>
        <w:jc w:val="left"/>
        <w:outlineLvl w:val="1"/>
        <w:rPr>
          <w:rFonts w:ascii="Arial" w:hAnsi="Arial"/>
          <w:noProof/>
          <w:color w:val="002060"/>
          <w:sz w:val="22"/>
        </w:rPr>
      </w:pPr>
      <w:r>
        <w:rPr>
          <w:rFonts w:ascii="Arial" w:hAnsi="Arial"/>
          <w:noProof/>
          <w:color w:val="002060"/>
          <w:sz w:val="22"/>
        </w:rPr>
        <w:t>1.</w:t>
      </w:r>
      <w:r>
        <w:rPr>
          <w:rFonts w:ascii="Arial" w:hAnsi="Arial"/>
          <w:noProof/>
          <w:color w:val="002060"/>
          <w:sz w:val="22"/>
        </w:rPr>
        <w:tab/>
        <w:t xml:space="preserve">EU Pilot </w:t>
      </w:r>
      <w:r>
        <w:rPr>
          <w:rFonts w:ascii="Arial" w:hAnsi="Arial"/>
          <w:noProof/>
          <w:color w:val="002060"/>
          <w:sz w:val="22"/>
        </w:rPr>
        <w:t>files open at year-end</w:t>
      </w:r>
    </w:p>
    <w:p w:rsidR="00E201F7" w:rsidRDefault="00E24EFF">
      <w:pPr>
        <w:spacing w:before="120"/>
        <w:ind w:left="720"/>
        <w:rPr>
          <w:rFonts w:ascii="Arial" w:hAnsi="Arial"/>
          <w:noProof/>
          <w:sz w:val="20"/>
        </w:rPr>
      </w:pPr>
      <w:r>
        <w:rPr>
          <w:rFonts w:ascii="Arial" w:hAnsi="Arial"/>
          <w:noProof/>
          <w:sz w:val="20"/>
        </w:rPr>
        <w:t>There were 2 EU Pilot files registered in 2017, and 12 EU Pilot files remained open at end-2017.</w:t>
      </w:r>
    </w:p>
    <w:p w:rsidR="00E201F7" w:rsidRDefault="00E24EFF">
      <w:pPr>
        <w:spacing w:before="120"/>
        <w:ind w:left="714" w:hanging="357"/>
        <w:jc w:val="left"/>
        <w:outlineLvl w:val="1"/>
        <w:rPr>
          <w:rFonts w:ascii="Arial" w:hAnsi="Arial"/>
          <w:noProof/>
          <w:color w:val="002060"/>
          <w:sz w:val="22"/>
        </w:rPr>
      </w:pPr>
      <w:r>
        <w:rPr>
          <w:rFonts w:ascii="Arial" w:hAnsi="Arial"/>
          <w:noProof/>
          <w:color w:val="002060"/>
          <w:sz w:val="22"/>
        </w:rPr>
        <w:t>2.</w:t>
      </w:r>
      <w:r>
        <w:rPr>
          <w:rFonts w:ascii="Arial" w:hAnsi="Arial"/>
          <w:noProof/>
          <w:color w:val="002060"/>
          <w:sz w:val="22"/>
        </w:rPr>
        <w:tab/>
        <w:t>EU Pilot files: policies’ combined resolution rate in 2013-2017</w:t>
      </w:r>
    </w:p>
    <w:p w:rsidR="00E201F7" w:rsidRDefault="00E24EFF">
      <w:pPr>
        <w:spacing w:before="120"/>
        <w:ind w:left="714"/>
        <w:jc w:val="left"/>
        <w:outlineLvl w:val="1"/>
        <w:rPr>
          <w:rFonts w:ascii="Arial" w:hAnsi="Arial"/>
          <w:noProof/>
          <w:color w:val="002060"/>
          <w:sz w:val="22"/>
        </w:rPr>
      </w:pPr>
      <w:r>
        <w:rPr>
          <w:rFonts w:asciiTheme="minorHAnsi" w:eastAsiaTheme="minorHAnsi" w:hAnsiTheme="minorHAnsi" w:cstheme="minorBidi"/>
          <w:noProof/>
        </w:rPr>
        <w:drawing>
          <wp:inline distT="0" distB="0" distL="0" distR="0" wp14:anchorId="0B8DEF45" wp14:editId="5F20EA21">
            <wp:extent cx="4587240" cy="2042160"/>
            <wp:effectExtent l="0" t="0" r="22860" b="15240"/>
            <wp:docPr id="443"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E201F7" w:rsidRDefault="00E24EFF">
      <w:pPr>
        <w:pStyle w:val="kop2"/>
        <w:rPr>
          <w:noProof/>
        </w:rPr>
      </w:pPr>
      <w:r>
        <w:rPr>
          <w:noProof/>
        </w:rPr>
        <w:t>OWN-INITIATIVE CASES</w:t>
      </w:r>
    </w:p>
    <w:p w:rsidR="00E201F7" w:rsidRDefault="00E24EFF">
      <w:pPr>
        <w:spacing w:after="60"/>
        <w:ind w:left="720" w:hanging="360"/>
        <w:jc w:val="left"/>
        <w:outlineLvl w:val="1"/>
        <w:rPr>
          <w:rFonts w:ascii="Arial" w:hAnsi="Arial"/>
          <w:noProof/>
          <w:color w:val="002060"/>
          <w:sz w:val="22"/>
        </w:rPr>
      </w:pPr>
      <w:r>
        <w:rPr>
          <w:rFonts w:ascii="Arial" w:hAnsi="Arial"/>
          <w:noProof/>
          <w:color w:val="002060"/>
          <w:sz w:val="22"/>
        </w:rPr>
        <w:t>New own-initiative infringement cases</w:t>
      </w:r>
    </w:p>
    <w:p w:rsidR="00E201F7" w:rsidRDefault="00E24EFF">
      <w:pPr>
        <w:autoSpaceDE w:val="0"/>
        <w:autoSpaceDN w:val="0"/>
        <w:adjustRightInd w:val="0"/>
        <w:ind w:left="720"/>
        <w:rPr>
          <w:rFonts w:ascii="Arial" w:hAnsi="Arial"/>
          <w:noProof/>
          <w:sz w:val="20"/>
        </w:rPr>
      </w:pPr>
      <w:r>
        <w:rPr>
          <w:rFonts w:ascii="Arial" w:hAnsi="Arial"/>
          <w:noProof/>
          <w:sz w:val="20"/>
        </w:rPr>
        <w:t>In 2017,</w:t>
      </w:r>
      <w:r>
        <w:rPr>
          <w:rFonts w:ascii="Arial" w:hAnsi="Arial"/>
          <w:noProof/>
          <w:sz w:val="20"/>
        </w:rPr>
        <w:t xml:space="preserve"> the Commission opened own-initiative infringement cases over:</w:t>
      </w:r>
    </w:p>
    <w:p w:rsidR="00E201F7" w:rsidRDefault="00E24EFF">
      <w:pPr>
        <w:pStyle w:val="ListParagraph"/>
        <w:numPr>
          <w:ilvl w:val="0"/>
          <w:numId w:val="136"/>
        </w:numPr>
        <w:autoSpaceDE w:val="0"/>
        <w:autoSpaceDN w:val="0"/>
        <w:adjustRightInd w:val="0"/>
        <w:spacing w:after="0"/>
        <w:ind w:left="1200"/>
        <w:rPr>
          <w:rFonts w:ascii="Arial" w:hAnsi="Arial"/>
          <w:noProof/>
          <w:sz w:val="20"/>
        </w:rPr>
      </w:pPr>
      <w:r>
        <w:rPr>
          <w:rFonts w:ascii="Arial" w:hAnsi="Arial"/>
          <w:noProof/>
          <w:sz w:val="20"/>
        </w:rPr>
        <w:t>non-compliance with the fisheries control obligations, in particular the enforcement requirements for serious infringements of the common fisheries policy rules;</w:t>
      </w:r>
    </w:p>
    <w:p w:rsidR="00E201F7" w:rsidRDefault="00E24EFF">
      <w:pPr>
        <w:pStyle w:val="ListParagraph"/>
        <w:numPr>
          <w:ilvl w:val="0"/>
          <w:numId w:val="136"/>
        </w:numPr>
        <w:autoSpaceDE w:val="0"/>
        <w:autoSpaceDN w:val="0"/>
        <w:adjustRightInd w:val="0"/>
        <w:spacing w:after="0"/>
        <w:ind w:left="1200"/>
        <w:rPr>
          <w:rFonts w:ascii="Arial" w:hAnsi="Arial"/>
          <w:noProof/>
          <w:sz w:val="20"/>
        </w:rPr>
      </w:pPr>
      <w:r>
        <w:rPr>
          <w:rFonts w:ascii="Arial" w:hAnsi="Arial"/>
          <w:noProof/>
          <w:sz w:val="20"/>
        </w:rPr>
        <w:t>non-compliance with the obligat</w:t>
      </w:r>
      <w:r>
        <w:rPr>
          <w:rFonts w:ascii="Arial" w:hAnsi="Arial"/>
          <w:noProof/>
          <w:sz w:val="20"/>
        </w:rPr>
        <w:t>ions undertaken in the framework of international fisheries management organisations.</w:t>
      </w:r>
    </w:p>
    <w:p w:rsidR="00E201F7" w:rsidRDefault="00E24EFF">
      <w:pPr>
        <w:pStyle w:val="kop2"/>
        <w:rPr>
          <w:noProof/>
        </w:rPr>
      </w:pPr>
      <w:r>
        <w:rPr>
          <w:noProof/>
        </w:rPr>
        <w:t>INFRINGEMENT CASES</w:t>
      </w:r>
    </w:p>
    <w:p w:rsidR="00E201F7" w:rsidRDefault="00E24EFF">
      <w:pPr>
        <w:spacing w:after="60"/>
        <w:ind w:left="720" w:hanging="360"/>
        <w:jc w:val="left"/>
        <w:outlineLvl w:val="1"/>
        <w:rPr>
          <w:rFonts w:ascii="Arial" w:hAnsi="Arial"/>
          <w:noProof/>
          <w:color w:val="002060"/>
          <w:sz w:val="22"/>
        </w:rPr>
      </w:pPr>
      <w:r>
        <w:rPr>
          <w:rFonts w:ascii="Arial" w:hAnsi="Arial"/>
          <w:noProof/>
          <w:color w:val="002060"/>
          <w:sz w:val="22"/>
        </w:rPr>
        <w:t>Key infringement cases and referrals to the Court</w:t>
      </w:r>
    </w:p>
    <w:p w:rsidR="00E201F7" w:rsidRDefault="00E24EFF">
      <w:pPr>
        <w:pStyle w:val="Lijstje"/>
        <w:numPr>
          <w:ilvl w:val="0"/>
          <w:numId w:val="49"/>
        </w:numPr>
        <w:spacing w:after="120"/>
        <w:ind w:left="1200" w:hanging="360"/>
        <w:rPr>
          <w:rFonts w:ascii="Arial" w:hAnsi="Arial" w:cs="Arial"/>
          <w:noProof/>
          <w:lang w:val="en-GB"/>
        </w:rPr>
      </w:pPr>
      <w:r>
        <w:rPr>
          <w:rFonts w:ascii="Arial" w:hAnsi="Arial" w:cs="Arial"/>
          <w:noProof/>
          <w:lang w:val="en-GB"/>
        </w:rPr>
        <w:t xml:space="preserve">The Commission opened one new infringement case in 2017. </w:t>
      </w:r>
      <w:r>
        <w:rPr>
          <w:rFonts w:ascii="Arial" w:hAnsi="Arial"/>
          <w:noProof/>
          <w:lang w:val="en-GB"/>
        </w:rPr>
        <w:t>This, and other major ongoing infringement c</w:t>
      </w:r>
      <w:r>
        <w:rPr>
          <w:rFonts w:ascii="Arial" w:hAnsi="Arial"/>
          <w:noProof/>
          <w:lang w:val="en-GB"/>
        </w:rPr>
        <w:t>ases, concern</w:t>
      </w:r>
      <w:r>
        <w:rPr>
          <w:rFonts w:ascii="Arial" w:hAnsi="Arial" w:cs="Arial"/>
          <w:noProof/>
          <w:lang w:val="en-GB"/>
        </w:rPr>
        <w:t>:</w:t>
      </w:r>
    </w:p>
    <w:p w:rsidR="00E201F7" w:rsidRDefault="00E24EFF">
      <w:pPr>
        <w:pStyle w:val="Lijstje2"/>
        <w:ind w:left="1843"/>
        <w:rPr>
          <w:rFonts w:ascii="Arial" w:hAnsi="Arial" w:cs="Arial"/>
          <w:noProof/>
          <w:lang w:val="en-GB"/>
        </w:rPr>
      </w:pPr>
      <w:r>
        <w:rPr>
          <w:rFonts w:ascii="Arial" w:hAnsi="Arial" w:cs="Arial"/>
          <w:i/>
          <w:noProof/>
          <w:lang w:val="en-GB"/>
        </w:rPr>
        <w:t>Bulgaria, Greece, Croatia, Cyprus and Finland</w:t>
      </w:r>
      <w:r>
        <w:rPr>
          <w:rFonts w:ascii="Arial" w:hAnsi="Arial" w:cs="Arial"/>
          <w:noProof/>
          <w:lang w:val="en-GB"/>
        </w:rPr>
        <w:t>: non-communication of national measures transposing the Maritime Spatial Planning Directive</w:t>
      </w:r>
      <w:r>
        <w:rPr>
          <w:rStyle w:val="FootnoteReference"/>
          <w:rFonts w:ascii="Arial" w:hAnsi="Arial" w:cs="Arial"/>
          <w:noProof/>
          <w:lang w:val="en-GB"/>
        </w:rPr>
        <w:footnoteReference w:id="278"/>
      </w:r>
      <w:r>
        <w:rPr>
          <w:rFonts w:ascii="Arial" w:hAnsi="Arial" w:cs="Arial"/>
          <w:noProof/>
          <w:lang w:val="en-GB"/>
        </w:rPr>
        <w:t>;</w:t>
      </w:r>
    </w:p>
    <w:p w:rsidR="00E201F7" w:rsidRDefault="00E24EFF">
      <w:pPr>
        <w:pStyle w:val="Lijstje2"/>
        <w:ind w:left="1843"/>
        <w:rPr>
          <w:rFonts w:ascii="Arial" w:hAnsi="Arial" w:cs="Arial"/>
          <w:noProof/>
          <w:lang w:val="en-GB"/>
        </w:rPr>
      </w:pPr>
      <w:r>
        <w:rPr>
          <w:rFonts w:ascii="Arial" w:hAnsi="Arial" w:cs="Arial"/>
          <w:i/>
          <w:noProof/>
          <w:lang w:val="en-GB"/>
        </w:rPr>
        <w:t>Portugal</w:t>
      </w:r>
      <w:r>
        <w:rPr>
          <w:rFonts w:ascii="Arial" w:hAnsi="Arial" w:cs="Arial"/>
          <w:noProof/>
          <w:lang w:val="en-GB"/>
        </w:rPr>
        <w:t>:</w:t>
      </w:r>
      <w:r>
        <w:rPr>
          <w:rFonts w:ascii="Arial" w:hAnsi="Arial"/>
          <w:noProof/>
          <w:lang w:val="en-GB"/>
        </w:rPr>
        <w:t xml:space="preserve"> lack of action in preventing, deterring and eliminating illegal, unreported and unregulated fishing by </w:t>
      </w:r>
      <w:r>
        <w:rPr>
          <w:rFonts w:ascii="Arial" w:hAnsi="Arial" w:cs="Arial"/>
          <w:noProof/>
          <w:lang w:val="en-GB"/>
        </w:rPr>
        <w:t xml:space="preserve">Portuguese-flagged vessels </w:t>
      </w:r>
      <w:r>
        <w:rPr>
          <w:rFonts w:ascii="Arial" w:hAnsi="Arial"/>
          <w:noProof/>
          <w:lang w:val="en-GB"/>
        </w:rPr>
        <w:t>in the waters under the responsibility of the Northwest Atlantic Fisheries Organisation</w:t>
      </w:r>
      <w:r>
        <w:rPr>
          <w:rStyle w:val="FootnoteReference"/>
          <w:rFonts w:ascii="Arial" w:hAnsi="Arial" w:cs="Arial"/>
          <w:noProof/>
          <w:lang w:val="en-GB"/>
        </w:rPr>
        <w:footnoteReference w:id="279"/>
      </w:r>
      <w:r>
        <w:rPr>
          <w:rFonts w:ascii="Arial" w:hAnsi="Arial"/>
          <w:noProof/>
          <w:lang w:val="en-GB"/>
        </w:rPr>
        <w:t>;</w:t>
      </w:r>
    </w:p>
    <w:p w:rsidR="00E201F7" w:rsidRDefault="00E24EFF">
      <w:pPr>
        <w:pStyle w:val="Lijstje2"/>
        <w:ind w:left="1843"/>
        <w:rPr>
          <w:rFonts w:ascii="Arial" w:hAnsi="Arial"/>
          <w:noProof/>
          <w:lang w:val="en-GB"/>
        </w:rPr>
      </w:pPr>
      <w:r>
        <w:rPr>
          <w:rFonts w:ascii="Arial" w:hAnsi="Arial" w:cs="Arial"/>
          <w:i/>
          <w:noProof/>
          <w:lang w:val="en-GB"/>
        </w:rPr>
        <w:t>Romania</w:t>
      </w:r>
      <w:r>
        <w:rPr>
          <w:rFonts w:ascii="Arial" w:hAnsi="Arial" w:cs="Arial"/>
          <w:noProof/>
          <w:lang w:val="en-GB"/>
        </w:rPr>
        <w:t xml:space="preserve">: failure to </w:t>
      </w:r>
      <w:r>
        <w:rPr>
          <w:rFonts w:ascii="Arial" w:hAnsi="Arial"/>
          <w:noProof/>
          <w:lang w:val="en-GB"/>
        </w:rPr>
        <w:t>comply with the</w:t>
      </w:r>
      <w:r>
        <w:rPr>
          <w:rFonts w:ascii="Arial" w:hAnsi="Arial"/>
          <w:noProof/>
          <w:lang w:val="en-GB"/>
        </w:rPr>
        <w:t xml:space="preserve"> principle of equal access to EU waters and resources</w:t>
      </w:r>
      <w:r>
        <w:rPr>
          <w:rStyle w:val="FootnoteReference"/>
          <w:rFonts w:ascii="Arial" w:hAnsi="Arial"/>
          <w:noProof/>
          <w:lang w:val="en-GB"/>
        </w:rPr>
        <w:footnoteReference w:id="280"/>
      </w:r>
      <w:r>
        <w:rPr>
          <w:rFonts w:ascii="Arial" w:hAnsi="Arial" w:cs="Arial"/>
          <w:noProof/>
          <w:lang w:val="en-GB"/>
        </w:rPr>
        <w:t>.</w:t>
      </w:r>
    </w:p>
    <w:p w:rsidR="00E201F7" w:rsidRDefault="00E24EFF">
      <w:pPr>
        <w:pStyle w:val="Lijstje"/>
        <w:numPr>
          <w:ilvl w:val="0"/>
          <w:numId w:val="49"/>
        </w:numPr>
        <w:spacing w:after="120"/>
        <w:ind w:left="1200" w:hanging="360"/>
        <w:rPr>
          <w:rFonts w:ascii="Arial" w:hAnsi="Arial" w:cs="Arial"/>
          <w:noProof/>
          <w:lang w:val="en-GB"/>
        </w:rPr>
      </w:pPr>
      <w:r>
        <w:rPr>
          <w:rFonts w:ascii="Arial" w:hAnsi="Arial" w:cs="Arial"/>
          <w:noProof/>
          <w:lang w:val="en-GB"/>
        </w:rPr>
        <w:t>The Commission did not refer any cases to the Court under Article 258 TFEU.</w:t>
      </w:r>
    </w:p>
    <w:p w:rsidR="00E201F7" w:rsidRDefault="00E24EFF">
      <w:pPr>
        <w:pStyle w:val="Lijstje"/>
        <w:numPr>
          <w:ilvl w:val="0"/>
          <w:numId w:val="49"/>
        </w:numPr>
        <w:spacing w:after="120"/>
        <w:ind w:left="1200" w:hanging="360"/>
        <w:rPr>
          <w:rFonts w:cs="Arial"/>
          <w:noProof/>
          <w:lang w:val="en-GB"/>
        </w:rPr>
      </w:pPr>
      <w:r>
        <w:rPr>
          <w:rFonts w:ascii="Arial" w:hAnsi="Arial"/>
          <w:noProof/>
          <w:lang w:val="en-GB"/>
        </w:rPr>
        <w:t xml:space="preserve">The Commission did not refer any cases to the </w:t>
      </w:r>
      <w:r>
        <w:rPr>
          <w:rFonts w:cs="Arial"/>
          <w:noProof/>
          <w:lang w:val="en-GB"/>
        </w:rPr>
        <w:t>Court under Article 260(2)TFEU.</w:t>
      </w:r>
    </w:p>
    <w:p w:rsidR="00E201F7" w:rsidRDefault="00E24EFF">
      <w:pPr>
        <w:spacing w:after="0"/>
        <w:jc w:val="left"/>
        <w:rPr>
          <w:rFonts w:ascii="Arial" w:eastAsia="MS Gothic" w:hAnsi="Arial" w:cs="Arial"/>
          <w:caps/>
          <w:noProof/>
          <w:color w:val="4F81BD"/>
          <w:kern w:val="20"/>
          <w:szCs w:val="24"/>
        </w:rPr>
      </w:pPr>
      <w:r>
        <w:rPr>
          <w:noProof/>
        </w:rPr>
        <w:br w:type="page"/>
      </w:r>
    </w:p>
    <w:p w:rsidR="00E201F7" w:rsidRDefault="00E24EFF">
      <w:pPr>
        <w:pStyle w:val="kop2"/>
        <w:rPr>
          <w:noProof/>
        </w:rPr>
      </w:pPr>
      <w:r>
        <w:rPr>
          <w:noProof/>
        </w:rPr>
        <w:t>EARLY RESOLUTION OF INFRINGEMENT CASES</w:t>
      </w:r>
    </w:p>
    <w:p w:rsidR="00E201F7" w:rsidRDefault="00E24EFF">
      <w:pPr>
        <w:spacing w:after="60"/>
        <w:ind w:left="720" w:hanging="360"/>
        <w:jc w:val="left"/>
        <w:outlineLvl w:val="1"/>
        <w:rPr>
          <w:rFonts w:ascii="Arial" w:hAnsi="Arial"/>
          <w:noProof/>
          <w:color w:val="002060"/>
          <w:sz w:val="22"/>
        </w:rPr>
      </w:pPr>
      <w:r>
        <w:rPr>
          <w:rFonts w:ascii="Arial" w:hAnsi="Arial"/>
          <w:noProof/>
          <w:color w:val="002060"/>
          <w:sz w:val="22"/>
        </w:rPr>
        <w:t>Major</w:t>
      </w:r>
      <w:r>
        <w:rPr>
          <w:rFonts w:ascii="Arial" w:hAnsi="Arial"/>
          <w:noProof/>
          <w:color w:val="002060"/>
          <w:sz w:val="22"/>
        </w:rPr>
        <w:t xml:space="preserve"> cases closed without a Court judgment in 2017</w:t>
      </w:r>
    </w:p>
    <w:p w:rsidR="00E201F7" w:rsidRDefault="00E24EFF">
      <w:pPr>
        <w:ind w:left="720"/>
        <w:rPr>
          <w:rFonts w:ascii="Arial" w:hAnsi="Arial"/>
          <w:noProof/>
          <w:sz w:val="20"/>
        </w:rPr>
      </w:pPr>
      <w:r>
        <w:rPr>
          <w:rFonts w:ascii="Arial" w:hAnsi="Arial"/>
          <w:noProof/>
          <w:sz w:val="20"/>
        </w:rPr>
        <w:t>These concerned:</w:t>
      </w:r>
    </w:p>
    <w:p w:rsidR="00E201F7" w:rsidRDefault="00E24EFF">
      <w:pPr>
        <w:pStyle w:val="Lijstje2"/>
        <w:ind w:left="1200"/>
        <w:rPr>
          <w:rFonts w:cs="Arial"/>
          <w:noProof/>
          <w:lang w:val="en-GB"/>
        </w:rPr>
      </w:pPr>
      <w:r>
        <w:rPr>
          <w:rFonts w:ascii="Arial" w:hAnsi="Arial" w:cs="Arial"/>
          <w:i/>
          <w:noProof/>
          <w:lang w:val="en-GB"/>
        </w:rPr>
        <w:t>Spain, France, Croatia and Lithuania</w:t>
      </w:r>
      <w:r>
        <w:rPr>
          <w:rFonts w:ascii="Arial" w:hAnsi="Arial" w:cs="Arial"/>
          <w:noProof/>
          <w:lang w:val="en-GB"/>
        </w:rPr>
        <w:t>: non-</w:t>
      </w:r>
      <w:r>
        <w:rPr>
          <w:rFonts w:ascii="Arial" w:hAnsi="Arial"/>
          <w:noProof/>
          <w:lang w:val="en-GB"/>
        </w:rPr>
        <w:t>communication</w:t>
      </w:r>
      <w:r>
        <w:rPr>
          <w:rFonts w:ascii="Arial" w:hAnsi="Arial" w:cs="Arial"/>
          <w:noProof/>
          <w:lang w:val="en-GB"/>
        </w:rPr>
        <w:t xml:space="preserve"> of national measures transposing the Maritime Spatial Planning Directive</w:t>
      </w:r>
      <w:r>
        <w:rPr>
          <w:rStyle w:val="FootnoteReference"/>
          <w:rFonts w:ascii="Arial" w:hAnsi="Arial" w:cs="Arial"/>
          <w:noProof/>
          <w:lang w:val="en-GB"/>
        </w:rPr>
        <w:footnoteReference w:id="281"/>
      </w:r>
      <w:r>
        <w:rPr>
          <w:rFonts w:ascii="Arial" w:hAnsi="Arial" w:cs="Arial"/>
          <w:noProof/>
          <w:lang w:val="en-GB"/>
        </w:rPr>
        <w:t>;</w:t>
      </w:r>
    </w:p>
    <w:p w:rsidR="00E201F7" w:rsidRDefault="00E24EFF">
      <w:pPr>
        <w:pStyle w:val="Lijstje2"/>
        <w:ind w:left="1200"/>
        <w:rPr>
          <w:rFonts w:cs="Arial"/>
          <w:noProof/>
          <w:lang w:val="en-GB"/>
        </w:rPr>
      </w:pPr>
      <w:r>
        <w:rPr>
          <w:rFonts w:ascii="Arial" w:hAnsi="Arial" w:cs="Arial"/>
          <w:i/>
          <w:noProof/>
          <w:lang w:val="en-GB"/>
        </w:rPr>
        <w:t>Greece:</w:t>
      </w:r>
      <w:r>
        <w:rPr>
          <w:rFonts w:ascii="Arial" w:hAnsi="Arial" w:cs="Arial"/>
          <w:noProof/>
          <w:lang w:val="en-GB"/>
        </w:rPr>
        <w:t xml:space="preserve"> </w:t>
      </w:r>
      <w:r>
        <w:rPr>
          <w:rFonts w:ascii="Arial" w:hAnsi="Arial"/>
          <w:noProof/>
          <w:lang w:val="en-GB"/>
        </w:rPr>
        <w:t xml:space="preserve">non-compliance with the </w:t>
      </w:r>
      <w:hyperlink r:id="rId141" w:history="1">
        <w:r>
          <w:rPr>
            <w:rFonts w:ascii="Arial" w:hAnsi="Arial"/>
            <w:noProof/>
            <w:lang w:val="en-GB"/>
          </w:rPr>
          <w:t>Mediterranean Regulation</w:t>
        </w:r>
      </w:hyperlink>
      <w:r>
        <w:rPr>
          <w:rFonts w:ascii="Arial" w:hAnsi="Arial"/>
          <w:noProof/>
          <w:lang w:val="en-GB"/>
        </w:rPr>
        <w:t xml:space="preserve"> regarding the obligation to adopt a national management plan for fisheries conducted by boat seines within its territorial waters</w:t>
      </w:r>
      <w:r>
        <w:rPr>
          <w:rStyle w:val="FootnoteReference"/>
          <w:rFonts w:ascii="Arial" w:hAnsi="Arial"/>
          <w:noProof/>
          <w:lang w:val="en-GB"/>
        </w:rPr>
        <w:footnoteReference w:id="282"/>
      </w:r>
      <w:r>
        <w:rPr>
          <w:rFonts w:ascii="Arial" w:hAnsi="Arial"/>
          <w:noProof/>
          <w:lang w:val="en-GB"/>
        </w:rPr>
        <w:t>.</w:t>
      </w:r>
    </w:p>
    <w:p w:rsidR="00E201F7" w:rsidRDefault="00E24EFF">
      <w:pPr>
        <w:pStyle w:val="kop2"/>
        <w:rPr>
          <w:noProof/>
        </w:rPr>
      </w:pPr>
      <w:r>
        <w:rPr>
          <w:noProof/>
        </w:rPr>
        <w:t>IMPORTANT JUDGMENTS</w:t>
      </w:r>
    </w:p>
    <w:p w:rsidR="00E201F7" w:rsidRDefault="00E24EFF">
      <w:pPr>
        <w:numPr>
          <w:ilvl w:val="0"/>
          <w:numId w:val="135"/>
        </w:numPr>
        <w:spacing w:before="120" w:after="120"/>
        <w:jc w:val="left"/>
        <w:outlineLvl w:val="1"/>
        <w:rPr>
          <w:rFonts w:ascii="Arial" w:hAnsi="Arial"/>
          <w:bCs/>
          <w:noProof/>
          <w:color w:val="002060"/>
        </w:rPr>
      </w:pPr>
      <w:r>
        <w:rPr>
          <w:rFonts w:ascii="Arial" w:hAnsi="Arial"/>
          <w:noProof/>
          <w:color w:val="002060"/>
          <w:sz w:val="22"/>
        </w:rPr>
        <w:t>Court rulings</w:t>
      </w:r>
    </w:p>
    <w:p w:rsidR="00E201F7" w:rsidRDefault="00E24EFF">
      <w:pPr>
        <w:ind w:left="720"/>
        <w:rPr>
          <w:rFonts w:ascii="Arial" w:hAnsi="Arial"/>
          <w:noProof/>
          <w:sz w:val="20"/>
        </w:rPr>
      </w:pPr>
      <w:r>
        <w:rPr>
          <w:rFonts w:ascii="Arial" w:hAnsi="Arial"/>
          <w:noProof/>
          <w:sz w:val="20"/>
        </w:rPr>
        <w:t xml:space="preserve">There were no major Court rulings in </w:t>
      </w:r>
      <w:smartTag w:uri="urn:schemas-microsoft-com:office:smarttags" w:element="metricconverter">
        <w:smartTagPr>
          <w:attr w:name="ProductID" w:val="2017 in"/>
        </w:smartTagPr>
        <w:r>
          <w:rPr>
            <w:rFonts w:ascii="Arial" w:hAnsi="Arial"/>
            <w:noProof/>
            <w:sz w:val="20"/>
          </w:rPr>
          <w:t>2017 in</w:t>
        </w:r>
      </w:smartTag>
      <w:r>
        <w:rPr>
          <w:rFonts w:ascii="Arial" w:hAnsi="Arial"/>
          <w:noProof/>
          <w:sz w:val="20"/>
        </w:rPr>
        <w:t xml:space="preserve"> this area.</w:t>
      </w:r>
    </w:p>
    <w:p w:rsidR="00E201F7" w:rsidRDefault="00E24EFF">
      <w:pPr>
        <w:numPr>
          <w:ilvl w:val="0"/>
          <w:numId w:val="135"/>
        </w:numPr>
        <w:spacing w:before="120" w:after="120"/>
        <w:jc w:val="left"/>
        <w:outlineLvl w:val="1"/>
        <w:rPr>
          <w:rFonts w:ascii="Arial" w:hAnsi="Arial"/>
          <w:bCs/>
          <w:noProof/>
          <w:color w:val="002060"/>
        </w:rPr>
      </w:pPr>
      <w:r>
        <w:rPr>
          <w:rFonts w:ascii="Arial" w:hAnsi="Arial"/>
          <w:noProof/>
          <w:color w:val="002060"/>
          <w:sz w:val="22"/>
        </w:rPr>
        <w:t>Preliminary rulings</w:t>
      </w:r>
    </w:p>
    <w:p w:rsidR="00E201F7" w:rsidRDefault="00E24EFF">
      <w:pPr>
        <w:ind w:left="720"/>
        <w:rPr>
          <w:rFonts w:ascii="Arial" w:hAnsi="Arial"/>
          <w:noProof/>
          <w:sz w:val="20"/>
        </w:rPr>
      </w:pPr>
      <w:r>
        <w:rPr>
          <w:rFonts w:ascii="Arial" w:hAnsi="Arial"/>
          <w:noProof/>
          <w:sz w:val="20"/>
        </w:rPr>
        <w:t xml:space="preserve">There were no major preliminary rulings in </w:t>
      </w:r>
      <w:smartTag w:uri="urn:schemas-microsoft-com:office:smarttags" w:element="metricconverter">
        <w:smartTagPr>
          <w:attr w:name="ProductID" w:val="2017 in"/>
        </w:smartTagPr>
        <w:r>
          <w:rPr>
            <w:rFonts w:ascii="Arial" w:hAnsi="Arial"/>
            <w:noProof/>
            <w:sz w:val="20"/>
          </w:rPr>
          <w:t>2017 in</w:t>
        </w:r>
      </w:smartTag>
      <w:r>
        <w:rPr>
          <w:rFonts w:ascii="Arial" w:hAnsi="Arial"/>
          <w:noProof/>
          <w:sz w:val="20"/>
        </w:rPr>
        <w:t xml:space="preserve"> this area.</w:t>
      </w:r>
    </w:p>
    <w:p w:rsidR="00E201F7" w:rsidRDefault="00E24EFF">
      <w:pPr>
        <w:pStyle w:val="kop2"/>
        <w:rPr>
          <w:noProof/>
        </w:rPr>
      </w:pPr>
      <w:r>
        <w:rPr>
          <w:noProof/>
        </w:rPr>
        <w:t>Outlook</w:t>
      </w:r>
    </w:p>
    <w:p w:rsidR="00E201F7" w:rsidRDefault="00E24EFF">
      <w:pPr>
        <w:spacing w:after="60"/>
        <w:ind w:left="720" w:hanging="360"/>
        <w:jc w:val="left"/>
        <w:outlineLvl w:val="1"/>
        <w:rPr>
          <w:rFonts w:ascii="Arial" w:hAnsi="Arial"/>
          <w:noProof/>
          <w:color w:val="002060"/>
          <w:sz w:val="22"/>
        </w:rPr>
      </w:pPr>
      <w:r>
        <w:rPr>
          <w:rFonts w:ascii="Arial" w:hAnsi="Arial"/>
          <w:noProof/>
          <w:color w:val="002060"/>
          <w:sz w:val="22"/>
        </w:rPr>
        <w:t>Important implementation work in 2018 includes:</w:t>
      </w:r>
    </w:p>
    <w:p w:rsidR="00E201F7" w:rsidRDefault="00E24EFF">
      <w:pPr>
        <w:pStyle w:val="ListParagraph"/>
        <w:numPr>
          <w:ilvl w:val="0"/>
          <w:numId w:val="30"/>
        </w:numPr>
        <w:ind w:left="1276" w:hanging="425"/>
        <w:rPr>
          <w:rFonts w:ascii="Arial" w:hAnsi="Arial"/>
          <w:noProof/>
          <w:sz w:val="20"/>
        </w:rPr>
      </w:pPr>
      <w:r>
        <w:rPr>
          <w:rFonts w:ascii="Arial" w:hAnsi="Arial"/>
          <w:noProof/>
          <w:sz w:val="20"/>
        </w:rPr>
        <w:t>action to ensure the complet</w:t>
      </w:r>
      <w:r>
        <w:rPr>
          <w:rFonts w:ascii="Arial" w:hAnsi="Arial"/>
          <w:noProof/>
          <w:sz w:val="20"/>
        </w:rPr>
        <w:t>e and correct transposition by Member States of the Maritime Spatial Planning Directive</w:t>
      </w:r>
      <w:r>
        <w:rPr>
          <w:rStyle w:val="FootnoteReference"/>
          <w:rFonts w:ascii="Arial" w:hAnsi="Arial"/>
          <w:noProof/>
          <w:sz w:val="20"/>
        </w:rPr>
        <w:footnoteReference w:id="283"/>
      </w:r>
      <w:r>
        <w:rPr>
          <w:rFonts w:ascii="Arial" w:hAnsi="Arial"/>
          <w:noProof/>
          <w:sz w:val="20"/>
        </w:rPr>
        <w:t>;</w:t>
      </w:r>
    </w:p>
    <w:p w:rsidR="00E201F7" w:rsidRDefault="00E24EFF">
      <w:pPr>
        <w:pStyle w:val="ListParagraph"/>
        <w:numPr>
          <w:ilvl w:val="0"/>
          <w:numId w:val="30"/>
        </w:numPr>
        <w:ind w:left="1276" w:hanging="425"/>
        <w:rPr>
          <w:rFonts w:ascii="Arial" w:hAnsi="Arial"/>
          <w:noProof/>
          <w:sz w:val="20"/>
        </w:rPr>
      </w:pPr>
      <w:r>
        <w:rPr>
          <w:rFonts w:ascii="Arial" w:hAnsi="Arial"/>
          <w:noProof/>
          <w:sz w:val="20"/>
        </w:rPr>
        <w:t>preparing a revision of the fisheries control system, following the recent comprehensive evaluation of the implementation and impact of the Control Regulation</w:t>
      </w:r>
      <w:r>
        <w:rPr>
          <w:rStyle w:val="FootnoteReference"/>
          <w:rFonts w:ascii="Arial" w:hAnsi="Arial"/>
          <w:noProof/>
          <w:sz w:val="20"/>
        </w:rPr>
        <w:footnoteReference w:id="284"/>
      </w:r>
      <w:r>
        <w:rPr>
          <w:rFonts w:ascii="Arial" w:hAnsi="Arial"/>
          <w:noProof/>
          <w:sz w:val="20"/>
        </w:rPr>
        <w:t>;</w:t>
      </w:r>
    </w:p>
    <w:p w:rsidR="00E201F7" w:rsidRDefault="00E24EFF">
      <w:pPr>
        <w:pStyle w:val="ListParagraph"/>
        <w:numPr>
          <w:ilvl w:val="0"/>
          <w:numId w:val="30"/>
        </w:numPr>
        <w:ind w:left="1276" w:hanging="425"/>
        <w:rPr>
          <w:rFonts w:ascii="Arial" w:hAnsi="Arial"/>
          <w:noProof/>
          <w:sz w:val="20"/>
        </w:rPr>
      </w:pPr>
      <w:r>
        <w:rPr>
          <w:rFonts w:ascii="Arial" w:hAnsi="Arial"/>
          <w:noProof/>
          <w:sz w:val="20"/>
        </w:rPr>
        <w:t>giving appropriate follow-up to the recommendations formulated in the assessment of Member States’ sanctioning systems for contraventions of the common fisheries policy rules, with particular focus on how to improve the effectiveness of those systems and h</w:t>
      </w:r>
      <w:r>
        <w:rPr>
          <w:rFonts w:ascii="Arial" w:hAnsi="Arial"/>
          <w:noProof/>
          <w:sz w:val="20"/>
        </w:rPr>
        <w:t>ow to prioritise investigations of the deficiencies found;</w:t>
      </w:r>
    </w:p>
    <w:p w:rsidR="00E201F7" w:rsidRDefault="00E24EFF">
      <w:pPr>
        <w:pStyle w:val="ListParagraph"/>
        <w:numPr>
          <w:ilvl w:val="0"/>
          <w:numId w:val="30"/>
        </w:numPr>
        <w:ind w:left="1276" w:hanging="425"/>
        <w:rPr>
          <w:rFonts w:ascii="Arial" w:eastAsia="Calibri" w:hAnsi="Arial"/>
          <w:noProof/>
          <w:kern w:val="20"/>
          <w:sz w:val="20"/>
        </w:rPr>
      </w:pPr>
      <w:r>
        <w:rPr>
          <w:rFonts w:ascii="Arial" w:hAnsi="Arial"/>
          <w:noProof/>
          <w:sz w:val="20"/>
        </w:rPr>
        <w:t>addressing, through action plans provided for by the Control Regulation, certain systemic irregularities in Member States’ fisheries control systems, where appropriate</w:t>
      </w:r>
      <w:r>
        <w:rPr>
          <w:rStyle w:val="FootnoteReference"/>
          <w:rFonts w:ascii="Arial" w:hAnsi="Arial"/>
          <w:noProof/>
          <w:sz w:val="20"/>
        </w:rPr>
        <w:footnoteReference w:id="285"/>
      </w:r>
      <w:r>
        <w:rPr>
          <w:rFonts w:ascii="Arial" w:hAnsi="Arial"/>
          <w:noProof/>
          <w:sz w:val="20"/>
        </w:rPr>
        <w:t>;</w:t>
      </w:r>
    </w:p>
    <w:p w:rsidR="00E201F7" w:rsidRDefault="00E24EFF">
      <w:pPr>
        <w:pStyle w:val="ListParagraph"/>
        <w:numPr>
          <w:ilvl w:val="0"/>
          <w:numId w:val="30"/>
        </w:numPr>
        <w:ind w:left="1276" w:hanging="425"/>
        <w:rPr>
          <w:rFonts w:ascii="Arial" w:eastAsia="Calibri" w:hAnsi="Arial"/>
          <w:noProof/>
          <w:kern w:val="20"/>
          <w:sz w:val="20"/>
        </w:rPr>
      </w:pPr>
      <w:r>
        <w:rPr>
          <w:rFonts w:ascii="Arial" w:eastAsia="Calibri" w:hAnsi="Arial"/>
          <w:noProof/>
          <w:kern w:val="20"/>
          <w:sz w:val="20"/>
        </w:rPr>
        <w:t>following up on the impleme</w:t>
      </w:r>
      <w:r>
        <w:rPr>
          <w:rFonts w:ascii="Arial" w:eastAsia="Calibri" w:hAnsi="Arial"/>
          <w:noProof/>
          <w:kern w:val="20"/>
          <w:sz w:val="20"/>
        </w:rPr>
        <w:t>ntation of the constituent components of the common fisheries policy, and more specifically on the application of the landing obligation set out in the basic common fisheries policy Regulation</w:t>
      </w:r>
      <w:r>
        <w:rPr>
          <w:rStyle w:val="FootnoteReference"/>
          <w:rFonts w:ascii="Arial" w:eastAsia="Calibri" w:hAnsi="Arial"/>
          <w:noProof/>
          <w:kern w:val="20"/>
          <w:sz w:val="20"/>
        </w:rPr>
        <w:footnoteReference w:id="286"/>
      </w:r>
      <w:r>
        <w:rPr>
          <w:rFonts w:ascii="Arial" w:eastAsia="Calibri" w:hAnsi="Arial"/>
          <w:noProof/>
          <w:kern w:val="20"/>
          <w:sz w:val="20"/>
        </w:rPr>
        <w:t>.</w:t>
      </w:r>
    </w:p>
    <w:p w:rsidR="00E201F7" w:rsidRDefault="00E201F7">
      <w:pPr>
        <w:contextualSpacing/>
        <w:rPr>
          <w:rFonts w:ascii="Verdana" w:eastAsia="Calibri" w:hAnsi="Verdana"/>
          <w:noProof/>
          <w:kern w:val="20"/>
          <w:sz w:val="20"/>
        </w:rPr>
      </w:pPr>
    </w:p>
    <w:p w:rsidR="00E201F7" w:rsidRDefault="00E201F7">
      <w:pPr>
        <w:contextualSpacing/>
        <w:rPr>
          <w:rFonts w:ascii="Verdana" w:eastAsia="Calibri" w:hAnsi="Verdana"/>
          <w:noProof/>
          <w:kern w:val="20"/>
          <w:sz w:val="20"/>
        </w:rPr>
        <w:sectPr w:rsidR="00E201F7">
          <w:headerReference w:type="even" r:id="rId142"/>
          <w:headerReference w:type="default" r:id="rId143"/>
          <w:footerReference w:type="even" r:id="rId144"/>
          <w:footerReference w:type="default" r:id="rId145"/>
          <w:headerReference w:type="first" r:id="rId146"/>
          <w:footerReference w:type="first" r:id="rId147"/>
          <w:footnotePr>
            <w:numRestart w:val="eachSect"/>
          </w:footnotePr>
          <w:pgSz w:w="11907" w:h="16839" w:code="9"/>
          <w:pgMar w:top="1843" w:right="1276" w:bottom="737" w:left="1418" w:header="567" w:footer="461" w:gutter="0"/>
          <w:cols w:space="720"/>
          <w:titlePg/>
          <w:docGrid w:linePitch="326"/>
        </w:sectPr>
      </w:pPr>
    </w:p>
    <w:p w:rsidR="00E201F7" w:rsidRDefault="00E24EFF">
      <w:pPr>
        <w:pStyle w:val="Heading1"/>
        <w:spacing w:after="0"/>
        <w:ind w:left="0"/>
        <w:rPr>
          <w:rFonts w:ascii="Arial" w:hAnsi="Arial"/>
          <w:noProof/>
        </w:rPr>
      </w:pPr>
      <w:bookmarkStart w:id="119" w:name="_Toc443057944"/>
      <w:bookmarkStart w:id="120" w:name="_Toc475524740"/>
      <w:bookmarkStart w:id="121" w:name="_Toc475529507"/>
      <w:bookmarkStart w:id="122" w:name="_Toc475529546"/>
      <w:bookmarkStart w:id="123" w:name="_Toc475529874"/>
      <w:bookmarkStart w:id="124" w:name="_Toc475550839"/>
      <w:bookmarkStart w:id="125" w:name="_Toc475551379"/>
      <w:bookmarkStart w:id="126" w:name="_Toc507510322"/>
      <w:bookmarkStart w:id="127" w:name="_Toc507517736"/>
      <w:bookmarkStart w:id="128" w:name="_Toc507520117"/>
      <w:bookmarkStart w:id="129" w:name="_Toc510016534"/>
      <w:bookmarkStart w:id="130" w:name="_Toc413173792"/>
      <w:bookmarkStart w:id="131" w:name="_Toc507510325"/>
      <w:bookmarkStart w:id="132" w:name="_Toc507517739"/>
      <w:bookmarkStart w:id="133" w:name="_Toc507520120"/>
      <w:bookmarkStart w:id="134" w:name="_Toc406073936"/>
      <w:r>
        <w:rPr>
          <w:rFonts w:ascii="Arial" w:hAnsi="Arial"/>
          <w:noProof/>
        </w:rPr>
        <w:t>Migration and home affairs</w:t>
      </w:r>
      <w:bookmarkEnd w:id="119"/>
      <w:bookmarkEnd w:id="120"/>
      <w:bookmarkEnd w:id="121"/>
      <w:bookmarkEnd w:id="122"/>
      <w:bookmarkEnd w:id="123"/>
      <w:bookmarkEnd w:id="124"/>
      <w:bookmarkEnd w:id="125"/>
      <w:bookmarkEnd w:id="126"/>
      <w:bookmarkEnd w:id="127"/>
      <w:bookmarkEnd w:id="128"/>
      <w:bookmarkEnd w:id="129"/>
    </w:p>
    <w:p w:rsidR="00E201F7" w:rsidRDefault="00E24EFF">
      <w:pPr>
        <w:pStyle w:val="kop2"/>
        <w:numPr>
          <w:ilvl w:val="0"/>
          <w:numId w:val="79"/>
        </w:numPr>
        <w:rPr>
          <w:noProof/>
        </w:rPr>
      </w:pPr>
      <w:r>
        <w:rPr>
          <w:noProof/>
        </w:rPr>
        <w:t>COMPLAINTS</w:t>
      </w:r>
    </w:p>
    <w:p w:rsidR="00E201F7" w:rsidRDefault="00E24EFF">
      <w:pPr>
        <w:numPr>
          <w:ilvl w:val="0"/>
          <w:numId w:val="37"/>
        </w:numPr>
        <w:spacing w:before="240"/>
        <w:ind w:left="714" w:hanging="357"/>
        <w:jc w:val="left"/>
        <w:outlineLvl w:val="1"/>
        <w:rPr>
          <w:rFonts w:ascii="Arial" w:hAnsi="Arial"/>
          <w:noProof/>
          <w:color w:val="002060"/>
          <w:sz w:val="22"/>
        </w:rPr>
      </w:pPr>
      <w:r>
        <w:rPr>
          <w:rFonts w:ascii="Arial" w:hAnsi="Arial"/>
          <w:noProof/>
          <w:color w:val="002060"/>
          <w:sz w:val="22"/>
        </w:rPr>
        <w:t>New</w:t>
      </w:r>
      <w:r>
        <w:rPr>
          <w:rFonts w:ascii="Arial" w:hAnsi="Arial"/>
          <w:noProof/>
          <w:color w:val="002060"/>
          <w:sz w:val="22"/>
        </w:rPr>
        <w:t xml:space="preserve"> complaints received from members of the public (2013-2017)</w:t>
      </w:r>
    </w:p>
    <w:p w:rsidR="00E201F7" w:rsidRDefault="00E24EFF">
      <w:pPr>
        <w:ind w:left="720"/>
        <w:rPr>
          <w:rFonts w:ascii="Verdana" w:hAnsi="Verdana"/>
          <w:noProof/>
          <w:sz w:val="20"/>
        </w:rPr>
      </w:pPr>
      <w:r>
        <w:rPr>
          <w:rFonts w:ascii="Verdana" w:hAnsi="Verdana"/>
          <w:noProof/>
          <w:sz w:val="20"/>
        </w:rPr>
        <w:drawing>
          <wp:inline distT="0" distB="0" distL="0" distR="0" wp14:anchorId="0CC2D972" wp14:editId="2A1C9BA5">
            <wp:extent cx="4602480" cy="2214880"/>
            <wp:effectExtent l="0" t="0" r="7620" b="13970"/>
            <wp:docPr id="67"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E201F7" w:rsidRDefault="00E24EFF">
      <w:pPr>
        <w:numPr>
          <w:ilvl w:val="0"/>
          <w:numId w:val="37"/>
        </w:numPr>
        <w:spacing w:before="240"/>
        <w:ind w:left="714" w:hanging="357"/>
        <w:jc w:val="left"/>
        <w:outlineLvl w:val="1"/>
        <w:rPr>
          <w:rFonts w:ascii="Arial" w:hAnsi="Arial"/>
          <w:noProof/>
          <w:color w:val="002060"/>
          <w:sz w:val="22"/>
        </w:rPr>
      </w:pPr>
      <w:r>
        <w:rPr>
          <w:rFonts w:ascii="Arial" w:hAnsi="Arial"/>
          <w:noProof/>
          <w:color w:val="002060"/>
          <w:sz w:val="22"/>
        </w:rPr>
        <w:t>Public complaints open at year-end</w:t>
      </w:r>
    </w:p>
    <w:tbl>
      <w:tblPr>
        <w:tblW w:w="0" w:type="auto"/>
        <w:jc w:val="center"/>
        <w:tblLook w:val="04A0" w:firstRow="1" w:lastRow="0" w:firstColumn="1" w:lastColumn="0" w:noHBand="0" w:noVBand="1"/>
      </w:tblPr>
      <w:tblGrid>
        <w:gridCol w:w="1697"/>
        <w:gridCol w:w="352"/>
        <w:gridCol w:w="5310"/>
      </w:tblGrid>
      <w:tr w:rsidR="00E201F7">
        <w:trPr>
          <w:trHeight w:val="403"/>
          <w:jc w:val="center"/>
        </w:trPr>
        <w:tc>
          <w:tcPr>
            <w:tcW w:w="1697" w:type="dxa"/>
            <w:shd w:val="clear" w:color="auto" w:fill="auto"/>
            <w:vAlign w:val="center"/>
          </w:tcPr>
          <w:p w:rsidR="00E201F7" w:rsidRDefault="00E24EFF">
            <w:pPr>
              <w:spacing w:after="0"/>
              <w:jc w:val="right"/>
              <w:rPr>
                <w:rFonts w:cs="Arial"/>
                <w:noProof/>
                <w:color w:val="548DD4"/>
                <w:szCs w:val="28"/>
              </w:rPr>
            </w:pPr>
            <w:r>
              <w:rPr>
                <w:rFonts w:cs="Arial"/>
                <w:noProof/>
                <w:color w:val="548DD4"/>
                <w:szCs w:val="28"/>
              </w:rPr>
              <w:t>100</w:t>
            </w:r>
          </w:p>
        </w:tc>
        <w:tc>
          <w:tcPr>
            <w:tcW w:w="332" w:type="dxa"/>
            <w:shd w:val="clear" w:color="auto" w:fill="auto"/>
            <w:vAlign w:val="center"/>
          </w:tcPr>
          <w:p w:rsidR="00E201F7" w:rsidRDefault="00E24EFF">
            <w:pPr>
              <w:spacing w:after="0"/>
              <w:jc w:val="right"/>
              <w:rPr>
                <w:rFonts w:cs="Arial"/>
                <w:noProof/>
                <w:color w:val="548DD4"/>
                <w:szCs w:val="28"/>
              </w:rPr>
            </w:pPr>
            <w:r>
              <w:rPr>
                <w:rFonts w:cs="Arial"/>
                <w:noProof/>
                <w:color w:val="548DD4"/>
                <w:szCs w:val="28"/>
              </w:rPr>
              <w:t>&gt;</w:t>
            </w:r>
          </w:p>
        </w:tc>
        <w:tc>
          <w:tcPr>
            <w:tcW w:w="5310" w:type="dxa"/>
            <w:shd w:val="clear" w:color="auto" w:fill="auto"/>
            <w:vAlign w:val="center"/>
          </w:tcPr>
          <w:p w:rsidR="00E201F7" w:rsidRDefault="00E24EFF">
            <w:pPr>
              <w:spacing w:after="0"/>
              <w:jc w:val="left"/>
              <w:rPr>
                <w:rFonts w:cs="Arial"/>
                <w:noProof/>
                <w:color w:val="548DD4"/>
                <w:szCs w:val="28"/>
              </w:rPr>
            </w:pPr>
            <w:r>
              <w:rPr>
                <w:rFonts w:cs="Arial"/>
                <w:noProof/>
                <w:color w:val="548DD4"/>
                <w:szCs w:val="28"/>
              </w:rPr>
              <w:t>Complaints open at end-2016</w:t>
            </w:r>
          </w:p>
        </w:tc>
      </w:tr>
      <w:tr w:rsidR="00E201F7">
        <w:trPr>
          <w:trHeight w:val="403"/>
          <w:jc w:val="center"/>
        </w:trPr>
        <w:tc>
          <w:tcPr>
            <w:tcW w:w="1697" w:type="dxa"/>
            <w:shd w:val="clear" w:color="auto" w:fill="auto"/>
            <w:vAlign w:val="center"/>
          </w:tcPr>
          <w:p w:rsidR="00E201F7" w:rsidRDefault="00E24EFF">
            <w:pPr>
              <w:spacing w:after="0"/>
              <w:jc w:val="right"/>
              <w:rPr>
                <w:rFonts w:cs="Arial"/>
                <w:noProof/>
                <w:color w:val="548DD4"/>
                <w:szCs w:val="28"/>
              </w:rPr>
            </w:pPr>
            <w:r>
              <w:rPr>
                <w:rFonts w:cs="Arial"/>
                <w:noProof/>
                <w:color w:val="548DD4"/>
                <w:szCs w:val="28"/>
              </w:rPr>
              <w:t>100</w:t>
            </w:r>
          </w:p>
        </w:tc>
        <w:tc>
          <w:tcPr>
            <w:tcW w:w="332" w:type="dxa"/>
            <w:shd w:val="clear" w:color="auto" w:fill="auto"/>
            <w:vAlign w:val="center"/>
          </w:tcPr>
          <w:p w:rsidR="00E201F7" w:rsidRDefault="00E24EFF">
            <w:pPr>
              <w:spacing w:after="0"/>
              <w:jc w:val="right"/>
              <w:rPr>
                <w:rFonts w:cs="Arial"/>
                <w:noProof/>
                <w:color w:val="548DD4"/>
                <w:szCs w:val="28"/>
              </w:rPr>
            </w:pPr>
            <w:r>
              <w:rPr>
                <w:rFonts w:cs="Arial"/>
                <w:noProof/>
                <w:color w:val="548DD4"/>
                <w:szCs w:val="28"/>
              </w:rPr>
              <w:t>&gt;</w:t>
            </w:r>
          </w:p>
        </w:tc>
        <w:tc>
          <w:tcPr>
            <w:tcW w:w="5310" w:type="dxa"/>
            <w:shd w:val="clear" w:color="auto" w:fill="auto"/>
            <w:vAlign w:val="center"/>
          </w:tcPr>
          <w:p w:rsidR="00E201F7" w:rsidRDefault="00E24EFF">
            <w:pPr>
              <w:spacing w:after="0"/>
              <w:jc w:val="left"/>
              <w:rPr>
                <w:rFonts w:cs="Arial"/>
                <w:noProof/>
                <w:color w:val="548DD4"/>
                <w:szCs w:val="28"/>
              </w:rPr>
            </w:pPr>
            <w:r>
              <w:rPr>
                <w:rFonts w:cs="Arial"/>
                <w:noProof/>
                <w:color w:val="548DD4"/>
                <w:szCs w:val="28"/>
              </w:rPr>
              <w:t>New complaints registered in 2017</w:t>
            </w:r>
          </w:p>
        </w:tc>
      </w:tr>
      <w:tr w:rsidR="00E201F7">
        <w:trPr>
          <w:trHeight w:val="403"/>
          <w:jc w:val="center"/>
        </w:trPr>
        <w:tc>
          <w:tcPr>
            <w:tcW w:w="1697" w:type="dxa"/>
            <w:tcBorders>
              <w:bottom w:val="single" w:sz="24" w:space="0" w:color="548DD4"/>
            </w:tcBorders>
            <w:shd w:val="clear" w:color="auto" w:fill="auto"/>
            <w:vAlign w:val="center"/>
          </w:tcPr>
          <w:p w:rsidR="00E201F7" w:rsidRDefault="00E24EFF">
            <w:pPr>
              <w:spacing w:after="0"/>
              <w:jc w:val="right"/>
              <w:rPr>
                <w:rFonts w:cs="Arial"/>
                <w:noProof/>
                <w:color w:val="548DD4"/>
                <w:szCs w:val="28"/>
              </w:rPr>
            </w:pPr>
            <w:r>
              <w:rPr>
                <w:rFonts w:cs="Arial"/>
                <w:noProof/>
                <w:color w:val="548DD4"/>
                <w:szCs w:val="28"/>
              </w:rPr>
              <w:t>83</w:t>
            </w:r>
          </w:p>
        </w:tc>
        <w:tc>
          <w:tcPr>
            <w:tcW w:w="332" w:type="dxa"/>
            <w:shd w:val="clear" w:color="auto" w:fill="auto"/>
            <w:vAlign w:val="center"/>
          </w:tcPr>
          <w:p w:rsidR="00E201F7" w:rsidRDefault="00E24EFF">
            <w:pPr>
              <w:spacing w:after="0"/>
              <w:jc w:val="right"/>
              <w:rPr>
                <w:rFonts w:cs="Arial"/>
                <w:noProof/>
                <w:color w:val="548DD4"/>
                <w:szCs w:val="28"/>
              </w:rPr>
            </w:pPr>
            <w:r>
              <w:rPr>
                <w:rFonts w:cs="Arial"/>
                <w:noProof/>
                <w:color w:val="548DD4"/>
                <w:szCs w:val="28"/>
              </w:rPr>
              <w:t>&gt;</w:t>
            </w:r>
          </w:p>
        </w:tc>
        <w:tc>
          <w:tcPr>
            <w:tcW w:w="5310" w:type="dxa"/>
            <w:shd w:val="clear" w:color="auto" w:fill="auto"/>
            <w:vAlign w:val="center"/>
          </w:tcPr>
          <w:p w:rsidR="00E201F7" w:rsidRDefault="00E24EFF">
            <w:pPr>
              <w:spacing w:after="0"/>
              <w:jc w:val="left"/>
              <w:rPr>
                <w:rFonts w:cs="Arial"/>
                <w:noProof/>
                <w:color w:val="548DD4"/>
                <w:szCs w:val="28"/>
              </w:rPr>
            </w:pPr>
            <w:r>
              <w:rPr>
                <w:rFonts w:cs="Arial"/>
                <w:noProof/>
                <w:color w:val="548DD4"/>
                <w:szCs w:val="28"/>
              </w:rPr>
              <w:t>Complaints handled in 2017</w:t>
            </w:r>
          </w:p>
        </w:tc>
      </w:tr>
      <w:tr w:rsidR="00E201F7">
        <w:trPr>
          <w:trHeight w:val="403"/>
          <w:jc w:val="center"/>
        </w:trPr>
        <w:tc>
          <w:tcPr>
            <w:tcW w:w="1697" w:type="dxa"/>
            <w:tcBorders>
              <w:top w:val="single" w:sz="24" w:space="0" w:color="548DD4"/>
            </w:tcBorders>
            <w:shd w:val="clear" w:color="auto" w:fill="auto"/>
            <w:vAlign w:val="center"/>
          </w:tcPr>
          <w:p w:rsidR="00E201F7" w:rsidRDefault="00E24EFF">
            <w:pPr>
              <w:spacing w:after="0"/>
              <w:jc w:val="right"/>
              <w:rPr>
                <w:rFonts w:cs="Arial"/>
                <w:noProof/>
                <w:color w:val="C00000"/>
                <w:szCs w:val="28"/>
              </w:rPr>
            </w:pPr>
            <w:r>
              <w:rPr>
                <w:rFonts w:cs="Arial"/>
                <w:noProof/>
                <w:color w:val="C00000"/>
                <w:szCs w:val="28"/>
              </w:rPr>
              <w:t>= 117</w:t>
            </w:r>
          </w:p>
        </w:tc>
        <w:tc>
          <w:tcPr>
            <w:tcW w:w="332" w:type="dxa"/>
            <w:shd w:val="clear" w:color="auto" w:fill="auto"/>
            <w:vAlign w:val="center"/>
          </w:tcPr>
          <w:p w:rsidR="00E201F7" w:rsidRDefault="00E24EFF">
            <w:pPr>
              <w:spacing w:after="0"/>
              <w:jc w:val="right"/>
              <w:rPr>
                <w:rFonts w:cs="Arial"/>
                <w:noProof/>
                <w:color w:val="548DD4"/>
                <w:szCs w:val="28"/>
              </w:rPr>
            </w:pPr>
            <w:r>
              <w:rPr>
                <w:rFonts w:cs="Arial"/>
                <w:noProof/>
                <w:color w:val="548DD4"/>
                <w:szCs w:val="28"/>
              </w:rPr>
              <w:t>&gt;</w:t>
            </w:r>
          </w:p>
        </w:tc>
        <w:tc>
          <w:tcPr>
            <w:tcW w:w="5310" w:type="dxa"/>
            <w:shd w:val="clear" w:color="auto" w:fill="auto"/>
            <w:vAlign w:val="center"/>
          </w:tcPr>
          <w:p w:rsidR="00E201F7" w:rsidRDefault="00E24EFF">
            <w:pPr>
              <w:spacing w:after="0"/>
              <w:jc w:val="left"/>
              <w:rPr>
                <w:rFonts w:cs="Arial"/>
                <w:noProof/>
                <w:color w:val="548DD4"/>
                <w:szCs w:val="28"/>
              </w:rPr>
            </w:pPr>
            <w:r>
              <w:rPr>
                <w:rFonts w:cs="Arial"/>
                <w:noProof/>
                <w:color w:val="548DD4"/>
                <w:szCs w:val="28"/>
              </w:rPr>
              <w:t>Complaints open at end-2017</w:t>
            </w:r>
          </w:p>
        </w:tc>
      </w:tr>
    </w:tbl>
    <w:p w:rsidR="00E201F7" w:rsidRDefault="00E24EFF">
      <w:pPr>
        <w:numPr>
          <w:ilvl w:val="0"/>
          <w:numId w:val="37"/>
        </w:numPr>
        <w:spacing w:before="240"/>
        <w:ind w:left="714" w:hanging="357"/>
        <w:jc w:val="left"/>
        <w:outlineLvl w:val="1"/>
        <w:rPr>
          <w:rFonts w:ascii="Arial" w:hAnsi="Arial"/>
          <w:noProof/>
          <w:color w:val="002060"/>
          <w:sz w:val="22"/>
        </w:rPr>
      </w:pPr>
      <w:r>
        <w:rPr>
          <w:rFonts w:ascii="Arial" w:hAnsi="Arial"/>
          <w:noProof/>
          <w:color w:val="002060"/>
          <w:sz w:val="22"/>
        </w:rPr>
        <w:t xml:space="preserve">New </w:t>
      </w:r>
      <w:r>
        <w:rPr>
          <w:rFonts w:ascii="Arial" w:hAnsi="Arial"/>
          <w:noProof/>
          <w:color w:val="002060"/>
          <w:sz w:val="22"/>
        </w:rPr>
        <w:t>complaints registered in 2017: main policy sectors</w:t>
      </w:r>
    </w:p>
    <w:p w:rsidR="00E201F7" w:rsidRDefault="00E24EFF">
      <w:pPr>
        <w:ind w:left="720"/>
        <w:rPr>
          <w:rFonts w:ascii="Verdana" w:hAnsi="Verdana"/>
          <w:noProof/>
          <w:sz w:val="20"/>
        </w:rPr>
      </w:pPr>
      <w:r>
        <w:rPr>
          <w:rFonts w:ascii="Verdana" w:hAnsi="Verdana"/>
          <w:noProof/>
          <w:sz w:val="20"/>
        </w:rPr>
        <w:drawing>
          <wp:inline distT="0" distB="0" distL="0" distR="0" wp14:anchorId="268BC962" wp14:editId="5BB9702B">
            <wp:extent cx="4561840" cy="2448560"/>
            <wp:effectExtent l="0" t="0" r="10160" b="27940"/>
            <wp:docPr id="68"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E201F7" w:rsidRDefault="00E24EFF">
      <w:pPr>
        <w:spacing w:after="0"/>
        <w:jc w:val="left"/>
        <w:rPr>
          <w:caps/>
          <w:noProof/>
          <w:color w:val="4F81BD"/>
          <w:szCs w:val="24"/>
        </w:rPr>
      </w:pPr>
      <w:r>
        <w:rPr>
          <w:caps/>
          <w:noProof/>
          <w:color w:val="4F81BD"/>
          <w:szCs w:val="24"/>
        </w:rPr>
        <w:br w:type="page"/>
      </w:r>
    </w:p>
    <w:p w:rsidR="00E201F7" w:rsidRDefault="00E24EFF">
      <w:pPr>
        <w:pStyle w:val="kop2"/>
        <w:rPr>
          <w:noProof/>
        </w:rPr>
      </w:pPr>
      <w:r>
        <w:rPr>
          <w:noProof/>
        </w:rPr>
        <w:t>EU PILOT</w:t>
      </w:r>
    </w:p>
    <w:p w:rsidR="00E201F7" w:rsidRDefault="00E24EFF">
      <w:pPr>
        <w:numPr>
          <w:ilvl w:val="0"/>
          <w:numId w:val="137"/>
        </w:numPr>
        <w:spacing w:before="240" w:after="120"/>
        <w:ind w:left="714" w:hanging="357"/>
        <w:jc w:val="left"/>
        <w:outlineLvl w:val="1"/>
        <w:rPr>
          <w:rFonts w:ascii="Arial" w:hAnsi="Arial"/>
          <w:noProof/>
          <w:color w:val="002060"/>
          <w:sz w:val="22"/>
        </w:rPr>
      </w:pPr>
      <w:r>
        <w:rPr>
          <w:rFonts w:ascii="Arial" w:hAnsi="Arial"/>
          <w:noProof/>
          <w:color w:val="002060"/>
          <w:sz w:val="22"/>
        </w:rPr>
        <w:t>New EU Pilot files (2013-2017)</w:t>
      </w:r>
    </w:p>
    <w:p w:rsidR="00E201F7" w:rsidRDefault="00E24EFF">
      <w:pPr>
        <w:ind w:left="720"/>
        <w:rPr>
          <w:rFonts w:ascii="Verdana" w:hAnsi="Verdana"/>
          <w:noProof/>
          <w:sz w:val="20"/>
        </w:rPr>
      </w:pPr>
      <w:r>
        <w:rPr>
          <w:rFonts w:ascii="Verdana" w:hAnsi="Verdana"/>
          <w:noProof/>
          <w:sz w:val="20"/>
        </w:rPr>
        <w:drawing>
          <wp:inline distT="0" distB="0" distL="0" distR="0" wp14:anchorId="74110AF8" wp14:editId="4CDEB4C5">
            <wp:extent cx="4582160" cy="2062480"/>
            <wp:effectExtent l="0" t="0" r="27940" b="13970"/>
            <wp:docPr id="69"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E201F7" w:rsidRDefault="00E24EFF">
      <w:pPr>
        <w:numPr>
          <w:ilvl w:val="0"/>
          <w:numId w:val="137"/>
        </w:numPr>
        <w:spacing w:before="240"/>
        <w:ind w:left="714" w:hanging="357"/>
        <w:jc w:val="left"/>
        <w:outlineLvl w:val="1"/>
        <w:rPr>
          <w:rFonts w:ascii="Arial" w:hAnsi="Arial"/>
          <w:noProof/>
          <w:color w:val="002060"/>
          <w:sz w:val="22"/>
        </w:rPr>
      </w:pPr>
      <w:r>
        <w:rPr>
          <w:rFonts w:ascii="Arial" w:hAnsi="Arial"/>
          <w:noProof/>
          <w:color w:val="002060"/>
          <w:sz w:val="22"/>
        </w:rPr>
        <w:t>EU Pilot files open at year-end</w:t>
      </w:r>
    </w:p>
    <w:p w:rsidR="00E201F7" w:rsidRDefault="00E24EFF">
      <w:pPr>
        <w:pStyle w:val="ListParagraph"/>
        <w:rPr>
          <w:rFonts w:ascii="Arial" w:hAnsi="Arial"/>
          <w:noProof/>
          <w:sz w:val="20"/>
        </w:rPr>
      </w:pPr>
      <w:r>
        <w:rPr>
          <w:rFonts w:ascii="Arial" w:hAnsi="Arial"/>
          <w:noProof/>
          <w:sz w:val="20"/>
        </w:rPr>
        <w:t>At the end of 2017, 48 EU Pilot files remained open.</w:t>
      </w:r>
    </w:p>
    <w:p w:rsidR="00E201F7" w:rsidRDefault="00E24EFF">
      <w:pPr>
        <w:numPr>
          <w:ilvl w:val="0"/>
          <w:numId w:val="137"/>
        </w:numPr>
        <w:spacing w:before="240"/>
        <w:ind w:left="714" w:hanging="357"/>
        <w:jc w:val="left"/>
        <w:outlineLvl w:val="1"/>
        <w:rPr>
          <w:rFonts w:ascii="Arial" w:hAnsi="Arial"/>
          <w:noProof/>
          <w:color w:val="002060"/>
          <w:sz w:val="22"/>
        </w:rPr>
      </w:pPr>
      <w:r>
        <w:rPr>
          <w:rFonts w:ascii="Arial" w:hAnsi="Arial"/>
          <w:noProof/>
          <w:color w:val="002060"/>
          <w:sz w:val="22"/>
        </w:rPr>
        <w:t>New EU Pilot files opened in 2017: main policy sectors</w:t>
      </w:r>
    </w:p>
    <w:p w:rsidR="00E201F7" w:rsidRDefault="00E24EFF">
      <w:pPr>
        <w:ind w:left="720"/>
        <w:rPr>
          <w:rFonts w:ascii="Verdana" w:hAnsi="Verdana"/>
          <w:noProof/>
          <w:sz w:val="20"/>
        </w:rPr>
      </w:pPr>
      <w:r>
        <w:rPr>
          <w:rFonts w:ascii="Verdana" w:hAnsi="Verdana"/>
          <w:noProof/>
          <w:sz w:val="20"/>
        </w:rPr>
        <w:drawing>
          <wp:inline distT="0" distB="0" distL="0" distR="0" wp14:anchorId="16C9B9F8" wp14:editId="53F00EBF">
            <wp:extent cx="4617720" cy="2293620"/>
            <wp:effectExtent l="0" t="0" r="11430" b="11430"/>
            <wp:docPr id="70"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E201F7" w:rsidRDefault="00E24EFF">
      <w:pPr>
        <w:numPr>
          <w:ilvl w:val="0"/>
          <w:numId w:val="137"/>
        </w:numPr>
        <w:spacing w:before="120"/>
        <w:jc w:val="left"/>
        <w:outlineLvl w:val="1"/>
        <w:rPr>
          <w:rFonts w:ascii="Arial" w:hAnsi="Arial"/>
          <w:noProof/>
          <w:color w:val="002060"/>
          <w:sz w:val="22"/>
        </w:rPr>
      </w:pPr>
      <w:r>
        <w:rPr>
          <w:rFonts w:ascii="Arial" w:hAnsi="Arial"/>
          <w:noProof/>
          <w:color w:val="002060"/>
          <w:sz w:val="22"/>
        </w:rPr>
        <w:t xml:space="preserve">EU Pilot files: </w:t>
      </w:r>
      <w:r>
        <w:rPr>
          <w:rFonts w:ascii="Arial" w:hAnsi="Arial"/>
          <w:noProof/>
          <w:color w:val="002060"/>
          <w:sz w:val="22"/>
        </w:rPr>
        <w:t>resolution rate for policies (2013-2017)</w:t>
      </w:r>
    </w:p>
    <w:p w:rsidR="00E201F7" w:rsidRDefault="00E24EFF">
      <w:pPr>
        <w:spacing w:before="120"/>
        <w:ind w:left="720"/>
        <w:jc w:val="left"/>
        <w:outlineLvl w:val="1"/>
        <w:rPr>
          <w:rFonts w:ascii="Arial" w:hAnsi="Arial"/>
          <w:noProof/>
          <w:color w:val="002060"/>
          <w:sz w:val="22"/>
        </w:rPr>
      </w:pPr>
      <w:r>
        <w:rPr>
          <w:rFonts w:ascii="Verdana" w:hAnsi="Verdana"/>
          <w:noProof/>
          <w:color w:val="00B050"/>
          <w:sz w:val="20"/>
        </w:rPr>
        <w:drawing>
          <wp:inline distT="0" distB="0" distL="0" distR="0" wp14:anchorId="3B72A34F" wp14:editId="37EFD315">
            <wp:extent cx="4587240" cy="2095500"/>
            <wp:effectExtent l="0" t="0" r="22860" b="19050"/>
            <wp:docPr id="477"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E201F7" w:rsidRDefault="00E24EFF">
      <w:pPr>
        <w:pStyle w:val="kop2"/>
        <w:rPr>
          <w:noProof/>
        </w:rPr>
      </w:pPr>
      <w:r>
        <w:rPr>
          <w:noProof/>
        </w:rPr>
        <w:t>OWN-INITIATIVE CASES</w:t>
      </w:r>
    </w:p>
    <w:p w:rsidR="00E201F7" w:rsidRDefault="00E24EFF">
      <w:pPr>
        <w:spacing w:after="60"/>
        <w:ind w:left="360"/>
        <w:jc w:val="left"/>
        <w:outlineLvl w:val="1"/>
        <w:rPr>
          <w:rFonts w:ascii="Arial" w:hAnsi="Arial"/>
          <w:noProof/>
          <w:color w:val="002060"/>
          <w:sz w:val="22"/>
        </w:rPr>
      </w:pPr>
      <w:r>
        <w:rPr>
          <w:rFonts w:ascii="Arial" w:hAnsi="Arial"/>
          <w:noProof/>
          <w:color w:val="002060"/>
          <w:sz w:val="22"/>
        </w:rPr>
        <w:t>New own-initiative infringement cases</w:t>
      </w:r>
    </w:p>
    <w:p w:rsidR="00E201F7" w:rsidRDefault="00E24EFF">
      <w:pPr>
        <w:autoSpaceDE w:val="0"/>
        <w:autoSpaceDN w:val="0"/>
        <w:adjustRightInd w:val="0"/>
        <w:spacing w:before="120"/>
        <w:ind w:left="720"/>
        <w:rPr>
          <w:rFonts w:ascii="Arial" w:hAnsi="Arial"/>
          <w:noProof/>
          <w:sz w:val="20"/>
        </w:rPr>
      </w:pPr>
      <w:r>
        <w:rPr>
          <w:rFonts w:ascii="Arial" w:hAnsi="Arial"/>
          <w:noProof/>
          <w:sz w:val="20"/>
        </w:rPr>
        <w:t>In 2017, the Commission opened own-initiative infringement cases over:</w:t>
      </w:r>
    </w:p>
    <w:p w:rsidR="00E201F7" w:rsidRDefault="00E24EFF">
      <w:pPr>
        <w:pStyle w:val="ListParagraph"/>
        <w:numPr>
          <w:ilvl w:val="0"/>
          <w:numId w:val="30"/>
        </w:numPr>
        <w:autoSpaceDE w:val="0"/>
        <w:autoSpaceDN w:val="0"/>
        <w:adjustRightInd w:val="0"/>
        <w:ind w:left="1200"/>
        <w:rPr>
          <w:rFonts w:ascii="Arial" w:hAnsi="Arial"/>
          <w:noProof/>
          <w:sz w:val="20"/>
        </w:rPr>
      </w:pPr>
      <w:r>
        <w:rPr>
          <w:rFonts w:ascii="Arial" w:hAnsi="Arial"/>
          <w:noProof/>
          <w:sz w:val="20"/>
        </w:rPr>
        <w:t>legal migration and integration;</w:t>
      </w:r>
    </w:p>
    <w:p w:rsidR="00E201F7" w:rsidRDefault="00E24EFF">
      <w:pPr>
        <w:pStyle w:val="ListParagraph"/>
        <w:numPr>
          <w:ilvl w:val="0"/>
          <w:numId w:val="30"/>
        </w:numPr>
        <w:autoSpaceDE w:val="0"/>
        <w:autoSpaceDN w:val="0"/>
        <w:adjustRightInd w:val="0"/>
        <w:ind w:left="1200"/>
        <w:rPr>
          <w:rFonts w:ascii="Arial" w:hAnsi="Arial"/>
          <w:noProof/>
          <w:sz w:val="20"/>
        </w:rPr>
      </w:pPr>
      <w:r>
        <w:rPr>
          <w:rFonts w:ascii="Arial" w:hAnsi="Arial"/>
          <w:noProof/>
          <w:sz w:val="20"/>
        </w:rPr>
        <w:t>asylum;</w:t>
      </w:r>
    </w:p>
    <w:p w:rsidR="00E201F7" w:rsidRDefault="00E24EFF">
      <w:pPr>
        <w:pStyle w:val="ListParagraph"/>
        <w:numPr>
          <w:ilvl w:val="0"/>
          <w:numId w:val="30"/>
        </w:numPr>
        <w:autoSpaceDE w:val="0"/>
        <w:autoSpaceDN w:val="0"/>
        <w:adjustRightInd w:val="0"/>
        <w:ind w:left="1200"/>
        <w:rPr>
          <w:rFonts w:ascii="Arial" w:hAnsi="Arial"/>
          <w:noProof/>
          <w:sz w:val="20"/>
        </w:rPr>
      </w:pPr>
      <w:r>
        <w:rPr>
          <w:rFonts w:ascii="Arial" w:hAnsi="Arial"/>
          <w:noProof/>
          <w:sz w:val="20"/>
        </w:rPr>
        <w:t>visa policy and document security;</w:t>
      </w:r>
    </w:p>
    <w:p w:rsidR="00E201F7" w:rsidRDefault="00E24EFF">
      <w:pPr>
        <w:pStyle w:val="ListParagraph"/>
        <w:numPr>
          <w:ilvl w:val="0"/>
          <w:numId w:val="30"/>
        </w:numPr>
        <w:autoSpaceDE w:val="0"/>
        <w:autoSpaceDN w:val="0"/>
        <w:adjustRightInd w:val="0"/>
        <w:ind w:left="1200"/>
        <w:rPr>
          <w:rFonts w:ascii="Arial" w:hAnsi="Arial"/>
          <w:noProof/>
          <w:sz w:val="20"/>
        </w:rPr>
      </w:pPr>
      <w:r>
        <w:rPr>
          <w:rFonts w:ascii="Arial" w:hAnsi="Arial"/>
          <w:noProof/>
          <w:sz w:val="20"/>
        </w:rPr>
        <w:t>information systems for borders and security.</w:t>
      </w:r>
    </w:p>
    <w:p w:rsidR="00E201F7" w:rsidRDefault="00E24EFF">
      <w:pPr>
        <w:pStyle w:val="kop2"/>
        <w:rPr>
          <w:noProof/>
        </w:rPr>
      </w:pPr>
      <w:r>
        <w:rPr>
          <w:noProof/>
        </w:rPr>
        <w:t>INFRINGEMENT CASES</w:t>
      </w:r>
    </w:p>
    <w:p w:rsidR="00E201F7" w:rsidRDefault="00E24EFF">
      <w:pPr>
        <w:numPr>
          <w:ilvl w:val="0"/>
          <w:numId w:val="138"/>
        </w:numPr>
        <w:spacing w:before="240"/>
        <w:ind w:left="714" w:hanging="357"/>
        <w:jc w:val="left"/>
        <w:outlineLvl w:val="1"/>
        <w:rPr>
          <w:rFonts w:ascii="Arial" w:hAnsi="Arial"/>
          <w:noProof/>
          <w:color w:val="002060"/>
          <w:sz w:val="22"/>
        </w:rPr>
      </w:pPr>
      <w:r>
        <w:rPr>
          <w:rFonts w:ascii="Arial" w:hAnsi="Arial"/>
          <w:noProof/>
          <w:color w:val="002060"/>
          <w:sz w:val="22"/>
        </w:rPr>
        <w:t>Infringement cases open on 31 December (2013-2017)</w:t>
      </w:r>
    </w:p>
    <w:p w:rsidR="00E201F7" w:rsidRDefault="00E24EFF">
      <w:pPr>
        <w:ind w:left="720"/>
        <w:rPr>
          <w:rFonts w:ascii="Verdana" w:hAnsi="Verdana"/>
          <w:noProof/>
          <w:sz w:val="20"/>
          <w:u w:val="single"/>
        </w:rPr>
      </w:pPr>
      <w:r>
        <w:rPr>
          <w:rFonts w:ascii="Verdana" w:hAnsi="Verdana"/>
          <w:noProof/>
          <w:sz w:val="20"/>
        </w:rPr>
        <w:drawing>
          <wp:inline distT="0" distB="0" distL="0" distR="0" wp14:anchorId="0681AE1D" wp14:editId="38014E13">
            <wp:extent cx="4378960" cy="1991360"/>
            <wp:effectExtent l="0" t="0" r="0" b="0"/>
            <wp:docPr id="72" name="Grafie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E201F7" w:rsidRDefault="00E24EFF">
      <w:pPr>
        <w:numPr>
          <w:ilvl w:val="0"/>
          <w:numId w:val="138"/>
        </w:numPr>
        <w:spacing w:before="240"/>
        <w:ind w:left="714" w:hanging="357"/>
        <w:jc w:val="left"/>
        <w:outlineLvl w:val="1"/>
        <w:rPr>
          <w:rFonts w:ascii="Arial" w:hAnsi="Arial"/>
          <w:noProof/>
          <w:color w:val="002060"/>
          <w:sz w:val="22"/>
        </w:rPr>
      </w:pPr>
      <w:r>
        <w:rPr>
          <w:rFonts w:ascii="Arial" w:hAnsi="Arial"/>
          <w:noProof/>
          <w:color w:val="002060"/>
          <w:sz w:val="22"/>
        </w:rPr>
        <w:t>Infringement cases open on 31 December 2017: main policy sectors</w:t>
      </w:r>
    </w:p>
    <w:p w:rsidR="00E201F7" w:rsidRDefault="00E24EFF">
      <w:pPr>
        <w:ind w:left="720"/>
        <w:rPr>
          <w:rFonts w:ascii="Verdana" w:hAnsi="Verdana"/>
          <w:noProof/>
          <w:sz w:val="20"/>
        </w:rPr>
      </w:pPr>
      <w:r>
        <w:rPr>
          <w:rFonts w:ascii="Verdana" w:hAnsi="Verdana"/>
          <w:noProof/>
          <w:sz w:val="20"/>
        </w:rPr>
        <w:drawing>
          <wp:inline distT="0" distB="0" distL="0" distR="0" wp14:anchorId="251D09F1" wp14:editId="661330A0">
            <wp:extent cx="4434840" cy="2385060"/>
            <wp:effectExtent l="0" t="0" r="3810" b="15240"/>
            <wp:docPr id="55" name="Object 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E201F7" w:rsidRDefault="00E24EFF">
      <w:pPr>
        <w:spacing w:after="0"/>
        <w:jc w:val="left"/>
        <w:rPr>
          <w:rFonts w:ascii="Arial" w:hAnsi="Arial"/>
          <w:noProof/>
          <w:color w:val="002060"/>
          <w:sz w:val="22"/>
        </w:rPr>
      </w:pPr>
      <w:r>
        <w:rPr>
          <w:rFonts w:ascii="Arial" w:hAnsi="Arial"/>
          <w:noProof/>
          <w:color w:val="002060"/>
          <w:sz w:val="22"/>
        </w:rPr>
        <w:br w:type="page"/>
      </w:r>
    </w:p>
    <w:p w:rsidR="00E201F7" w:rsidRDefault="00E24EFF">
      <w:pPr>
        <w:numPr>
          <w:ilvl w:val="0"/>
          <w:numId w:val="138"/>
        </w:numPr>
        <w:spacing w:before="240"/>
        <w:ind w:left="714" w:hanging="357"/>
        <w:jc w:val="left"/>
        <w:outlineLvl w:val="1"/>
        <w:rPr>
          <w:rFonts w:ascii="Arial" w:hAnsi="Arial"/>
          <w:noProof/>
          <w:color w:val="002060"/>
          <w:sz w:val="22"/>
        </w:rPr>
      </w:pPr>
      <w:r>
        <w:rPr>
          <w:rFonts w:ascii="Arial" w:hAnsi="Arial"/>
          <w:noProof/>
          <w:color w:val="002060"/>
          <w:sz w:val="22"/>
        </w:rPr>
        <w:t>New infringement cases opened in 2017: main policy sectors</w:t>
      </w:r>
    </w:p>
    <w:p w:rsidR="00E201F7" w:rsidRDefault="00E24EFF">
      <w:pPr>
        <w:ind w:left="720"/>
        <w:rPr>
          <w:rFonts w:ascii="Verdana" w:hAnsi="Verdana"/>
          <w:noProof/>
          <w:sz w:val="20"/>
        </w:rPr>
      </w:pPr>
      <w:r>
        <w:rPr>
          <w:rFonts w:ascii="Verdana" w:hAnsi="Verdana"/>
          <w:noProof/>
          <w:sz w:val="20"/>
        </w:rPr>
        <w:drawing>
          <wp:inline distT="0" distB="0" distL="0" distR="0" wp14:anchorId="093D4E4F" wp14:editId="0FF1DA8F">
            <wp:extent cx="4592320" cy="2214880"/>
            <wp:effectExtent l="0" t="0" r="17780" b="13970"/>
            <wp:docPr id="54"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E201F7" w:rsidRDefault="00E24EFF">
      <w:pPr>
        <w:numPr>
          <w:ilvl w:val="0"/>
          <w:numId w:val="138"/>
        </w:numPr>
        <w:spacing w:before="120"/>
        <w:jc w:val="left"/>
        <w:outlineLvl w:val="1"/>
        <w:rPr>
          <w:rFonts w:ascii="Arial" w:hAnsi="Arial"/>
          <w:noProof/>
          <w:color w:val="002060"/>
          <w:sz w:val="22"/>
        </w:rPr>
      </w:pPr>
      <w:r>
        <w:rPr>
          <w:rFonts w:ascii="Arial" w:hAnsi="Arial"/>
          <w:noProof/>
          <w:color w:val="002060"/>
          <w:sz w:val="22"/>
        </w:rPr>
        <w:t xml:space="preserve">Key </w:t>
      </w:r>
      <w:r>
        <w:rPr>
          <w:rFonts w:ascii="Arial" w:hAnsi="Arial"/>
          <w:noProof/>
          <w:color w:val="002060"/>
          <w:sz w:val="22"/>
        </w:rPr>
        <w:t>infringement cases and referrals to the Court</w:t>
      </w:r>
    </w:p>
    <w:p w:rsidR="00E201F7" w:rsidRDefault="00E24EFF">
      <w:pPr>
        <w:pStyle w:val="Lijstje"/>
        <w:numPr>
          <w:ilvl w:val="0"/>
          <w:numId w:val="50"/>
        </w:numPr>
        <w:spacing w:after="120"/>
        <w:ind w:left="1200" w:hanging="360"/>
        <w:rPr>
          <w:rFonts w:ascii="Arial" w:hAnsi="Arial" w:cs="Arial"/>
          <w:noProof/>
          <w:lang w:val="en-GB"/>
        </w:rPr>
      </w:pPr>
      <w:r>
        <w:rPr>
          <w:rFonts w:ascii="Arial" w:hAnsi="Arial" w:cs="Arial"/>
          <w:noProof/>
          <w:lang w:val="en-GB"/>
        </w:rPr>
        <w:t>The Commission opened 26 new infringement cases in 2017. These, and other major ongoing infringement cases, include the following.</w:t>
      </w:r>
    </w:p>
    <w:p w:rsidR="00E201F7" w:rsidRDefault="00E24EFF">
      <w:pPr>
        <w:pStyle w:val="Lijstje2"/>
        <w:ind w:left="1800"/>
        <w:rPr>
          <w:rFonts w:ascii="Arial" w:hAnsi="Arial" w:cs="Arial"/>
          <w:i/>
          <w:noProof/>
          <w:lang w:val="en-GB"/>
        </w:rPr>
      </w:pPr>
      <w:r>
        <w:rPr>
          <w:rFonts w:ascii="Arial" w:hAnsi="Arial" w:cs="Arial"/>
          <w:i/>
          <w:noProof/>
          <w:lang w:val="en-GB"/>
        </w:rPr>
        <w:t xml:space="preserve">Bulgaria: </w:t>
      </w:r>
      <w:r>
        <w:rPr>
          <w:rFonts w:ascii="Arial" w:hAnsi="Arial" w:cs="Arial"/>
          <w:noProof/>
          <w:lang w:val="en-GB"/>
        </w:rPr>
        <w:t xml:space="preserve">Lack of implementation of certain obligations under EU document </w:t>
      </w:r>
      <w:r>
        <w:rPr>
          <w:rFonts w:ascii="Arial" w:hAnsi="Arial" w:cs="Arial"/>
          <w:noProof/>
          <w:lang w:val="en-GB"/>
        </w:rPr>
        <w:t>security legislation</w:t>
      </w:r>
      <w:r>
        <w:rPr>
          <w:rStyle w:val="FootnoteReference"/>
          <w:rFonts w:ascii="Arial" w:hAnsi="Arial" w:cs="Arial"/>
          <w:noProof/>
          <w:lang w:val="en-GB"/>
        </w:rPr>
        <w:footnoteReference w:id="287"/>
      </w:r>
      <w:r>
        <w:rPr>
          <w:rFonts w:ascii="Arial" w:hAnsi="Arial" w:cs="Arial"/>
          <w:noProof/>
          <w:lang w:val="en-GB"/>
        </w:rPr>
        <w:t>.</w:t>
      </w:r>
    </w:p>
    <w:p w:rsidR="00E201F7" w:rsidRDefault="00E24EFF">
      <w:pPr>
        <w:pStyle w:val="Lijstje2"/>
        <w:ind w:left="1797" w:hanging="357"/>
        <w:rPr>
          <w:rFonts w:ascii="Arial" w:hAnsi="Arial" w:cs="Arial"/>
          <w:noProof/>
          <w:lang w:val="en-GB"/>
        </w:rPr>
      </w:pPr>
      <w:r>
        <w:rPr>
          <w:rFonts w:ascii="Arial" w:hAnsi="Arial" w:cs="Arial"/>
          <w:i/>
          <w:noProof/>
          <w:lang w:val="en-GB"/>
        </w:rPr>
        <w:t xml:space="preserve">Czech </w:t>
      </w:r>
      <w:smartTag w:uri="urn:schemas-microsoft-com:office:smarttags" w:element="PlaceType">
        <w:r>
          <w:rPr>
            <w:rFonts w:ascii="Arial" w:hAnsi="Arial" w:cs="Arial"/>
            <w:i/>
            <w:noProof/>
            <w:lang w:val="en-GB"/>
          </w:rPr>
          <w:t>Republic</w:t>
        </w:r>
      </w:smartTag>
      <w:r>
        <w:rPr>
          <w:rFonts w:ascii="Arial" w:hAnsi="Arial" w:cs="Arial"/>
          <w:i/>
          <w:noProof/>
          <w:lang w:val="en-GB"/>
        </w:rPr>
        <w:t xml:space="preserve">, </w:t>
      </w:r>
      <w:smartTag w:uri="urn:schemas-microsoft-com:office:smarttags" w:element="country-region">
        <w:r>
          <w:rPr>
            <w:rFonts w:ascii="Arial" w:hAnsi="Arial" w:cs="Arial"/>
            <w:i/>
            <w:noProof/>
            <w:lang w:val="en-GB"/>
          </w:rPr>
          <w:t>Hungary</w:t>
        </w:r>
      </w:smartTag>
      <w:r>
        <w:rPr>
          <w:rFonts w:ascii="Arial" w:hAnsi="Arial" w:cs="Arial"/>
          <w:i/>
          <w:noProof/>
          <w:lang w:val="en-GB"/>
        </w:rPr>
        <w:t xml:space="preserve"> and </w:t>
      </w:r>
      <w:smartTag w:uri="urn:schemas-microsoft-com:office:smarttags" w:element="country-region">
        <w:r>
          <w:rPr>
            <w:rFonts w:ascii="Arial" w:hAnsi="Arial" w:cs="Arial"/>
            <w:i/>
            <w:noProof/>
            <w:lang w:val="en-GB"/>
          </w:rPr>
          <w:t>Poland</w:t>
        </w:r>
      </w:smartTag>
      <w:r>
        <w:rPr>
          <w:rFonts w:ascii="Arial" w:hAnsi="Arial" w:cs="Arial"/>
          <w:i/>
          <w:noProof/>
          <w:lang w:val="en-GB"/>
        </w:rPr>
        <w:t xml:space="preserve">: </w:t>
      </w:r>
      <w:r>
        <w:rPr>
          <w:rFonts w:ascii="Arial" w:hAnsi="Arial" w:cs="Arial"/>
          <w:noProof/>
          <w:lang w:val="en-GB"/>
        </w:rPr>
        <w:t xml:space="preserve">non-compliance with the obligations under the 2015 Council Decisions on relocation of migrants from </w:t>
      </w:r>
      <w:smartTag w:uri="urn:schemas-microsoft-com:office:smarttags" w:element="country-region">
        <w:r>
          <w:rPr>
            <w:rFonts w:ascii="Arial" w:hAnsi="Arial" w:cs="Arial"/>
            <w:noProof/>
            <w:lang w:val="en-GB"/>
          </w:rPr>
          <w:t>Greece</w:t>
        </w:r>
      </w:smartTag>
      <w:r>
        <w:rPr>
          <w:rFonts w:ascii="Arial" w:hAnsi="Arial" w:cs="Arial"/>
          <w:noProof/>
          <w:lang w:val="en-GB"/>
        </w:rPr>
        <w:t xml:space="preserve"> and </w:t>
      </w:r>
      <w:smartTag w:uri="urn:schemas-microsoft-com:office:smarttags" w:element="country-region">
        <w:smartTag w:uri="urn:schemas-microsoft-com:office:smarttags" w:element="place">
          <w:r>
            <w:rPr>
              <w:rFonts w:ascii="Arial" w:hAnsi="Arial" w:cs="Arial"/>
              <w:noProof/>
              <w:lang w:val="en-GB"/>
            </w:rPr>
            <w:t>Italy</w:t>
          </w:r>
        </w:smartTag>
      </w:smartTag>
      <w:r>
        <w:rPr>
          <w:rStyle w:val="FootnoteReference"/>
          <w:rFonts w:ascii="Arial" w:hAnsi="Arial" w:cs="Arial"/>
          <w:noProof/>
          <w:lang w:val="en-GB"/>
        </w:rPr>
        <w:footnoteReference w:id="288"/>
      </w:r>
      <w:r>
        <w:rPr>
          <w:rFonts w:ascii="Arial" w:hAnsi="Arial" w:cs="Arial"/>
          <w:noProof/>
          <w:lang w:val="en-GB"/>
        </w:rPr>
        <w:t>.</w:t>
      </w:r>
    </w:p>
    <w:p w:rsidR="00E201F7" w:rsidRDefault="00E24EFF">
      <w:pPr>
        <w:pStyle w:val="Lijstje2"/>
        <w:ind w:left="1800"/>
        <w:rPr>
          <w:rFonts w:ascii="Arial" w:hAnsi="Arial" w:cs="Arial"/>
          <w:noProof/>
          <w:lang w:val="en-GB"/>
        </w:rPr>
      </w:pPr>
      <w:r>
        <w:rPr>
          <w:rFonts w:ascii="Arial" w:hAnsi="Arial" w:cs="Arial"/>
          <w:i/>
          <w:noProof/>
          <w:lang w:val="en-GB"/>
        </w:rPr>
        <w:t>Ireland, Greece, Croatia and Italy:</w:t>
      </w:r>
      <w:r>
        <w:rPr>
          <w:rFonts w:ascii="Arial" w:hAnsi="Arial" w:cs="Arial"/>
          <w:noProof/>
          <w:lang w:val="en-GB"/>
        </w:rPr>
        <w:t xml:space="preserve"> Failure to fully implement the Prüm Decisi</w:t>
      </w:r>
      <w:r>
        <w:rPr>
          <w:rFonts w:ascii="Arial" w:hAnsi="Arial" w:cs="Arial"/>
          <w:noProof/>
          <w:lang w:val="en-GB"/>
        </w:rPr>
        <w:t>ons, which set up an information-exchange tool that can offer automated comparison of DNA profiles, fingerprint data and vehicle registration data</w:t>
      </w:r>
      <w:r>
        <w:rPr>
          <w:rStyle w:val="FootnoteReference"/>
          <w:rFonts w:ascii="Arial" w:hAnsi="Arial" w:cs="Arial"/>
          <w:noProof/>
          <w:lang w:val="en-GB"/>
        </w:rPr>
        <w:footnoteReference w:id="289"/>
      </w:r>
      <w:r>
        <w:rPr>
          <w:rFonts w:ascii="Arial" w:hAnsi="Arial" w:cs="Arial"/>
          <w:noProof/>
          <w:lang w:val="en-GB"/>
        </w:rPr>
        <w:t>.</w:t>
      </w:r>
    </w:p>
    <w:p w:rsidR="00E201F7" w:rsidRDefault="00E24EFF">
      <w:pPr>
        <w:pStyle w:val="Lijstje2"/>
        <w:ind w:left="1800"/>
        <w:rPr>
          <w:rFonts w:ascii="Arial" w:hAnsi="Arial" w:cs="Arial"/>
          <w:noProof/>
          <w:lang w:val="en-GB"/>
        </w:rPr>
      </w:pPr>
      <w:r>
        <w:rPr>
          <w:rFonts w:ascii="Arial" w:hAnsi="Arial" w:cs="Arial"/>
          <w:i/>
          <w:noProof/>
          <w:lang w:val="en-GB"/>
        </w:rPr>
        <w:t>Ireland:</w:t>
      </w:r>
      <w:r>
        <w:rPr>
          <w:rFonts w:ascii="Arial" w:hAnsi="Arial" w:cs="Arial"/>
          <w:noProof/>
          <w:lang w:val="en-GB"/>
        </w:rPr>
        <w:t xml:space="preserve"> failure to implement the Schengen Information System</w:t>
      </w:r>
      <w:r>
        <w:rPr>
          <w:rStyle w:val="FootnoteReference"/>
          <w:rFonts w:ascii="Arial" w:hAnsi="Arial" w:cs="Arial"/>
          <w:noProof/>
          <w:lang w:val="en-GB"/>
        </w:rPr>
        <w:footnoteReference w:id="290"/>
      </w:r>
      <w:r>
        <w:rPr>
          <w:rFonts w:ascii="Arial" w:hAnsi="Arial" w:cs="Arial"/>
          <w:noProof/>
          <w:lang w:val="en-GB"/>
        </w:rPr>
        <w:t>.</w:t>
      </w:r>
    </w:p>
    <w:p w:rsidR="00E201F7" w:rsidRDefault="00E24EFF">
      <w:pPr>
        <w:pStyle w:val="Lijstje2"/>
        <w:ind w:left="1800"/>
        <w:rPr>
          <w:rFonts w:ascii="Arial" w:hAnsi="Arial" w:cs="Arial"/>
          <w:i/>
          <w:noProof/>
          <w:lang w:val="en-GB"/>
        </w:rPr>
      </w:pPr>
      <w:r>
        <w:rPr>
          <w:rFonts w:ascii="Arial" w:hAnsi="Arial" w:cs="Arial"/>
          <w:i/>
          <w:noProof/>
          <w:lang w:val="en-GB"/>
        </w:rPr>
        <w:t>France, Cyprus and Romania:</w:t>
      </w:r>
      <w:r>
        <w:rPr>
          <w:noProof/>
          <w:lang w:val="en-GB"/>
        </w:rPr>
        <w:t xml:space="preserve"> </w:t>
      </w:r>
      <w:r>
        <w:rPr>
          <w:rFonts w:ascii="Arial" w:hAnsi="Arial" w:cs="Arial"/>
          <w:noProof/>
          <w:lang w:val="en-GB"/>
        </w:rPr>
        <w:t xml:space="preserve">failure </w:t>
      </w:r>
      <w:r>
        <w:rPr>
          <w:rFonts w:ascii="Arial" w:eastAsia="Times New Roman" w:hAnsi="Arial" w:cs="Arial"/>
          <w:bCs/>
          <w:noProof/>
          <w:kern w:val="0"/>
          <w:lang w:val="en-GB"/>
        </w:rPr>
        <w:t>to full</w:t>
      </w:r>
      <w:r>
        <w:rPr>
          <w:rFonts w:ascii="Arial" w:eastAsia="Times New Roman" w:hAnsi="Arial" w:cs="Arial"/>
          <w:bCs/>
          <w:noProof/>
          <w:kern w:val="0"/>
          <w:lang w:val="en-GB"/>
        </w:rPr>
        <w:t xml:space="preserve">y implement the Regulation on explosives precursors, which </w:t>
      </w:r>
      <w:r>
        <w:rPr>
          <w:rFonts w:ascii="Arial" w:hAnsi="Arial" w:cs="Arial"/>
          <w:noProof/>
          <w:lang w:val="en-GB"/>
        </w:rPr>
        <w:t>restricts and controls access to several dangerous chemicals that could be used by terrorists to manufacture homemade explosives</w:t>
      </w:r>
      <w:r>
        <w:rPr>
          <w:rStyle w:val="FootnoteReference"/>
          <w:rFonts w:ascii="Arial" w:eastAsia="Times New Roman" w:hAnsi="Arial" w:cs="Arial"/>
          <w:bCs/>
          <w:noProof/>
          <w:kern w:val="0"/>
          <w:lang w:val="en-GB"/>
        </w:rPr>
        <w:footnoteReference w:id="291"/>
      </w:r>
      <w:r>
        <w:rPr>
          <w:rFonts w:ascii="Arial" w:eastAsia="Times New Roman" w:hAnsi="Arial" w:cs="Arial"/>
          <w:bCs/>
          <w:noProof/>
          <w:kern w:val="0"/>
          <w:lang w:val="en-GB"/>
        </w:rPr>
        <w:t>.</w:t>
      </w:r>
    </w:p>
    <w:p w:rsidR="00E201F7" w:rsidRDefault="00E24EFF">
      <w:pPr>
        <w:pStyle w:val="Lijstje2"/>
        <w:ind w:left="1800"/>
        <w:rPr>
          <w:rFonts w:ascii="Arial" w:hAnsi="Arial" w:cs="Arial"/>
          <w:noProof/>
          <w:lang w:val="en-GB"/>
        </w:rPr>
      </w:pPr>
      <w:r>
        <w:rPr>
          <w:rFonts w:ascii="Arial" w:hAnsi="Arial" w:cs="Arial"/>
          <w:i/>
          <w:noProof/>
          <w:lang w:val="en-GB"/>
        </w:rPr>
        <w:t xml:space="preserve">Croatia: </w:t>
      </w:r>
      <w:r>
        <w:rPr>
          <w:rFonts w:ascii="Arial" w:hAnsi="Arial" w:cs="Arial"/>
          <w:noProof/>
          <w:lang w:val="en-GB"/>
        </w:rPr>
        <w:t>Failure to correctly fingerprint asylum seekers and irreg</w:t>
      </w:r>
      <w:r>
        <w:rPr>
          <w:rFonts w:ascii="Arial" w:hAnsi="Arial" w:cs="Arial"/>
          <w:noProof/>
          <w:lang w:val="en-GB"/>
        </w:rPr>
        <w:t>ular migrants apprehended after crossing an external border and to transmit this data to the central Eurodac database</w:t>
      </w:r>
      <w:r>
        <w:rPr>
          <w:rStyle w:val="FootnoteReference"/>
          <w:rFonts w:ascii="Arial" w:hAnsi="Arial" w:cs="Arial"/>
          <w:noProof/>
          <w:lang w:val="en-GB"/>
        </w:rPr>
        <w:footnoteReference w:id="292"/>
      </w:r>
      <w:r>
        <w:rPr>
          <w:rFonts w:ascii="Arial" w:hAnsi="Arial" w:cs="Arial"/>
          <w:noProof/>
          <w:lang w:val="en-GB"/>
        </w:rPr>
        <w:t>.</w:t>
      </w:r>
    </w:p>
    <w:p w:rsidR="00E201F7" w:rsidRDefault="00E24EFF">
      <w:pPr>
        <w:pStyle w:val="Lijstje2"/>
        <w:ind w:left="1800"/>
        <w:rPr>
          <w:rFonts w:ascii="Arial" w:hAnsi="Arial" w:cs="Arial"/>
          <w:noProof/>
          <w:lang w:val="en-GB"/>
        </w:rPr>
      </w:pPr>
      <w:r>
        <w:rPr>
          <w:rFonts w:ascii="Arial" w:hAnsi="Arial" w:cs="Arial"/>
          <w:i/>
          <w:noProof/>
          <w:lang w:val="en-GB"/>
        </w:rPr>
        <w:t>Hungary:</w:t>
      </w:r>
      <w:r>
        <w:rPr>
          <w:rFonts w:ascii="Arial" w:hAnsi="Arial" w:cs="Arial"/>
          <w:noProof/>
          <w:lang w:val="en-GB"/>
        </w:rPr>
        <w:t xml:space="preserve"> incorrect implementation of the EU asylum and migration </w:t>
      </w:r>
      <w:r>
        <w:rPr>
          <w:rFonts w:ascii="Arial" w:hAnsi="Arial" w:cs="Arial"/>
          <w:i/>
          <w:noProof/>
          <w:lang w:val="en-GB"/>
        </w:rPr>
        <w:t>acquis</w:t>
      </w:r>
      <w:r>
        <w:rPr>
          <w:rStyle w:val="FootnoteReference"/>
          <w:rFonts w:ascii="Arial" w:hAnsi="Arial" w:cs="Arial"/>
          <w:noProof/>
          <w:lang w:val="en-GB"/>
        </w:rPr>
        <w:footnoteReference w:id="293"/>
      </w:r>
      <w:r>
        <w:rPr>
          <w:rFonts w:ascii="Arial" w:hAnsi="Arial" w:cs="Arial"/>
          <w:noProof/>
          <w:lang w:val="en-GB"/>
        </w:rPr>
        <w:t>.</w:t>
      </w:r>
    </w:p>
    <w:p w:rsidR="00E201F7" w:rsidRDefault="00E24EFF">
      <w:pPr>
        <w:pStyle w:val="Lijstje2"/>
        <w:ind w:left="1800"/>
        <w:rPr>
          <w:rFonts w:ascii="Arial" w:hAnsi="Arial" w:cs="Arial"/>
          <w:noProof/>
          <w:lang w:val="en-GB"/>
        </w:rPr>
      </w:pPr>
      <w:r>
        <w:rPr>
          <w:rFonts w:ascii="Arial" w:hAnsi="Arial" w:cs="Arial"/>
          <w:i/>
          <w:noProof/>
          <w:lang w:val="en-GB"/>
        </w:rPr>
        <w:t>Luxembourg:</w:t>
      </w:r>
      <w:r>
        <w:rPr>
          <w:rFonts w:ascii="Arial" w:hAnsi="Arial" w:cs="Arial"/>
          <w:noProof/>
          <w:lang w:val="en-GB"/>
        </w:rPr>
        <w:t xml:space="preserve"> non-communication of national measures taken to im</w:t>
      </w:r>
      <w:r>
        <w:rPr>
          <w:rFonts w:ascii="Arial" w:hAnsi="Arial" w:cs="Arial"/>
          <w:noProof/>
          <w:lang w:val="en-GB"/>
        </w:rPr>
        <w:t>plement the ‘Swedish initiative’</w:t>
      </w:r>
      <w:r>
        <w:rPr>
          <w:rStyle w:val="FootnoteReference"/>
          <w:rFonts w:ascii="Arial" w:hAnsi="Arial" w:cs="Arial"/>
          <w:noProof/>
          <w:lang w:val="en-GB"/>
        </w:rPr>
        <w:footnoteReference w:id="294"/>
      </w:r>
      <w:r>
        <w:rPr>
          <w:rFonts w:ascii="Arial" w:hAnsi="Arial" w:cs="Arial"/>
          <w:noProof/>
          <w:lang w:val="en-GB"/>
        </w:rPr>
        <w:t>. This allows for more effective information and intelligence sharing between Member States’ law enforcement authorities when conducting criminal investigations or criminal intelligence operations</w:t>
      </w:r>
      <w:r>
        <w:rPr>
          <w:rStyle w:val="FootnoteReference"/>
          <w:rFonts w:ascii="Arial" w:eastAsia="Times New Roman" w:hAnsi="Arial" w:cs="Arial"/>
          <w:b/>
          <w:bCs/>
          <w:noProof/>
          <w:kern w:val="0"/>
          <w:lang w:val="en-GB"/>
        </w:rPr>
        <w:footnoteReference w:id="295"/>
      </w:r>
      <w:r>
        <w:rPr>
          <w:rFonts w:ascii="Arial" w:hAnsi="Arial" w:cs="Arial"/>
          <w:noProof/>
          <w:lang w:val="en-GB"/>
        </w:rPr>
        <w:t>.</w:t>
      </w:r>
    </w:p>
    <w:p w:rsidR="00E201F7" w:rsidRDefault="00E24EFF">
      <w:pPr>
        <w:spacing w:after="0"/>
        <w:jc w:val="left"/>
        <w:rPr>
          <w:rFonts w:ascii="Arial" w:eastAsia="Calibri" w:hAnsi="Arial" w:cs="Arial"/>
          <w:noProof/>
          <w:kern w:val="20"/>
          <w:sz w:val="20"/>
          <w:lang w:eastAsia="en-US"/>
        </w:rPr>
      </w:pPr>
      <w:r>
        <w:rPr>
          <w:rFonts w:ascii="Arial" w:hAnsi="Arial" w:cs="Arial"/>
          <w:noProof/>
        </w:rPr>
        <w:br w:type="page"/>
      </w:r>
    </w:p>
    <w:p w:rsidR="00E201F7" w:rsidRDefault="00E24EFF">
      <w:pPr>
        <w:pStyle w:val="Lijstje"/>
        <w:numPr>
          <w:ilvl w:val="0"/>
          <w:numId w:val="50"/>
        </w:numPr>
        <w:spacing w:after="120"/>
        <w:ind w:left="1200" w:hanging="360"/>
        <w:rPr>
          <w:rFonts w:ascii="Arial" w:hAnsi="Arial" w:cs="Arial"/>
          <w:noProof/>
          <w:lang w:val="en-GB"/>
        </w:rPr>
      </w:pPr>
      <w:r>
        <w:rPr>
          <w:rFonts w:ascii="Arial" w:hAnsi="Arial" w:cs="Arial"/>
          <w:noProof/>
          <w:lang w:val="en-GB"/>
        </w:rPr>
        <w:t xml:space="preserve">The Commission </w:t>
      </w:r>
      <w:r>
        <w:rPr>
          <w:rFonts w:ascii="Arial" w:hAnsi="Arial" w:cs="Arial"/>
          <w:noProof/>
          <w:lang w:val="en-GB"/>
        </w:rPr>
        <w:t>referred three cases to the Court under Article 258 TFEU</w:t>
      </w:r>
      <w:r>
        <w:rPr>
          <w:noProof/>
          <w:lang w:val="en-GB"/>
        </w:rPr>
        <w:t xml:space="preserve">. </w:t>
      </w:r>
      <w:r>
        <w:rPr>
          <w:rFonts w:ascii="Arial" w:hAnsi="Arial" w:cs="Arial"/>
          <w:noProof/>
          <w:lang w:val="en-GB"/>
        </w:rPr>
        <w:t>These concerned:</w:t>
      </w:r>
    </w:p>
    <w:p w:rsidR="00E201F7" w:rsidRDefault="00E24EFF">
      <w:pPr>
        <w:pStyle w:val="Lijstje"/>
        <w:numPr>
          <w:ilvl w:val="0"/>
          <w:numId w:val="30"/>
        </w:numPr>
        <w:spacing w:after="120"/>
        <w:rPr>
          <w:rFonts w:ascii="Arial" w:hAnsi="Arial" w:cs="Arial"/>
          <w:noProof/>
          <w:lang w:val="en-GB"/>
        </w:rPr>
      </w:pPr>
      <w:r>
        <w:rPr>
          <w:rFonts w:ascii="Arial" w:hAnsi="Arial" w:cs="Arial"/>
          <w:i/>
          <w:noProof/>
          <w:lang w:val="en-GB"/>
        </w:rPr>
        <w:t>Czech Republic, Hungary and Poland</w:t>
      </w:r>
      <w:r>
        <w:rPr>
          <w:rFonts w:ascii="Arial" w:hAnsi="Arial" w:cs="Arial"/>
          <w:noProof/>
          <w:lang w:val="en-GB"/>
        </w:rPr>
        <w:t xml:space="preserve">: non-compliance with the obligations under the 2015 Council Decisions on relocation of migrants from Greece and Italy; </w:t>
      </w:r>
      <w:r>
        <w:rPr>
          <w:rStyle w:val="FootnoteReference"/>
          <w:rFonts w:ascii="Arial" w:hAnsi="Arial" w:cs="Arial"/>
          <w:noProof/>
          <w:lang w:val="en-GB"/>
        </w:rPr>
        <w:footnoteReference w:id="296"/>
      </w:r>
    </w:p>
    <w:p w:rsidR="00E201F7" w:rsidRDefault="00E24EFF">
      <w:pPr>
        <w:pStyle w:val="Lijstje"/>
        <w:numPr>
          <w:ilvl w:val="0"/>
          <w:numId w:val="50"/>
        </w:numPr>
        <w:spacing w:after="120"/>
        <w:ind w:left="1200" w:hanging="360"/>
        <w:rPr>
          <w:rFonts w:ascii="Arial" w:hAnsi="Arial" w:cs="Arial"/>
          <w:noProof/>
          <w:lang w:val="en-GB"/>
        </w:rPr>
      </w:pPr>
      <w:r>
        <w:rPr>
          <w:rFonts w:ascii="Arial" w:hAnsi="Arial" w:cs="Arial"/>
          <w:noProof/>
          <w:lang w:val="en-GB"/>
        </w:rPr>
        <w:t>The Commission did not re</w:t>
      </w:r>
      <w:r>
        <w:rPr>
          <w:rFonts w:ascii="Arial" w:hAnsi="Arial" w:cs="Arial"/>
          <w:noProof/>
          <w:lang w:val="en-GB"/>
        </w:rPr>
        <w:t>fer any cases to the Court under Article 260(2) TFEU.</w:t>
      </w:r>
    </w:p>
    <w:p w:rsidR="00E201F7" w:rsidRDefault="00E24EFF">
      <w:pPr>
        <w:pStyle w:val="kop2"/>
        <w:rPr>
          <w:noProof/>
        </w:rPr>
      </w:pPr>
      <w:r>
        <w:rPr>
          <w:noProof/>
        </w:rPr>
        <w:t>TRANSPOSITION OF DIRECTIVES</w:t>
      </w:r>
    </w:p>
    <w:p w:rsidR="00E201F7" w:rsidRDefault="00E24EFF">
      <w:pPr>
        <w:numPr>
          <w:ilvl w:val="0"/>
          <w:numId w:val="139"/>
        </w:numPr>
        <w:spacing w:before="120"/>
        <w:jc w:val="left"/>
        <w:outlineLvl w:val="1"/>
        <w:rPr>
          <w:rFonts w:ascii="Arial" w:hAnsi="Arial"/>
          <w:noProof/>
          <w:color w:val="002060"/>
          <w:sz w:val="22"/>
        </w:rPr>
      </w:pPr>
      <w:r>
        <w:rPr>
          <w:rFonts w:ascii="Arial" w:hAnsi="Arial"/>
          <w:noProof/>
          <w:color w:val="002060"/>
          <w:sz w:val="22"/>
        </w:rPr>
        <w:t>New late transposition infringement cases (2013-2017)</w:t>
      </w:r>
    </w:p>
    <w:p w:rsidR="00E201F7" w:rsidRDefault="00E24EFF">
      <w:pPr>
        <w:ind w:left="720"/>
        <w:rPr>
          <w:rFonts w:ascii="Verdana" w:hAnsi="Verdana"/>
          <w:noProof/>
          <w:sz w:val="18"/>
          <w:szCs w:val="18"/>
        </w:rPr>
      </w:pPr>
      <w:r>
        <w:rPr>
          <w:rFonts w:ascii="Verdana" w:hAnsi="Verdana"/>
          <w:noProof/>
          <w:sz w:val="18"/>
          <w:szCs w:val="18"/>
        </w:rPr>
        <w:drawing>
          <wp:inline distT="0" distB="0" distL="0" distR="0" wp14:anchorId="4C5A59B8" wp14:editId="4130C368">
            <wp:extent cx="4612640" cy="2265680"/>
            <wp:effectExtent l="0" t="0" r="0" b="0"/>
            <wp:docPr id="44" name="Grafiek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E201F7" w:rsidRDefault="00E24EFF">
      <w:pPr>
        <w:numPr>
          <w:ilvl w:val="0"/>
          <w:numId w:val="139"/>
        </w:numPr>
        <w:spacing w:before="120"/>
        <w:jc w:val="left"/>
        <w:outlineLvl w:val="1"/>
        <w:rPr>
          <w:rFonts w:ascii="Arial" w:hAnsi="Arial"/>
          <w:noProof/>
          <w:color w:val="002060"/>
          <w:sz w:val="22"/>
        </w:rPr>
      </w:pPr>
      <w:r>
        <w:rPr>
          <w:rFonts w:ascii="Arial" w:hAnsi="Arial"/>
          <w:noProof/>
          <w:color w:val="002060"/>
          <w:sz w:val="22"/>
        </w:rPr>
        <w:t>New late transposition infringement cases opened in 2017: policy sectors</w:t>
      </w:r>
    </w:p>
    <w:p w:rsidR="00E201F7" w:rsidRDefault="00E24EFF">
      <w:pPr>
        <w:ind w:left="720"/>
        <w:rPr>
          <w:rFonts w:ascii="Arial" w:eastAsia="Calibri" w:hAnsi="Arial"/>
          <w:noProof/>
          <w:kern w:val="20"/>
          <w:sz w:val="20"/>
        </w:rPr>
      </w:pPr>
      <w:r>
        <w:rPr>
          <w:rFonts w:ascii="Arial" w:eastAsia="Calibri" w:hAnsi="Arial"/>
          <w:noProof/>
          <w:kern w:val="20"/>
          <w:sz w:val="20"/>
        </w:rPr>
        <w:t xml:space="preserve">There are 17 new transposition infringement </w:t>
      </w:r>
      <w:r>
        <w:rPr>
          <w:rFonts w:ascii="Arial" w:eastAsia="Calibri" w:hAnsi="Arial"/>
          <w:noProof/>
          <w:kern w:val="20"/>
          <w:sz w:val="20"/>
        </w:rPr>
        <w:t>cases, all concerning the intra-corporate transfer directive</w:t>
      </w:r>
      <w:r>
        <w:rPr>
          <w:rStyle w:val="FootnoteReference"/>
          <w:rFonts w:ascii="Arial" w:eastAsia="Calibri" w:hAnsi="Arial"/>
          <w:noProof/>
          <w:kern w:val="20"/>
          <w:sz w:val="20"/>
        </w:rPr>
        <w:footnoteReference w:id="297"/>
      </w:r>
      <w:r>
        <w:rPr>
          <w:rFonts w:ascii="Arial" w:eastAsia="Calibri" w:hAnsi="Arial"/>
          <w:noProof/>
          <w:kern w:val="20"/>
          <w:sz w:val="20"/>
        </w:rPr>
        <w:t xml:space="preserve"> (legal migration and integration area).</w:t>
      </w:r>
    </w:p>
    <w:p w:rsidR="00E201F7" w:rsidRDefault="00E24EFF">
      <w:pPr>
        <w:numPr>
          <w:ilvl w:val="0"/>
          <w:numId w:val="139"/>
        </w:numPr>
        <w:spacing w:before="120"/>
        <w:jc w:val="left"/>
        <w:outlineLvl w:val="1"/>
        <w:rPr>
          <w:rFonts w:ascii="Arial" w:hAnsi="Arial"/>
          <w:noProof/>
          <w:color w:val="002060"/>
          <w:sz w:val="22"/>
        </w:rPr>
      </w:pPr>
      <w:r>
        <w:rPr>
          <w:rFonts w:ascii="Arial" w:hAnsi="Arial"/>
          <w:noProof/>
          <w:color w:val="002060"/>
          <w:sz w:val="22"/>
        </w:rPr>
        <w:t>Key infringement cases and referrals to the Court</w:t>
      </w:r>
    </w:p>
    <w:p w:rsidR="00E201F7" w:rsidRDefault="00E24EFF">
      <w:pPr>
        <w:numPr>
          <w:ilvl w:val="0"/>
          <w:numId w:val="60"/>
        </w:numPr>
        <w:spacing w:after="120"/>
        <w:ind w:left="1200" w:hanging="360"/>
        <w:rPr>
          <w:rFonts w:ascii="Arial" w:eastAsia="Calibri" w:hAnsi="Arial"/>
          <w:noProof/>
          <w:kern w:val="20"/>
          <w:sz w:val="20"/>
        </w:rPr>
      </w:pPr>
      <w:r>
        <w:rPr>
          <w:rFonts w:ascii="Arial" w:eastAsia="Calibri" w:hAnsi="Arial"/>
          <w:noProof/>
          <w:kern w:val="20"/>
          <w:sz w:val="20"/>
        </w:rPr>
        <w:t>The Commission opened 17 cases for late transposition in 2017. All concern:</w:t>
      </w:r>
    </w:p>
    <w:p w:rsidR="00E201F7" w:rsidRDefault="00E24EFF">
      <w:pPr>
        <w:pStyle w:val="Lijstje2"/>
        <w:ind w:left="1800" w:hanging="480"/>
        <w:rPr>
          <w:rFonts w:ascii="Arial" w:hAnsi="Arial"/>
          <w:noProof/>
          <w:lang w:val="en-GB"/>
        </w:rPr>
      </w:pPr>
      <w:r>
        <w:rPr>
          <w:rFonts w:ascii="Arial" w:hAnsi="Arial" w:cs="Arial"/>
          <w:noProof/>
          <w:lang w:val="en-GB"/>
        </w:rPr>
        <w:t xml:space="preserve"> the Directive on the conditions of entry and residence of third-country nationals in the framework of an intra-corporate transfer</w:t>
      </w:r>
      <w:r>
        <w:rPr>
          <w:rStyle w:val="FootnoteReference"/>
          <w:rFonts w:ascii="Arial" w:hAnsi="Arial" w:cs="Arial"/>
          <w:noProof/>
          <w:lang w:val="en-GB"/>
        </w:rPr>
        <w:footnoteReference w:id="298"/>
      </w:r>
      <w:r>
        <w:rPr>
          <w:noProof/>
          <w:lang w:val="en-GB"/>
        </w:rPr>
        <w:t>.</w:t>
      </w:r>
    </w:p>
    <w:p w:rsidR="00E201F7" w:rsidRDefault="00E24EFF">
      <w:pPr>
        <w:numPr>
          <w:ilvl w:val="0"/>
          <w:numId w:val="60"/>
        </w:numPr>
        <w:spacing w:after="120"/>
        <w:ind w:left="1200" w:hanging="360"/>
        <w:rPr>
          <w:rFonts w:ascii="Arial" w:eastAsia="Calibri" w:hAnsi="Arial"/>
          <w:b/>
          <w:noProof/>
          <w:kern w:val="20"/>
          <w:sz w:val="20"/>
        </w:rPr>
      </w:pPr>
      <w:r>
        <w:rPr>
          <w:rFonts w:ascii="Arial" w:eastAsia="Calibri" w:hAnsi="Arial"/>
          <w:noProof/>
          <w:kern w:val="20"/>
          <w:sz w:val="20"/>
        </w:rPr>
        <w:t>The Commission referred one case to the Court under Articles 258 and 260(3) TFEU. It concerns:</w:t>
      </w:r>
    </w:p>
    <w:p w:rsidR="00E201F7" w:rsidRDefault="00E24EFF">
      <w:pPr>
        <w:pStyle w:val="Lijstje2"/>
        <w:ind w:left="1800" w:hanging="480"/>
        <w:rPr>
          <w:rFonts w:ascii="Arial" w:hAnsi="Arial"/>
          <w:noProof/>
          <w:lang w:val="en-GB"/>
        </w:rPr>
      </w:pPr>
      <w:r>
        <w:rPr>
          <w:rFonts w:ascii="Arial" w:hAnsi="Arial"/>
          <w:i/>
          <w:noProof/>
          <w:lang w:val="en-GB"/>
        </w:rPr>
        <w:t>Belgium</w:t>
      </w:r>
      <w:r>
        <w:rPr>
          <w:rFonts w:ascii="Arial" w:hAnsi="Arial"/>
          <w:noProof/>
          <w:lang w:val="en-GB"/>
        </w:rPr>
        <w:t>: for failing to full</w:t>
      </w:r>
      <w:r>
        <w:rPr>
          <w:rFonts w:ascii="Arial" w:hAnsi="Arial"/>
          <w:noProof/>
          <w:lang w:val="en-GB"/>
        </w:rPr>
        <w:t>y implement the Single Permit Directive, which introduces simplified procedures and a common set of rights for non-EU workers</w:t>
      </w:r>
      <w:r>
        <w:rPr>
          <w:rStyle w:val="FootnoteReference"/>
          <w:noProof/>
          <w:lang w:val="en-GB"/>
        </w:rPr>
        <w:footnoteReference w:id="299"/>
      </w:r>
      <w:r>
        <w:rPr>
          <w:rFonts w:ascii="Arial" w:hAnsi="Arial"/>
          <w:noProof/>
          <w:lang w:val="en-GB"/>
        </w:rPr>
        <w:t>.</w:t>
      </w:r>
    </w:p>
    <w:p w:rsidR="00E201F7" w:rsidRDefault="00E24EFF">
      <w:pPr>
        <w:spacing w:after="0"/>
        <w:jc w:val="left"/>
        <w:rPr>
          <w:rFonts w:ascii="Arial" w:eastAsia="MS Gothic" w:hAnsi="Arial" w:cs="Arial"/>
          <w:caps/>
          <w:noProof/>
          <w:color w:val="4F81BD"/>
          <w:kern w:val="20"/>
          <w:szCs w:val="24"/>
        </w:rPr>
      </w:pPr>
      <w:r>
        <w:rPr>
          <w:noProof/>
        </w:rPr>
        <w:br w:type="page"/>
      </w:r>
    </w:p>
    <w:p w:rsidR="00E201F7" w:rsidRDefault="00E24EFF">
      <w:pPr>
        <w:pStyle w:val="kop2"/>
        <w:rPr>
          <w:noProof/>
        </w:rPr>
      </w:pPr>
      <w:r>
        <w:rPr>
          <w:noProof/>
        </w:rPr>
        <w:t>EARLY RESOLUTION OF INFRINGEMENT CASES</w:t>
      </w:r>
    </w:p>
    <w:p w:rsidR="00E201F7" w:rsidRDefault="00E24EFF">
      <w:pPr>
        <w:spacing w:after="60"/>
        <w:ind w:left="360"/>
        <w:jc w:val="left"/>
        <w:outlineLvl w:val="1"/>
        <w:rPr>
          <w:rFonts w:ascii="Arial" w:hAnsi="Arial"/>
          <w:noProof/>
          <w:color w:val="002060"/>
          <w:sz w:val="22"/>
        </w:rPr>
      </w:pPr>
      <w:r>
        <w:rPr>
          <w:rFonts w:ascii="Arial" w:hAnsi="Arial"/>
          <w:noProof/>
          <w:color w:val="002060"/>
          <w:sz w:val="22"/>
        </w:rPr>
        <w:t>Major cases closed without a Court judgment in 2017</w:t>
      </w:r>
    </w:p>
    <w:p w:rsidR="00E201F7" w:rsidRDefault="00E24EFF">
      <w:pPr>
        <w:autoSpaceDE w:val="0"/>
        <w:autoSpaceDN w:val="0"/>
        <w:adjustRightInd w:val="0"/>
        <w:spacing w:after="120"/>
        <w:ind w:left="720"/>
        <w:rPr>
          <w:rFonts w:ascii="Arial" w:hAnsi="Arial"/>
          <w:noProof/>
          <w:sz w:val="20"/>
        </w:rPr>
      </w:pPr>
      <w:r>
        <w:rPr>
          <w:rFonts w:ascii="Arial" w:hAnsi="Arial"/>
          <w:noProof/>
          <w:sz w:val="20"/>
        </w:rPr>
        <w:t>These concerned:</w:t>
      </w:r>
    </w:p>
    <w:p w:rsidR="00E201F7" w:rsidRDefault="00E24EFF">
      <w:pPr>
        <w:pStyle w:val="ListParagraph"/>
        <w:numPr>
          <w:ilvl w:val="0"/>
          <w:numId w:val="30"/>
        </w:numPr>
        <w:autoSpaceDE w:val="0"/>
        <w:autoSpaceDN w:val="0"/>
        <w:adjustRightInd w:val="0"/>
        <w:spacing w:after="200"/>
        <w:ind w:left="1276" w:hanging="425"/>
        <w:rPr>
          <w:rFonts w:ascii="Arial" w:hAnsi="Arial"/>
          <w:noProof/>
        </w:rPr>
      </w:pPr>
      <w:r>
        <w:rPr>
          <w:rFonts w:ascii="Arial" w:hAnsi="Arial"/>
          <w:bCs/>
          <w:i/>
          <w:noProof/>
          <w:sz w:val="20"/>
        </w:rPr>
        <w:t>Bulgaria</w:t>
      </w:r>
      <w:r>
        <w:rPr>
          <w:rFonts w:ascii="Arial" w:hAnsi="Arial"/>
          <w:i/>
          <w:noProof/>
          <w:sz w:val="20"/>
        </w:rPr>
        <w:t xml:space="preserve"> and Italy: </w:t>
      </w:r>
      <w:r>
        <w:rPr>
          <w:rFonts w:ascii="Arial" w:hAnsi="Arial"/>
          <w:noProof/>
          <w:sz w:val="20"/>
        </w:rPr>
        <w:t>disproportionate fees for issuing residence permits to third-country nationals;</w:t>
      </w:r>
    </w:p>
    <w:p w:rsidR="00E201F7" w:rsidRDefault="00E24EFF">
      <w:pPr>
        <w:pStyle w:val="ListParagraph"/>
        <w:numPr>
          <w:ilvl w:val="0"/>
          <w:numId w:val="30"/>
        </w:numPr>
        <w:autoSpaceDE w:val="0"/>
        <w:autoSpaceDN w:val="0"/>
        <w:adjustRightInd w:val="0"/>
        <w:spacing w:after="0"/>
        <w:ind w:left="1276" w:hanging="425"/>
        <w:rPr>
          <w:rFonts w:ascii="Arial" w:hAnsi="Arial"/>
          <w:noProof/>
          <w:sz w:val="20"/>
        </w:rPr>
      </w:pPr>
      <w:r>
        <w:rPr>
          <w:rFonts w:ascii="Arial" w:hAnsi="Arial"/>
          <w:i/>
          <w:noProof/>
          <w:kern w:val="20"/>
          <w:sz w:val="20"/>
        </w:rPr>
        <w:t>Germany</w:t>
      </w:r>
      <w:r>
        <w:rPr>
          <w:rFonts w:ascii="Arial" w:hAnsi="Arial"/>
          <w:noProof/>
          <w:kern w:val="20"/>
          <w:sz w:val="20"/>
        </w:rPr>
        <w:t>:</w:t>
      </w:r>
      <w:r>
        <w:rPr>
          <w:rFonts w:ascii="Arial" w:hAnsi="Arial"/>
          <w:noProof/>
        </w:rPr>
        <w:t xml:space="preserve"> </w:t>
      </w:r>
      <w:r>
        <w:rPr>
          <w:rFonts w:ascii="Arial" w:hAnsi="Arial"/>
          <w:noProof/>
          <w:sz w:val="20"/>
        </w:rPr>
        <w:t>non-compliance with the Schengen Borders Code</w:t>
      </w:r>
      <w:r>
        <w:rPr>
          <w:rStyle w:val="FootnoteReference"/>
          <w:rFonts w:ascii="Arial" w:hAnsi="Arial"/>
          <w:noProof/>
          <w:sz w:val="20"/>
        </w:rPr>
        <w:footnoteReference w:id="300"/>
      </w:r>
      <w:r>
        <w:rPr>
          <w:rFonts w:ascii="Arial" w:hAnsi="Arial"/>
          <w:noProof/>
          <w:sz w:val="20"/>
        </w:rPr>
        <w:t>;</w:t>
      </w:r>
    </w:p>
    <w:p w:rsidR="00E201F7" w:rsidRDefault="00E24EFF">
      <w:pPr>
        <w:pStyle w:val="ListParagraph"/>
        <w:numPr>
          <w:ilvl w:val="0"/>
          <w:numId w:val="28"/>
        </w:numPr>
        <w:autoSpaceDE w:val="0"/>
        <w:autoSpaceDN w:val="0"/>
        <w:adjustRightInd w:val="0"/>
        <w:spacing w:after="200"/>
        <w:ind w:left="1276" w:hanging="425"/>
        <w:rPr>
          <w:rFonts w:ascii="Arial" w:hAnsi="Arial"/>
          <w:noProof/>
          <w:sz w:val="20"/>
        </w:rPr>
      </w:pPr>
      <w:r>
        <w:rPr>
          <w:rFonts w:ascii="Arial" w:hAnsi="Arial"/>
          <w:i/>
          <w:noProof/>
          <w:sz w:val="20"/>
        </w:rPr>
        <w:t>Germany:</w:t>
      </w:r>
      <w:r>
        <w:rPr>
          <w:rFonts w:ascii="Arial" w:hAnsi="Arial"/>
          <w:b/>
          <w:noProof/>
          <w:sz w:val="20"/>
        </w:rPr>
        <w:t xml:space="preserve"> </w:t>
      </w:r>
      <w:r>
        <w:rPr>
          <w:rFonts w:ascii="Arial" w:hAnsi="Arial"/>
          <w:noProof/>
          <w:sz w:val="20"/>
        </w:rPr>
        <w:t>failure to communicate national measures transposing the Directive on trafficking in human beings</w:t>
      </w:r>
      <w:r>
        <w:rPr>
          <w:rStyle w:val="FootnoteReference"/>
          <w:rFonts w:ascii="Arial" w:hAnsi="Arial"/>
          <w:noProof/>
          <w:sz w:val="20"/>
        </w:rPr>
        <w:footnoteReference w:id="301"/>
      </w:r>
      <w:r>
        <w:rPr>
          <w:rFonts w:ascii="Arial" w:hAnsi="Arial"/>
          <w:noProof/>
          <w:sz w:val="20"/>
        </w:rPr>
        <w:t>;</w:t>
      </w:r>
    </w:p>
    <w:p w:rsidR="00E201F7" w:rsidRDefault="00E24EFF">
      <w:pPr>
        <w:pStyle w:val="ListParagraph"/>
        <w:numPr>
          <w:ilvl w:val="0"/>
          <w:numId w:val="30"/>
        </w:numPr>
        <w:autoSpaceDE w:val="0"/>
        <w:autoSpaceDN w:val="0"/>
        <w:adjustRightInd w:val="0"/>
        <w:spacing w:after="200"/>
        <w:ind w:left="1276" w:hanging="425"/>
        <w:rPr>
          <w:rFonts w:ascii="Arial" w:hAnsi="Arial" w:cs="Arial"/>
          <w:noProof/>
          <w:sz w:val="20"/>
        </w:rPr>
      </w:pPr>
      <w:r>
        <w:rPr>
          <w:rFonts w:ascii="Arial" w:hAnsi="Arial" w:cs="Arial"/>
          <w:i/>
          <w:noProof/>
          <w:sz w:val="20"/>
        </w:rPr>
        <w:t>Estonia, Greece, Lithuania and Poland:</w:t>
      </w:r>
      <w:r>
        <w:rPr>
          <w:rFonts w:ascii="Arial" w:hAnsi="Arial" w:cs="Arial"/>
          <w:noProof/>
          <w:sz w:val="20"/>
        </w:rPr>
        <w:t xml:space="preserve"> lack of implementation of certain obligations under EU document security legislation</w:t>
      </w:r>
      <w:r>
        <w:rPr>
          <w:rStyle w:val="FootnoteReference"/>
          <w:rFonts w:ascii="Arial" w:hAnsi="Arial" w:cs="Arial"/>
          <w:noProof/>
          <w:sz w:val="20"/>
        </w:rPr>
        <w:footnoteReference w:id="302"/>
      </w:r>
      <w:r>
        <w:rPr>
          <w:rFonts w:ascii="Arial" w:hAnsi="Arial" w:cs="Arial"/>
          <w:noProof/>
          <w:sz w:val="20"/>
        </w:rPr>
        <w:t>;</w:t>
      </w:r>
    </w:p>
    <w:p w:rsidR="00E201F7" w:rsidRDefault="00E24EFF">
      <w:pPr>
        <w:pStyle w:val="ListParagraph"/>
        <w:numPr>
          <w:ilvl w:val="0"/>
          <w:numId w:val="30"/>
        </w:numPr>
        <w:autoSpaceDE w:val="0"/>
        <w:autoSpaceDN w:val="0"/>
        <w:adjustRightInd w:val="0"/>
        <w:spacing w:after="200"/>
        <w:ind w:left="1276" w:hanging="425"/>
        <w:rPr>
          <w:rFonts w:ascii="Arial" w:hAnsi="Arial" w:cs="Arial"/>
          <w:noProof/>
        </w:rPr>
      </w:pPr>
      <w:r>
        <w:rPr>
          <w:rFonts w:ascii="Arial" w:hAnsi="Arial" w:cs="Arial"/>
          <w:bCs/>
          <w:i/>
          <w:noProof/>
          <w:sz w:val="20"/>
        </w:rPr>
        <w:t xml:space="preserve">Estonia, Latvia, Lithuania, </w:t>
      </w:r>
      <w:smartTag w:uri="urn:schemas-microsoft-com:office:smarttags" w:element="country-region">
        <w:r>
          <w:rPr>
            <w:rFonts w:ascii="Arial" w:hAnsi="Arial" w:cs="Arial"/>
            <w:bCs/>
            <w:i/>
            <w:noProof/>
            <w:sz w:val="20"/>
          </w:rPr>
          <w:t>Malta</w:t>
        </w:r>
      </w:smartTag>
      <w:r>
        <w:rPr>
          <w:rFonts w:ascii="Arial" w:hAnsi="Arial" w:cs="Arial"/>
          <w:bCs/>
          <w:i/>
          <w:noProof/>
          <w:sz w:val="20"/>
        </w:rPr>
        <w:t xml:space="preserve"> and </w:t>
      </w:r>
      <w:smartTag w:uri="urn:schemas-microsoft-com:office:smarttags" w:element="country-region">
        <w:smartTag w:uri="urn:schemas-microsoft-com:office:smarttags" w:element="place">
          <w:r>
            <w:rPr>
              <w:rFonts w:ascii="Arial" w:hAnsi="Arial" w:cs="Arial"/>
              <w:bCs/>
              <w:i/>
              <w:noProof/>
              <w:sz w:val="20"/>
            </w:rPr>
            <w:t>Romania</w:t>
          </w:r>
        </w:smartTag>
      </w:smartTag>
      <w:r>
        <w:rPr>
          <w:rFonts w:ascii="Arial" w:hAnsi="Arial" w:cs="Arial"/>
          <w:bCs/>
          <w:i/>
          <w:noProof/>
          <w:sz w:val="20"/>
        </w:rPr>
        <w:t>:</w:t>
      </w:r>
      <w:r>
        <w:rPr>
          <w:rFonts w:ascii="Arial" w:hAnsi="Arial" w:cs="Arial"/>
          <w:bCs/>
          <w:noProof/>
          <w:sz w:val="20"/>
        </w:rPr>
        <w:t xml:space="preserve"> non-communication of national measures transposing the Directive on seasonal workers</w:t>
      </w:r>
      <w:r>
        <w:rPr>
          <w:rStyle w:val="FootnoteReference"/>
          <w:rFonts w:ascii="Arial" w:hAnsi="Arial" w:cs="Arial"/>
          <w:bCs/>
          <w:noProof/>
          <w:sz w:val="20"/>
        </w:rPr>
        <w:footnoteReference w:id="303"/>
      </w:r>
      <w:r>
        <w:rPr>
          <w:rFonts w:ascii="Arial" w:hAnsi="Arial" w:cs="Arial"/>
          <w:bCs/>
          <w:noProof/>
          <w:sz w:val="20"/>
        </w:rPr>
        <w:t>;</w:t>
      </w:r>
    </w:p>
    <w:p w:rsidR="00E201F7" w:rsidRDefault="00E24EFF">
      <w:pPr>
        <w:pStyle w:val="ListParagraph"/>
        <w:numPr>
          <w:ilvl w:val="0"/>
          <w:numId w:val="30"/>
        </w:numPr>
        <w:autoSpaceDE w:val="0"/>
        <w:autoSpaceDN w:val="0"/>
        <w:adjustRightInd w:val="0"/>
        <w:spacing w:after="200"/>
        <w:ind w:left="1276" w:hanging="425"/>
        <w:rPr>
          <w:rFonts w:ascii="Arial" w:hAnsi="Arial" w:cs="Arial"/>
          <w:noProof/>
        </w:rPr>
      </w:pPr>
      <w:r>
        <w:rPr>
          <w:rFonts w:ascii="Arial" w:hAnsi="Arial" w:cs="Arial"/>
          <w:bCs/>
          <w:i/>
          <w:noProof/>
          <w:sz w:val="20"/>
        </w:rPr>
        <w:t>Ireland:</w:t>
      </w:r>
      <w:r>
        <w:rPr>
          <w:rFonts w:ascii="Arial" w:hAnsi="Arial" w:cs="Arial"/>
          <w:bCs/>
          <w:noProof/>
          <w:sz w:val="20"/>
        </w:rPr>
        <w:t xml:space="preserve"> failure to communicate national measures transposing the </w:t>
      </w:r>
      <w:r>
        <w:rPr>
          <w:rFonts w:ascii="Arial" w:hAnsi="Arial" w:cs="Arial"/>
          <w:noProof/>
          <w:sz w:val="20"/>
        </w:rPr>
        <w:t>Directive on attacks against information systems</w:t>
      </w:r>
      <w:r>
        <w:rPr>
          <w:rStyle w:val="FootnoteReference"/>
          <w:rFonts w:ascii="Arial" w:hAnsi="Arial" w:cs="Arial"/>
          <w:noProof/>
          <w:sz w:val="20"/>
        </w:rPr>
        <w:footnoteReference w:id="304"/>
      </w:r>
      <w:r>
        <w:rPr>
          <w:rFonts w:ascii="Arial" w:hAnsi="Arial" w:cs="Arial"/>
          <w:noProof/>
          <w:sz w:val="20"/>
        </w:rPr>
        <w:t>;</w:t>
      </w:r>
    </w:p>
    <w:p w:rsidR="00E201F7" w:rsidRDefault="00E24EFF">
      <w:pPr>
        <w:pStyle w:val="ListParagraph"/>
        <w:numPr>
          <w:ilvl w:val="0"/>
          <w:numId w:val="30"/>
        </w:numPr>
        <w:autoSpaceDE w:val="0"/>
        <w:autoSpaceDN w:val="0"/>
        <w:adjustRightInd w:val="0"/>
        <w:spacing w:after="200"/>
        <w:ind w:left="1276" w:hanging="425"/>
        <w:rPr>
          <w:rFonts w:ascii="Arial" w:hAnsi="Arial" w:cs="Arial"/>
          <w:noProof/>
          <w:sz w:val="20"/>
        </w:rPr>
      </w:pPr>
      <w:r>
        <w:rPr>
          <w:rFonts w:ascii="Arial" w:hAnsi="Arial"/>
          <w:bCs/>
          <w:i/>
          <w:noProof/>
          <w:sz w:val="20"/>
        </w:rPr>
        <w:t>France</w:t>
      </w:r>
      <w:r>
        <w:rPr>
          <w:rFonts w:ascii="Arial" w:hAnsi="Arial" w:cs="Arial"/>
          <w:i/>
          <w:noProof/>
          <w:sz w:val="20"/>
        </w:rPr>
        <w:t>, Cyprus and Lithuania:</w:t>
      </w:r>
      <w:r>
        <w:rPr>
          <w:rFonts w:ascii="Arial" w:hAnsi="Arial" w:cs="Arial"/>
          <w:noProof/>
          <w:sz w:val="20"/>
        </w:rPr>
        <w:t xml:space="preserve"> failure </w:t>
      </w:r>
      <w:r>
        <w:rPr>
          <w:rFonts w:ascii="Arial" w:hAnsi="Arial" w:cs="Arial"/>
          <w:bCs/>
          <w:noProof/>
          <w:sz w:val="20"/>
        </w:rPr>
        <w:t xml:space="preserve">to implement </w:t>
      </w:r>
      <w:r>
        <w:rPr>
          <w:rFonts w:ascii="Arial" w:hAnsi="Arial" w:cs="Arial"/>
          <w:bCs/>
          <w:noProof/>
          <w:sz w:val="20"/>
        </w:rPr>
        <w:t xml:space="preserve">completely the Regulation on explosives precursors, which </w:t>
      </w:r>
      <w:r>
        <w:rPr>
          <w:rFonts w:ascii="Arial" w:hAnsi="Arial" w:cs="Arial"/>
          <w:noProof/>
          <w:sz w:val="20"/>
        </w:rPr>
        <w:t>restricts and controls access to several dangerous chemicals that could be used by terrorists to manufacture homemade explosives</w:t>
      </w:r>
      <w:r>
        <w:rPr>
          <w:rFonts w:ascii="Arial" w:hAnsi="Arial" w:cs="Arial"/>
          <w:bCs/>
          <w:noProof/>
          <w:sz w:val="20"/>
        </w:rPr>
        <w:t>;</w:t>
      </w:r>
    </w:p>
    <w:p w:rsidR="00E201F7" w:rsidRDefault="00E24EFF">
      <w:pPr>
        <w:pStyle w:val="ListParagraph"/>
        <w:numPr>
          <w:ilvl w:val="0"/>
          <w:numId w:val="30"/>
        </w:numPr>
        <w:autoSpaceDE w:val="0"/>
        <w:autoSpaceDN w:val="0"/>
        <w:adjustRightInd w:val="0"/>
        <w:spacing w:after="200"/>
        <w:ind w:left="1276" w:hanging="425"/>
        <w:rPr>
          <w:rFonts w:ascii="Arial" w:hAnsi="Arial" w:cs="Arial"/>
          <w:noProof/>
        </w:rPr>
      </w:pPr>
      <w:r>
        <w:rPr>
          <w:rFonts w:ascii="Arial" w:hAnsi="Arial" w:cs="Arial"/>
          <w:bCs/>
          <w:i/>
          <w:noProof/>
          <w:sz w:val="20"/>
        </w:rPr>
        <w:t xml:space="preserve">France, Cyprus, Latvia, Lithuania and </w:t>
      </w:r>
      <w:smartTag w:uri="urn:schemas-microsoft-com:office:smarttags" w:element="country-region">
        <w:smartTag w:uri="urn:schemas-microsoft-com:office:smarttags" w:element="place">
          <w:r>
            <w:rPr>
              <w:rFonts w:ascii="Arial" w:hAnsi="Arial" w:cs="Arial"/>
              <w:bCs/>
              <w:i/>
              <w:noProof/>
              <w:sz w:val="20"/>
            </w:rPr>
            <w:t>Slovakia</w:t>
          </w:r>
        </w:smartTag>
      </w:smartTag>
      <w:r>
        <w:rPr>
          <w:rFonts w:ascii="Arial" w:hAnsi="Arial" w:cs="Arial"/>
          <w:bCs/>
          <w:i/>
          <w:noProof/>
          <w:sz w:val="20"/>
        </w:rPr>
        <w:t>:</w:t>
      </w:r>
      <w:r>
        <w:rPr>
          <w:rFonts w:ascii="Arial" w:hAnsi="Arial" w:cs="Arial"/>
          <w:noProof/>
        </w:rPr>
        <w:t xml:space="preserve"> </w:t>
      </w:r>
      <w:r>
        <w:rPr>
          <w:rFonts w:ascii="Arial" w:hAnsi="Arial" w:cs="Arial"/>
          <w:bCs/>
          <w:noProof/>
          <w:sz w:val="20"/>
        </w:rPr>
        <w:t>non-communication of</w:t>
      </w:r>
      <w:r>
        <w:rPr>
          <w:rFonts w:ascii="Arial" w:hAnsi="Arial" w:cs="Arial"/>
          <w:bCs/>
          <w:noProof/>
          <w:sz w:val="20"/>
        </w:rPr>
        <w:t xml:space="preserve"> national measures transposing the Directive on intra-corporate transfer</w:t>
      </w:r>
      <w:r>
        <w:rPr>
          <w:rStyle w:val="FootnoteReference"/>
          <w:rFonts w:ascii="Arial" w:hAnsi="Arial" w:cs="Arial"/>
          <w:bCs/>
          <w:noProof/>
          <w:sz w:val="20"/>
        </w:rPr>
        <w:footnoteReference w:id="305"/>
      </w:r>
      <w:r>
        <w:rPr>
          <w:rFonts w:ascii="Arial" w:hAnsi="Arial" w:cs="Arial"/>
          <w:bCs/>
          <w:noProof/>
          <w:sz w:val="20"/>
        </w:rPr>
        <w:t>;</w:t>
      </w:r>
    </w:p>
    <w:p w:rsidR="00E201F7" w:rsidRDefault="00E24EFF">
      <w:pPr>
        <w:pStyle w:val="ListParagraph"/>
        <w:numPr>
          <w:ilvl w:val="0"/>
          <w:numId w:val="30"/>
        </w:numPr>
        <w:autoSpaceDE w:val="0"/>
        <w:autoSpaceDN w:val="0"/>
        <w:adjustRightInd w:val="0"/>
        <w:spacing w:after="200"/>
        <w:ind w:left="1276" w:hanging="425"/>
        <w:rPr>
          <w:rFonts w:ascii="Arial" w:hAnsi="Arial" w:cs="Arial"/>
          <w:noProof/>
        </w:rPr>
      </w:pPr>
      <w:r>
        <w:rPr>
          <w:rFonts w:ascii="Arial" w:hAnsi="Arial" w:cs="Arial"/>
          <w:bCs/>
          <w:i/>
          <w:noProof/>
          <w:sz w:val="20"/>
        </w:rPr>
        <w:t xml:space="preserve">France, Italy and Latvia: </w:t>
      </w:r>
      <w:r>
        <w:rPr>
          <w:rFonts w:ascii="Arial" w:hAnsi="Arial" w:cs="Arial"/>
          <w:bCs/>
          <w:noProof/>
          <w:sz w:val="20"/>
        </w:rPr>
        <w:t>non-communication of national measures transposing the amendment of Long-Term Residents Directive</w:t>
      </w:r>
      <w:r>
        <w:rPr>
          <w:rStyle w:val="FootnoteReference"/>
          <w:rFonts w:ascii="Arial" w:hAnsi="Arial" w:cs="Arial"/>
          <w:bCs/>
          <w:noProof/>
          <w:sz w:val="20"/>
        </w:rPr>
        <w:footnoteReference w:id="306"/>
      </w:r>
      <w:r>
        <w:rPr>
          <w:rFonts w:ascii="Arial" w:hAnsi="Arial" w:cs="Arial"/>
          <w:bCs/>
          <w:noProof/>
          <w:sz w:val="20"/>
        </w:rPr>
        <w:t>;</w:t>
      </w:r>
    </w:p>
    <w:p w:rsidR="00E201F7" w:rsidRDefault="00E24EFF">
      <w:pPr>
        <w:pStyle w:val="ListParagraph"/>
        <w:numPr>
          <w:ilvl w:val="0"/>
          <w:numId w:val="30"/>
        </w:numPr>
        <w:autoSpaceDE w:val="0"/>
        <w:autoSpaceDN w:val="0"/>
        <w:adjustRightInd w:val="0"/>
        <w:spacing w:after="200"/>
        <w:ind w:left="1276" w:hanging="425"/>
        <w:rPr>
          <w:rFonts w:ascii="Arial" w:hAnsi="Arial" w:cs="Arial"/>
          <w:noProof/>
        </w:rPr>
      </w:pPr>
      <w:r>
        <w:rPr>
          <w:rFonts w:ascii="Arial" w:hAnsi="Arial" w:cs="Arial"/>
          <w:bCs/>
          <w:i/>
          <w:noProof/>
          <w:sz w:val="20"/>
        </w:rPr>
        <w:t xml:space="preserve">Italy, Cyprus, Malta, Portugal, Romania and Finland: </w:t>
      </w:r>
      <w:r>
        <w:rPr>
          <w:rFonts w:ascii="Arial" w:hAnsi="Arial" w:cs="Arial"/>
          <w:bCs/>
          <w:noProof/>
          <w:sz w:val="20"/>
        </w:rPr>
        <w:t>no</w:t>
      </w:r>
      <w:r>
        <w:rPr>
          <w:rFonts w:ascii="Arial" w:hAnsi="Arial" w:cs="Arial"/>
          <w:bCs/>
          <w:noProof/>
          <w:sz w:val="20"/>
        </w:rPr>
        <w:t>n-communication of national measures transposing the ‘Qualifications’ Directive</w:t>
      </w:r>
      <w:r>
        <w:rPr>
          <w:rStyle w:val="FootnoteReference"/>
          <w:rFonts w:ascii="Arial" w:hAnsi="Arial" w:cs="Arial"/>
          <w:bCs/>
          <w:noProof/>
          <w:sz w:val="20"/>
        </w:rPr>
        <w:footnoteReference w:id="307"/>
      </w:r>
      <w:r>
        <w:rPr>
          <w:rFonts w:ascii="Arial" w:hAnsi="Arial" w:cs="Arial"/>
          <w:bCs/>
          <w:noProof/>
          <w:sz w:val="20"/>
        </w:rPr>
        <w:t>;</w:t>
      </w:r>
    </w:p>
    <w:p w:rsidR="00E201F7" w:rsidRDefault="00E24EFF">
      <w:pPr>
        <w:pStyle w:val="ListParagraph"/>
        <w:numPr>
          <w:ilvl w:val="0"/>
          <w:numId w:val="28"/>
        </w:numPr>
        <w:autoSpaceDE w:val="0"/>
        <w:autoSpaceDN w:val="0"/>
        <w:adjustRightInd w:val="0"/>
        <w:spacing w:after="200"/>
        <w:ind w:left="1276" w:hanging="425"/>
        <w:rPr>
          <w:rFonts w:ascii="Arial" w:hAnsi="Arial"/>
          <w:noProof/>
          <w:sz w:val="20"/>
        </w:rPr>
      </w:pPr>
      <w:r>
        <w:rPr>
          <w:rFonts w:ascii="Arial" w:hAnsi="Arial"/>
          <w:i/>
          <w:noProof/>
          <w:sz w:val="20"/>
        </w:rPr>
        <w:t>Italy:</w:t>
      </w:r>
      <w:r>
        <w:rPr>
          <w:rFonts w:ascii="Arial" w:hAnsi="Arial"/>
          <w:noProof/>
          <w:sz w:val="20"/>
        </w:rPr>
        <w:t xml:space="preserve"> alleged violations of obligations under the Dublin Regulation and the Directive on asylum procedures</w:t>
      </w:r>
      <w:r>
        <w:rPr>
          <w:rStyle w:val="FootnoteReference"/>
          <w:rFonts w:ascii="Arial" w:hAnsi="Arial"/>
          <w:noProof/>
          <w:sz w:val="20"/>
        </w:rPr>
        <w:footnoteReference w:id="308"/>
      </w:r>
      <w:r>
        <w:rPr>
          <w:rFonts w:ascii="Arial" w:hAnsi="Arial" w:cs="Arial"/>
          <w:noProof/>
          <w:sz w:val="20"/>
        </w:rPr>
        <w:t>.</w:t>
      </w:r>
    </w:p>
    <w:p w:rsidR="00E201F7" w:rsidRDefault="00E24EFF">
      <w:pPr>
        <w:pStyle w:val="kop2"/>
        <w:rPr>
          <w:noProof/>
        </w:rPr>
      </w:pPr>
      <w:r>
        <w:rPr>
          <w:noProof/>
        </w:rPr>
        <w:t>IMPORTANT JUDGMENTS</w:t>
      </w:r>
    </w:p>
    <w:p w:rsidR="00E201F7" w:rsidRDefault="00E24EFF">
      <w:pPr>
        <w:numPr>
          <w:ilvl w:val="0"/>
          <w:numId w:val="38"/>
        </w:numPr>
        <w:spacing w:before="120"/>
        <w:ind w:left="714" w:hanging="357"/>
        <w:jc w:val="left"/>
        <w:outlineLvl w:val="1"/>
        <w:rPr>
          <w:rFonts w:ascii="Arial" w:hAnsi="Arial"/>
          <w:noProof/>
          <w:color w:val="002060"/>
          <w:sz w:val="22"/>
        </w:rPr>
      </w:pPr>
      <w:r>
        <w:rPr>
          <w:rFonts w:ascii="Arial" w:hAnsi="Arial"/>
          <w:noProof/>
          <w:color w:val="002060"/>
          <w:sz w:val="22"/>
        </w:rPr>
        <w:t>Court rulings</w:t>
      </w:r>
      <w:r>
        <w:rPr>
          <w:rStyle w:val="FootnoteReference"/>
          <w:rFonts w:ascii="Arial" w:hAnsi="Arial"/>
          <w:noProof/>
          <w:color w:val="002060"/>
          <w:sz w:val="22"/>
        </w:rPr>
        <w:footnoteReference w:id="309"/>
      </w:r>
    </w:p>
    <w:p w:rsidR="00E201F7" w:rsidRDefault="00E24EFF">
      <w:pPr>
        <w:pStyle w:val="ListParagraph"/>
        <w:numPr>
          <w:ilvl w:val="0"/>
          <w:numId w:val="80"/>
        </w:numPr>
        <w:spacing w:after="200"/>
        <w:ind w:left="1440"/>
        <w:rPr>
          <w:rFonts w:ascii="Arial" w:hAnsi="Arial"/>
          <w:i/>
          <w:noProof/>
          <w:sz w:val="20"/>
        </w:rPr>
      </w:pPr>
      <w:r>
        <w:rPr>
          <w:rFonts w:ascii="Arial" w:hAnsi="Arial"/>
          <w:noProof/>
          <w:sz w:val="20"/>
        </w:rPr>
        <w:t>The Court upheld the validity</w:t>
      </w:r>
      <w:r>
        <w:rPr>
          <w:rFonts w:ascii="Arial" w:hAnsi="Arial"/>
          <w:noProof/>
          <w:sz w:val="20"/>
        </w:rPr>
        <w:t xml:space="preserve"> of the provisional mechanism for the mandatory relocation of asylum seekers set up by the 2015 Council Decisions on relocation of migrants from Greece and Italy</w:t>
      </w:r>
      <w:r>
        <w:rPr>
          <w:rStyle w:val="FootnoteReference"/>
          <w:rFonts w:ascii="Arial" w:hAnsi="Arial" w:cs="Arial"/>
          <w:noProof/>
          <w:sz w:val="20"/>
          <w:szCs w:val="20"/>
        </w:rPr>
        <w:footnoteReference w:id="310"/>
      </w:r>
      <w:r>
        <w:rPr>
          <w:rFonts w:ascii="Arial" w:hAnsi="Arial"/>
          <w:noProof/>
          <w:sz w:val="20"/>
        </w:rPr>
        <w:t xml:space="preserve">. The Court dismissed the actions for annulment brought by </w:t>
      </w:r>
      <w:smartTag w:uri="urn:schemas-microsoft-com:office:smarttags" w:element="country-region">
        <w:r>
          <w:rPr>
            <w:rFonts w:ascii="Arial" w:hAnsi="Arial"/>
            <w:i/>
            <w:noProof/>
            <w:sz w:val="20"/>
          </w:rPr>
          <w:t>Hungary</w:t>
        </w:r>
      </w:smartTag>
      <w:r>
        <w:rPr>
          <w:rFonts w:ascii="Arial" w:hAnsi="Arial"/>
          <w:i/>
          <w:noProof/>
          <w:sz w:val="20"/>
        </w:rPr>
        <w:t xml:space="preserve"> and </w:t>
      </w:r>
      <w:smartTag w:uri="urn:schemas-microsoft-com:office:smarttags" w:element="country-region">
        <w:smartTag w:uri="urn:schemas-microsoft-com:office:smarttags" w:element="place">
          <w:r>
            <w:rPr>
              <w:rFonts w:ascii="Arial" w:hAnsi="Arial"/>
              <w:i/>
              <w:noProof/>
              <w:sz w:val="20"/>
            </w:rPr>
            <w:t>Slovakia</w:t>
          </w:r>
        </w:smartTag>
      </w:smartTag>
      <w:r>
        <w:rPr>
          <w:rStyle w:val="FootnoteReference"/>
          <w:rFonts w:ascii="Arial" w:hAnsi="Arial"/>
          <w:noProof/>
          <w:sz w:val="20"/>
        </w:rPr>
        <w:footnoteReference w:id="311"/>
      </w:r>
      <w:r>
        <w:rPr>
          <w:rFonts w:ascii="Arial" w:hAnsi="Arial"/>
          <w:i/>
          <w:noProof/>
          <w:sz w:val="20"/>
        </w:rPr>
        <w:t>.</w:t>
      </w:r>
    </w:p>
    <w:p w:rsidR="00E201F7" w:rsidRDefault="00E24EFF">
      <w:pPr>
        <w:numPr>
          <w:ilvl w:val="0"/>
          <w:numId w:val="38"/>
        </w:numPr>
        <w:spacing w:before="120"/>
        <w:ind w:left="714" w:hanging="357"/>
        <w:jc w:val="left"/>
        <w:outlineLvl w:val="1"/>
        <w:rPr>
          <w:rFonts w:ascii="Arial" w:hAnsi="Arial"/>
          <w:noProof/>
          <w:color w:val="002060"/>
          <w:sz w:val="22"/>
        </w:rPr>
      </w:pPr>
      <w:r>
        <w:rPr>
          <w:rFonts w:ascii="Arial" w:hAnsi="Arial"/>
          <w:noProof/>
          <w:color w:val="002060"/>
          <w:sz w:val="22"/>
        </w:rPr>
        <w:t xml:space="preserve">Preliminary </w:t>
      </w:r>
      <w:r>
        <w:rPr>
          <w:rFonts w:ascii="Arial" w:hAnsi="Arial"/>
          <w:noProof/>
          <w:color w:val="002060"/>
          <w:sz w:val="22"/>
        </w:rPr>
        <w:t>rulings</w:t>
      </w:r>
    </w:p>
    <w:p w:rsidR="00E201F7" w:rsidRDefault="00E24EFF">
      <w:pPr>
        <w:pStyle w:val="Basis"/>
        <w:ind w:left="714"/>
        <w:rPr>
          <w:rFonts w:ascii="Arial" w:hAnsi="Arial" w:cs="Arial"/>
          <w:noProof/>
          <w:lang w:val="en-GB"/>
        </w:rPr>
      </w:pPr>
      <w:r>
        <w:rPr>
          <w:rFonts w:ascii="Arial" w:hAnsi="Arial" w:cs="Arial"/>
          <w:noProof/>
          <w:lang w:val="en-GB"/>
        </w:rPr>
        <w:t>The Court gave the following preliminary rulings.</w:t>
      </w:r>
    </w:p>
    <w:p w:rsidR="00E201F7" w:rsidRDefault="00E24EFF">
      <w:pPr>
        <w:numPr>
          <w:ilvl w:val="0"/>
          <w:numId w:val="24"/>
        </w:numPr>
        <w:spacing w:after="120"/>
        <w:ind w:left="1134" w:hanging="357"/>
        <w:rPr>
          <w:rFonts w:ascii="Arial" w:eastAsia="Calibri" w:hAnsi="Arial"/>
          <w:noProof/>
          <w:kern w:val="20"/>
          <w:sz w:val="20"/>
        </w:rPr>
      </w:pPr>
      <w:r>
        <w:rPr>
          <w:rFonts w:ascii="Arial" w:eastAsia="Calibri" w:hAnsi="Arial"/>
          <w:i/>
          <w:noProof/>
          <w:kern w:val="20"/>
          <w:sz w:val="20"/>
        </w:rPr>
        <w:t xml:space="preserve">Belgium: </w:t>
      </w:r>
      <w:r>
        <w:rPr>
          <w:rFonts w:ascii="Arial" w:eastAsia="Calibri" w:hAnsi="Arial"/>
          <w:noProof/>
          <w:kern w:val="20"/>
          <w:sz w:val="20"/>
        </w:rPr>
        <w:t>The denial of refugee status due to participation in terrorist activities is not confined to the commitment of a terrorist act. An asylum application can be rejected if the asylum-seeker pa</w:t>
      </w:r>
      <w:r>
        <w:rPr>
          <w:rFonts w:ascii="Arial" w:eastAsia="Calibri" w:hAnsi="Arial"/>
          <w:noProof/>
          <w:kern w:val="20"/>
          <w:sz w:val="20"/>
        </w:rPr>
        <w:t>rticipated in the activities of a terrorist network, for example by providing logistical support to the terrorist group, even without personally committing or instigating terrorist acts</w:t>
      </w:r>
      <w:r>
        <w:rPr>
          <w:rStyle w:val="FootnoteReference"/>
          <w:rFonts w:ascii="Arial" w:eastAsia="Calibri" w:hAnsi="Arial"/>
          <w:noProof/>
          <w:kern w:val="20"/>
          <w:sz w:val="20"/>
        </w:rPr>
        <w:footnoteReference w:id="312"/>
      </w:r>
      <w:r>
        <w:rPr>
          <w:rFonts w:ascii="Arial" w:eastAsia="Calibri" w:hAnsi="Arial"/>
          <w:noProof/>
          <w:kern w:val="20"/>
          <w:sz w:val="20"/>
        </w:rPr>
        <w:t>.</w:t>
      </w:r>
    </w:p>
    <w:p w:rsidR="00E201F7" w:rsidRDefault="00E24EFF">
      <w:pPr>
        <w:numPr>
          <w:ilvl w:val="0"/>
          <w:numId w:val="24"/>
        </w:numPr>
        <w:spacing w:after="120"/>
        <w:ind w:left="1134" w:hanging="357"/>
        <w:rPr>
          <w:rFonts w:ascii="Arial" w:eastAsia="Calibri" w:hAnsi="Arial"/>
          <w:noProof/>
          <w:kern w:val="20"/>
          <w:sz w:val="20"/>
        </w:rPr>
      </w:pPr>
      <w:r>
        <w:rPr>
          <w:rFonts w:ascii="Arial" w:eastAsia="Calibri" w:hAnsi="Arial"/>
          <w:i/>
          <w:noProof/>
          <w:kern w:val="20"/>
          <w:sz w:val="20"/>
        </w:rPr>
        <w:t xml:space="preserve">Belgium: </w:t>
      </w:r>
      <w:r>
        <w:rPr>
          <w:rFonts w:ascii="Arial" w:eastAsia="Calibri" w:hAnsi="Arial"/>
          <w:noProof/>
          <w:kern w:val="20"/>
          <w:sz w:val="20"/>
        </w:rPr>
        <w:t xml:space="preserve">Member States are not required, under EU law, to grant a </w:t>
      </w:r>
      <w:r>
        <w:rPr>
          <w:rFonts w:ascii="Arial" w:eastAsia="Calibri" w:hAnsi="Arial"/>
          <w:noProof/>
          <w:kern w:val="20"/>
          <w:sz w:val="20"/>
        </w:rPr>
        <w:t>humanitarian visa to persons who wish to enter their territory with a view to applying for asylum. They remain free to do so, on the basis of their national law. EU law establishes only the procedures and conditions for issuing visas for transit through or</w:t>
      </w:r>
      <w:r>
        <w:rPr>
          <w:rFonts w:ascii="Arial" w:eastAsia="Calibri" w:hAnsi="Arial"/>
          <w:noProof/>
          <w:kern w:val="20"/>
          <w:sz w:val="20"/>
        </w:rPr>
        <w:t xml:space="preserve"> intended stays on the territory of the Member States not exceeding 90 days</w:t>
      </w:r>
      <w:r>
        <w:rPr>
          <w:rStyle w:val="FootnoteReference"/>
          <w:rFonts w:ascii="Arial" w:eastAsia="Calibri" w:hAnsi="Arial"/>
          <w:noProof/>
          <w:kern w:val="20"/>
          <w:sz w:val="20"/>
        </w:rPr>
        <w:footnoteReference w:id="313"/>
      </w:r>
      <w:r>
        <w:rPr>
          <w:rFonts w:ascii="Arial" w:eastAsia="Calibri" w:hAnsi="Arial"/>
          <w:noProof/>
          <w:kern w:val="20"/>
          <w:sz w:val="20"/>
        </w:rPr>
        <w:t>.</w:t>
      </w:r>
    </w:p>
    <w:p w:rsidR="00E201F7" w:rsidRDefault="00E24EFF">
      <w:pPr>
        <w:numPr>
          <w:ilvl w:val="0"/>
          <w:numId w:val="24"/>
        </w:numPr>
        <w:spacing w:after="120"/>
        <w:ind w:left="1134" w:hanging="357"/>
        <w:rPr>
          <w:rFonts w:ascii="Arial" w:eastAsia="Calibri" w:hAnsi="Arial"/>
          <w:noProof/>
          <w:kern w:val="20"/>
          <w:sz w:val="20"/>
        </w:rPr>
      </w:pPr>
      <w:r>
        <w:rPr>
          <w:rFonts w:ascii="Arial" w:eastAsia="Calibri" w:hAnsi="Arial"/>
          <w:i/>
          <w:noProof/>
          <w:kern w:val="20"/>
          <w:sz w:val="20"/>
        </w:rPr>
        <w:t>Czech Republic:</w:t>
      </w:r>
      <w:r>
        <w:rPr>
          <w:rFonts w:ascii="Arial" w:eastAsia="Calibri" w:hAnsi="Arial"/>
          <w:noProof/>
          <w:kern w:val="20"/>
          <w:sz w:val="20"/>
        </w:rPr>
        <w:t xml:space="preserve"> A Member State may not detain an applicant of international protection for the purpose of securing a procedure for his transfer to another Member State, if the ob</w:t>
      </w:r>
      <w:r>
        <w:rPr>
          <w:rFonts w:ascii="Arial" w:eastAsia="Calibri" w:hAnsi="Arial"/>
          <w:noProof/>
          <w:kern w:val="20"/>
          <w:sz w:val="20"/>
        </w:rPr>
        <w:t>jective criteria for assessing the risk of absconding are not defined in its legislation (even if those criteria are apparent from the case-law or the administrative practice of that Member State)</w:t>
      </w:r>
      <w:r>
        <w:rPr>
          <w:rStyle w:val="FootnoteReference"/>
          <w:rFonts w:ascii="Arial" w:eastAsia="Calibri" w:hAnsi="Arial"/>
          <w:noProof/>
          <w:kern w:val="20"/>
          <w:sz w:val="20"/>
        </w:rPr>
        <w:footnoteReference w:id="314"/>
      </w:r>
      <w:r>
        <w:rPr>
          <w:rFonts w:ascii="Arial" w:eastAsia="Calibri" w:hAnsi="Arial"/>
          <w:noProof/>
          <w:kern w:val="20"/>
          <w:sz w:val="20"/>
        </w:rPr>
        <w:t>.</w:t>
      </w:r>
    </w:p>
    <w:p w:rsidR="00E201F7" w:rsidRDefault="00E24EFF">
      <w:pPr>
        <w:numPr>
          <w:ilvl w:val="0"/>
          <w:numId w:val="24"/>
        </w:numPr>
        <w:spacing w:after="120"/>
        <w:ind w:left="1134" w:hanging="357"/>
        <w:rPr>
          <w:rFonts w:ascii="Arial" w:eastAsia="Calibri" w:hAnsi="Arial" w:cs="Arial"/>
          <w:noProof/>
          <w:kern w:val="20"/>
          <w:sz w:val="20"/>
          <w:szCs w:val="20"/>
        </w:rPr>
      </w:pPr>
      <w:r>
        <w:rPr>
          <w:rFonts w:ascii="Arial" w:hAnsi="Arial" w:cs="Arial"/>
          <w:i/>
          <w:noProof/>
          <w:sz w:val="20"/>
          <w:szCs w:val="20"/>
        </w:rPr>
        <w:t>Germany:</w:t>
      </w:r>
      <w:r>
        <w:rPr>
          <w:rFonts w:ascii="Arial" w:hAnsi="Arial" w:cs="Arial"/>
          <w:noProof/>
          <w:sz w:val="20"/>
          <w:szCs w:val="20"/>
        </w:rPr>
        <w:t xml:space="preserve"> The efficient management of migration flows may </w:t>
      </w:r>
      <w:r>
        <w:rPr>
          <w:rFonts w:ascii="Arial" w:hAnsi="Arial" w:cs="Arial"/>
          <w:noProof/>
          <w:sz w:val="20"/>
          <w:szCs w:val="20"/>
        </w:rPr>
        <w:t xml:space="preserve">justify a national measure requiring nationals of third countries under the age of 16 to hold a residence permit in order to enter and reside in that </w:t>
      </w:r>
      <w:smartTag w:uri="urn:schemas-microsoft-com:office:smarttags" w:element="place">
        <w:smartTag w:uri="urn:schemas-microsoft-com:office:smarttags" w:element="PlaceName">
          <w:r>
            <w:rPr>
              <w:rFonts w:ascii="Arial" w:hAnsi="Arial" w:cs="Arial"/>
              <w:noProof/>
              <w:sz w:val="20"/>
              <w:szCs w:val="20"/>
            </w:rPr>
            <w:t>Member</w:t>
          </w:r>
        </w:smartTag>
        <w:r>
          <w:rPr>
            <w:rFonts w:ascii="Arial" w:hAnsi="Arial" w:cs="Arial"/>
            <w:noProof/>
            <w:sz w:val="20"/>
            <w:szCs w:val="20"/>
          </w:rPr>
          <w:t xml:space="preserve"> </w:t>
        </w:r>
        <w:smartTag w:uri="urn:schemas-microsoft-com:office:smarttags" w:element="PlaceType">
          <w:r>
            <w:rPr>
              <w:rFonts w:ascii="Arial" w:hAnsi="Arial" w:cs="Arial"/>
              <w:noProof/>
              <w:sz w:val="20"/>
              <w:szCs w:val="20"/>
            </w:rPr>
            <w:t>State</w:t>
          </w:r>
        </w:smartTag>
      </w:smartTag>
      <w:r>
        <w:rPr>
          <w:rFonts w:ascii="Arial" w:hAnsi="Arial" w:cs="Arial"/>
          <w:noProof/>
          <w:sz w:val="20"/>
          <w:szCs w:val="20"/>
        </w:rPr>
        <w:t>. However, such a measure is not proportionate where it concerns child nationals of third coun</w:t>
      </w:r>
      <w:r>
        <w:rPr>
          <w:rFonts w:ascii="Arial" w:hAnsi="Arial" w:cs="Arial"/>
          <w:noProof/>
          <w:sz w:val="20"/>
          <w:szCs w:val="20"/>
        </w:rPr>
        <w:t xml:space="preserve">tries born in the </w:t>
      </w:r>
      <w:smartTag w:uri="urn:schemas-microsoft-com:office:smarttags" w:element="PlaceName">
        <w:r>
          <w:rPr>
            <w:rFonts w:ascii="Arial" w:hAnsi="Arial" w:cs="Arial"/>
            <w:noProof/>
            <w:sz w:val="20"/>
            <w:szCs w:val="20"/>
          </w:rPr>
          <w:t>Member</w:t>
        </w:r>
      </w:smartTag>
      <w:r>
        <w:rPr>
          <w:rFonts w:ascii="Arial" w:hAnsi="Arial" w:cs="Arial"/>
          <w:noProof/>
          <w:sz w:val="20"/>
          <w:szCs w:val="20"/>
        </w:rPr>
        <w:t xml:space="preserve"> </w:t>
      </w:r>
      <w:smartTag w:uri="urn:schemas-microsoft-com:office:smarttags" w:element="PlaceType">
        <w:r>
          <w:rPr>
            <w:rFonts w:ascii="Arial" w:hAnsi="Arial" w:cs="Arial"/>
            <w:noProof/>
            <w:sz w:val="20"/>
            <w:szCs w:val="20"/>
          </w:rPr>
          <w:t>State</w:t>
        </w:r>
      </w:smartTag>
      <w:r>
        <w:rPr>
          <w:rFonts w:ascii="Arial" w:hAnsi="Arial" w:cs="Arial"/>
          <w:noProof/>
          <w:sz w:val="20"/>
          <w:szCs w:val="20"/>
        </w:rPr>
        <w:t xml:space="preserve"> in question and one of whose parents is a Turkish worker lawfully residing in that </w:t>
      </w:r>
      <w:smartTag w:uri="urn:schemas-microsoft-com:office:smarttags" w:element="place">
        <w:smartTag w:uri="urn:schemas-microsoft-com:office:smarttags" w:element="PlaceName">
          <w:r>
            <w:rPr>
              <w:rFonts w:ascii="Arial" w:hAnsi="Arial" w:cs="Arial"/>
              <w:noProof/>
              <w:sz w:val="20"/>
              <w:szCs w:val="20"/>
            </w:rPr>
            <w:t>Member</w:t>
          </w:r>
        </w:smartTag>
        <w:r>
          <w:rPr>
            <w:rFonts w:ascii="Arial" w:hAnsi="Arial" w:cs="Arial"/>
            <w:noProof/>
            <w:sz w:val="20"/>
            <w:szCs w:val="20"/>
          </w:rPr>
          <w:t xml:space="preserve"> </w:t>
        </w:r>
        <w:smartTag w:uri="urn:schemas-microsoft-com:office:smarttags" w:element="PlaceType">
          <w:r>
            <w:rPr>
              <w:rFonts w:ascii="Arial" w:hAnsi="Arial" w:cs="Arial"/>
              <w:noProof/>
              <w:sz w:val="20"/>
              <w:szCs w:val="20"/>
            </w:rPr>
            <w:t>State</w:t>
          </w:r>
        </w:smartTag>
      </w:smartTag>
      <w:r>
        <w:rPr>
          <w:rStyle w:val="FootnoteReference"/>
          <w:rFonts w:ascii="Arial" w:hAnsi="Arial" w:cs="Arial"/>
          <w:noProof/>
          <w:sz w:val="20"/>
          <w:szCs w:val="20"/>
        </w:rPr>
        <w:footnoteReference w:id="315"/>
      </w:r>
      <w:r>
        <w:rPr>
          <w:rFonts w:ascii="Arial" w:hAnsi="Arial" w:cs="Arial"/>
          <w:noProof/>
          <w:sz w:val="20"/>
          <w:szCs w:val="20"/>
        </w:rPr>
        <w:t>.</w:t>
      </w:r>
    </w:p>
    <w:p w:rsidR="00E201F7" w:rsidRDefault="00E24EFF">
      <w:pPr>
        <w:numPr>
          <w:ilvl w:val="0"/>
          <w:numId w:val="24"/>
        </w:numPr>
        <w:spacing w:after="120"/>
        <w:ind w:left="1134" w:hanging="357"/>
        <w:rPr>
          <w:rFonts w:ascii="Arial" w:eastAsia="Calibri" w:hAnsi="Arial" w:cs="Arial"/>
          <w:noProof/>
          <w:kern w:val="20"/>
          <w:sz w:val="20"/>
          <w:szCs w:val="20"/>
        </w:rPr>
      </w:pPr>
      <w:r>
        <w:rPr>
          <w:rFonts w:ascii="Arial" w:hAnsi="Arial" w:cs="Arial"/>
          <w:noProof/>
          <w:sz w:val="20"/>
          <w:szCs w:val="20"/>
        </w:rPr>
        <w:t xml:space="preserve">Germany: Member States enjoy a wide discretion in refusing to admit third country students who plan to carry out research in that Member State in a field that is sensitive for public security, if the elements available provide a sufficiently solid factual </w:t>
      </w:r>
      <w:r>
        <w:rPr>
          <w:rFonts w:ascii="Arial" w:hAnsi="Arial" w:cs="Arial"/>
          <w:noProof/>
          <w:sz w:val="20"/>
          <w:szCs w:val="20"/>
        </w:rPr>
        <w:t xml:space="preserve">basis to fear that the knowledge acquired by that person during research may subsequently be used for purposes contrary to public security </w:t>
      </w:r>
      <w:r>
        <w:rPr>
          <w:rStyle w:val="FootnoteReference"/>
          <w:rFonts w:ascii="Arial" w:hAnsi="Arial" w:cs="Arial"/>
          <w:noProof/>
          <w:sz w:val="20"/>
          <w:szCs w:val="20"/>
        </w:rPr>
        <w:footnoteReference w:id="316"/>
      </w:r>
      <w:r>
        <w:rPr>
          <w:rFonts w:ascii="Arial" w:hAnsi="Arial" w:cs="Arial"/>
          <w:noProof/>
          <w:sz w:val="20"/>
          <w:szCs w:val="20"/>
        </w:rPr>
        <w:t>.</w:t>
      </w:r>
    </w:p>
    <w:p w:rsidR="00E201F7" w:rsidRDefault="00E24EFF">
      <w:pPr>
        <w:numPr>
          <w:ilvl w:val="0"/>
          <w:numId w:val="24"/>
        </w:numPr>
        <w:spacing w:after="120"/>
        <w:ind w:left="1134" w:hanging="357"/>
        <w:rPr>
          <w:rFonts w:ascii="Arial" w:eastAsia="Calibri" w:hAnsi="Arial"/>
          <w:noProof/>
          <w:kern w:val="20"/>
          <w:sz w:val="20"/>
        </w:rPr>
      </w:pPr>
      <w:r>
        <w:rPr>
          <w:rFonts w:ascii="Arial" w:hAnsi="Arial"/>
          <w:i/>
          <w:noProof/>
          <w:sz w:val="20"/>
        </w:rPr>
        <w:t>Greece:</w:t>
      </w:r>
      <w:r>
        <w:rPr>
          <w:rFonts w:ascii="Arial" w:hAnsi="Arial"/>
          <w:noProof/>
          <w:sz w:val="20"/>
        </w:rPr>
        <w:t xml:space="preserve"> A Member State may adopt an order for the removal of a citizen who constitutes a serious threat to public </w:t>
      </w:r>
      <w:r>
        <w:rPr>
          <w:rFonts w:ascii="Arial" w:hAnsi="Arial"/>
          <w:noProof/>
          <w:sz w:val="20"/>
        </w:rPr>
        <w:t>security based on the sole finding that a previous exclusion order was still valid</w:t>
      </w:r>
      <w:r>
        <w:rPr>
          <w:rStyle w:val="FootnoteReference"/>
          <w:rFonts w:ascii="Arial" w:hAnsi="Arial"/>
          <w:noProof/>
          <w:sz w:val="20"/>
        </w:rPr>
        <w:footnoteReference w:id="317"/>
      </w:r>
      <w:r>
        <w:rPr>
          <w:rFonts w:ascii="Arial" w:hAnsi="Arial"/>
          <w:noProof/>
          <w:sz w:val="20"/>
        </w:rPr>
        <w:t>.</w:t>
      </w:r>
    </w:p>
    <w:p w:rsidR="00E201F7" w:rsidRDefault="00E24EFF">
      <w:pPr>
        <w:pStyle w:val="Lijstje2"/>
        <w:ind w:left="1134" w:hanging="283"/>
        <w:rPr>
          <w:rFonts w:ascii="Arial" w:hAnsi="Arial" w:cs="Arial"/>
          <w:noProof/>
          <w:lang w:val="en-GB"/>
        </w:rPr>
      </w:pPr>
      <w:r>
        <w:rPr>
          <w:rFonts w:ascii="Arial" w:hAnsi="Arial" w:cs="Arial"/>
          <w:noProof/>
          <w:lang w:val="en-GB"/>
        </w:rPr>
        <w:t>Spain: A decision to expel a third country long-term resident may not be adopted for the sole reason of having been sentenced to a term of imprisonment of more than one ye</w:t>
      </w:r>
      <w:r>
        <w:rPr>
          <w:rFonts w:ascii="Arial" w:hAnsi="Arial" w:cs="Arial"/>
          <w:noProof/>
          <w:lang w:val="en-GB"/>
        </w:rPr>
        <w:t xml:space="preserve">ar. Before taking such decision, Member States must consider the duration of residence, the age of the person, the consequences for the person and family members and links with the country of residence </w:t>
      </w:r>
      <w:r>
        <w:rPr>
          <w:rStyle w:val="FootnoteReference"/>
          <w:rFonts w:ascii="Arial" w:hAnsi="Arial" w:cs="Arial"/>
          <w:noProof/>
          <w:lang w:val="en-GB"/>
        </w:rPr>
        <w:footnoteReference w:id="318"/>
      </w:r>
      <w:r>
        <w:rPr>
          <w:rFonts w:ascii="Arial" w:hAnsi="Arial" w:cs="Arial"/>
          <w:noProof/>
          <w:lang w:val="en-GB"/>
        </w:rPr>
        <w:t>.</w:t>
      </w:r>
    </w:p>
    <w:p w:rsidR="00E201F7" w:rsidRDefault="00E24EFF">
      <w:pPr>
        <w:numPr>
          <w:ilvl w:val="0"/>
          <w:numId w:val="24"/>
        </w:numPr>
        <w:spacing w:after="120"/>
        <w:ind w:left="1134" w:hanging="357"/>
        <w:rPr>
          <w:rFonts w:ascii="Arial" w:eastAsia="Calibri" w:hAnsi="Arial" w:cs="Arial"/>
          <w:noProof/>
          <w:kern w:val="20"/>
          <w:sz w:val="20"/>
          <w:szCs w:val="20"/>
        </w:rPr>
      </w:pPr>
      <w:r>
        <w:rPr>
          <w:rFonts w:ascii="Arial" w:eastAsia="Calibri" w:hAnsi="Arial" w:cs="Arial"/>
          <w:i/>
          <w:noProof/>
          <w:kern w:val="20"/>
          <w:sz w:val="20"/>
          <w:szCs w:val="20"/>
        </w:rPr>
        <w:t xml:space="preserve">Italy: </w:t>
      </w:r>
      <w:r>
        <w:rPr>
          <w:rFonts w:ascii="Arial" w:eastAsia="Calibri" w:hAnsi="Arial" w:cs="Arial"/>
          <w:noProof/>
          <w:kern w:val="20"/>
          <w:sz w:val="20"/>
          <w:szCs w:val="20"/>
        </w:rPr>
        <w:t xml:space="preserve">National courts may dismiss an appeal </w:t>
      </w:r>
      <w:r>
        <w:rPr>
          <w:rFonts w:ascii="Arial" w:eastAsia="Calibri" w:hAnsi="Arial" w:cs="Arial"/>
          <w:noProof/>
          <w:kern w:val="20"/>
          <w:sz w:val="20"/>
          <w:szCs w:val="20"/>
        </w:rPr>
        <w:t>against a decision rejecting a manifestly unfounded application for international protection without hearing the applicant. In such a case the factual circumstances should leave no doubt as to whether that decision was well founded, and during the proceedi</w:t>
      </w:r>
      <w:r>
        <w:rPr>
          <w:rFonts w:ascii="Arial" w:eastAsia="Calibri" w:hAnsi="Arial" w:cs="Arial"/>
          <w:noProof/>
          <w:kern w:val="20"/>
          <w:sz w:val="20"/>
          <w:szCs w:val="20"/>
        </w:rPr>
        <w:t>ngs at first instance the applicant should have been given the opportunity of a personal interview</w:t>
      </w:r>
      <w:r>
        <w:rPr>
          <w:rStyle w:val="FootnoteReference"/>
          <w:rFonts w:ascii="Arial" w:eastAsia="Calibri" w:hAnsi="Arial" w:cs="Arial"/>
          <w:noProof/>
          <w:kern w:val="20"/>
          <w:sz w:val="20"/>
          <w:szCs w:val="20"/>
        </w:rPr>
        <w:footnoteReference w:id="319"/>
      </w:r>
      <w:r>
        <w:rPr>
          <w:rFonts w:ascii="Arial" w:eastAsia="Calibri" w:hAnsi="Arial" w:cs="Arial"/>
          <w:noProof/>
          <w:kern w:val="20"/>
          <w:sz w:val="20"/>
          <w:szCs w:val="20"/>
        </w:rPr>
        <w:t>.</w:t>
      </w:r>
    </w:p>
    <w:p w:rsidR="00E201F7" w:rsidRDefault="00E24EFF">
      <w:pPr>
        <w:numPr>
          <w:ilvl w:val="0"/>
          <w:numId w:val="24"/>
        </w:numPr>
        <w:spacing w:after="120"/>
        <w:ind w:left="1134" w:hanging="357"/>
        <w:rPr>
          <w:rFonts w:ascii="Arial" w:eastAsia="Calibri" w:hAnsi="Arial" w:cs="Arial"/>
          <w:noProof/>
          <w:kern w:val="20"/>
          <w:sz w:val="20"/>
          <w:szCs w:val="20"/>
        </w:rPr>
      </w:pPr>
      <w:r>
        <w:rPr>
          <w:rFonts w:ascii="Arial" w:hAnsi="Arial" w:cs="Arial"/>
          <w:i/>
          <w:noProof/>
          <w:sz w:val="20"/>
          <w:szCs w:val="20"/>
        </w:rPr>
        <w:t xml:space="preserve">Italy: </w:t>
      </w:r>
      <w:r>
        <w:rPr>
          <w:rFonts w:ascii="Arial" w:hAnsi="Arial" w:cs="Arial"/>
          <w:noProof/>
          <w:sz w:val="20"/>
          <w:szCs w:val="20"/>
        </w:rPr>
        <w:t>In line with the principle of equal treatment, a third-country national holding a single permit should also be entitled to the benefit for household</w:t>
      </w:r>
      <w:r>
        <w:rPr>
          <w:rFonts w:ascii="Arial" w:hAnsi="Arial" w:cs="Arial"/>
          <w:noProof/>
          <w:sz w:val="20"/>
          <w:szCs w:val="20"/>
        </w:rPr>
        <w:t>s</w:t>
      </w:r>
      <w:r>
        <w:rPr>
          <w:rStyle w:val="FootnoteReference"/>
          <w:rFonts w:ascii="Arial" w:hAnsi="Arial" w:cs="Arial"/>
          <w:noProof/>
          <w:sz w:val="20"/>
          <w:szCs w:val="20"/>
        </w:rPr>
        <w:footnoteReference w:id="320"/>
      </w:r>
      <w:r>
        <w:rPr>
          <w:rFonts w:ascii="Arial" w:hAnsi="Arial" w:cs="Arial"/>
          <w:noProof/>
          <w:sz w:val="20"/>
          <w:szCs w:val="20"/>
        </w:rPr>
        <w:t>.</w:t>
      </w:r>
    </w:p>
    <w:p w:rsidR="00E201F7" w:rsidRDefault="00E24EFF">
      <w:pPr>
        <w:numPr>
          <w:ilvl w:val="0"/>
          <w:numId w:val="24"/>
        </w:numPr>
        <w:spacing w:after="120"/>
        <w:ind w:left="1134" w:hanging="357"/>
        <w:rPr>
          <w:rFonts w:ascii="Arial" w:eastAsia="Calibri" w:hAnsi="Arial"/>
          <w:noProof/>
          <w:kern w:val="20"/>
          <w:sz w:val="20"/>
        </w:rPr>
      </w:pPr>
      <w:r>
        <w:rPr>
          <w:rFonts w:ascii="Arial" w:eastAsia="Calibri" w:hAnsi="Arial"/>
          <w:i/>
          <w:noProof/>
          <w:kern w:val="20"/>
          <w:sz w:val="20"/>
        </w:rPr>
        <w:t xml:space="preserve">Netherlands: </w:t>
      </w:r>
      <w:r>
        <w:rPr>
          <w:rFonts w:ascii="Arial" w:eastAsia="Calibri" w:hAnsi="Arial"/>
          <w:noProof/>
          <w:kern w:val="20"/>
          <w:sz w:val="20"/>
        </w:rPr>
        <w:t>Actions by armed forces during periods of armed conflict, within the meaning of international humanitarian law, may constitute ‘terrorist acts’ for the purposes of EU law (despite the fact that some international conventions exclude them).</w:t>
      </w:r>
      <w:r>
        <w:rPr>
          <w:rFonts w:ascii="Arial" w:eastAsia="Calibri" w:hAnsi="Arial"/>
          <w:noProof/>
          <w:kern w:val="20"/>
          <w:sz w:val="20"/>
        </w:rPr>
        <w:t xml:space="preserve"> Consequently, preventative measures may be applied to the perpetrator of the act</w:t>
      </w:r>
      <w:r>
        <w:rPr>
          <w:rStyle w:val="FootnoteReference"/>
          <w:rFonts w:ascii="Arial" w:eastAsia="Calibri" w:hAnsi="Arial"/>
          <w:noProof/>
          <w:kern w:val="20"/>
          <w:sz w:val="20"/>
        </w:rPr>
        <w:footnoteReference w:id="321"/>
      </w:r>
      <w:r>
        <w:rPr>
          <w:rFonts w:ascii="Arial" w:eastAsia="Calibri" w:hAnsi="Arial"/>
          <w:noProof/>
          <w:kern w:val="20"/>
          <w:sz w:val="20"/>
        </w:rPr>
        <w:t>.</w:t>
      </w:r>
    </w:p>
    <w:p w:rsidR="00E201F7" w:rsidRDefault="00E24EFF">
      <w:pPr>
        <w:numPr>
          <w:ilvl w:val="0"/>
          <w:numId w:val="24"/>
        </w:numPr>
        <w:spacing w:after="120"/>
        <w:ind w:left="1134" w:hanging="357"/>
        <w:rPr>
          <w:rFonts w:ascii="Arial" w:eastAsia="Calibri" w:hAnsi="Arial"/>
          <w:noProof/>
          <w:kern w:val="20"/>
          <w:sz w:val="20"/>
        </w:rPr>
      </w:pPr>
      <w:r>
        <w:rPr>
          <w:rFonts w:ascii="Arial" w:hAnsi="Arial"/>
          <w:i/>
          <w:noProof/>
          <w:sz w:val="20"/>
        </w:rPr>
        <w:t>Netherlands:</w:t>
      </w:r>
      <w:r>
        <w:rPr>
          <w:rFonts w:ascii="Arial" w:hAnsi="Arial"/>
          <w:noProof/>
          <w:sz w:val="20"/>
        </w:rPr>
        <w:t xml:space="preserve"> The starting point of the duration of an entry ban, which in principle may not exceed 5 years, must be calculated from the date on which the person concerned actually left the territory of the Member States</w:t>
      </w:r>
      <w:r>
        <w:rPr>
          <w:rStyle w:val="FootnoteReference"/>
          <w:rFonts w:ascii="Arial" w:hAnsi="Arial"/>
          <w:noProof/>
          <w:sz w:val="20"/>
        </w:rPr>
        <w:footnoteReference w:id="322"/>
      </w:r>
      <w:r>
        <w:rPr>
          <w:rFonts w:ascii="Arial" w:hAnsi="Arial"/>
          <w:noProof/>
          <w:sz w:val="20"/>
        </w:rPr>
        <w:t>.</w:t>
      </w:r>
    </w:p>
    <w:p w:rsidR="00E201F7" w:rsidRDefault="00E24EFF">
      <w:pPr>
        <w:numPr>
          <w:ilvl w:val="0"/>
          <w:numId w:val="24"/>
        </w:numPr>
        <w:spacing w:after="120"/>
        <w:ind w:left="1134" w:hanging="357"/>
        <w:rPr>
          <w:rFonts w:ascii="Arial" w:eastAsia="Calibri" w:hAnsi="Arial"/>
          <w:noProof/>
          <w:kern w:val="20"/>
          <w:sz w:val="20"/>
        </w:rPr>
      </w:pPr>
      <w:r>
        <w:rPr>
          <w:rFonts w:ascii="Arial" w:eastAsia="Calibri" w:hAnsi="Arial"/>
          <w:i/>
          <w:noProof/>
          <w:kern w:val="20"/>
          <w:sz w:val="20"/>
        </w:rPr>
        <w:t>Austria</w:t>
      </w:r>
      <w:r>
        <w:rPr>
          <w:rFonts w:ascii="Arial" w:eastAsia="Calibri" w:hAnsi="Arial"/>
          <w:noProof/>
          <w:kern w:val="20"/>
          <w:sz w:val="20"/>
        </w:rPr>
        <w:t>: Where the transfer of a third-country</w:t>
      </w:r>
      <w:r>
        <w:rPr>
          <w:rFonts w:ascii="Arial" w:eastAsia="Calibri" w:hAnsi="Arial"/>
          <w:noProof/>
          <w:kern w:val="20"/>
          <w:sz w:val="20"/>
        </w:rPr>
        <w:t xml:space="preserve"> national to the </w:t>
      </w:r>
      <w:smartTag w:uri="urn:schemas-microsoft-com:office:smarttags" w:element="PlaceName">
        <w:r>
          <w:rPr>
            <w:rFonts w:ascii="Arial" w:eastAsia="Calibri" w:hAnsi="Arial"/>
            <w:noProof/>
            <w:kern w:val="20"/>
            <w:sz w:val="20"/>
          </w:rPr>
          <w:t>Member</w:t>
        </w:r>
      </w:smartTag>
      <w:r>
        <w:rPr>
          <w:rFonts w:ascii="Arial" w:eastAsia="Calibri" w:hAnsi="Arial"/>
          <w:noProof/>
          <w:kern w:val="20"/>
          <w:sz w:val="20"/>
        </w:rPr>
        <w:t xml:space="preserve"> </w:t>
      </w:r>
      <w:smartTag w:uri="urn:schemas-microsoft-com:office:smarttags" w:element="PlaceType">
        <w:r>
          <w:rPr>
            <w:rFonts w:ascii="Arial" w:eastAsia="Calibri" w:hAnsi="Arial"/>
            <w:noProof/>
            <w:kern w:val="20"/>
            <w:sz w:val="20"/>
          </w:rPr>
          <w:t>State</w:t>
        </w:r>
      </w:smartTag>
      <w:r>
        <w:rPr>
          <w:rFonts w:ascii="Arial" w:eastAsia="Calibri" w:hAnsi="Arial"/>
          <w:noProof/>
          <w:kern w:val="20"/>
          <w:sz w:val="20"/>
        </w:rPr>
        <w:t xml:space="preserve"> that, according to the </w:t>
      </w:r>
      <w:smartTag w:uri="urn:schemas-microsoft-com:office:smarttags" w:element="City">
        <w:r>
          <w:rPr>
            <w:rFonts w:ascii="Arial" w:eastAsia="Calibri" w:hAnsi="Arial"/>
            <w:noProof/>
            <w:kern w:val="20"/>
            <w:sz w:val="20"/>
          </w:rPr>
          <w:t>Dublin</w:t>
        </w:r>
      </w:smartTag>
      <w:r>
        <w:rPr>
          <w:rFonts w:ascii="Arial" w:eastAsia="Calibri" w:hAnsi="Arial"/>
          <w:noProof/>
          <w:kern w:val="20"/>
          <w:sz w:val="20"/>
        </w:rPr>
        <w:t xml:space="preserve"> mechanism, is responsible for examining his application for international protection does not take place within the six-month time limit, the responsibility for examination is transferred automati</w:t>
      </w:r>
      <w:r>
        <w:rPr>
          <w:rFonts w:ascii="Arial" w:eastAsia="Calibri" w:hAnsi="Arial"/>
          <w:noProof/>
          <w:kern w:val="20"/>
          <w:sz w:val="20"/>
        </w:rPr>
        <w:t xml:space="preserve">cally to the </w:t>
      </w:r>
      <w:smartTag w:uri="urn:schemas-microsoft-com:office:smarttags" w:element="place">
        <w:smartTag w:uri="urn:schemas-microsoft-com:office:smarttags" w:element="PlaceName">
          <w:r>
            <w:rPr>
              <w:rFonts w:ascii="Arial" w:eastAsia="Calibri" w:hAnsi="Arial"/>
              <w:noProof/>
              <w:kern w:val="20"/>
              <w:sz w:val="20"/>
            </w:rPr>
            <w:t>Member</w:t>
          </w:r>
        </w:smartTag>
        <w:r>
          <w:rPr>
            <w:rFonts w:ascii="Arial" w:eastAsia="Calibri" w:hAnsi="Arial"/>
            <w:noProof/>
            <w:kern w:val="20"/>
            <w:sz w:val="20"/>
          </w:rPr>
          <w:t xml:space="preserve"> </w:t>
        </w:r>
        <w:smartTag w:uri="urn:schemas-microsoft-com:office:smarttags" w:element="PlaceType">
          <w:r>
            <w:rPr>
              <w:rFonts w:ascii="Arial" w:eastAsia="Calibri" w:hAnsi="Arial"/>
              <w:noProof/>
              <w:kern w:val="20"/>
              <w:sz w:val="20"/>
            </w:rPr>
            <w:t>State</w:t>
          </w:r>
        </w:smartTag>
      </w:smartTag>
      <w:r>
        <w:rPr>
          <w:rFonts w:ascii="Arial" w:eastAsia="Calibri" w:hAnsi="Arial"/>
          <w:noProof/>
          <w:kern w:val="20"/>
          <w:sz w:val="20"/>
        </w:rPr>
        <w:t xml:space="preserve"> which requested that charge be taken of the person concerned. It is not necessary for the </w:t>
      </w:r>
      <w:smartTag w:uri="urn:schemas-microsoft-com:office:smarttags" w:element="place">
        <w:smartTag w:uri="urn:schemas-microsoft-com:office:smarttags" w:element="PlaceName">
          <w:r>
            <w:rPr>
              <w:rFonts w:ascii="Arial" w:eastAsia="Calibri" w:hAnsi="Arial"/>
              <w:noProof/>
              <w:kern w:val="20"/>
              <w:sz w:val="20"/>
            </w:rPr>
            <w:t>Member</w:t>
          </w:r>
        </w:smartTag>
        <w:r>
          <w:rPr>
            <w:rFonts w:ascii="Arial" w:eastAsia="Calibri" w:hAnsi="Arial"/>
            <w:noProof/>
            <w:kern w:val="20"/>
            <w:sz w:val="20"/>
          </w:rPr>
          <w:t xml:space="preserve"> </w:t>
        </w:r>
        <w:smartTag w:uri="urn:schemas-microsoft-com:office:smarttags" w:element="PlaceType">
          <w:r>
            <w:rPr>
              <w:rFonts w:ascii="Arial" w:eastAsia="Calibri" w:hAnsi="Arial"/>
              <w:noProof/>
              <w:kern w:val="20"/>
              <w:sz w:val="20"/>
            </w:rPr>
            <w:t>State</w:t>
          </w:r>
        </w:smartTag>
      </w:smartTag>
      <w:r>
        <w:rPr>
          <w:rFonts w:ascii="Arial" w:eastAsia="Calibri" w:hAnsi="Arial"/>
          <w:noProof/>
          <w:kern w:val="20"/>
          <w:sz w:val="20"/>
        </w:rPr>
        <w:t xml:space="preserve"> responsible to refuse to take charge of that person</w:t>
      </w:r>
      <w:r>
        <w:rPr>
          <w:rStyle w:val="FootnoteReference"/>
          <w:rFonts w:ascii="Arial" w:eastAsia="Calibri" w:hAnsi="Arial"/>
          <w:noProof/>
          <w:kern w:val="20"/>
          <w:sz w:val="20"/>
        </w:rPr>
        <w:footnoteReference w:id="323"/>
      </w:r>
      <w:r>
        <w:rPr>
          <w:rFonts w:ascii="Arial" w:eastAsia="Calibri" w:hAnsi="Arial"/>
          <w:noProof/>
          <w:kern w:val="20"/>
          <w:sz w:val="20"/>
        </w:rPr>
        <w:t>.</w:t>
      </w:r>
    </w:p>
    <w:p w:rsidR="00E201F7" w:rsidRDefault="00E24EFF">
      <w:pPr>
        <w:numPr>
          <w:ilvl w:val="0"/>
          <w:numId w:val="24"/>
        </w:numPr>
        <w:spacing w:after="120"/>
        <w:ind w:left="1134" w:hanging="357"/>
        <w:rPr>
          <w:rFonts w:ascii="Arial" w:eastAsia="Calibri" w:hAnsi="Arial"/>
          <w:noProof/>
          <w:kern w:val="20"/>
          <w:sz w:val="20"/>
        </w:rPr>
      </w:pPr>
      <w:r>
        <w:rPr>
          <w:rFonts w:ascii="Arial" w:eastAsia="Calibri" w:hAnsi="Arial"/>
          <w:i/>
          <w:noProof/>
          <w:kern w:val="20"/>
          <w:sz w:val="20"/>
        </w:rPr>
        <w:t>Poland:</w:t>
      </w:r>
      <w:r>
        <w:rPr>
          <w:rFonts w:ascii="Arial" w:eastAsia="Calibri" w:hAnsi="Arial"/>
          <w:noProof/>
          <w:kern w:val="20"/>
          <w:sz w:val="20"/>
        </w:rPr>
        <w:t xml:space="preserve"> </w:t>
      </w:r>
      <w:r>
        <w:rPr>
          <w:rFonts w:ascii="Arial" w:hAnsi="Arial"/>
          <w:noProof/>
          <w:sz w:val="20"/>
        </w:rPr>
        <w:t>The Regulation establishing a Community Code on Visas</w:t>
      </w:r>
      <w:r>
        <w:rPr>
          <w:rStyle w:val="FootnoteReference"/>
          <w:rFonts w:ascii="Arial" w:hAnsi="Arial"/>
          <w:noProof/>
          <w:sz w:val="20"/>
        </w:rPr>
        <w:footnoteReference w:id="324"/>
      </w:r>
      <w:r>
        <w:rPr>
          <w:rFonts w:ascii="Arial" w:hAnsi="Arial"/>
          <w:noProof/>
          <w:sz w:val="20"/>
        </w:rPr>
        <w:t xml:space="preserve"> requires M</w:t>
      </w:r>
      <w:r>
        <w:rPr>
          <w:rFonts w:ascii="Arial" w:hAnsi="Arial"/>
          <w:noProof/>
          <w:sz w:val="20"/>
        </w:rPr>
        <w:t xml:space="preserve">ember States to provide for an appeal procedure against decisions refusing visas. The procedural rules are a matter for the legal order of each </w:t>
      </w:r>
      <w:smartTag w:uri="urn:schemas-microsoft-com:office:smarttags" w:element="place">
        <w:smartTag w:uri="urn:schemas-microsoft-com:office:smarttags" w:element="PlaceName">
          <w:r>
            <w:rPr>
              <w:rFonts w:ascii="Arial" w:hAnsi="Arial"/>
              <w:noProof/>
              <w:sz w:val="20"/>
            </w:rPr>
            <w:t>Member</w:t>
          </w:r>
        </w:smartTag>
        <w:r>
          <w:rPr>
            <w:rFonts w:ascii="Arial" w:hAnsi="Arial"/>
            <w:noProof/>
            <w:sz w:val="20"/>
          </w:rPr>
          <w:t xml:space="preserve"> </w:t>
        </w:r>
        <w:smartTag w:uri="urn:schemas-microsoft-com:office:smarttags" w:element="PlaceType">
          <w:r>
            <w:rPr>
              <w:rFonts w:ascii="Arial" w:hAnsi="Arial"/>
              <w:noProof/>
              <w:sz w:val="20"/>
            </w:rPr>
            <w:t>State</w:t>
          </w:r>
        </w:smartTag>
      </w:smartTag>
      <w:r>
        <w:rPr>
          <w:rFonts w:ascii="Arial" w:hAnsi="Arial"/>
          <w:noProof/>
          <w:sz w:val="20"/>
        </w:rPr>
        <w:t xml:space="preserve"> in accordance with the principles of equivalence and effectiveness. The proceedings must guarantee </w:t>
      </w:r>
      <w:r>
        <w:rPr>
          <w:rFonts w:ascii="Arial" w:hAnsi="Arial"/>
          <w:noProof/>
          <w:sz w:val="20"/>
        </w:rPr>
        <w:t>a judicial appeal</w:t>
      </w:r>
      <w:r>
        <w:rPr>
          <w:rStyle w:val="FootnoteReference"/>
          <w:rFonts w:ascii="Arial" w:hAnsi="Arial"/>
          <w:noProof/>
          <w:sz w:val="20"/>
        </w:rPr>
        <w:footnoteReference w:id="325"/>
      </w:r>
      <w:r>
        <w:rPr>
          <w:rFonts w:ascii="Arial" w:hAnsi="Arial"/>
          <w:noProof/>
          <w:sz w:val="20"/>
        </w:rPr>
        <w:t>.</w:t>
      </w:r>
    </w:p>
    <w:p w:rsidR="00E201F7" w:rsidRDefault="00E24EFF">
      <w:pPr>
        <w:pStyle w:val="ListParagraph"/>
        <w:numPr>
          <w:ilvl w:val="0"/>
          <w:numId w:val="80"/>
        </w:numPr>
        <w:spacing w:after="200"/>
        <w:ind w:left="1134"/>
        <w:rPr>
          <w:rFonts w:ascii="Arial" w:hAnsi="Arial"/>
          <w:i/>
          <w:noProof/>
          <w:sz w:val="20"/>
        </w:rPr>
      </w:pPr>
      <w:r>
        <w:rPr>
          <w:rFonts w:ascii="Arial" w:eastAsia="Calibri" w:hAnsi="Arial"/>
          <w:i/>
          <w:noProof/>
          <w:kern w:val="20"/>
          <w:sz w:val="20"/>
        </w:rPr>
        <w:t>Poland:</w:t>
      </w:r>
      <w:r>
        <w:rPr>
          <w:rFonts w:ascii="Arial" w:eastAsia="Calibri" w:hAnsi="Arial"/>
          <w:noProof/>
          <w:kern w:val="20"/>
          <w:sz w:val="20"/>
        </w:rPr>
        <w:t xml:space="preserve"> </w:t>
      </w:r>
      <w:r>
        <w:rPr>
          <w:rFonts w:ascii="Arial" w:hAnsi="Arial" w:cs="Arial"/>
          <w:noProof/>
          <w:sz w:val="20"/>
          <w:szCs w:val="20"/>
        </w:rPr>
        <w:t>On the basis of the Visa Code</w:t>
      </w:r>
      <w:r>
        <w:rPr>
          <w:rStyle w:val="FootnoteReference"/>
          <w:rFonts w:ascii="Arial" w:hAnsi="Arial" w:cs="Arial"/>
          <w:noProof/>
          <w:sz w:val="20"/>
          <w:szCs w:val="20"/>
        </w:rPr>
        <w:footnoteReference w:id="326"/>
      </w:r>
      <w:r>
        <w:rPr>
          <w:rFonts w:ascii="Arial" w:hAnsi="Arial" w:cs="Arial"/>
          <w:noProof/>
          <w:sz w:val="20"/>
          <w:szCs w:val="20"/>
        </w:rPr>
        <w:t xml:space="preserve"> and the Charter of Fundamental Rights, visa applicants have the right to a non-arbitrary treatment of their visa application and that this right is to be protected by a judicial appeal procedure</w:t>
      </w:r>
      <w:r>
        <w:rPr>
          <w:rStyle w:val="FootnoteReference"/>
          <w:rFonts w:ascii="Arial" w:hAnsi="Arial" w:cs="Arial"/>
          <w:noProof/>
          <w:sz w:val="20"/>
          <w:szCs w:val="20"/>
        </w:rPr>
        <w:footnoteReference w:id="327"/>
      </w:r>
      <w:r>
        <w:rPr>
          <w:rFonts w:ascii="Arial" w:hAnsi="Arial" w:cs="Arial"/>
          <w:noProof/>
          <w:sz w:val="20"/>
          <w:szCs w:val="20"/>
        </w:rPr>
        <w:t>.</w:t>
      </w:r>
    </w:p>
    <w:p w:rsidR="00E201F7" w:rsidRDefault="00E24EFF">
      <w:pPr>
        <w:numPr>
          <w:ilvl w:val="0"/>
          <w:numId w:val="24"/>
        </w:numPr>
        <w:spacing w:after="120"/>
        <w:ind w:left="1134" w:hanging="357"/>
        <w:rPr>
          <w:rFonts w:ascii="Arial" w:eastAsia="Calibri" w:hAnsi="Arial"/>
          <w:noProof/>
          <w:kern w:val="20"/>
          <w:sz w:val="20"/>
        </w:rPr>
      </w:pPr>
      <w:r>
        <w:rPr>
          <w:rFonts w:ascii="Arial" w:eastAsia="Calibri" w:hAnsi="Arial"/>
          <w:i/>
          <w:noProof/>
          <w:kern w:val="20"/>
          <w:sz w:val="20"/>
        </w:rPr>
        <w:t>Slovenia:</w:t>
      </w:r>
      <w:r>
        <w:rPr>
          <w:rFonts w:ascii="Arial" w:eastAsia="Calibri" w:hAnsi="Arial"/>
          <w:noProof/>
          <w:kern w:val="20"/>
          <w:sz w:val="20"/>
        </w:rPr>
        <w:t xml:space="preserve"> The transfer of an asylum-seeker to the Member State responsible for examining the asylum application cannot go ahead if it might result in a risk of the person concerned suffering inhuman or degrading treatment. The transfer of an asylum-seeker </w:t>
      </w:r>
      <w:r>
        <w:rPr>
          <w:rFonts w:ascii="Arial" w:eastAsia="Calibri" w:hAnsi="Arial"/>
          <w:noProof/>
          <w:kern w:val="20"/>
          <w:sz w:val="20"/>
        </w:rPr>
        <w:t>with a particularly serious mental or physical illness that would risk worsening that person’s health would constitute inhuman and degrading treatment</w:t>
      </w:r>
      <w:r>
        <w:rPr>
          <w:rStyle w:val="FootnoteReference"/>
          <w:rFonts w:ascii="Arial" w:eastAsia="Calibri" w:hAnsi="Arial"/>
          <w:noProof/>
          <w:kern w:val="20"/>
          <w:sz w:val="20"/>
        </w:rPr>
        <w:footnoteReference w:id="328"/>
      </w:r>
      <w:r>
        <w:rPr>
          <w:rFonts w:ascii="Arial" w:eastAsia="Calibri" w:hAnsi="Arial"/>
          <w:noProof/>
          <w:kern w:val="20"/>
          <w:sz w:val="20"/>
        </w:rPr>
        <w:t>.</w:t>
      </w:r>
    </w:p>
    <w:p w:rsidR="00E201F7" w:rsidRDefault="00E24EFF">
      <w:pPr>
        <w:numPr>
          <w:ilvl w:val="0"/>
          <w:numId w:val="24"/>
        </w:numPr>
        <w:spacing w:after="120"/>
        <w:ind w:left="1134" w:hanging="357"/>
        <w:rPr>
          <w:rFonts w:ascii="Arial" w:eastAsia="Calibri" w:hAnsi="Arial"/>
          <w:noProof/>
          <w:kern w:val="20"/>
          <w:sz w:val="20"/>
        </w:rPr>
      </w:pPr>
      <w:r>
        <w:rPr>
          <w:rFonts w:ascii="Arial" w:hAnsi="Arial"/>
          <w:i/>
          <w:noProof/>
          <w:sz w:val="20"/>
        </w:rPr>
        <w:t>Sweden:</w:t>
      </w:r>
      <w:r>
        <w:rPr>
          <w:rFonts w:ascii="Arial" w:hAnsi="Arial"/>
          <w:noProof/>
          <w:sz w:val="20"/>
        </w:rPr>
        <w:t xml:space="preserve"> National legislation that prescribes a general and indiscriminate obligation on providers of el</w:t>
      </w:r>
      <w:r>
        <w:rPr>
          <w:rFonts w:ascii="Arial" w:hAnsi="Arial"/>
          <w:noProof/>
          <w:sz w:val="20"/>
        </w:rPr>
        <w:t>ectronic communications services to retain data is contrary to EU law. Such interference with the right to private life could only be justified by the objective of fighting serious crime</w:t>
      </w:r>
      <w:r>
        <w:rPr>
          <w:rStyle w:val="FootnoteReference"/>
          <w:rFonts w:ascii="Arial" w:hAnsi="Arial"/>
          <w:noProof/>
          <w:sz w:val="20"/>
        </w:rPr>
        <w:footnoteReference w:id="329"/>
      </w:r>
      <w:r>
        <w:rPr>
          <w:rFonts w:ascii="Arial" w:hAnsi="Arial"/>
          <w:noProof/>
          <w:sz w:val="20"/>
        </w:rPr>
        <w:t>.</w:t>
      </w:r>
    </w:p>
    <w:p w:rsidR="00E201F7" w:rsidRDefault="00E24EFF">
      <w:pPr>
        <w:pStyle w:val="kop2"/>
        <w:rPr>
          <w:noProof/>
        </w:rPr>
      </w:pPr>
      <w:r>
        <w:rPr>
          <w:noProof/>
        </w:rPr>
        <w:t>Outlook</w:t>
      </w:r>
    </w:p>
    <w:p w:rsidR="00E201F7" w:rsidRDefault="00E24EFF">
      <w:pPr>
        <w:spacing w:after="60"/>
        <w:ind w:left="360"/>
        <w:jc w:val="left"/>
        <w:outlineLvl w:val="1"/>
        <w:rPr>
          <w:rFonts w:ascii="Arial" w:hAnsi="Arial"/>
          <w:noProof/>
          <w:color w:val="002060"/>
          <w:sz w:val="22"/>
        </w:rPr>
      </w:pPr>
      <w:r>
        <w:rPr>
          <w:rFonts w:ascii="Arial" w:hAnsi="Arial"/>
          <w:noProof/>
          <w:color w:val="002060"/>
          <w:sz w:val="22"/>
        </w:rPr>
        <w:t>Important implementation work in 2018 includes:</w:t>
      </w:r>
    </w:p>
    <w:p w:rsidR="00E201F7" w:rsidRDefault="00E24EFF">
      <w:pPr>
        <w:numPr>
          <w:ilvl w:val="0"/>
          <w:numId w:val="25"/>
        </w:numPr>
        <w:ind w:left="1276"/>
        <w:contextualSpacing/>
        <w:rPr>
          <w:rFonts w:ascii="Arial" w:eastAsia="Calibri" w:hAnsi="Arial"/>
          <w:noProof/>
          <w:color w:val="000000"/>
          <w:kern w:val="20"/>
          <w:sz w:val="20"/>
        </w:rPr>
      </w:pPr>
      <w:r>
        <w:rPr>
          <w:rFonts w:ascii="Arial" w:eastAsia="Calibri" w:hAnsi="Arial"/>
          <w:noProof/>
          <w:color w:val="000000"/>
          <w:kern w:val="20"/>
          <w:sz w:val="20"/>
        </w:rPr>
        <w:t xml:space="preserve">closely </w:t>
      </w:r>
      <w:r>
        <w:rPr>
          <w:rFonts w:ascii="Arial" w:eastAsia="Calibri" w:hAnsi="Arial"/>
          <w:noProof/>
          <w:color w:val="000000"/>
          <w:kern w:val="20"/>
          <w:sz w:val="20"/>
        </w:rPr>
        <w:t>monitoring that Member States transpose on time the:</w:t>
      </w:r>
    </w:p>
    <w:p w:rsidR="00E201F7" w:rsidRDefault="00E24EFF">
      <w:pPr>
        <w:pStyle w:val="ListParagraph"/>
        <w:numPr>
          <w:ilvl w:val="0"/>
          <w:numId w:val="25"/>
        </w:numPr>
        <w:ind w:left="1800"/>
        <w:rPr>
          <w:rFonts w:ascii="Arial" w:eastAsia="Calibri" w:hAnsi="Arial"/>
          <w:noProof/>
          <w:color w:val="000000"/>
          <w:kern w:val="20"/>
          <w:sz w:val="20"/>
        </w:rPr>
      </w:pPr>
      <w:r>
        <w:rPr>
          <w:rFonts w:ascii="Arial" w:eastAsia="Calibri" w:hAnsi="Arial"/>
          <w:noProof/>
          <w:color w:val="000000"/>
          <w:kern w:val="20"/>
          <w:sz w:val="20"/>
        </w:rPr>
        <w:t>Directive on the conditions of entry and residence of third-country nationals for the purposes of research, studies, training, voluntary service, pupil exchange schemes or educational projects and au pai</w:t>
      </w:r>
      <w:r>
        <w:rPr>
          <w:rFonts w:ascii="Arial" w:eastAsia="Calibri" w:hAnsi="Arial"/>
          <w:noProof/>
          <w:color w:val="000000"/>
          <w:kern w:val="20"/>
          <w:sz w:val="20"/>
        </w:rPr>
        <w:t>ring</w:t>
      </w:r>
      <w:r>
        <w:rPr>
          <w:rStyle w:val="FootnoteReference"/>
          <w:rFonts w:ascii="Arial" w:eastAsia="Calibri" w:hAnsi="Arial"/>
          <w:noProof/>
          <w:color w:val="000000"/>
          <w:kern w:val="20"/>
          <w:sz w:val="20"/>
        </w:rPr>
        <w:footnoteReference w:id="330"/>
      </w:r>
      <w:r>
        <w:rPr>
          <w:rFonts w:ascii="Arial" w:eastAsia="Calibri" w:hAnsi="Arial"/>
          <w:noProof/>
          <w:color w:val="000000"/>
          <w:kern w:val="20"/>
          <w:sz w:val="20"/>
        </w:rPr>
        <w:t>;</w:t>
      </w:r>
    </w:p>
    <w:p w:rsidR="00E201F7" w:rsidRDefault="00E24EFF">
      <w:pPr>
        <w:pStyle w:val="ListParagraph"/>
        <w:numPr>
          <w:ilvl w:val="0"/>
          <w:numId w:val="25"/>
        </w:numPr>
        <w:ind w:left="1800"/>
        <w:rPr>
          <w:rFonts w:ascii="Arial" w:eastAsia="Calibri" w:hAnsi="Arial"/>
          <w:noProof/>
          <w:color w:val="000000"/>
          <w:kern w:val="20"/>
          <w:sz w:val="20"/>
        </w:rPr>
      </w:pPr>
      <w:r>
        <w:rPr>
          <w:rFonts w:ascii="Arial" w:eastAsia="Calibri" w:hAnsi="Arial"/>
          <w:noProof/>
          <w:color w:val="000000"/>
          <w:kern w:val="20"/>
          <w:sz w:val="20"/>
        </w:rPr>
        <w:t xml:space="preserve">Directive on the use of passenger name record data for the prevention, detection, investigation and prosecution of terrorist offences and serious crime; </w:t>
      </w:r>
      <w:r>
        <w:rPr>
          <w:rStyle w:val="FootnoteReference"/>
          <w:rFonts w:ascii="Arial" w:eastAsia="Calibri" w:hAnsi="Arial"/>
          <w:noProof/>
          <w:color w:val="000000"/>
          <w:kern w:val="20"/>
          <w:sz w:val="20"/>
        </w:rPr>
        <w:footnoteReference w:id="331"/>
      </w:r>
    </w:p>
    <w:p w:rsidR="00E201F7" w:rsidRDefault="00E24EFF">
      <w:pPr>
        <w:pStyle w:val="ListParagraph"/>
        <w:numPr>
          <w:ilvl w:val="0"/>
          <w:numId w:val="25"/>
        </w:numPr>
        <w:ind w:left="1800"/>
        <w:rPr>
          <w:rFonts w:ascii="Arial" w:eastAsia="Calibri" w:hAnsi="Arial"/>
          <w:noProof/>
          <w:color w:val="000000"/>
          <w:kern w:val="20"/>
          <w:sz w:val="20"/>
        </w:rPr>
      </w:pPr>
      <w:r>
        <w:rPr>
          <w:rFonts w:ascii="Arial" w:eastAsia="Calibri" w:hAnsi="Arial"/>
          <w:noProof/>
          <w:color w:val="000000"/>
          <w:kern w:val="20"/>
          <w:sz w:val="20"/>
        </w:rPr>
        <w:t>Directive on combating terrorism</w:t>
      </w:r>
      <w:r>
        <w:rPr>
          <w:rStyle w:val="FootnoteReference"/>
          <w:rFonts w:ascii="Arial" w:eastAsia="Calibri" w:hAnsi="Arial"/>
          <w:noProof/>
          <w:color w:val="000000"/>
          <w:kern w:val="20"/>
          <w:sz w:val="20"/>
        </w:rPr>
        <w:footnoteReference w:id="332"/>
      </w:r>
      <w:r>
        <w:rPr>
          <w:rFonts w:ascii="Arial" w:eastAsia="Calibri" w:hAnsi="Arial"/>
          <w:noProof/>
          <w:color w:val="000000"/>
          <w:kern w:val="20"/>
          <w:sz w:val="20"/>
        </w:rPr>
        <w:t>;</w:t>
      </w:r>
    </w:p>
    <w:p w:rsidR="00E201F7" w:rsidRDefault="00E24EFF">
      <w:pPr>
        <w:numPr>
          <w:ilvl w:val="0"/>
          <w:numId w:val="25"/>
        </w:numPr>
        <w:ind w:left="1276"/>
        <w:contextualSpacing/>
        <w:rPr>
          <w:rFonts w:ascii="Arial" w:eastAsia="Calibri" w:hAnsi="Arial"/>
          <w:noProof/>
          <w:kern w:val="20"/>
          <w:sz w:val="20"/>
        </w:rPr>
      </w:pPr>
      <w:r>
        <w:rPr>
          <w:rFonts w:ascii="Arial" w:eastAsia="Calibri" w:hAnsi="Arial"/>
          <w:noProof/>
          <w:kern w:val="20"/>
          <w:sz w:val="20"/>
        </w:rPr>
        <w:t>assessing that Member States correctly and completely trans</w:t>
      </w:r>
      <w:r>
        <w:rPr>
          <w:rFonts w:ascii="Arial" w:eastAsia="Calibri" w:hAnsi="Arial"/>
          <w:noProof/>
          <w:kern w:val="20"/>
          <w:sz w:val="20"/>
        </w:rPr>
        <w:t>pose and implement the:</w:t>
      </w:r>
    </w:p>
    <w:p w:rsidR="00E201F7" w:rsidRDefault="00E24EFF">
      <w:pPr>
        <w:pStyle w:val="ListParagraph"/>
        <w:numPr>
          <w:ilvl w:val="0"/>
          <w:numId w:val="25"/>
        </w:numPr>
        <w:spacing w:after="0"/>
        <w:ind w:left="1800"/>
        <w:rPr>
          <w:rFonts w:ascii="Arial" w:hAnsi="Arial"/>
          <w:noProof/>
          <w:sz w:val="20"/>
        </w:rPr>
      </w:pPr>
      <w:r>
        <w:rPr>
          <w:rFonts w:ascii="Arial" w:hAnsi="Arial"/>
          <w:noProof/>
          <w:sz w:val="20"/>
        </w:rPr>
        <w:t>Directives on seasonal workers and on intra-corporate transfer</w:t>
      </w:r>
      <w:r>
        <w:rPr>
          <w:rStyle w:val="FootnoteReference"/>
          <w:rFonts w:ascii="Arial" w:hAnsi="Arial"/>
          <w:noProof/>
          <w:sz w:val="20"/>
        </w:rPr>
        <w:footnoteReference w:id="333"/>
      </w:r>
      <w:r>
        <w:rPr>
          <w:rFonts w:ascii="Arial" w:hAnsi="Arial"/>
          <w:noProof/>
          <w:sz w:val="20"/>
        </w:rPr>
        <w:t xml:space="preserve">; </w:t>
      </w:r>
    </w:p>
    <w:p w:rsidR="00E201F7" w:rsidRDefault="00E24EFF">
      <w:pPr>
        <w:pStyle w:val="ListParagraph"/>
        <w:numPr>
          <w:ilvl w:val="0"/>
          <w:numId w:val="25"/>
        </w:numPr>
        <w:spacing w:after="0"/>
        <w:ind w:left="1800"/>
        <w:rPr>
          <w:rFonts w:ascii="Arial" w:hAnsi="Arial"/>
          <w:noProof/>
          <w:sz w:val="20"/>
        </w:rPr>
      </w:pPr>
      <w:r>
        <w:rPr>
          <w:rFonts w:ascii="Arial" w:hAnsi="Arial"/>
          <w:noProof/>
          <w:sz w:val="20"/>
        </w:rPr>
        <w:t>Directives on asylum procedures and on reception conditions</w:t>
      </w:r>
      <w:r>
        <w:rPr>
          <w:rStyle w:val="FootnoteReference"/>
          <w:rFonts w:ascii="Arial" w:hAnsi="Arial"/>
          <w:noProof/>
          <w:sz w:val="20"/>
        </w:rPr>
        <w:footnoteReference w:id="334"/>
      </w:r>
      <w:r>
        <w:rPr>
          <w:rFonts w:ascii="Arial" w:hAnsi="Arial"/>
          <w:noProof/>
          <w:sz w:val="20"/>
        </w:rPr>
        <w:t>;</w:t>
      </w:r>
    </w:p>
    <w:p w:rsidR="00E201F7" w:rsidRDefault="00E24EFF">
      <w:pPr>
        <w:pStyle w:val="ListParagraph"/>
        <w:numPr>
          <w:ilvl w:val="0"/>
          <w:numId w:val="25"/>
        </w:numPr>
        <w:spacing w:after="0"/>
        <w:ind w:left="1800"/>
        <w:rPr>
          <w:rFonts w:ascii="Arial" w:hAnsi="Arial"/>
          <w:noProof/>
          <w:sz w:val="20"/>
        </w:rPr>
      </w:pPr>
      <w:r>
        <w:rPr>
          <w:rFonts w:ascii="Arial" w:hAnsi="Arial"/>
          <w:noProof/>
          <w:sz w:val="20"/>
        </w:rPr>
        <w:t>Directive against trafficking in human beings</w:t>
      </w:r>
      <w:r>
        <w:rPr>
          <w:rStyle w:val="FootnoteReference"/>
          <w:rFonts w:ascii="Arial" w:hAnsi="Arial"/>
          <w:noProof/>
          <w:sz w:val="20"/>
        </w:rPr>
        <w:footnoteReference w:id="335"/>
      </w:r>
      <w:r>
        <w:rPr>
          <w:rFonts w:ascii="Arial" w:hAnsi="Arial"/>
          <w:noProof/>
          <w:sz w:val="20"/>
        </w:rPr>
        <w:t>;</w:t>
      </w:r>
    </w:p>
    <w:p w:rsidR="00E201F7" w:rsidRDefault="00E24EFF">
      <w:pPr>
        <w:pStyle w:val="ListParagraph"/>
        <w:numPr>
          <w:ilvl w:val="0"/>
          <w:numId w:val="25"/>
        </w:numPr>
        <w:spacing w:after="0"/>
        <w:ind w:left="1800"/>
        <w:rPr>
          <w:rFonts w:ascii="Arial" w:hAnsi="Arial"/>
          <w:noProof/>
          <w:sz w:val="20"/>
        </w:rPr>
      </w:pPr>
      <w:r>
        <w:rPr>
          <w:rFonts w:ascii="Arial" w:hAnsi="Arial"/>
          <w:noProof/>
          <w:sz w:val="20"/>
        </w:rPr>
        <w:t xml:space="preserve">Directive on the freezing of proceeds of crime and </w:t>
      </w:r>
      <w:r>
        <w:rPr>
          <w:rFonts w:ascii="Arial" w:hAnsi="Arial"/>
          <w:noProof/>
          <w:sz w:val="20"/>
        </w:rPr>
        <w:t>confiscation of assets</w:t>
      </w:r>
      <w:r>
        <w:rPr>
          <w:rStyle w:val="FootnoteReference"/>
          <w:rFonts w:ascii="Arial" w:hAnsi="Arial"/>
          <w:noProof/>
          <w:sz w:val="20"/>
        </w:rPr>
        <w:footnoteReference w:id="336"/>
      </w:r>
      <w:r>
        <w:rPr>
          <w:rFonts w:ascii="Arial" w:hAnsi="Arial"/>
          <w:noProof/>
          <w:sz w:val="20"/>
        </w:rPr>
        <w:t>;</w:t>
      </w:r>
    </w:p>
    <w:p w:rsidR="00E201F7" w:rsidRDefault="00E24EFF">
      <w:pPr>
        <w:pStyle w:val="ListParagraph"/>
        <w:numPr>
          <w:ilvl w:val="0"/>
          <w:numId w:val="25"/>
        </w:numPr>
        <w:spacing w:after="0"/>
        <w:ind w:left="1800"/>
        <w:rPr>
          <w:rFonts w:ascii="Arial" w:hAnsi="Arial"/>
          <w:noProof/>
          <w:sz w:val="20"/>
        </w:rPr>
      </w:pPr>
      <w:r>
        <w:rPr>
          <w:rFonts w:ascii="Arial" w:hAnsi="Arial"/>
          <w:noProof/>
          <w:sz w:val="20"/>
        </w:rPr>
        <w:t>Directive against sexual exploitation of children</w:t>
      </w:r>
      <w:r>
        <w:rPr>
          <w:rStyle w:val="FootnoteReference"/>
          <w:rFonts w:ascii="Arial" w:hAnsi="Arial"/>
          <w:noProof/>
          <w:sz w:val="20"/>
        </w:rPr>
        <w:footnoteReference w:id="337"/>
      </w:r>
      <w:r>
        <w:rPr>
          <w:rFonts w:ascii="Arial" w:hAnsi="Arial"/>
          <w:noProof/>
          <w:sz w:val="20"/>
        </w:rPr>
        <w:t>;</w:t>
      </w:r>
    </w:p>
    <w:p w:rsidR="00E201F7" w:rsidRDefault="00E24EFF">
      <w:pPr>
        <w:pStyle w:val="ListParagraph"/>
        <w:numPr>
          <w:ilvl w:val="0"/>
          <w:numId w:val="25"/>
        </w:numPr>
        <w:spacing w:after="0"/>
        <w:ind w:left="1800"/>
        <w:rPr>
          <w:rFonts w:ascii="Arial" w:hAnsi="Arial"/>
          <w:noProof/>
          <w:sz w:val="20"/>
        </w:rPr>
      </w:pPr>
      <w:r>
        <w:rPr>
          <w:rFonts w:ascii="Arial" w:hAnsi="Arial"/>
          <w:noProof/>
          <w:sz w:val="20"/>
        </w:rPr>
        <w:t>Directive on attacks against information systems</w:t>
      </w:r>
      <w:r>
        <w:rPr>
          <w:rStyle w:val="FootnoteReference"/>
          <w:rFonts w:ascii="Arial" w:hAnsi="Arial"/>
          <w:noProof/>
          <w:sz w:val="20"/>
        </w:rPr>
        <w:footnoteReference w:id="338"/>
      </w:r>
      <w:r>
        <w:rPr>
          <w:rFonts w:ascii="Arial" w:hAnsi="Arial" w:cs="Arial"/>
          <w:noProof/>
          <w:sz w:val="20"/>
        </w:rPr>
        <w:t>.</w:t>
      </w:r>
    </w:p>
    <w:p w:rsidR="00E201F7" w:rsidRDefault="00E24EFF">
      <w:pPr>
        <w:numPr>
          <w:ilvl w:val="0"/>
          <w:numId w:val="25"/>
        </w:numPr>
        <w:spacing w:before="240"/>
        <w:ind w:left="1276" w:hanging="357"/>
        <w:contextualSpacing/>
        <w:rPr>
          <w:rFonts w:ascii="Arial" w:eastAsia="Calibri" w:hAnsi="Arial"/>
          <w:noProof/>
          <w:color w:val="000000"/>
          <w:kern w:val="20"/>
          <w:sz w:val="20"/>
        </w:rPr>
      </w:pPr>
      <w:r>
        <w:rPr>
          <w:rFonts w:ascii="Arial" w:eastAsia="Calibri" w:hAnsi="Arial"/>
          <w:noProof/>
          <w:color w:val="000000"/>
          <w:kern w:val="20"/>
          <w:sz w:val="20"/>
        </w:rPr>
        <w:t>ensuring appropriate follow-up to Court’s preliminary rulings concerning:</w:t>
      </w:r>
    </w:p>
    <w:p w:rsidR="00E201F7" w:rsidRDefault="00E24EFF">
      <w:pPr>
        <w:pStyle w:val="ListParagraph"/>
        <w:numPr>
          <w:ilvl w:val="0"/>
          <w:numId w:val="25"/>
        </w:numPr>
        <w:ind w:left="1800"/>
        <w:rPr>
          <w:rFonts w:ascii="Arial" w:eastAsia="Calibri" w:hAnsi="Arial"/>
          <w:noProof/>
          <w:color w:val="000000"/>
          <w:kern w:val="20"/>
          <w:sz w:val="20"/>
        </w:rPr>
      </w:pPr>
      <w:r>
        <w:rPr>
          <w:rFonts w:ascii="Arial" w:eastAsia="Calibri" w:hAnsi="Arial"/>
          <w:noProof/>
          <w:color w:val="000000"/>
          <w:kern w:val="20"/>
          <w:sz w:val="20"/>
        </w:rPr>
        <w:t>data retention</w:t>
      </w:r>
      <w:r>
        <w:rPr>
          <w:rStyle w:val="FootnoteReference"/>
          <w:rFonts w:ascii="Arial" w:eastAsia="Calibri" w:hAnsi="Arial"/>
          <w:noProof/>
          <w:color w:val="000000"/>
          <w:kern w:val="20"/>
          <w:sz w:val="20"/>
        </w:rPr>
        <w:footnoteReference w:id="339"/>
      </w:r>
      <w:r>
        <w:rPr>
          <w:rFonts w:ascii="Arial" w:eastAsia="Calibri" w:hAnsi="Arial"/>
          <w:noProof/>
          <w:color w:val="000000"/>
          <w:kern w:val="20"/>
          <w:sz w:val="20"/>
        </w:rPr>
        <w:t>;</w:t>
      </w:r>
    </w:p>
    <w:p w:rsidR="00E201F7" w:rsidRDefault="00E24EFF">
      <w:pPr>
        <w:pStyle w:val="ListParagraph"/>
        <w:numPr>
          <w:ilvl w:val="0"/>
          <w:numId w:val="25"/>
        </w:numPr>
        <w:ind w:left="1800"/>
        <w:rPr>
          <w:rFonts w:eastAsia="Calibri" w:cs="Arial"/>
          <w:noProof/>
          <w:color w:val="000000"/>
          <w:kern w:val="20"/>
          <w:sz w:val="20"/>
        </w:rPr>
      </w:pPr>
      <w:r>
        <w:rPr>
          <w:rFonts w:ascii="Arial" w:eastAsia="Calibri" w:hAnsi="Arial"/>
          <w:noProof/>
          <w:color w:val="000000"/>
          <w:kern w:val="20"/>
          <w:sz w:val="20"/>
        </w:rPr>
        <w:t>appeal procedures</w:t>
      </w:r>
      <w:r>
        <w:rPr>
          <w:rFonts w:ascii="Arial" w:eastAsia="Calibri" w:hAnsi="Arial" w:cs="Arial"/>
          <w:noProof/>
          <w:color w:val="000000"/>
          <w:kern w:val="20"/>
          <w:sz w:val="20"/>
        </w:rPr>
        <w:t xml:space="preserve"> for challenging decisions refusing a visa</w:t>
      </w:r>
      <w:r>
        <w:rPr>
          <w:rStyle w:val="FootnoteReference"/>
          <w:rFonts w:eastAsia="Calibri" w:cs="Arial"/>
          <w:noProof/>
          <w:color w:val="000000"/>
          <w:kern w:val="20"/>
          <w:sz w:val="20"/>
        </w:rPr>
        <w:footnoteReference w:id="340"/>
      </w:r>
      <w:r>
        <w:rPr>
          <w:rFonts w:eastAsia="Calibri" w:cs="Arial"/>
          <w:noProof/>
          <w:color w:val="000000"/>
          <w:kern w:val="20"/>
          <w:sz w:val="20"/>
        </w:rPr>
        <w:t>.</w:t>
      </w:r>
    </w:p>
    <w:p w:rsidR="00E201F7" w:rsidRDefault="00E201F7">
      <w:pPr>
        <w:rPr>
          <w:rFonts w:eastAsia="Calibri" w:cs="Arial"/>
          <w:noProof/>
          <w:kern w:val="20"/>
          <w:sz w:val="20"/>
        </w:rPr>
        <w:sectPr w:rsidR="00E201F7">
          <w:headerReference w:type="even" r:id="rId157"/>
          <w:headerReference w:type="default" r:id="rId158"/>
          <w:footerReference w:type="even" r:id="rId159"/>
          <w:footerReference w:type="default" r:id="rId160"/>
          <w:headerReference w:type="first" r:id="rId161"/>
          <w:footerReference w:type="first" r:id="rId162"/>
          <w:footnotePr>
            <w:numRestart w:val="eachSect"/>
          </w:footnotePr>
          <w:pgSz w:w="11906" w:h="16838"/>
          <w:pgMar w:top="1949" w:right="1417" w:bottom="1134" w:left="1417" w:header="708" w:footer="708" w:gutter="0"/>
          <w:cols w:space="708"/>
          <w:titlePg/>
          <w:docGrid w:linePitch="360"/>
        </w:sectPr>
      </w:pPr>
    </w:p>
    <w:p w:rsidR="00E201F7" w:rsidRDefault="00E24EFF">
      <w:pPr>
        <w:pStyle w:val="Heading1"/>
        <w:spacing w:after="0"/>
        <w:ind w:left="0"/>
        <w:rPr>
          <w:rFonts w:ascii="Arial" w:hAnsi="Arial"/>
          <w:noProof/>
        </w:rPr>
      </w:pPr>
      <w:bookmarkStart w:id="135" w:name="_Toc443057945"/>
      <w:bookmarkStart w:id="136" w:name="_Toc475524741"/>
      <w:bookmarkStart w:id="137" w:name="_Toc475529508"/>
      <w:bookmarkStart w:id="138" w:name="_Toc475529547"/>
      <w:bookmarkStart w:id="139" w:name="_Toc475529875"/>
      <w:bookmarkStart w:id="140" w:name="_Toc475550840"/>
      <w:bookmarkStart w:id="141" w:name="_Toc475551380"/>
      <w:bookmarkStart w:id="142" w:name="_Toc507510323"/>
      <w:bookmarkStart w:id="143" w:name="_Toc507517737"/>
      <w:bookmarkStart w:id="144" w:name="_Toc507520118"/>
      <w:bookmarkStart w:id="145" w:name="_Toc510016535"/>
      <w:r>
        <w:rPr>
          <w:rFonts w:ascii="Arial" w:hAnsi="Arial"/>
          <w:noProof/>
        </w:rPr>
        <w:t>Mobility and transport</w:t>
      </w:r>
      <w:bookmarkEnd w:id="135"/>
      <w:bookmarkEnd w:id="136"/>
      <w:bookmarkEnd w:id="137"/>
      <w:bookmarkEnd w:id="138"/>
      <w:bookmarkEnd w:id="139"/>
      <w:bookmarkEnd w:id="140"/>
      <w:bookmarkEnd w:id="141"/>
      <w:bookmarkEnd w:id="142"/>
      <w:bookmarkEnd w:id="143"/>
      <w:bookmarkEnd w:id="144"/>
      <w:bookmarkEnd w:id="145"/>
    </w:p>
    <w:p w:rsidR="00E201F7" w:rsidRDefault="00E24EFF">
      <w:pPr>
        <w:pStyle w:val="kop2"/>
        <w:numPr>
          <w:ilvl w:val="0"/>
          <w:numId w:val="154"/>
        </w:numPr>
        <w:rPr>
          <w:noProof/>
        </w:rPr>
      </w:pPr>
      <w:r>
        <w:rPr>
          <w:noProof/>
        </w:rPr>
        <w:t>COMPLAINTS</w:t>
      </w:r>
    </w:p>
    <w:p w:rsidR="00E201F7" w:rsidRDefault="00E24EFF">
      <w:pPr>
        <w:numPr>
          <w:ilvl w:val="0"/>
          <w:numId w:val="140"/>
        </w:numPr>
        <w:spacing w:before="120"/>
        <w:jc w:val="left"/>
        <w:outlineLvl w:val="1"/>
        <w:rPr>
          <w:rFonts w:ascii="Arial" w:hAnsi="Arial"/>
          <w:noProof/>
          <w:color w:val="002060"/>
          <w:sz w:val="22"/>
        </w:rPr>
      </w:pPr>
      <w:r>
        <w:rPr>
          <w:rFonts w:ascii="Arial" w:hAnsi="Arial"/>
          <w:noProof/>
          <w:color w:val="002060"/>
          <w:sz w:val="22"/>
        </w:rPr>
        <w:t>New complaints received from members of the public (2013-2017)</w:t>
      </w:r>
    </w:p>
    <w:p w:rsidR="00E201F7" w:rsidRDefault="00E24EFF">
      <w:pPr>
        <w:ind w:left="720"/>
        <w:rPr>
          <w:rFonts w:ascii="Verdana" w:hAnsi="Verdana"/>
          <w:noProof/>
          <w:sz w:val="20"/>
        </w:rPr>
      </w:pPr>
      <w:r>
        <w:rPr>
          <w:rFonts w:ascii="Verdana" w:hAnsi="Verdana"/>
          <w:noProof/>
          <w:sz w:val="20"/>
        </w:rPr>
        <w:drawing>
          <wp:inline distT="0" distB="0" distL="0" distR="0" wp14:anchorId="06C54546" wp14:editId="58FF55C3">
            <wp:extent cx="4612640" cy="2336800"/>
            <wp:effectExtent l="0" t="0" r="0" b="0"/>
            <wp:docPr id="43"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E201F7" w:rsidRDefault="00E24EFF">
      <w:pPr>
        <w:numPr>
          <w:ilvl w:val="0"/>
          <w:numId w:val="140"/>
        </w:numPr>
        <w:spacing w:before="240"/>
        <w:ind w:left="714" w:hanging="357"/>
        <w:jc w:val="left"/>
        <w:outlineLvl w:val="1"/>
        <w:rPr>
          <w:rFonts w:ascii="Arial" w:hAnsi="Arial"/>
          <w:noProof/>
          <w:color w:val="002060"/>
          <w:sz w:val="22"/>
        </w:rPr>
      </w:pPr>
      <w:r>
        <w:rPr>
          <w:rFonts w:ascii="Arial" w:hAnsi="Arial"/>
          <w:noProof/>
          <w:color w:val="002060"/>
          <w:sz w:val="22"/>
        </w:rPr>
        <w:t>Public complaints open at year-end</w:t>
      </w:r>
    </w:p>
    <w:tbl>
      <w:tblPr>
        <w:tblW w:w="0" w:type="auto"/>
        <w:jc w:val="center"/>
        <w:tblLook w:val="04A0" w:firstRow="1" w:lastRow="0" w:firstColumn="1" w:lastColumn="0" w:noHBand="0" w:noVBand="1"/>
      </w:tblPr>
      <w:tblGrid>
        <w:gridCol w:w="1697"/>
        <w:gridCol w:w="460"/>
        <w:gridCol w:w="5310"/>
      </w:tblGrid>
      <w:tr w:rsidR="00E201F7">
        <w:trPr>
          <w:trHeight w:val="403"/>
          <w:jc w:val="center"/>
        </w:trPr>
        <w:tc>
          <w:tcPr>
            <w:tcW w:w="1697" w:type="dxa"/>
            <w:shd w:val="clear" w:color="auto" w:fill="auto"/>
            <w:vAlign w:val="center"/>
          </w:tcPr>
          <w:p w:rsidR="00E201F7" w:rsidRDefault="00E24EFF">
            <w:pPr>
              <w:spacing w:after="0"/>
              <w:jc w:val="right"/>
              <w:rPr>
                <w:rFonts w:ascii="Arial" w:hAnsi="Arial"/>
                <w:noProof/>
                <w:color w:val="548DD4"/>
                <w:sz w:val="22"/>
              </w:rPr>
            </w:pPr>
            <w:r>
              <w:rPr>
                <w:rFonts w:ascii="Arial" w:hAnsi="Arial"/>
                <w:noProof/>
                <w:color w:val="548DD4"/>
                <w:sz w:val="22"/>
              </w:rPr>
              <w:t>43</w:t>
            </w:r>
          </w:p>
        </w:tc>
        <w:tc>
          <w:tcPr>
            <w:tcW w:w="460" w:type="dxa"/>
            <w:shd w:val="clear" w:color="auto" w:fill="auto"/>
            <w:vAlign w:val="center"/>
          </w:tcPr>
          <w:p w:rsidR="00E201F7" w:rsidRDefault="00E24EFF">
            <w:pPr>
              <w:spacing w:after="0"/>
              <w:jc w:val="right"/>
              <w:rPr>
                <w:rFonts w:ascii="Arial" w:hAnsi="Arial"/>
                <w:noProof/>
                <w:color w:val="548DD4"/>
                <w:sz w:val="22"/>
              </w:rPr>
            </w:pPr>
            <w:r>
              <w:rPr>
                <w:rFonts w:ascii="Arial" w:hAnsi="Arial"/>
                <w:noProof/>
                <w:color w:val="548DD4"/>
                <w:sz w:val="22"/>
              </w:rPr>
              <w:t>&gt;</w:t>
            </w:r>
          </w:p>
        </w:tc>
        <w:tc>
          <w:tcPr>
            <w:tcW w:w="5310" w:type="dxa"/>
            <w:shd w:val="clear" w:color="auto" w:fill="auto"/>
            <w:vAlign w:val="center"/>
          </w:tcPr>
          <w:p w:rsidR="00E201F7" w:rsidRDefault="00E24EFF">
            <w:pPr>
              <w:spacing w:after="0"/>
              <w:jc w:val="left"/>
              <w:rPr>
                <w:rFonts w:ascii="Arial" w:hAnsi="Arial"/>
                <w:noProof/>
                <w:color w:val="548DD4"/>
                <w:sz w:val="22"/>
              </w:rPr>
            </w:pPr>
            <w:r>
              <w:rPr>
                <w:rFonts w:ascii="Arial" w:hAnsi="Arial"/>
                <w:noProof/>
                <w:color w:val="548DD4"/>
                <w:sz w:val="22"/>
              </w:rPr>
              <w:t>Complaints open at end-2016</w:t>
            </w:r>
          </w:p>
        </w:tc>
      </w:tr>
      <w:tr w:rsidR="00E201F7">
        <w:trPr>
          <w:trHeight w:val="403"/>
          <w:jc w:val="center"/>
        </w:trPr>
        <w:tc>
          <w:tcPr>
            <w:tcW w:w="1697" w:type="dxa"/>
            <w:shd w:val="clear" w:color="auto" w:fill="auto"/>
            <w:vAlign w:val="center"/>
          </w:tcPr>
          <w:p w:rsidR="00E201F7" w:rsidRDefault="00E24EFF">
            <w:pPr>
              <w:spacing w:after="0"/>
              <w:jc w:val="right"/>
              <w:rPr>
                <w:rFonts w:ascii="Arial" w:hAnsi="Arial"/>
                <w:noProof/>
                <w:color w:val="548DD4"/>
                <w:sz w:val="22"/>
              </w:rPr>
            </w:pPr>
            <w:r>
              <w:rPr>
                <w:rFonts w:ascii="Arial" w:hAnsi="Arial"/>
                <w:noProof/>
                <w:color w:val="548DD4"/>
                <w:sz w:val="22"/>
              </w:rPr>
              <w:t>173</w:t>
            </w:r>
          </w:p>
        </w:tc>
        <w:tc>
          <w:tcPr>
            <w:tcW w:w="460" w:type="dxa"/>
            <w:shd w:val="clear" w:color="auto" w:fill="auto"/>
            <w:vAlign w:val="center"/>
          </w:tcPr>
          <w:p w:rsidR="00E201F7" w:rsidRDefault="00E24EFF">
            <w:pPr>
              <w:spacing w:after="0"/>
              <w:jc w:val="right"/>
              <w:rPr>
                <w:rFonts w:ascii="Arial" w:hAnsi="Arial"/>
                <w:noProof/>
                <w:color w:val="548DD4"/>
                <w:sz w:val="22"/>
              </w:rPr>
            </w:pPr>
            <w:r>
              <w:rPr>
                <w:rFonts w:ascii="Arial" w:hAnsi="Arial"/>
                <w:noProof/>
                <w:color w:val="548DD4"/>
                <w:sz w:val="22"/>
              </w:rPr>
              <w:t>&gt;</w:t>
            </w:r>
          </w:p>
        </w:tc>
        <w:tc>
          <w:tcPr>
            <w:tcW w:w="5310" w:type="dxa"/>
            <w:shd w:val="clear" w:color="auto" w:fill="auto"/>
            <w:vAlign w:val="center"/>
          </w:tcPr>
          <w:p w:rsidR="00E201F7" w:rsidRDefault="00E24EFF">
            <w:pPr>
              <w:spacing w:after="0"/>
              <w:jc w:val="left"/>
              <w:rPr>
                <w:rFonts w:ascii="Arial" w:hAnsi="Arial"/>
                <w:noProof/>
                <w:color w:val="548DD4"/>
                <w:sz w:val="22"/>
              </w:rPr>
            </w:pPr>
            <w:r>
              <w:rPr>
                <w:rFonts w:ascii="Arial" w:hAnsi="Arial"/>
                <w:noProof/>
                <w:color w:val="548DD4"/>
                <w:sz w:val="22"/>
              </w:rPr>
              <w:t xml:space="preserve">New complaints </w:t>
            </w:r>
            <w:r>
              <w:rPr>
                <w:rFonts w:ascii="Arial" w:hAnsi="Arial"/>
                <w:noProof/>
                <w:color w:val="548DD4"/>
                <w:sz w:val="22"/>
              </w:rPr>
              <w:t>registered in 2017</w:t>
            </w:r>
          </w:p>
        </w:tc>
      </w:tr>
      <w:tr w:rsidR="00E201F7">
        <w:trPr>
          <w:trHeight w:val="403"/>
          <w:jc w:val="center"/>
        </w:trPr>
        <w:tc>
          <w:tcPr>
            <w:tcW w:w="1697" w:type="dxa"/>
            <w:tcBorders>
              <w:bottom w:val="single" w:sz="24" w:space="0" w:color="548DD4"/>
            </w:tcBorders>
            <w:shd w:val="clear" w:color="auto" w:fill="auto"/>
            <w:vAlign w:val="center"/>
          </w:tcPr>
          <w:p w:rsidR="00E201F7" w:rsidRDefault="00E24EFF">
            <w:pPr>
              <w:spacing w:after="0"/>
              <w:jc w:val="right"/>
              <w:rPr>
                <w:rFonts w:ascii="Arial" w:hAnsi="Arial"/>
                <w:noProof/>
                <w:color w:val="548DD4"/>
                <w:sz w:val="22"/>
              </w:rPr>
            </w:pPr>
            <w:r>
              <w:rPr>
                <w:rFonts w:ascii="Arial" w:hAnsi="Arial"/>
                <w:noProof/>
                <w:color w:val="548DD4"/>
                <w:sz w:val="22"/>
              </w:rPr>
              <w:t>135</w:t>
            </w:r>
          </w:p>
        </w:tc>
        <w:tc>
          <w:tcPr>
            <w:tcW w:w="460" w:type="dxa"/>
            <w:shd w:val="clear" w:color="auto" w:fill="auto"/>
            <w:vAlign w:val="center"/>
          </w:tcPr>
          <w:p w:rsidR="00E201F7" w:rsidRDefault="00E24EFF">
            <w:pPr>
              <w:spacing w:after="0"/>
              <w:jc w:val="right"/>
              <w:rPr>
                <w:rFonts w:ascii="Arial" w:hAnsi="Arial"/>
                <w:noProof/>
                <w:color w:val="548DD4"/>
                <w:sz w:val="22"/>
              </w:rPr>
            </w:pPr>
            <w:r>
              <w:rPr>
                <w:rFonts w:ascii="Arial" w:hAnsi="Arial"/>
                <w:noProof/>
                <w:color w:val="548DD4"/>
                <w:sz w:val="22"/>
              </w:rPr>
              <w:t>&gt;</w:t>
            </w:r>
          </w:p>
        </w:tc>
        <w:tc>
          <w:tcPr>
            <w:tcW w:w="5310" w:type="dxa"/>
            <w:shd w:val="clear" w:color="auto" w:fill="auto"/>
            <w:vAlign w:val="center"/>
          </w:tcPr>
          <w:p w:rsidR="00E201F7" w:rsidRDefault="00E24EFF">
            <w:pPr>
              <w:spacing w:after="0"/>
              <w:jc w:val="left"/>
              <w:rPr>
                <w:rFonts w:ascii="Arial" w:hAnsi="Arial"/>
                <w:noProof/>
                <w:color w:val="548DD4"/>
                <w:sz w:val="22"/>
              </w:rPr>
            </w:pPr>
            <w:r>
              <w:rPr>
                <w:rFonts w:ascii="Arial" w:hAnsi="Arial"/>
                <w:noProof/>
                <w:color w:val="548DD4"/>
                <w:sz w:val="22"/>
              </w:rPr>
              <w:t>Complaints handled in 2017</w:t>
            </w:r>
          </w:p>
        </w:tc>
      </w:tr>
      <w:tr w:rsidR="00E201F7">
        <w:trPr>
          <w:trHeight w:val="403"/>
          <w:jc w:val="center"/>
        </w:trPr>
        <w:tc>
          <w:tcPr>
            <w:tcW w:w="1697" w:type="dxa"/>
            <w:tcBorders>
              <w:top w:val="single" w:sz="24" w:space="0" w:color="548DD4"/>
            </w:tcBorders>
            <w:shd w:val="clear" w:color="auto" w:fill="auto"/>
            <w:vAlign w:val="center"/>
          </w:tcPr>
          <w:p w:rsidR="00E201F7" w:rsidRDefault="00E24EFF">
            <w:pPr>
              <w:spacing w:after="0"/>
              <w:jc w:val="right"/>
              <w:rPr>
                <w:rFonts w:ascii="Arial" w:hAnsi="Arial"/>
                <w:noProof/>
                <w:color w:val="C00000"/>
                <w:sz w:val="22"/>
              </w:rPr>
            </w:pPr>
            <w:r>
              <w:rPr>
                <w:rFonts w:ascii="Arial" w:hAnsi="Arial"/>
                <w:noProof/>
                <w:color w:val="C00000"/>
                <w:sz w:val="22"/>
              </w:rPr>
              <w:t>= 81</w:t>
            </w:r>
          </w:p>
        </w:tc>
        <w:tc>
          <w:tcPr>
            <w:tcW w:w="460" w:type="dxa"/>
            <w:shd w:val="clear" w:color="auto" w:fill="auto"/>
            <w:vAlign w:val="center"/>
          </w:tcPr>
          <w:p w:rsidR="00E201F7" w:rsidRDefault="00E24EFF">
            <w:pPr>
              <w:spacing w:after="0"/>
              <w:jc w:val="right"/>
              <w:rPr>
                <w:rFonts w:ascii="Arial" w:hAnsi="Arial"/>
                <w:noProof/>
                <w:color w:val="548DD4"/>
                <w:sz w:val="22"/>
              </w:rPr>
            </w:pPr>
            <w:r>
              <w:rPr>
                <w:rFonts w:ascii="Arial" w:hAnsi="Arial"/>
                <w:noProof/>
                <w:color w:val="548DD4"/>
                <w:sz w:val="22"/>
              </w:rPr>
              <w:t>&gt;</w:t>
            </w:r>
          </w:p>
        </w:tc>
        <w:tc>
          <w:tcPr>
            <w:tcW w:w="5310" w:type="dxa"/>
            <w:shd w:val="clear" w:color="auto" w:fill="auto"/>
            <w:vAlign w:val="center"/>
          </w:tcPr>
          <w:p w:rsidR="00E201F7" w:rsidRDefault="00E24EFF">
            <w:pPr>
              <w:spacing w:after="0"/>
              <w:jc w:val="left"/>
              <w:rPr>
                <w:rFonts w:ascii="Arial" w:hAnsi="Arial"/>
                <w:noProof/>
                <w:color w:val="548DD4"/>
                <w:sz w:val="22"/>
              </w:rPr>
            </w:pPr>
            <w:r>
              <w:rPr>
                <w:rFonts w:ascii="Arial" w:hAnsi="Arial"/>
                <w:noProof/>
                <w:color w:val="548DD4"/>
                <w:sz w:val="22"/>
              </w:rPr>
              <w:t>Complaints open at end-2017</w:t>
            </w:r>
          </w:p>
        </w:tc>
      </w:tr>
    </w:tbl>
    <w:p w:rsidR="00E201F7" w:rsidRDefault="00E24EFF">
      <w:pPr>
        <w:numPr>
          <w:ilvl w:val="0"/>
          <w:numId w:val="140"/>
        </w:numPr>
        <w:spacing w:before="240"/>
        <w:ind w:left="714" w:hanging="357"/>
        <w:jc w:val="left"/>
        <w:outlineLvl w:val="1"/>
        <w:rPr>
          <w:rFonts w:ascii="Arial" w:hAnsi="Arial"/>
          <w:noProof/>
          <w:color w:val="002060"/>
          <w:sz w:val="22"/>
        </w:rPr>
      </w:pPr>
      <w:r>
        <w:rPr>
          <w:rFonts w:ascii="Arial" w:hAnsi="Arial"/>
          <w:noProof/>
          <w:color w:val="002060"/>
          <w:sz w:val="22"/>
        </w:rPr>
        <w:t>New complaints registered in 2017: main policy sectors</w:t>
      </w:r>
    </w:p>
    <w:p w:rsidR="00E201F7" w:rsidRDefault="00E24EFF">
      <w:pPr>
        <w:ind w:left="720"/>
        <w:rPr>
          <w:rFonts w:ascii="Verdana" w:hAnsi="Verdana"/>
          <w:noProof/>
          <w:sz w:val="20"/>
        </w:rPr>
      </w:pPr>
      <w:r>
        <w:rPr>
          <w:rFonts w:ascii="Verdana" w:hAnsi="Verdana"/>
          <w:noProof/>
          <w:sz w:val="20"/>
        </w:rPr>
        <w:drawing>
          <wp:inline distT="0" distB="0" distL="0" distR="0" wp14:anchorId="5689F0AE" wp14:editId="04E3310F">
            <wp:extent cx="4592320" cy="2397760"/>
            <wp:effectExtent l="0" t="0" r="17780" b="21590"/>
            <wp:docPr id="77"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rsidR="00E201F7" w:rsidRDefault="00E24EFF">
      <w:pPr>
        <w:spacing w:after="0"/>
        <w:jc w:val="left"/>
        <w:rPr>
          <w:caps/>
          <w:noProof/>
          <w:color w:val="4F81BD"/>
          <w:szCs w:val="24"/>
        </w:rPr>
      </w:pPr>
      <w:r>
        <w:rPr>
          <w:caps/>
          <w:noProof/>
          <w:color w:val="4F81BD"/>
          <w:szCs w:val="24"/>
        </w:rPr>
        <w:br w:type="page"/>
      </w:r>
    </w:p>
    <w:p w:rsidR="00E201F7" w:rsidRDefault="00E24EFF">
      <w:pPr>
        <w:pStyle w:val="kop2"/>
        <w:rPr>
          <w:noProof/>
        </w:rPr>
      </w:pPr>
      <w:r>
        <w:rPr>
          <w:noProof/>
        </w:rPr>
        <w:t>EU PILOT</w:t>
      </w:r>
    </w:p>
    <w:p w:rsidR="00E201F7" w:rsidRDefault="00E24EFF">
      <w:pPr>
        <w:numPr>
          <w:ilvl w:val="0"/>
          <w:numId w:val="141"/>
        </w:numPr>
        <w:spacing w:before="120" w:after="120"/>
        <w:ind w:left="714" w:hanging="357"/>
        <w:jc w:val="left"/>
        <w:outlineLvl w:val="1"/>
        <w:rPr>
          <w:rFonts w:ascii="Arial" w:hAnsi="Arial"/>
          <w:noProof/>
          <w:color w:val="002060"/>
          <w:sz w:val="22"/>
        </w:rPr>
      </w:pPr>
      <w:r>
        <w:rPr>
          <w:rFonts w:ascii="Arial" w:hAnsi="Arial"/>
          <w:noProof/>
          <w:color w:val="002060"/>
          <w:sz w:val="22"/>
        </w:rPr>
        <w:t>New EU Pilot files (2013-2017)</w:t>
      </w:r>
    </w:p>
    <w:p w:rsidR="00E201F7" w:rsidRDefault="00E24EFF">
      <w:pPr>
        <w:ind w:left="720"/>
        <w:rPr>
          <w:rFonts w:ascii="Verdana" w:hAnsi="Verdana"/>
          <w:noProof/>
          <w:sz w:val="20"/>
        </w:rPr>
      </w:pPr>
      <w:r>
        <w:rPr>
          <w:rFonts w:ascii="Verdana" w:hAnsi="Verdana"/>
          <w:noProof/>
          <w:sz w:val="20"/>
        </w:rPr>
        <w:drawing>
          <wp:inline distT="0" distB="0" distL="0" distR="0" wp14:anchorId="1ADDCADE" wp14:editId="49BC65E3">
            <wp:extent cx="4389120" cy="2001520"/>
            <wp:effectExtent l="0" t="0" r="0" b="0"/>
            <wp:docPr id="42"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E201F7" w:rsidRDefault="00E24EFF">
      <w:pPr>
        <w:numPr>
          <w:ilvl w:val="0"/>
          <w:numId w:val="141"/>
        </w:numPr>
        <w:spacing w:before="240"/>
        <w:ind w:left="714" w:hanging="357"/>
        <w:jc w:val="left"/>
        <w:outlineLvl w:val="1"/>
        <w:rPr>
          <w:rFonts w:ascii="Arial" w:hAnsi="Arial"/>
          <w:noProof/>
          <w:color w:val="002060"/>
          <w:sz w:val="22"/>
        </w:rPr>
      </w:pPr>
      <w:r>
        <w:rPr>
          <w:rFonts w:ascii="Arial" w:hAnsi="Arial"/>
          <w:noProof/>
          <w:color w:val="002060"/>
          <w:sz w:val="22"/>
        </w:rPr>
        <w:t>EU Pilot files open at year-end</w:t>
      </w:r>
    </w:p>
    <w:p w:rsidR="00E201F7" w:rsidRDefault="00E24EFF">
      <w:pPr>
        <w:pStyle w:val="ListParagraph"/>
        <w:rPr>
          <w:rFonts w:ascii="Arial" w:hAnsi="Arial"/>
          <w:noProof/>
          <w:sz w:val="20"/>
        </w:rPr>
      </w:pPr>
      <w:r>
        <w:rPr>
          <w:rFonts w:ascii="Arial" w:hAnsi="Arial"/>
          <w:noProof/>
          <w:sz w:val="20"/>
        </w:rPr>
        <w:t xml:space="preserve">At the end of 2017, 20 EU Pilot </w:t>
      </w:r>
      <w:r>
        <w:rPr>
          <w:rFonts w:ascii="Arial" w:hAnsi="Arial"/>
          <w:noProof/>
          <w:sz w:val="20"/>
        </w:rPr>
        <w:t>files remained open.</w:t>
      </w:r>
    </w:p>
    <w:p w:rsidR="00E201F7" w:rsidRDefault="00E24EFF">
      <w:pPr>
        <w:numPr>
          <w:ilvl w:val="0"/>
          <w:numId w:val="141"/>
        </w:numPr>
        <w:spacing w:before="240"/>
        <w:ind w:left="714" w:hanging="357"/>
        <w:jc w:val="left"/>
        <w:outlineLvl w:val="1"/>
        <w:rPr>
          <w:rFonts w:ascii="Arial" w:hAnsi="Arial"/>
          <w:noProof/>
          <w:color w:val="002060"/>
          <w:sz w:val="22"/>
        </w:rPr>
      </w:pPr>
      <w:r>
        <w:rPr>
          <w:rFonts w:ascii="Arial" w:hAnsi="Arial"/>
          <w:noProof/>
          <w:color w:val="002060"/>
          <w:sz w:val="22"/>
        </w:rPr>
        <w:t>New EU Pilot files opened in 2017: main policy sectors</w:t>
      </w:r>
    </w:p>
    <w:p w:rsidR="00E201F7" w:rsidRDefault="00E24EFF">
      <w:pPr>
        <w:ind w:left="720"/>
        <w:rPr>
          <w:rFonts w:ascii="Verdana" w:hAnsi="Verdana"/>
          <w:noProof/>
          <w:sz w:val="20"/>
        </w:rPr>
      </w:pPr>
      <w:r>
        <w:rPr>
          <w:rFonts w:ascii="Verdana" w:hAnsi="Verdana"/>
          <w:noProof/>
          <w:sz w:val="20"/>
        </w:rPr>
        <w:drawing>
          <wp:inline distT="0" distB="0" distL="0" distR="0" wp14:anchorId="5B9D9AFE" wp14:editId="484FE0D5">
            <wp:extent cx="4351020" cy="2240280"/>
            <wp:effectExtent l="0" t="0" r="11430" b="7620"/>
            <wp:docPr id="41" name="Object 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rsidR="00E201F7" w:rsidRDefault="00E24EFF">
      <w:pPr>
        <w:numPr>
          <w:ilvl w:val="0"/>
          <w:numId w:val="141"/>
        </w:numPr>
        <w:spacing w:before="120"/>
        <w:jc w:val="left"/>
        <w:outlineLvl w:val="1"/>
        <w:rPr>
          <w:rFonts w:ascii="Arial" w:hAnsi="Arial"/>
          <w:noProof/>
          <w:color w:val="002060"/>
          <w:sz w:val="22"/>
        </w:rPr>
      </w:pPr>
      <w:r>
        <w:rPr>
          <w:rFonts w:ascii="Arial" w:hAnsi="Arial"/>
          <w:noProof/>
          <w:color w:val="002060"/>
          <w:sz w:val="22"/>
        </w:rPr>
        <w:t>EU Pilot files: resolution rate for policies (2013-2017)</w:t>
      </w:r>
    </w:p>
    <w:p w:rsidR="00E201F7" w:rsidRDefault="00E24EFF">
      <w:pPr>
        <w:spacing w:before="120"/>
        <w:ind w:left="720"/>
        <w:jc w:val="left"/>
        <w:outlineLvl w:val="1"/>
        <w:rPr>
          <w:rFonts w:ascii="Arial" w:hAnsi="Arial"/>
          <w:noProof/>
          <w:color w:val="002060"/>
          <w:sz w:val="22"/>
        </w:rPr>
      </w:pPr>
      <w:r>
        <w:rPr>
          <w:rFonts w:ascii="Verdana" w:hAnsi="Verdana"/>
          <w:noProof/>
          <w:sz w:val="20"/>
        </w:rPr>
        <w:drawing>
          <wp:inline distT="0" distB="0" distL="0" distR="0" wp14:anchorId="3B712E0F" wp14:editId="0000D7C2">
            <wp:extent cx="4343400" cy="2130137"/>
            <wp:effectExtent l="0" t="0" r="19050" b="22860"/>
            <wp:docPr id="510"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E201F7" w:rsidRDefault="00E24EFF">
      <w:pPr>
        <w:pStyle w:val="kop2"/>
        <w:rPr>
          <w:noProof/>
        </w:rPr>
      </w:pPr>
      <w:r>
        <w:rPr>
          <w:noProof/>
        </w:rPr>
        <w:t>OWN-INITIATIVE CASES</w:t>
      </w:r>
    </w:p>
    <w:p w:rsidR="00E201F7" w:rsidRDefault="00E24EFF">
      <w:pPr>
        <w:spacing w:after="120"/>
        <w:ind w:left="357"/>
        <w:jc w:val="left"/>
        <w:outlineLvl w:val="1"/>
        <w:rPr>
          <w:rFonts w:ascii="Arial" w:hAnsi="Arial"/>
          <w:noProof/>
          <w:color w:val="002060"/>
          <w:sz w:val="22"/>
        </w:rPr>
      </w:pPr>
      <w:r>
        <w:rPr>
          <w:rFonts w:ascii="Arial" w:hAnsi="Arial"/>
          <w:noProof/>
          <w:color w:val="002060"/>
          <w:sz w:val="22"/>
        </w:rPr>
        <w:t>New own-initiative infringement cases</w:t>
      </w:r>
    </w:p>
    <w:p w:rsidR="00E201F7" w:rsidRDefault="00E24EFF">
      <w:pPr>
        <w:pStyle w:val="Basis"/>
        <w:spacing w:after="200"/>
        <w:rPr>
          <w:rFonts w:ascii="Arial" w:hAnsi="Arial" w:cs="Arial"/>
          <w:noProof/>
          <w:lang w:val="en-GB"/>
        </w:rPr>
      </w:pPr>
      <w:r>
        <w:rPr>
          <w:rFonts w:ascii="Arial" w:hAnsi="Arial" w:cs="Arial"/>
          <w:noProof/>
          <w:lang w:val="en-GB"/>
        </w:rPr>
        <w:t>In 2017, the Commission opened own-initiative infringement c</w:t>
      </w:r>
      <w:r>
        <w:rPr>
          <w:rFonts w:ascii="Arial" w:hAnsi="Arial" w:cs="Arial"/>
          <w:noProof/>
          <w:lang w:val="en-GB"/>
        </w:rPr>
        <w:t>ases over:</w:t>
      </w:r>
    </w:p>
    <w:p w:rsidR="00E201F7" w:rsidRDefault="00E24EFF">
      <w:pPr>
        <w:numPr>
          <w:ilvl w:val="0"/>
          <w:numId w:val="27"/>
        </w:numPr>
        <w:spacing w:after="0"/>
        <w:ind w:left="1276" w:hanging="425"/>
        <w:rPr>
          <w:rFonts w:ascii="Arial" w:hAnsi="Arial"/>
          <w:noProof/>
          <w:sz w:val="20"/>
        </w:rPr>
      </w:pPr>
      <w:r>
        <w:rPr>
          <w:rFonts w:ascii="Arial" w:hAnsi="Arial"/>
          <w:i/>
          <w:noProof/>
          <w:sz w:val="20"/>
        </w:rPr>
        <w:t>Sustainable transport</w:t>
      </w:r>
      <w:r>
        <w:rPr>
          <w:rFonts w:ascii="Arial" w:hAnsi="Arial"/>
          <w:noProof/>
          <w:sz w:val="20"/>
        </w:rPr>
        <w:t>:</w:t>
      </w:r>
    </w:p>
    <w:p w:rsidR="00E201F7" w:rsidRDefault="00E24EFF">
      <w:pPr>
        <w:numPr>
          <w:ilvl w:val="1"/>
          <w:numId w:val="66"/>
        </w:numPr>
        <w:spacing w:after="0"/>
        <w:rPr>
          <w:rFonts w:ascii="Arial" w:hAnsi="Arial"/>
          <w:noProof/>
          <w:sz w:val="20"/>
        </w:rPr>
      </w:pPr>
      <w:r>
        <w:rPr>
          <w:rFonts w:ascii="Arial" w:hAnsi="Arial"/>
          <w:noProof/>
          <w:sz w:val="20"/>
        </w:rPr>
        <w:t>implementation of Directive on the deployment of alternative fuels infrastructure</w:t>
      </w:r>
      <w:r>
        <w:rPr>
          <w:rStyle w:val="FootnoteReference"/>
          <w:rFonts w:ascii="Arial" w:hAnsi="Arial"/>
          <w:noProof/>
          <w:sz w:val="20"/>
        </w:rPr>
        <w:footnoteReference w:id="341"/>
      </w:r>
      <w:r>
        <w:rPr>
          <w:rFonts w:ascii="Arial" w:hAnsi="Arial"/>
          <w:noProof/>
          <w:sz w:val="20"/>
        </w:rPr>
        <w:t>.</w:t>
      </w:r>
    </w:p>
    <w:p w:rsidR="00E201F7" w:rsidRDefault="00E24EFF">
      <w:pPr>
        <w:numPr>
          <w:ilvl w:val="0"/>
          <w:numId w:val="27"/>
        </w:numPr>
        <w:spacing w:after="0"/>
        <w:ind w:left="1276" w:hanging="357"/>
        <w:rPr>
          <w:rFonts w:ascii="Arial" w:hAnsi="Arial"/>
          <w:noProof/>
          <w:sz w:val="20"/>
        </w:rPr>
      </w:pPr>
      <w:r>
        <w:rPr>
          <w:rFonts w:ascii="Arial" w:hAnsi="Arial"/>
          <w:i/>
          <w:noProof/>
          <w:sz w:val="20"/>
        </w:rPr>
        <w:t>Road sector:</w:t>
      </w:r>
    </w:p>
    <w:p w:rsidR="00E201F7" w:rsidRDefault="00E24EFF">
      <w:pPr>
        <w:numPr>
          <w:ilvl w:val="1"/>
          <w:numId w:val="66"/>
        </w:numPr>
        <w:spacing w:after="0"/>
        <w:rPr>
          <w:rFonts w:ascii="Arial" w:hAnsi="Arial"/>
          <w:noProof/>
          <w:sz w:val="20"/>
        </w:rPr>
      </w:pPr>
      <w:r>
        <w:rPr>
          <w:rFonts w:ascii="Arial" w:eastAsia="Calibri" w:hAnsi="Arial"/>
          <w:noProof/>
          <w:kern w:val="20"/>
          <w:sz w:val="20"/>
        </w:rPr>
        <w:t xml:space="preserve">restrictions on freedom of establishment and free movement of goods in international transport </w:t>
      </w:r>
      <w:r>
        <w:rPr>
          <w:rFonts w:ascii="Arial" w:hAnsi="Arial"/>
          <w:noProof/>
          <w:sz w:val="20"/>
        </w:rPr>
        <w:t xml:space="preserve">by imposing disproportionate </w:t>
      </w:r>
      <w:r>
        <w:rPr>
          <w:rFonts w:ascii="Arial" w:hAnsi="Arial"/>
          <w:noProof/>
          <w:sz w:val="20"/>
        </w:rPr>
        <w:t>penalties for offences regarding a heavy goods vehicles tolling scheme</w:t>
      </w:r>
      <w:r>
        <w:rPr>
          <w:rFonts w:ascii="Arial" w:hAnsi="Arial" w:cs="Arial"/>
          <w:noProof/>
          <w:sz w:val="20"/>
          <w:szCs w:val="20"/>
        </w:rPr>
        <w:t>.</w:t>
      </w:r>
    </w:p>
    <w:p w:rsidR="00E201F7" w:rsidRDefault="00E24EFF">
      <w:pPr>
        <w:numPr>
          <w:ilvl w:val="0"/>
          <w:numId w:val="27"/>
        </w:numPr>
        <w:spacing w:after="0"/>
        <w:ind w:left="1276" w:hanging="357"/>
        <w:rPr>
          <w:rFonts w:ascii="Arial" w:hAnsi="Arial"/>
          <w:noProof/>
          <w:sz w:val="20"/>
        </w:rPr>
      </w:pPr>
      <w:r>
        <w:rPr>
          <w:rFonts w:ascii="Arial" w:hAnsi="Arial"/>
          <w:i/>
          <w:noProof/>
          <w:sz w:val="20"/>
        </w:rPr>
        <w:t>Air sector</w:t>
      </w:r>
      <w:r>
        <w:rPr>
          <w:rFonts w:ascii="Arial" w:hAnsi="Arial"/>
          <w:noProof/>
          <w:sz w:val="20"/>
        </w:rPr>
        <w:t>:</w:t>
      </w:r>
    </w:p>
    <w:p w:rsidR="00E201F7" w:rsidRDefault="00E24EFF">
      <w:pPr>
        <w:numPr>
          <w:ilvl w:val="1"/>
          <w:numId w:val="66"/>
        </w:numPr>
        <w:spacing w:after="0"/>
        <w:rPr>
          <w:rFonts w:ascii="Arial" w:hAnsi="Arial"/>
          <w:noProof/>
          <w:sz w:val="20"/>
        </w:rPr>
      </w:pPr>
      <w:r>
        <w:rPr>
          <w:rFonts w:ascii="Arial" w:hAnsi="Arial"/>
          <w:noProof/>
          <w:sz w:val="20"/>
        </w:rPr>
        <w:t>incorrect implementation of rules on civil aviation security and management of civil-military airspace</w:t>
      </w:r>
      <w:r>
        <w:rPr>
          <w:rFonts w:ascii="Arial" w:hAnsi="Arial" w:cs="Arial"/>
          <w:noProof/>
          <w:sz w:val="20"/>
          <w:szCs w:val="20"/>
        </w:rPr>
        <w:t>.</w:t>
      </w:r>
    </w:p>
    <w:p w:rsidR="00E201F7" w:rsidRDefault="00E24EFF">
      <w:pPr>
        <w:numPr>
          <w:ilvl w:val="0"/>
          <w:numId w:val="66"/>
        </w:numPr>
        <w:spacing w:after="0"/>
        <w:ind w:left="1276"/>
        <w:rPr>
          <w:rFonts w:ascii="Arial" w:hAnsi="Arial"/>
          <w:i/>
          <w:noProof/>
          <w:sz w:val="20"/>
        </w:rPr>
      </w:pPr>
      <w:r>
        <w:rPr>
          <w:rFonts w:ascii="Arial" w:hAnsi="Arial"/>
          <w:i/>
          <w:noProof/>
          <w:sz w:val="20"/>
        </w:rPr>
        <w:t>Maritime sector:</w:t>
      </w:r>
    </w:p>
    <w:p w:rsidR="00E201F7" w:rsidRDefault="00E24EFF">
      <w:pPr>
        <w:numPr>
          <w:ilvl w:val="1"/>
          <w:numId w:val="66"/>
        </w:numPr>
        <w:spacing w:after="0"/>
        <w:rPr>
          <w:rFonts w:ascii="Arial" w:hAnsi="Arial"/>
          <w:i/>
          <w:noProof/>
          <w:sz w:val="20"/>
        </w:rPr>
      </w:pPr>
      <w:r>
        <w:rPr>
          <w:rFonts w:ascii="Arial" w:hAnsi="Arial"/>
          <w:noProof/>
          <w:sz w:val="20"/>
        </w:rPr>
        <w:t>training of seafarers</w:t>
      </w:r>
      <w:r>
        <w:rPr>
          <w:rStyle w:val="FootnoteReference"/>
          <w:rFonts w:ascii="Arial" w:hAnsi="Arial"/>
          <w:noProof/>
          <w:sz w:val="20"/>
        </w:rPr>
        <w:footnoteReference w:id="342"/>
      </w:r>
      <w:r>
        <w:rPr>
          <w:rFonts w:ascii="Arial" w:hAnsi="Arial" w:cs="Arial"/>
          <w:noProof/>
          <w:sz w:val="20"/>
          <w:szCs w:val="20"/>
        </w:rPr>
        <w:t>.</w:t>
      </w:r>
    </w:p>
    <w:p w:rsidR="00E201F7" w:rsidRDefault="00E24EFF">
      <w:pPr>
        <w:pStyle w:val="kop2"/>
        <w:rPr>
          <w:noProof/>
        </w:rPr>
      </w:pPr>
      <w:r>
        <w:rPr>
          <w:noProof/>
        </w:rPr>
        <w:t>INFRINGEMENT CASES</w:t>
      </w:r>
    </w:p>
    <w:p w:rsidR="00E201F7" w:rsidRDefault="00E24EFF">
      <w:pPr>
        <w:numPr>
          <w:ilvl w:val="0"/>
          <w:numId w:val="142"/>
        </w:numPr>
        <w:spacing w:before="240"/>
        <w:ind w:left="714" w:hanging="357"/>
        <w:jc w:val="left"/>
        <w:outlineLvl w:val="1"/>
        <w:rPr>
          <w:rFonts w:ascii="Arial" w:hAnsi="Arial"/>
          <w:noProof/>
          <w:color w:val="002060"/>
          <w:sz w:val="22"/>
        </w:rPr>
      </w:pPr>
      <w:r>
        <w:rPr>
          <w:rFonts w:ascii="Arial" w:hAnsi="Arial"/>
          <w:noProof/>
          <w:color w:val="002060"/>
          <w:sz w:val="22"/>
        </w:rPr>
        <w:t>Infringe</w:t>
      </w:r>
      <w:r>
        <w:rPr>
          <w:rFonts w:ascii="Arial" w:hAnsi="Arial"/>
          <w:noProof/>
          <w:color w:val="002060"/>
          <w:sz w:val="22"/>
        </w:rPr>
        <w:t>ment cases open on 31 December (2013-2017)</w:t>
      </w:r>
    </w:p>
    <w:p w:rsidR="00E201F7" w:rsidRDefault="00E24EFF">
      <w:pPr>
        <w:ind w:left="720"/>
        <w:rPr>
          <w:rFonts w:cs="Arial"/>
          <w:noProof/>
          <w:sz w:val="20"/>
        </w:rPr>
      </w:pPr>
      <w:r>
        <w:rPr>
          <w:rFonts w:ascii="Verdana" w:hAnsi="Verdana"/>
          <w:noProof/>
          <w:sz w:val="20"/>
        </w:rPr>
        <w:drawing>
          <wp:inline distT="0" distB="0" distL="0" distR="0" wp14:anchorId="3B61ECF1" wp14:editId="36CBAD9F">
            <wp:extent cx="4612640" cy="2296160"/>
            <wp:effectExtent l="0" t="0" r="0" b="0"/>
            <wp:docPr id="39" name="Grafie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E201F7" w:rsidRDefault="00E24EFF">
      <w:pPr>
        <w:numPr>
          <w:ilvl w:val="0"/>
          <w:numId w:val="142"/>
        </w:numPr>
        <w:spacing w:before="120"/>
        <w:jc w:val="left"/>
        <w:outlineLvl w:val="1"/>
        <w:rPr>
          <w:noProof/>
          <w:color w:val="002060"/>
        </w:rPr>
      </w:pPr>
      <w:r>
        <w:rPr>
          <w:noProof/>
          <w:color w:val="002060"/>
        </w:rPr>
        <w:br w:type="page"/>
      </w:r>
      <w:r>
        <w:rPr>
          <w:rFonts w:ascii="Arial" w:hAnsi="Arial"/>
          <w:noProof/>
          <w:color w:val="002060"/>
          <w:sz w:val="22"/>
        </w:rPr>
        <w:t>Infringement cases open on 31</w:t>
      </w:r>
      <w:r>
        <w:rPr>
          <w:rFonts w:ascii="Arial" w:hAnsi="Arial" w:cs="Arial"/>
          <w:noProof/>
          <w:color w:val="002060"/>
          <w:sz w:val="22"/>
        </w:rPr>
        <w:t> </w:t>
      </w:r>
      <w:r>
        <w:rPr>
          <w:rFonts w:ascii="Arial" w:hAnsi="Arial"/>
          <w:noProof/>
          <w:color w:val="002060"/>
          <w:sz w:val="22"/>
        </w:rPr>
        <w:t>December 2017: main policy sectors</w:t>
      </w:r>
    </w:p>
    <w:p w:rsidR="00E201F7" w:rsidRDefault="00E24EFF">
      <w:pPr>
        <w:ind w:left="720"/>
        <w:rPr>
          <w:rFonts w:ascii="Verdana" w:hAnsi="Verdana"/>
          <w:noProof/>
          <w:sz w:val="20"/>
        </w:rPr>
      </w:pPr>
      <w:r>
        <w:rPr>
          <w:rFonts w:ascii="Verdana" w:hAnsi="Verdana"/>
          <w:noProof/>
          <w:sz w:val="20"/>
        </w:rPr>
        <w:drawing>
          <wp:inline distT="0" distB="0" distL="0" distR="0" wp14:anchorId="3ED08CBF" wp14:editId="61B44903">
            <wp:extent cx="4297680" cy="2286000"/>
            <wp:effectExtent l="0" t="0" r="26670" b="19050"/>
            <wp:docPr id="37" name="Object 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E201F7" w:rsidRDefault="00E24EFF">
      <w:pPr>
        <w:numPr>
          <w:ilvl w:val="0"/>
          <w:numId w:val="142"/>
        </w:numPr>
        <w:spacing w:before="120"/>
        <w:jc w:val="left"/>
        <w:outlineLvl w:val="1"/>
        <w:rPr>
          <w:rFonts w:ascii="Arial" w:hAnsi="Arial"/>
          <w:noProof/>
          <w:color w:val="002060"/>
          <w:sz w:val="22"/>
        </w:rPr>
      </w:pPr>
      <w:r>
        <w:rPr>
          <w:rFonts w:ascii="Arial" w:hAnsi="Arial"/>
          <w:noProof/>
          <w:color w:val="002060"/>
          <w:sz w:val="22"/>
        </w:rPr>
        <w:t>New infringement cases opened in 2017: main policy sectors</w:t>
      </w:r>
    </w:p>
    <w:p w:rsidR="00E201F7" w:rsidRDefault="00E24EFF">
      <w:pPr>
        <w:ind w:left="720"/>
        <w:rPr>
          <w:rFonts w:ascii="Verdana" w:hAnsi="Verdana"/>
          <w:noProof/>
          <w:sz w:val="20"/>
        </w:rPr>
      </w:pPr>
      <w:r>
        <w:rPr>
          <w:rFonts w:ascii="Verdana" w:hAnsi="Verdana"/>
          <w:noProof/>
          <w:sz w:val="20"/>
        </w:rPr>
        <w:drawing>
          <wp:inline distT="0" distB="0" distL="0" distR="0" wp14:anchorId="5C61D8D2" wp14:editId="30C7DD3C">
            <wp:extent cx="4297680" cy="2286000"/>
            <wp:effectExtent l="0" t="0" r="26670" b="19050"/>
            <wp:docPr id="35" name="Object 8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E201F7" w:rsidRDefault="00E24EFF">
      <w:pPr>
        <w:numPr>
          <w:ilvl w:val="0"/>
          <w:numId w:val="142"/>
        </w:numPr>
        <w:spacing w:before="120"/>
        <w:jc w:val="left"/>
        <w:outlineLvl w:val="1"/>
        <w:rPr>
          <w:rFonts w:ascii="Arial" w:hAnsi="Arial"/>
          <w:noProof/>
          <w:color w:val="002060"/>
          <w:sz w:val="22"/>
        </w:rPr>
      </w:pPr>
      <w:r>
        <w:rPr>
          <w:rFonts w:ascii="Arial" w:hAnsi="Arial"/>
          <w:noProof/>
          <w:color w:val="002060"/>
          <w:sz w:val="22"/>
        </w:rPr>
        <w:t>Key infringement cases and referrals to the Court</w:t>
      </w:r>
    </w:p>
    <w:p w:rsidR="00E201F7" w:rsidRDefault="00E24EFF">
      <w:pPr>
        <w:pStyle w:val="Lijstje"/>
        <w:numPr>
          <w:ilvl w:val="0"/>
          <w:numId w:val="51"/>
        </w:numPr>
        <w:spacing w:after="120"/>
        <w:ind w:left="1200" w:hanging="360"/>
        <w:rPr>
          <w:rFonts w:ascii="Arial" w:hAnsi="Arial" w:cs="Arial"/>
          <w:noProof/>
          <w:lang w:val="en-GB"/>
        </w:rPr>
      </w:pPr>
      <w:r>
        <w:rPr>
          <w:rFonts w:ascii="Arial" w:hAnsi="Arial" w:cs="Arial"/>
          <w:noProof/>
          <w:lang w:val="en-GB"/>
        </w:rPr>
        <w:t xml:space="preserve">The Commission opened 26 new </w:t>
      </w:r>
      <w:r>
        <w:rPr>
          <w:rFonts w:ascii="Arial" w:hAnsi="Arial" w:cs="Arial"/>
          <w:noProof/>
          <w:lang w:val="en-GB"/>
        </w:rPr>
        <w:t>infringement cases in 2017. These, and other major ongoing infringement cases, include the following:</w:t>
      </w:r>
    </w:p>
    <w:p w:rsidR="00E201F7" w:rsidRDefault="00E24EFF">
      <w:pPr>
        <w:pStyle w:val="Lijstje2"/>
        <w:ind w:left="1800"/>
        <w:rPr>
          <w:rFonts w:ascii="Arial" w:hAnsi="Arial" w:cs="Arial"/>
          <w:noProof/>
          <w:lang w:val="en-GB"/>
        </w:rPr>
      </w:pPr>
      <w:r>
        <w:rPr>
          <w:rFonts w:ascii="Arial" w:hAnsi="Arial" w:cs="Arial"/>
          <w:i/>
          <w:noProof/>
          <w:lang w:val="en-GB"/>
        </w:rPr>
        <w:t>Belgium:</w:t>
      </w:r>
      <w:r>
        <w:rPr>
          <w:rFonts w:ascii="Arial" w:hAnsi="Arial" w:cs="Arial"/>
          <w:noProof/>
          <w:lang w:val="en-GB"/>
        </w:rPr>
        <w:t xml:space="preserve"> incorrect implementation of the Airspace Regulation and the Regulation on common rules for the flexible use of airspace</w:t>
      </w:r>
      <w:r>
        <w:rPr>
          <w:rStyle w:val="FootnoteReference"/>
          <w:rFonts w:ascii="Arial" w:hAnsi="Arial" w:cs="Arial"/>
          <w:noProof/>
          <w:lang w:val="en-GB"/>
        </w:rPr>
        <w:footnoteReference w:id="343"/>
      </w:r>
      <w:r>
        <w:rPr>
          <w:rFonts w:ascii="Arial" w:hAnsi="Arial" w:cs="Arial"/>
          <w:noProof/>
          <w:lang w:val="en-GB"/>
        </w:rPr>
        <w:t>;</w:t>
      </w:r>
    </w:p>
    <w:p w:rsidR="00E201F7" w:rsidRDefault="00E24EFF">
      <w:pPr>
        <w:pStyle w:val="Lijstje2"/>
        <w:ind w:left="1800"/>
        <w:rPr>
          <w:rFonts w:ascii="Arial" w:hAnsi="Arial" w:cs="Arial"/>
          <w:noProof/>
          <w:lang w:val="en-GB"/>
        </w:rPr>
      </w:pPr>
      <w:r>
        <w:rPr>
          <w:rFonts w:ascii="Arial" w:hAnsi="Arial" w:cs="Arial"/>
          <w:i/>
          <w:noProof/>
          <w:lang w:val="en-GB"/>
        </w:rPr>
        <w:t>Belgium, Ireland and Po</w:t>
      </w:r>
      <w:r>
        <w:rPr>
          <w:rFonts w:ascii="Arial" w:hAnsi="Arial" w:cs="Arial"/>
          <w:i/>
          <w:noProof/>
          <w:lang w:val="en-GB"/>
        </w:rPr>
        <w:t xml:space="preserve">rtugal: </w:t>
      </w:r>
      <w:r>
        <w:rPr>
          <w:rFonts w:ascii="Arial" w:hAnsi="Arial" w:cs="Arial"/>
          <w:noProof/>
          <w:lang w:val="en-GB"/>
        </w:rPr>
        <w:t>bad application of the Directive on the investigation of accidents in the maritime transport sector</w:t>
      </w:r>
      <w:r>
        <w:rPr>
          <w:rStyle w:val="FootnoteReference"/>
          <w:rFonts w:ascii="Arial" w:hAnsi="Arial" w:cs="Arial"/>
          <w:noProof/>
          <w:lang w:val="en-GB"/>
        </w:rPr>
        <w:footnoteReference w:id="344"/>
      </w:r>
      <w:r>
        <w:rPr>
          <w:rFonts w:ascii="Arial" w:hAnsi="Arial" w:cs="Arial"/>
          <w:noProof/>
          <w:lang w:val="en-GB"/>
        </w:rPr>
        <w:t>;</w:t>
      </w:r>
    </w:p>
    <w:p w:rsidR="00E201F7" w:rsidRDefault="00E24EFF">
      <w:pPr>
        <w:pStyle w:val="Lijstje2"/>
        <w:ind w:left="1800"/>
        <w:rPr>
          <w:rFonts w:ascii="Arial" w:hAnsi="Arial" w:cs="Arial"/>
          <w:noProof/>
          <w:lang w:val="en-GB"/>
        </w:rPr>
      </w:pPr>
      <w:r>
        <w:rPr>
          <w:rFonts w:ascii="Arial" w:hAnsi="Arial" w:cs="Arial"/>
          <w:i/>
          <w:noProof/>
          <w:lang w:val="en-GB"/>
        </w:rPr>
        <w:t xml:space="preserve">Bulgaria, Spain, Finland and Sweden: </w:t>
      </w:r>
      <w:r>
        <w:rPr>
          <w:rFonts w:ascii="Arial" w:hAnsi="Arial" w:cs="Arial"/>
          <w:noProof/>
          <w:lang w:val="en-GB"/>
        </w:rPr>
        <w:t>incorrect transposition of the Directive on airport charges</w:t>
      </w:r>
      <w:r>
        <w:rPr>
          <w:rStyle w:val="FootnoteReference"/>
          <w:rFonts w:ascii="Arial" w:hAnsi="Arial" w:cs="Arial"/>
          <w:noProof/>
          <w:lang w:val="en-GB"/>
        </w:rPr>
        <w:footnoteReference w:id="345"/>
      </w:r>
      <w:r>
        <w:rPr>
          <w:rFonts w:ascii="Arial" w:hAnsi="Arial" w:cs="Arial"/>
          <w:noProof/>
          <w:lang w:val="en-GB"/>
        </w:rPr>
        <w:t>;</w:t>
      </w:r>
    </w:p>
    <w:p w:rsidR="00E201F7" w:rsidRDefault="00E24EFF">
      <w:pPr>
        <w:pStyle w:val="Lijstje2"/>
        <w:ind w:left="1800"/>
        <w:rPr>
          <w:rFonts w:ascii="Arial" w:hAnsi="Arial" w:cs="Arial"/>
          <w:noProof/>
          <w:lang w:val="en-GB"/>
        </w:rPr>
      </w:pPr>
      <w:r>
        <w:rPr>
          <w:rFonts w:ascii="Arial" w:hAnsi="Arial" w:cs="Arial"/>
          <w:i/>
          <w:noProof/>
          <w:lang w:val="en-GB"/>
        </w:rPr>
        <w:t xml:space="preserve">France and Italy: </w:t>
      </w:r>
      <w:r>
        <w:rPr>
          <w:rFonts w:ascii="Arial" w:hAnsi="Arial" w:cs="Arial"/>
          <w:noProof/>
          <w:lang w:val="en-GB"/>
        </w:rPr>
        <w:t xml:space="preserve">the prohibition on the </w:t>
      </w:r>
      <w:r>
        <w:rPr>
          <w:rFonts w:ascii="Arial" w:hAnsi="Arial" w:cs="Arial"/>
          <w:noProof/>
          <w:lang w:val="en-GB"/>
        </w:rPr>
        <w:t>transfer of public funds from infrastructure management to transport activities and the need to ensure that funds paid for activities relating to the provision of passenger transport services are shown separately in the relevant accounts</w:t>
      </w:r>
      <w:r>
        <w:rPr>
          <w:rStyle w:val="FootnoteReference"/>
          <w:rFonts w:ascii="Arial" w:hAnsi="Arial" w:cs="Arial"/>
          <w:noProof/>
          <w:lang w:val="en-GB"/>
        </w:rPr>
        <w:footnoteReference w:id="346"/>
      </w:r>
      <w:r>
        <w:rPr>
          <w:rFonts w:ascii="Arial" w:hAnsi="Arial" w:cs="Arial"/>
          <w:noProof/>
          <w:lang w:val="en-GB"/>
        </w:rPr>
        <w:t>;</w:t>
      </w:r>
      <w:r>
        <w:rPr>
          <w:rFonts w:ascii="Arial" w:hAnsi="Arial" w:cs="Arial"/>
          <w:i/>
          <w:noProof/>
          <w:lang w:val="en-GB"/>
        </w:rPr>
        <w:t xml:space="preserve"> </w:t>
      </w:r>
    </w:p>
    <w:p w:rsidR="00E201F7" w:rsidRDefault="00E24EFF">
      <w:pPr>
        <w:pStyle w:val="Lijstje2"/>
        <w:ind w:left="1800"/>
        <w:rPr>
          <w:rFonts w:ascii="Arial" w:hAnsi="Arial" w:cs="Arial"/>
          <w:noProof/>
          <w:lang w:val="en-GB"/>
        </w:rPr>
      </w:pPr>
      <w:r>
        <w:rPr>
          <w:rFonts w:ascii="Arial" w:hAnsi="Arial" w:cs="Arial"/>
          <w:i/>
          <w:noProof/>
          <w:lang w:val="en-GB"/>
        </w:rPr>
        <w:t xml:space="preserve">Austria: </w:t>
      </w:r>
      <w:r>
        <w:rPr>
          <w:rFonts w:ascii="Arial" w:hAnsi="Arial" w:cs="Arial"/>
          <w:noProof/>
          <w:lang w:val="en-GB"/>
        </w:rPr>
        <w:t>restri</w:t>
      </w:r>
      <w:r>
        <w:rPr>
          <w:rFonts w:ascii="Arial" w:hAnsi="Arial" w:cs="Arial"/>
          <w:noProof/>
          <w:lang w:val="en-GB"/>
        </w:rPr>
        <w:t>ctions on the provision of transport services and free movement of goods deriving from the national law on posting of workers</w:t>
      </w:r>
      <w:r>
        <w:rPr>
          <w:rStyle w:val="FootnoteReference"/>
          <w:rFonts w:ascii="Arial" w:hAnsi="Arial" w:cs="Arial"/>
          <w:noProof/>
          <w:lang w:val="en-GB"/>
        </w:rPr>
        <w:footnoteReference w:id="347"/>
      </w:r>
      <w:r>
        <w:rPr>
          <w:rFonts w:ascii="Arial" w:hAnsi="Arial" w:cs="Arial"/>
          <w:noProof/>
          <w:lang w:val="en-GB"/>
        </w:rPr>
        <w:t>.</w:t>
      </w:r>
    </w:p>
    <w:p w:rsidR="00E201F7" w:rsidRDefault="00E24EFF">
      <w:pPr>
        <w:pStyle w:val="Lijstje"/>
        <w:numPr>
          <w:ilvl w:val="0"/>
          <w:numId w:val="51"/>
        </w:numPr>
        <w:spacing w:after="120"/>
        <w:ind w:left="1200" w:hanging="360"/>
        <w:rPr>
          <w:rFonts w:cs="Arial"/>
          <w:noProof/>
          <w:lang w:val="en-GB"/>
        </w:rPr>
      </w:pPr>
      <w:r>
        <w:rPr>
          <w:rFonts w:ascii="Arial" w:hAnsi="Arial"/>
          <w:noProof/>
          <w:lang w:val="en-GB"/>
        </w:rPr>
        <w:t>The Commission referred five cases to the Court under Article 258 TFEU. They concern:</w:t>
      </w:r>
    </w:p>
    <w:p w:rsidR="00E201F7" w:rsidRDefault="00E24EFF">
      <w:pPr>
        <w:pStyle w:val="Lijstje"/>
        <w:numPr>
          <w:ilvl w:val="0"/>
          <w:numId w:val="72"/>
        </w:numPr>
        <w:spacing w:after="0"/>
        <w:ind w:left="1797" w:hanging="357"/>
        <w:rPr>
          <w:rFonts w:cs="Arial"/>
          <w:b/>
          <w:bCs/>
          <w:noProof/>
          <w:lang w:val="en-GB"/>
        </w:rPr>
      </w:pPr>
      <w:r>
        <w:rPr>
          <w:rFonts w:ascii="Arial" w:hAnsi="Arial" w:cs="Arial"/>
          <w:i/>
          <w:noProof/>
          <w:lang w:val="en-GB"/>
        </w:rPr>
        <w:t xml:space="preserve">Spain: </w:t>
      </w:r>
      <w:r>
        <w:rPr>
          <w:rFonts w:ascii="Arial" w:hAnsi="Arial" w:cs="Arial"/>
          <w:noProof/>
          <w:lang w:val="en-GB"/>
        </w:rPr>
        <w:t>failure to comply with the rules on</w:t>
      </w:r>
      <w:r>
        <w:rPr>
          <w:rFonts w:ascii="Arial" w:hAnsi="Arial" w:cs="Arial"/>
          <w:noProof/>
          <w:lang w:val="en-GB"/>
        </w:rPr>
        <w:t xml:space="preserve"> access to the occupation of road transport operator</w:t>
      </w:r>
      <w:r>
        <w:rPr>
          <w:rStyle w:val="FootnoteReference"/>
          <w:rFonts w:ascii="Arial" w:hAnsi="Arial" w:cs="Arial"/>
          <w:noProof/>
          <w:lang w:val="en-GB"/>
        </w:rPr>
        <w:footnoteReference w:id="348"/>
      </w:r>
      <w:r>
        <w:rPr>
          <w:rFonts w:ascii="Arial" w:hAnsi="Arial" w:cs="Arial"/>
          <w:noProof/>
          <w:lang w:val="en-GB"/>
        </w:rPr>
        <w:t>;</w:t>
      </w:r>
    </w:p>
    <w:p w:rsidR="00E201F7" w:rsidRDefault="00E24EFF">
      <w:pPr>
        <w:pStyle w:val="Lijstje"/>
        <w:numPr>
          <w:ilvl w:val="0"/>
          <w:numId w:val="72"/>
        </w:numPr>
        <w:spacing w:after="0"/>
        <w:ind w:left="1797" w:hanging="357"/>
        <w:rPr>
          <w:rFonts w:ascii="Arial" w:hAnsi="Arial" w:cs="Arial"/>
          <w:i/>
          <w:noProof/>
          <w:lang w:val="en-GB"/>
        </w:rPr>
      </w:pPr>
      <w:r>
        <w:rPr>
          <w:rFonts w:ascii="Arial" w:hAnsi="Arial" w:cs="Arial"/>
          <w:i/>
          <w:noProof/>
          <w:lang w:val="en-GB"/>
        </w:rPr>
        <w:t xml:space="preserve">Poland: </w:t>
      </w:r>
      <w:r>
        <w:rPr>
          <w:rFonts w:ascii="Arial" w:hAnsi="Arial" w:cs="Arial"/>
          <w:noProof/>
          <w:lang w:val="en-GB"/>
        </w:rPr>
        <w:t>implementation of the Directive on axle weights limits</w:t>
      </w:r>
      <w:r>
        <w:rPr>
          <w:rStyle w:val="FootnoteReference"/>
          <w:rFonts w:ascii="Arial" w:hAnsi="Arial" w:cs="Arial"/>
          <w:noProof/>
          <w:lang w:val="en-GB"/>
        </w:rPr>
        <w:footnoteReference w:id="349"/>
      </w:r>
      <w:r>
        <w:rPr>
          <w:rFonts w:ascii="Arial" w:hAnsi="Arial" w:cs="Arial"/>
          <w:noProof/>
          <w:lang w:val="en-GB"/>
        </w:rPr>
        <w:t>;</w:t>
      </w:r>
    </w:p>
    <w:p w:rsidR="00E201F7" w:rsidRDefault="00E24EFF">
      <w:pPr>
        <w:pStyle w:val="Lijstje"/>
        <w:numPr>
          <w:ilvl w:val="0"/>
          <w:numId w:val="72"/>
        </w:numPr>
        <w:spacing w:after="0"/>
        <w:ind w:left="1797" w:hanging="357"/>
        <w:rPr>
          <w:rFonts w:ascii="Arial" w:hAnsi="Arial" w:cs="Arial"/>
          <w:noProof/>
          <w:lang w:val="en-GB"/>
        </w:rPr>
      </w:pPr>
      <w:r>
        <w:rPr>
          <w:rFonts w:ascii="Arial" w:hAnsi="Arial" w:cs="Arial"/>
          <w:i/>
          <w:noProof/>
          <w:lang w:val="en-GB"/>
        </w:rPr>
        <w:t xml:space="preserve">Portugal: </w:t>
      </w:r>
      <w:r>
        <w:rPr>
          <w:rFonts w:ascii="Arial" w:hAnsi="Arial" w:cs="Arial"/>
          <w:noProof/>
          <w:lang w:val="en-GB"/>
        </w:rPr>
        <w:t>incorrect transposition of the Directive on driving licences</w:t>
      </w:r>
      <w:r>
        <w:rPr>
          <w:rStyle w:val="FootnoteReference"/>
          <w:rFonts w:ascii="Arial" w:hAnsi="Arial" w:cs="Arial"/>
          <w:noProof/>
          <w:lang w:val="en-GB"/>
        </w:rPr>
        <w:footnoteReference w:id="350"/>
      </w:r>
      <w:r>
        <w:rPr>
          <w:rFonts w:ascii="Arial" w:hAnsi="Arial" w:cs="Arial"/>
          <w:noProof/>
          <w:lang w:val="en-GB"/>
        </w:rPr>
        <w:t>;</w:t>
      </w:r>
    </w:p>
    <w:p w:rsidR="00E201F7" w:rsidRDefault="00E24EFF">
      <w:pPr>
        <w:pStyle w:val="Lijstje"/>
        <w:numPr>
          <w:ilvl w:val="0"/>
          <w:numId w:val="72"/>
        </w:numPr>
        <w:spacing w:after="0"/>
        <w:ind w:left="1797" w:hanging="357"/>
        <w:rPr>
          <w:rFonts w:ascii="Arial" w:hAnsi="Arial" w:cs="Arial"/>
          <w:noProof/>
          <w:lang w:val="en-GB"/>
        </w:rPr>
      </w:pPr>
      <w:r>
        <w:rPr>
          <w:rFonts w:ascii="Arial" w:hAnsi="Arial" w:cs="Arial"/>
          <w:i/>
          <w:noProof/>
          <w:lang w:val="en-GB"/>
        </w:rPr>
        <w:t xml:space="preserve">Portugal: </w:t>
      </w:r>
      <w:r>
        <w:rPr>
          <w:rFonts w:ascii="Arial" w:hAnsi="Arial" w:cs="Arial"/>
          <w:noProof/>
          <w:lang w:val="en-GB"/>
        </w:rPr>
        <w:t>incorrect transposition of the Directive on common ru</w:t>
      </w:r>
      <w:r>
        <w:rPr>
          <w:rFonts w:ascii="Arial" w:hAnsi="Arial" w:cs="Arial"/>
          <w:noProof/>
          <w:lang w:val="en-GB"/>
        </w:rPr>
        <w:t>les and standards for ship inspection and survey organisations and for the relevant activities of maritime administrations</w:t>
      </w:r>
      <w:r>
        <w:rPr>
          <w:rStyle w:val="FootnoteReference"/>
          <w:rFonts w:ascii="Arial" w:hAnsi="Arial" w:cs="Arial"/>
          <w:noProof/>
          <w:lang w:val="en-GB"/>
        </w:rPr>
        <w:footnoteReference w:id="351"/>
      </w:r>
      <w:r>
        <w:rPr>
          <w:rFonts w:ascii="Arial" w:hAnsi="Arial" w:cs="Arial"/>
          <w:noProof/>
          <w:lang w:val="en-GB"/>
        </w:rPr>
        <w:t>;</w:t>
      </w:r>
    </w:p>
    <w:p w:rsidR="00E201F7" w:rsidRDefault="00E24EFF">
      <w:pPr>
        <w:pStyle w:val="Lijstje"/>
        <w:numPr>
          <w:ilvl w:val="0"/>
          <w:numId w:val="72"/>
        </w:numPr>
        <w:spacing w:after="0"/>
        <w:ind w:left="1797" w:hanging="357"/>
        <w:rPr>
          <w:rFonts w:ascii="Arial" w:hAnsi="Arial" w:cs="Arial"/>
          <w:i/>
          <w:noProof/>
          <w:lang w:val="en-GB"/>
        </w:rPr>
      </w:pPr>
      <w:r>
        <w:rPr>
          <w:rFonts w:ascii="Arial" w:hAnsi="Arial" w:cs="Arial"/>
          <w:i/>
          <w:noProof/>
          <w:lang w:val="en-GB"/>
        </w:rPr>
        <w:t xml:space="preserve">Portugal: </w:t>
      </w:r>
      <w:r>
        <w:rPr>
          <w:rFonts w:ascii="Arial" w:hAnsi="Arial" w:cs="Arial"/>
          <w:noProof/>
          <w:lang w:val="en-GB"/>
        </w:rPr>
        <w:t>lack of certified quality management system for the Portuguese administration’s flag State-related activities</w:t>
      </w:r>
      <w:r>
        <w:rPr>
          <w:rStyle w:val="FootnoteReference"/>
          <w:rFonts w:ascii="Arial" w:hAnsi="Arial" w:cs="Arial"/>
          <w:i/>
          <w:noProof/>
          <w:lang w:val="en-GB"/>
        </w:rPr>
        <w:footnoteReference w:id="352"/>
      </w:r>
      <w:r>
        <w:rPr>
          <w:rFonts w:ascii="Arial" w:hAnsi="Arial" w:cs="Arial"/>
          <w:noProof/>
          <w:lang w:val="en-GB"/>
        </w:rPr>
        <w:t>.</w:t>
      </w:r>
    </w:p>
    <w:p w:rsidR="00E201F7" w:rsidRDefault="00E24EFF">
      <w:pPr>
        <w:pStyle w:val="Lijstje"/>
        <w:numPr>
          <w:ilvl w:val="0"/>
          <w:numId w:val="51"/>
        </w:numPr>
        <w:spacing w:before="120" w:after="120"/>
        <w:ind w:left="1196" w:hanging="357"/>
        <w:rPr>
          <w:rFonts w:cs="Arial"/>
          <w:noProof/>
          <w:lang w:val="en-GB"/>
        </w:rPr>
      </w:pPr>
      <w:r>
        <w:rPr>
          <w:rFonts w:ascii="Arial" w:hAnsi="Arial"/>
          <w:noProof/>
          <w:lang w:val="en-GB"/>
        </w:rPr>
        <w:t>The Commi</w:t>
      </w:r>
      <w:r>
        <w:rPr>
          <w:rFonts w:ascii="Arial" w:hAnsi="Arial"/>
          <w:noProof/>
          <w:lang w:val="en-GB"/>
        </w:rPr>
        <w:t xml:space="preserve">ssion </w:t>
      </w:r>
      <w:r>
        <w:rPr>
          <w:rFonts w:cs="Arial"/>
          <w:noProof/>
          <w:lang w:val="en-GB"/>
        </w:rPr>
        <w:t>did not refer any case to the Court under Article 260(2) TFEU.</w:t>
      </w:r>
    </w:p>
    <w:p w:rsidR="00E201F7" w:rsidRDefault="00E24EFF">
      <w:pPr>
        <w:pStyle w:val="kop2"/>
        <w:rPr>
          <w:noProof/>
        </w:rPr>
      </w:pPr>
      <w:r>
        <w:rPr>
          <w:noProof/>
        </w:rPr>
        <w:t>TRANSPOSITION OF DIRECTIVES</w:t>
      </w:r>
    </w:p>
    <w:p w:rsidR="00E201F7" w:rsidRDefault="00E24EFF">
      <w:pPr>
        <w:numPr>
          <w:ilvl w:val="0"/>
          <w:numId w:val="143"/>
        </w:numPr>
        <w:spacing w:before="120"/>
        <w:jc w:val="left"/>
        <w:outlineLvl w:val="1"/>
        <w:rPr>
          <w:rFonts w:ascii="Arial" w:hAnsi="Arial"/>
          <w:noProof/>
          <w:color w:val="002060"/>
          <w:sz w:val="22"/>
        </w:rPr>
      </w:pPr>
      <w:r>
        <w:rPr>
          <w:rFonts w:ascii="Arial" w:hAnsi="Arial"/>
          <w:noProof/>
          <w:color w:val="002060"/>
          <w:sz w:val="22"/>
        </w:rPr>
        <w:t>New late transposition infringement cases (2013-2017)</w:t>
      </w:r>
    </w:p>
    <w:p w:rsidR="00E201F7" w:rsidRDefault="00E24EFF">
      <w:pPr>
        <w:ind w:left="720"/>
        <w:rPr>
          <w:rFonts w:ascii="Verdana" w:hAnsi="Verdana"/>
          <w:noProof/>
          <w:sz w:val="20"/>
        </w:rPr>
      </w:pPr>
      <w:r>
        <w:rPr>
          <w:rFonts w:ascii="Verdana" w:hAnsi="Verdana"/>
          <w:noProof/>
          <w:sz w:val="20"/>
        </w:rPr>
        <w:drawing>
          <wp:inline distT="0" distB="0" distL="0" distR="0" wp14:anchorId="7E7F24AE" wp14:editId="6EAF17E7">
            <wp:extent cx="4582160" cy="2092960"/>
            <wp:effectExtent l="0" t="0" r="27940" b="21590"/>
            <wp:docPr id="3" name="Grafiek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rsidR="00E201F7" w:rsidRDefault="00E24EFF">
      <w:pPr>
        <w:spacing w:after="0"/>
        <w:jc w:val="left"/>
        <w:rPr>
          <w:rFonts w:ascii="Verdana" w:hAnsi="Verdana"/>
          <w:noProof/>
          <w:sz w:val="20"/>
        </w:rPr>
      </w:pPr>
      <w:r>
        <w:rPr>
          <w:rFonts w:ascii="Verdana" w:hAnsi="Verdana"/>
          <w:noProof/>
          <w:sz w:val="20"/>
        </w:rPr>
        <w:br w:type="page"/>
      </w:r>
    </w:p>
    <w:p w:rsidR="00E201F7" w:rsidRDefault="00E24EFF">
      <w:pPr>
        <w:numPr>
          <w:ilvl w:val="0"/>
          <w:numId w:val="143"/>
        </w:numPr>
        <w:spacing w:before="120"/>
        <w:jc w:val="left"/>
        <w:outlineLvl w:val="1"/>
        <w:rPr>
          <w:rFonts w:ascii="Arial" w:hAnsi="Arial"/>
          <w:noProof/>
          <w:color w:val="002060"/>
          <w:sz w:val="22"/>
        </w:rPr>
      </w:pPr>
      <w:r>
        <w:rPr>
          <w:rFonts w:ascii="Arial" w:hAnsi="Arial"/>
          <w:noProof/>
          <w:color w:val="002060"/>
          <w:sz w:val="22"/>
        </w:rPr>
        <w:t>New late transposition infringement cases opened in 2017: main policy sectors</w:t>
      </w:r>
    </w:p>
    <w:p w:rsidR="00E201F7" w:rsidRDefault="00E24EFF">
      <w:pPr>
        <w:ind w:left="720"/>
        <w:rPr>
          <w:rFonts w:ascii="Verdana" w:hAnsi="Verdana"/>
          <w:noProof/>
          <w:sz w:val="20"/>
        </w:rPr>
      </w:pPr>
      <w:r>
        <w:rPr>
          <w:rFonts w:ascii="Verdana" w:hAnsi="Verdana"/>
          <w:noProof/>
          <w:sz w:val="20"/>
        </w:rPr>
        <w:drawing>
          <wp:inline distT="0" distB="0" distL="0" distR="0" wp14:anchorId="4E34D9F3" wp14:editId="5C9A21CE">
            <wp:extent cx="4958080" cy="2286000"/>
            <wp:effectExtent l="0" t="0" r="13970" b="19050"/>
            <wp:docPr id="85" name="Object 8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E201F7" w:rsidRDefault="00E24EFF">
      <w:pPr>
        <w:numPr>
          <w:ilvl w:val="0"/>
          <w:numId w:val="143"/>
        </w:numPr>
        <w:spacing w:before="120"/>
        <w:jc w:val="left"/>
        <w:outlineLvl w:val="1"/>
        <w:rPr>
          <w:rFonts w:ascii="Arial" w:hAnsi="Arial"/>
          <w:noProof/>
          <w:color w:val="002060"/>
          <w:sz w:val="22"/>
        </w:rPr>
      </w:pPr>
      <w:r>
        <w:rPr>
          <w:rFonts w:ascii="Arial" w:hAnsi="Arial"/>
          <w:noProof/>
          <w:color w:val="002060"/>
          <w:sz w:val="22"/>
        </w:rPr>
        <w:t xml:space="preserve">Key infringement </w:t>
      </w:r>
      <w:r>
        <w:rPr>
          <w:rFonts w:ascii="Arial" w:hAnsi="Arial"/>
          <w:noProof/>
          <w:color w:val="002060"/>
          <w:sz w:val="22"/>
        </w:rPr>
        <w:t>cases and referrals to the Court</w:t>
      </w:r>
    </w:p>
    <w:p w:rsidR="00E201F7" w:rsidRDefault="00E24EFF">
      <w:pPr>
        <w:numPr>
          <w:ilvl w:val="0"/>
          <w:numId w:val="61"/>
        </w:numPr>
        <w:spacing w:after="120"/>
        <w:ind w:left="1200" w:hanging="360"/>
        <w:rPr>
          <w:rFonts w:ascii="Arial" w:eastAsia="Calibri" w:hAnsi="Arial"/>
          <w:noProof/>
          <w:kern w:val="20"/>
          <w:sz w:val="20"/>
        </w:rPr>
      </w:pPr>
      <w:r>
        <w:rPr>
          <w:rFonts w:ascii="Arial" w:eastAsia="Calibri" w:hAnsi="Arial"/>
          <w:noProof/>
          <w:kern w:val="20"/>
          <w:sz w:val="20"/>
        </w:rPr>
        <w:t>The Commission opened 129 cases for late transposition in 2017. Most concern the:</w:t>
      </w:r>
    </w:p>
    <w:p w:rsidR="00E201F7" w:rsidRDefault="00E24EFF">
      <w:pPr>
        <w:pStyle w:val="ListParagraph"/>
        <w:numPr>
          <w:ilvl w:val="0"/>
          <w:numId w:val="67"/>
        </w:numPr>
        <w:spacing w:after="120"/>
        <w:ind w:left="1800"/>
        <w:rPr>
          <w:rFonts w:ascii="Arial" w:eastAsia="Calibri" w:hAnsi="Arial"/>
          <w:noProof/>
          <w:kern w:val="20"/>
          <w:sz w:val="20"/>
        </w:rPr>
      </w:pPr>
      <w:r>
        <w:rPr>
          <w:rFonts w:ascii="Arial" w:eastAsia="Calibri" w:hAnsi="Arial"/>
          <w:noProof/>
          <w:kern w:val="20"/>
          <w:sz w:val="20"/>
        </w:rPr>
        <w:t>Roadworthiness package (56 cases)</w:t>
      </w:r>
      <w:r>
        <w:rPr>
          <w:rStyle w:val="FootnoteReference"/>
          <w:rFonts w:ascii="Arial" w:eastAsia="Calibri" w:hAnsi="Arial"/>
          <w:noProof/>
          <w:kern w:val="20"/>
          <w:sz w:val="20"/>
        </w:rPr>
        <w:footnoteReference w:id="353"/>
      </w:r>
      <w:r>
        <w:rPr>
          <w:rFonts w:ascii="Arial" w:eastAsia="Calibri" w:hAnsi="Arial"/>
          <w:noProof/>
          <w:kern w:val="20"/>
          <w:sz w:val="20"/>
        </w:rPr>
        <w:t>;</w:t>
      </w:r>
    </w:p>
    <w:p w:rsidR="00E201F7" w:rsidRDefault="00E24EFF">
      <w:pPr>
        <w:pStyle w:val="ListParagraph"/>
        <w:numPr>
          <w:ilvl w:val="0"/>
          <w:numId w:val="67"/>
        </w:numPr>
        <w:spacing w:after="120"/>
        <w:ind w:left="1800"/>
        <w:rPr>
          <w:rFonts w:ascii="Arial" w:eastAsia="Calibri" w:hAnsi="Arial"/>
          <w:noProof/>
          <w:kern w:val="20"/>
          <w:sz w:val="20"/>
        </w:rPr>
      </w:pPr>
      <w:r>
        <w:rPr>
          <w:rFonts w:ascii="Arial" w:eastAsia="Calibri" w:hAnsi="Arial"/>
          <w:noProof/>
          <w:kern w:val="20"/>
          <w:sz w:val="20"/>
        </w:rPr>
        <w:t>Directive on the deployment of alternative fuels infrastructure (21 cases)</w:t>
      </w:r>
      <w:r>
        <w:rPr>
          <w:rStyle w:val="FootnoteReference"/>
          <w:rFonts w:ascii="Arial" w:eastAsia="Calibri" w:hAnsi="Arial"/>
          <w:noProof/>
          <w:kern w:val="20"/>
          <w:sz w:val="20"/>
        </w:rPr>
        <w:footnoteReference w:id="354"/>
      </w:r>
      <w:r>
        <w:rPr>
          <w:rFonts w:ascii="Arial" w:eastAsia="Calibri" w:hAnsi="Arial"/>
          <w:noProof/>
          <w:kern w:val="20"/>
          <w:sz w:val="20"/>
        </w:rPr>
        <w:t>;</w:t>
      </w:r>
    </w:p>
    <w:p w:rsidR="00E201F7" w:rsidRDefault="00E24EFF">
      <w:pPr>
        <w:pStyle w:val="ListParagraph"/>
        <w:numPr>
          <w:ilvl w:val="0"/>
          <w:numId w:val="67"/>
        </w:numPr>
        <w:spacing w:after="120"/>
        <w:ind w:left="1800"/>
        <w:rPr>
          <w:rFonts w:ascii="Arial" w:eastAsia="Calibri" w:hAnsi="Arial"/>
          <w:noProof/>
          <w:kern w:val="20"/>
          <w:sz w:val="20"/>
        </w:rPr>
      </w:pPr>
      <w:r>
        <w:rPr>
          <w:rFonts w:ascii="Arial" w:eastAsia="Calibri" w:hAnsi="Arial"/>
          <w:noProof/>
          <w:kern w:val="20"/>
          <w:sz w:val="20"/>
        </w:rPr>
        <w:t xml:space="preserve">Directive on port reception </w:t>
      </w:r>
      <w:r>
        <w:rPr>
          <w:rFonts w:ascii="Arial" w:eastAsia="Calibri" w:hAnsi="Arial"/>
          <w:noProof/>
          <w:kern w:val="20"/>
          <w:sz w:val="20"/>
        </w:rPr>
        <w:t>facilities for ship-generated waste and cargo residues (11 cases)</w:t>
      </w:r>
      <w:r>
        <w:rPr>
          <w:rStyle w:val="FootnoteReference"/>
          <w:rFonts w:ascii="Arial" w:eastAsia="Calibri" w:hAnsi="Arial"/>
          <w:noProof/>
          <w:kern w:val="20"/>
          <w:sz w:val="20"/>
        </w:rPr>
        <w:footnoteReference w:id="355"/>
      </w:r>
      <w:r>
        <w:rPr>
          <w:rFonts w:ascii="Arial" w:eastAsia="Calibri" w:hAnsi="Arial"/>
          <w:noProof/>
          <w:kern w:val="20"/>
          <w:sz w:val="20"/>
        </w:rPr>
        <w:t>.</w:t>
      </w:r>
    </w:p>
    <w:p w:rsidR="00E201F7" w:rsidRDefault="00E24EFF">
      <w:pPr>
        <w:numPr>
          <w:ilvl w:val="0"/>
          <w:numId w:val="61"/>
        </w:numPr>
        <w:spacing w:after="120"/>
        <w:ind w:left="1200" w:hanging="360"/>
        <w:rPr>
          <w:rFonts w:ascii="Arial" w:eastAsia="Calibri" w:hAnsi="Arial"/>
          <w:noProof/>
          <w:kern w:val="20"/>
          <w:sz w:val="20"/>
        </w:rPr>
      </w:pPr>
      <w:r>
        <w:rPr>
          <w:rFonts w:ascii="Arial" w:eastAsia="Calibri" w:hAnsi="Arial"/>
          <w:noProof/>
          <w:kern w:val="20"/>
          <w:sz w:val="20"/>
        </w:rPr>
        <w:t>The Commission did not refer any case to the Court under Articles 258 and 260(3) TFEU.</w:t>
      </w:r>
    </w:p>
    <w:p w:rsidR="00E201F7" w:rsidRDefault="00E24EFF">
      <w:pPr>
        <w:pStyle w:val="kop2"/>
        <w:rPr>
          <w:noProof/>
        </w:rPr>
      </w:pPr>
      <w:r>
        <w:rPr>
          <w:noProof/>
        </w:rPr>
        <w:t>EARLY RESOLUTION OF INFRINGEMENT CASES</w:t>
      </w:r>
    </w:p>
    <w:p w:rsidR="00E201F7" w:rsidRDefault="00E24EFF">
      <w:pPr>
        <w:spacing w:after="60"/>
        <w:ind w:left="360"/>
        <w:jc w:val="left"/>
        <w:outlineLvl w:val="1"/>
        <w:rPr>
          <w:rFonts w:ascii="Arial" w:hAnsi="Arial"/>
          <w:noProof/>
          <w:color w:val="002060"/>
          <w:sz w:val="22"/>
        </w:rPr>
      </w:pPr>
      <w:r>
        <w:rPr>
          <w:rFonts w:ascii="Arial" w:hAnsi="Arial"/>
          <w:noProof/>
          <w:color w:val="002060"/>
          <w:sz w:val="22"/>
        </w:rPr>
        <w:t>Major cases closed without a Court judgment in 2017</w:t>
      </w:r>
    </w:p>
    <w:p w:rsidR="00E201F7" w:rsidRDefault="00E24EFF">
      <w:pPr>
        <w:spacing w:before="120" w:after="200"/>
        <w:ind w:left="720"/>
        <w:rPr>
          <w:rFonts w:ascii="Arial" w:hAnsi="Arial"/>
          <w:noProof/>
          <w:sz w:val="20"/>
        </w:rPr>
      </w:pPr>
      <w:r>
        <w:rPr>
          <w:rFonts w:ascii="Arial" w:hAnsi="Arial"/>
          <w:noProof/>
          <w:sz w:val="20"/>
        </w:rPr>
        <w:t>These incl</w:t>
      </w:r>
      <w:r>
        <w:rPr>
          <w:rFonts w:ascii="Arial" w:hAnsi="Arial"/>
          <w:noProof/>
          <w:sz w:val="20"/>
        </w:rPr>
        <w:t>uded the following:</w:t>
      </w:r>
    </w:p>
    <w:p w:rsidR="00E201F7" w:rsidRDefault="00E24EFF">
      <w:pPr>
        <w:pStyle w:val="Lijstje2"/>
        <w:spacing w:after="120"/>
        <w:ind w:left="1196" w:hanging="357"/>
        <w:contextualSpacing w:val="0"/>
        <w:rPr>
          <w:rFonts w:ascii="Arial" w:hAnsi="Arial"/>
          <w:noProof/>
          <w:lang w:val="en-GB"/>
        </w:rPr>
      </w:pPr>
      <w:r>
        <w:rPr>
          <w:rFonts w:ascii="Arial" w:hAnsi="Arial"/>
          <w:i/>
          <w:noProof/>
          <w:lang w:val="en-GB"/>
        </w:rPr>
        <w:t>Belgium, Bulgaria, Denmark, Germany, Croatia, Cyprus, Austria, Portugal, Romania, Slovenia and Finland</w:t>
      </w:r>
      <w:r>
        <w:rPr>
          <w:rFonts w:ascii="Arial" w:hAnsi="Arial"/>
          <w:noProof/>
          <w:lang w:val="en-GB"/>
        </w:rPr>
        <w:t>: non-communication of national measures transposing the Directive</w:t>
      </w:r>
      <w:r>
        <w:rPr>
          <w:rFonts w:ascii="Arial" w:eastAsia="Times New Roman" w:hAnsi="Arial"/>
          <w:noProof/>
          <w:color w:val="3D3D3D"/>
          <w:kern w:val="0"/>
          <w:sz w:val="22"/>
          <w:lang w:val="en-GB"/>
        </w:rPr>
        <w:t xml:space="preserve"> </w:t>
      </w:r>
      <w:r>
        <w:rPr>
          <w:rFonts w:ascii="Arial" w:hAnsi="Arial"/>
          <w:noProof/>
          <w:lang w:val="en-GB"/>
        </w:rPr>
        <w:t xml:space="preserve">on port reception facilities for ship-generated waste and cargo </w:t>
      </w:r>
      <w:r>
        <w:rPr>
          <w:rFonts w:ascii="Arial" w:hAnsi="Arial"/>
          <w:noProof/>
          <w:lang w:val="en-GB"/>
        </w:rPr>
        <w:t>residues</w:t>
      </w:r>
      <w:r>
        <w:rPr>
          <w:rStyle w:val="FootnoteReference"/>
          <w:rFonts w:ascii="Arial" w:hAnsi="Arial"/>
          <w:noProof/>
          <w:lang w:val="en-GB"/>
        </w:rPr>
        <w:footnoteReference w:id="356"/>
      </w:r>
      <w:r>
        <w:rPr>
          <w:rFonts w:ascii="Arial" w:hAnsi="Arial"/>
          <w:noProof/>
          <w:lang w:val="en-GB"/>
        </w:rPr>
        <w:t>;</w:t>
      </w:r>
    </w:p>
    <w:p w:rsidR="00E201F7" w:rsidRDefault="00E24EFF">
      <w:pPr>
        <w:pStyle w:val="Lijstje2"/>
        <w:spacing w:after="120"/>
        <w:ind w:left="1196" w:hanging="357"/>
        <w:contextualSpacing w:val="0"/>
        <w:rPr>
          <w:rFonts w:ascii="Arial" w:hAnsi="Arial"/>
          <w:noProof/>
          <w:lang w:val="en-GB"/>
        </w:rPr>
      </w:pPr>
      <w:r>
        <w:rPr>
          <w:rFonts w:ascii="Arial" w:hAnsi="Arial" w:cs="Arial"/>
          <w:i/>
          <w:noProof/>
          <w:lang w:val="en-GB"/>
        </w:rPr>
        <w:t>Bulgaria,</w:t>
      </w:r>
      <w:r>
        <w:rPr>
          <w:rFonts w:ascii="Arial" w:hAnsi="Arial"/>
          <w:i/>
          <w:noProof/>
          <w:lang w:val="en-GB"/>
        </w:rPr>
        <w:t xml:space="preserve"> Czech Republic, Denmark, Germany, Ireland</w:t>
      </w:r>
      <w:r>
        <w:rPr>
          <w:rFonts w:ascii="Arial" w:hAnsi="Arial"/>
          <w:noProof/>
          <w:lang w:val="en-GB"/>
        </w:rPr>
        <w:t xml:space="preserve">, </w:t>
      </w:r>
      <w:r>
        <w:rPr>
          <w:rFonts w:ascii="Arial" w:hAnsi="Arial"/>
          <w:i/>
          <w:noProof/>
          <w:lang w:val="en-GB"/>
        </w:rPr>
        <w:t xml:space="preserve">Croatia, Cyprus, Luxembourg, Slovenia, Finland and United Kingdom: </w:t>
      </w:r>
      <w:r>
        <w:rPr>
          <w:rFonts w:ascii="Arial" w:hAnsi="Arial"/>
          <w:noProof/>
          <w:lang w:val="en-GB"/>
        </w:rPr>
        <w:t>incorrect implementation of the Directive on driving licences</w:t>
      </w:r>
      <w:r>
        <w:rPr>
          <w:rStyle w:val="FootnoteReference"/>
          <w:rFonts w:ascii="Arial" w:hAnsi="Arial"/>
          <w:noProof/>
          <w:lang w:val="en-GB"/>
        </w:rPr>
        <w:footnoteReference w:id="357"/>
      </w:r>
      <w:r>
        <w:rPr>
          <w:rFonts w:ascii="Arial" w:hAnsi="Arial"/>
          <w:noProof/>
          <w:lang w:val="en-GB"/>
        </w:rPr>
        <w:t>;</w:t>
      </w:r>
    </w:p>
    <w:p w:rsidR="00E201F7" w:rsidRDefault="00E24EFF">
      <w:pPr>
        <w:pStyle w:val="Lijstje2"/>
        <w:spacing w:after="120"/>
        <w:ind w:left="1196" w:hanging="357"/>
        <w:contextualSpacing w:val="0"/>
        <w:rPr>
          <w:rFonts w:ascii="Arial" w:hAnsi="Arial"/>
          <w:noProof/>
          <w:lang w:val="en-GB"/>
        </w:rPr>
      </w:pPr>
      <w:r>
        <w:rPr>
          <w:rFonts w:ascii="Arial" w:hAnsi="Arial"/>
          <w:i/>
          <w:noProof/>
          <w:lang w:val="en-GB"/>
        </w:rPr>
        <w:t>Bulgaria, Ireland, Spain, France, Cyprus, Latvia, Luxembourg,</w:t>
      </w:r>
      <w:r>
        <w:rPr>
          <w:rFonts w:ascii="Arial" w:hAnsi="Arial"/>
          <w:i/>
          <w:noProof/>
          <w:lang w:val="en-GB"/>
        </w:rPr>
        <w:t xml:space="preserve"> Hungary Poland, Portugal, Slovenia and United Kingdom:</w:t>
      </w:r>
      <w:r>
        <w:rPr>
          <w:rFonts w:ascii="Arial" w:eastAsia="Times New Roman" w:hAnsi="Arial"/>
          <w:noProof/>
          <w:kern w:val="0"/>
          <w:sz w:val="22"/>
          <w:lang w:val="en-GB"/>
        </w:rPr>
        <w:t xml:space="preserve"> </w:t>
      </w:r>
      <w:r>
        <w:rPr>
          <w:rFonts w:ascii="Arial" w:hAnsi="Arial"/>
          <w:noProof/>
          <w:lang w:val="en-GB"/>
        </w:rPr>
        <w:t>non-communication of national measures transposing the Directive</w:t>
      </w:r>
      <w:r>
        <w:rPr>
          <w:rFonts w:ascii="Arial" w:eastAsia="Times New Roman" w:hAnsi="Arial"/>
          <w:noProof/>
          <w:color w:val="3D3D3D"/>
          <w:kern w:val="0"/>
          <w:sz w:val="22"/>
          <w:lang w:val="en-GB"/>
        </w:rPr>
        <w:t xml:space="preserve"> </w:t>
      </w:r>
      <w:r>
        <w:rPr>
          <w:rFonts w:ascii="Arial" w:hAnsi="Arial"/>
          <w:noProof/>
          <w:lang w:val="en-GB"/>
        </w:rPr>
        <w:t>on marine equipment</w:t>
      </w:r>
      <w:r>
        <w:rPr>
          <w:rStyle w:val="FootnoteReference"/>
          <w:rFonts w:ascii="Arial" w:hAnsi="Arial"/>
          <w:noProof/>
          <w:lang w:val="en-GB"/>
        </w:rPr>
        <w:footnoteReference w:id="358"/>
      </w:r>
      <w:r>
        <w:rPr>
          <w:rFonts w:ascii="Arial" w:hAnsi="Arial"/>
          <w:noProof/>
          <w:lang w:val="en-GB"/>
        </w:rPr>
        <w:t>;</w:t>
      </w:r>
    </w:p>
    <w:p w:rsidR="00E201F7" w:rsidRDefault="00E24EFF">
      <w:pPr>
        <w:pStyle w:val="Lijstje2"/>
        <w:spacing w:after="120"/>
        <w:ind w:left="1196" w:hanging="357"/>
        <w:contextualSpacing w:val="0"/>
        <w:rPr>
          <w:rFonts w:ascii="Arial" w:hAnsi="Arial" w:cs="Arial"/>
          <w:noProof/>
          <w:lang w:val="en-GB"/>
        </w:rPr>
      </w:pPr>
      <w:r>
        <w:rPr>
          <w:rFonts w:ascii="Arial" w:hAnsi="Arial" w:cs="Arial"/>
          <w:i/>
          <w:noProof/>
          <w:lang w:val="en-GB"/>
        </w:rPr>
        <w:t xml:space="preserve">Germany and Slovenia: </w:t>
      </w:r>
      <w:r>
        <w:rPr>
          <w:rFonts w:ascii="Arial" w:hAnsi="Arial" w:cs="Arial"/>
          <w:noProof/>
          <w:lang w:val="en-GB"/>
        </w:rPr>
        <w:t>non-implementation of Regulations in the area of aviation safety (lack of appropriate recou</w:t>
      </w:r>
      <w:r>
        <w:rPr>
          <w:rFonts w:ascii="Arial" w:hAnsi="Arial" w:cs="Arial"/>
          <w:noProof/>
          <w:lang w:val="en-GB"/>
        </w:rPr>
        <w:t>rses)</w:t>
      </w:r>
      <w:r>
        <w:rPr>
          <w:rStyle w:val="FootnoteReference"/>
          <w:rFonts w:ascii="Arial" w:hAnsi="Arial" w:cs="Arial"/>
          <w:noProof/>
          <w:lang w:val="en-GB"/>
        </w:rPr>
        <w:footnoteReference w:id="359"/>
      </w:r>
      <w:r>
        <w:rPr>
          <w:rFonts w:ascii="Arial" w:hAnsi="Arial" w:cs="Arial"/>
          <w:noProof/>
          <w:lang w:val="en-GB"/>
        </w:rPr>
        <w:t>;</w:t>
      </w:r>
    </w:p>
    <w:p w:rsidR="00E201F7" w:rsidRDefault="00E24EFF">
      <w:pPr>
        <w:pStyle w:val="Lijstje2"/>
        <w:spacing w:after="120"/>
        <w:ind w:left="1196" w:hanging="357"/>
        <w:contextualSpacing w:val="0"/>
        <w:rPr>
          <w:rFonts w:ascii="Arial" w:hAnsi="Arial" w:cs="Arial"/>
          <w:noProof/>
          <w:lang w:val="en-GB"/>
        </w:rPr>
      </w:pPr>
      <w:r>
        <w:rPr>
          <w:rFonts w:ascii="Arial" w:hAnsi="Arial" w:cs="Arial"/>
          <w:i/>
          <w:noProof/>
          <w:lang w:val="en-GB"/>
        </w:rPr>
        <w:t>Croatia and United Kingdom</w:t>
      </w:r>
      <w:r>
        <w:rPr>
          <w:rFonts w:ascii="Arial" w:hAnsi="Arial" w:cs="Arial"/>
          <w:noProof/>
          <w:lang w:val="en-GB"/>
        </w:rPr>
        <w:t xml:space="preserve">: non-communication of national measures transposing the Directive on the deployment of alternative fuels; </w:t>
      </w:r>
      <w:r>
        <w:rPr>
          <w:rStyle w:val="FootnoteReference"/>
          <w:rFonts w:ascii="Arial" w:hAnsi="Arial" w:cs="Arial"/>
          <w:noProof/>
          <w:lang w:val="en-GB"/>
        </w:rPr>
        <w:footnoteReference w:id="360"/>
      </w:r>
    </w:p>
    <w:p w:rsidR="00E201F7" w:rsidRDefault="00E24EFF">
      <w:pPr>
        <w:pStyle w:val="Lijstje2"/>
        <w:spacing w:after="120"/>
        <w:ind w:left="1196" w:hanging="357"/>
        <w:contextualSpacing w:val="0"/>
        <w:rPr>
          <w:rFonts w:ascii="Arial" w:hAnsi="Arial" w:cs="Arial"/>
          <w:noProof/>
          <w:lang w:val="en-GB"/>
        </w:rPr>
      </w:pPr>
      <w:r>
        <w:rPr>
          <w:rFonts w:ascii="Arial" w:hAnsi="Arial" w:cs="Arial"/>
          <w:i/>
          <w:noProof/>
          <w:lang w:val="en-GB"/>
        </w:rPr>
        <w:t xml:space="preserve">Austria: </w:t>
      </w:r>
      <w:r>
        <w:rPr>
          <w:rFonts w:ascii="Arial" w:hAnsi="Arial" w:cs="Arial"/>
          <w:noProof/>
          <w:lang w:val="en-GB"/>
        </w:rPr>
        <w:t>non-compliance with the Directive establishing a single European railway area (separation of accounts)</w:t>
      </w:r>
      <w:r>
        <w:rPr>
          <w:rStyle w:val="FootnoteReference"/>
          <w:rFonts w:ascii="Arial" w:hAnsi="Arial" w:cs="Arial"/>
          <w:noProof/>
          <w:lang w:val="en-GB"/>
        </w:rPr>
        <w:footnoteReference w:id="361"/>
      </w:r>
      <w:r>
        <w:rPr>
          <w:rFonts w:ascii="Arial" w:hAnsi="Arial" w:cs="Arial"/>
          <w:noProof/>
          <w:lang w:val="en-GB"/>
        </w:rPr>
        <w:t>;</w:t>
      </w:r>
    </w:p>
    <w:p w:rsidR="00E201F7" w:rsidRDefault="00E24EFF">
      <w:pPr>
        <w:pStyle w:val="Lijstje2"/>
        <w:spacing w:after="120"/>
        <w:ind w:left="1196" w:hanging="357"/>
        <w:contextualSpacing w:val="0"/>
        <w:rPr>
          <w:rFonts w:ascii="Arial" w:hAnsi="Arial" w:cs="Arial"/>
          <w:noProof/>
          <w:lang w:val="en-GB"/>
        </w:rPr>
      </w:pPr>
      <w:r>
        <w:rPr>
          <w:rFonts w:ascii="Arial" w:hAnsi="Arial" w:cs="Arial"/>
          <w:i/>
          <w:noProof/>
          <w:lang w:val="en-GB"/>
        </w:rPr>
        <w:t>Romania</w:t>
      </w:r>
      <w:r>
        <w:rPr>
          <w:rFonts w:ascii="Arial" w:hAnsi="Arial" w:cs="Arial"/>
          <w:noProof/>
          <w:lang w:val="en-GB"/>
        </w:rPr>
        <w:t>: non-communication of national measures transposing the Directive</w:t>
      </w:r>
      <w:r>
        <w:rPr>
          <w:rFonts w:ascii="Arial" w:eastAsia="Times New Roman" w:hAnsi="Arial" w:cs="Arial"/>
          <w:noProof/>
          <w:color w:val="3D3D3D"/>
          <w:kern w:val="0"/>
          <w:sz w:val="22"/>
          <w:lang w:val="en-GB"/>
        </w:rPr>
        <w:t xml:space="preserve"> </w:t>
      </w:r>
      <w:r>
        <w:rPr>
          <w:rFonts w:ascii="Arial" w:hAnsi="Arial" w:cs="Arial"/>
          <w:noProof/>
          <w:lang w:val="en-GB"/>
        </w:rPr>
        <w:t>on the charging of heavy goods vehicles for the use of certain infrastructures</w:t>
      </w:r>
      <w:r>
        <w:rPr>
          <w:rStyle w:val="FootnoteReference"/>
          <w:rFonts w:ascii="Arial" w:hAnsi="Arial" w:cs="Arial"/>
          <w:noProof/>
          <w:lang w:val="en-GB"/>
        </w:rPr>
        <w:footnoteReference w:id="362"/>
      </w:r>
      <w:r>
        <w:rPr>
          <w:rFonts w:ascii="Arial" w:hAnsi="Arial" w:cs="Arial"/>
          <w:noProof/>
          <w:lang w:val="en-GB"/>
        </w:rPr>
        <w:t>;</w:t>
      </w:r>
    </w:p>
    <w:p w:rsidR="00E201F7" w:rsidRDefault="00E24EFF">
      <w:pPr>
        <w:pStyle w:val="Lijstje2"/>
        <w:spacing w:after="120"/>
        <w:ind w:left="1196" w:hanging="357"/>
        <w:contextualSpacing w:val="0"/>
        <w:rPr>
          <w:rFonts w:ascii="Arial" w:hAnsi="Arial" w:cs="Arial"/>
          <w:noProof/>
          <w:lang w:val="en-GB"/>
        </w:rPr>
      </w:pPr>
      <w:r>
        <w:rPr>
          <w:rFonts w:ascii="Arial" w:hAnsi="Arial" w:cs="Arial"/>
          <w:i/>
          <w:noProof/>
          <w:lang w:val="en-GB"/>
        </w:rPr>
        <w:t>Sweden</w:t>
      </w:r>
      <w:r>
        <w:rPr>
          <w:rFonts w:ascii="Arial" w:hAnsi="Arial" w:cs="Arial"/>
          <w:noProof/>
          <w:lang w:val="en-GB"/>
        </w:rPr>
        <w:t>: non-communication of national measures transposing the Directive</w:t>
      </w:r>
      <w:r>
        <w:rPr>
          <w:rFonts w:ascii="Lucida Sans Unicode" w:eastAsia="Times New Roman" w:hAnsi="Lucida Sans Unicode" w:cs="Lucida Sans Unicode"/>
          <w:b/>
          <w:bCs/>
          <w:noProof/>
          <w:color w:val="444444"/>
          <w:kern w:val="0"/>
          <w:sz w:val="19"/>
          <w:szCs w:val="19"/>
          <w:lang w:val="en-GB"/>
        </w:rPr>
        <w:t xml:space="preserve"> </w:t>
      </w:r>
      <w:r>
        <w:rPr>
          <w:rFonts w:ascii="Arial" w:hAnsi="Arial" w:cs="Arial"/>
          <w:bCs/>
          <w:noProof/>
          <w:lang w:val="en-GB"/>
        </w:rPr>
        <w:t xml:space="preserve">on maximum authorised </w:t>
      </w:r>
      <w:r>
        <w:rPr>
          <w:rFonts w:ascii="Arial" w:hAnsi="Arial" w:cs="Arial"/>
          <w:bCs/>
          <w:noProof/>
          <w:lang w:val="en-GB"/>
        </w:rPr>
        <w:t>dimensions in national and international traffic and the maximum authorised weights in international traffic</w:t>
      </w:r>
      <w:r>
        <w:rPr>
          <w:rStyle w:val="FootnoteReference"/>
          <w:rFonts w:ascii="Arial" w:hAnsi="Arial" w:cs="Arial"/>
          <w:noProof/>
          <w:lang w:val="en-GB"/>
        </w:rPr>
        <w:footnoteReference w:id="363"/>
      </w:r>
      <w:r>
        <w:rPr>
          <w:rFonts w:ascii="Arial" w:hAnsi="Arial" w:cs="Arial"/>
          <w:bCs/>
          <w:noProof/>
          <w:lang w:val="en-GB"/>
        </w:rPr>
        <w:t>.</w:t>
      </w:r>
    </w:p>
    <w:p w:rsidR="00E201F7" w:rsidRDefault="00E24EFF">
      <w:pPr>
        <w:pStyle w:val="kop2"/>
        <w:rPr>
          <w:noProof/>
        </w:rPr>
      </w:pPr>
      <w:r>
        <w:rPr>
          <w:noProof/>
        </w:rPr>
        <w:t>IMPORTANT JUDGMENTS</w:t>
      </w:r>
    </w:p>
    <w:p w:rsidR="00E201F7" w:rsidRDefault="00E24EFF">
      <w:pPr>
        <w:numPr>
          <w:ilvl w:val="0"/>
          <w:numId w:val="39"/>
        </w:numPr>
        <w:spacing w:after="60"/>
        <w:jc w:val="left"/>
        <w:outlineLvl w:val="1"/>
        <w:rPr>
          <w:noProof/>
          <w:color w:val="002060"/>
        </w:rPr>
      </w:pPr>
      <w:r>
        <w:rPr>
          <w:rFonts w:ascii="Arial" w:hAnsi="Arial"/>
          <w:noProof/>
          <w:color w:val="002060"/>
          <w:sz w:val="22"/>
        </w:rPr>
        <w:t>Court rulings</w:t>
      </w:r>
      <w:r>
        <w:rPr>
          <w:rStyle w:val="FootnoteReference"/>
          <w:noProof/>
          <w:color w:val="002060"/>
        </w:rPr>
        <w:footnoteReference w:id="364"/>
      </w:r>
    </w:p>
    <w:p w:rsidR="00E201F7" w:rsidRDefault="00E24EFF">
      <w:pPr>
        <w:spacing w:before="120"/>
        <w:ind w:left="720"/>
        <w:rPr>
          <w:rFonts w:ascii="Arial" w:hAnsi="Arial"/>
          <w:noProof/>
          <w:sz w:val="20"/>
        </w:rPr>
      </w:pPr>
      <w:r>
        <w:rPr>
          <w:rFonts w:ascii="Arial" w:hAnsi="Arial"/>
          <w:noProof/>
          <w:sz w:val="20"/>
        </w:rPr>
        <w:t>The Court gave the following rulings.</w:t>
      </w:r>
    </w:p>
    <w:p w:rsidR="00E201F7" w:rsidRDefault="00E24EFF">
      <w:pPr>
        <w:pStyle w:val="ListParagraph"/>
        <w:numPr>
          <w:ilvl w:val="0"/>
          <w:numId w:val="41"/>
        </w:numPr>
        <w:spacing w:after="120"/>
        <w:ind w:left="1196" w:hanging="357"/>
        <w:contextualSpacing w:val="0"/>
        <w:rPr>
          <w:rFonts w:ascii="Arial" w:hAnsi="Arial"/>
          <w:noProof/>
          <w:sz w:val="20"/>
        </w:rPr>
      </w:pPr>
      <w:r>
        <w:rPr>
          <w:rFonts w:ascii="Arial" w:hAnsi="Arial"/>
          <w:i/>
          <w:noProof/>
          <w:sz w:val="20"/>
        </w:rPr>
        <w:t xml:space="preserve">Spain: </w:t>
      </w:r>
      <w:smartTag w:uri="urn:schemas-microsoft-com:office:smarttags" w:element="country-region">
        <w:smartTag w:uri="urn:schemas-microsoft-com:office:smarttags" w:element="place">
          <w:r>
            <w:rPr>
              <w:rFonts w:ascii="Arial" w:hAnsi="Arial"/>
              <w:noProof/>
              <w:sz w:val="20"/>
            </w:rPr>
            <w:t>Spain</w:t>
          </w:r>
        </w:smartTag>
      </w:smartTag>
      <w:r>
        <w:rPr>
          <w:rFonts w:ascii="Arial" w:hAnsi="Arial"/>
          <w:noProof/>
          <w:sz w:val="20"/>
        </w:rPr>
        <w:t xml:space="preserve"> failed to comply with a 2014 Court judgment on freedom of establishment at Spanish ports</w:t>
      </w:r>
      <w:r>
        <w:rPr>
          <w:rStyle w:val="FootnoteReference"/>
          <w:rFonts w:ascii="Arial" w:hAnsi="Arial"/>
          <w:noProof/>
          <w:sz w:val="20"/>
        </w:rPr>
        <w:footnoteReference w:id="365"/>
      </w:r>
      <w:r>
        <w:rPr>
          <w:rFonts w:ascii="Arial" w:hAnsi="Arial"/>
          <w:noProof/>
          <w:sz w:val="20"/>
        </w:rPr>
        <w:t>. The Court ordered Spain to pay a lump sum of EUR 3 million</w:t>
      </w:r>
      <w:r>
        <w:rPr>
          <w:rStyle w:val="FootnoteReference"/>
          <w:rFonts w:ascii="Arial" w:hAnsi="Arial"/>
          <w:noProof/>
          <w:sz w:val="20"/>
        </w:rPr>
        <w:footnoteReference w:id="366"/>
      </w:r>
      <w:r>
        <w:rPr>
          <w:rFonts w:ascii="Arial" w:hAnsi="Arial" w:cs="Arial"/>
          <w:noProof/>
          <w:sz w:val="20"/>
        </w:rPr>
        <w:t>;</w:t>
      </w:r>
    </w:p>
    <w:p w:rsidR="00E201F7" w:rsidRDefault="00E24EFF">
      <w:pPr>
        <w:pStyle w:val="ListParagraph"/>
        <w:numPr>
          <w:ilvl w:val="0"/>
          <w:numId w:val="41"/>
        </w:numPr>
        <w:spacing w:after="120"/>
        <w:ind w:left="1196" w:hanging="357"/>
        <w:contextualSpacing w:val="0"/>
        <w:rPr>
          <w:rFonts w:ascii="Arial" w:hAnsi="Arial"/>
          <w:i/>
          <w:noProof/>
          <w:sz w:val="20"/>
        </w:rPr>
      </w:pPr>
      <w:r>
        <w:rPr>
          <w:rFonts w:ascii="Arial" w:hAnsi="Arial"/>
          <w:i/>
          <w:noProof/>
          <w:sz w:val="20"/>
        </w:rPr>
        <w:t xml:space="preserve">Germany: </w:t>
      </w:r>
      <w:r>
        <w:rPr>
          <w:rFonts w:ascii="Arial" w:hAnsi="Arial"/>
          <w:noProof/>
          <w:sz w:val="20"/>
        </w:rPr>
        <w:t xml:space="preserve">Member States have to ensure that accounts of railway undertakings are kept </w:t>
      </w:r>
      <w:r>
        <w:rPr>
          <w:rFonts w:ascii="Arial" w:hAnsi="Arial" w:cs="Arial"/>
          <w:noProof/>
          <w:sz w:val="20"/>
          <w:szCs w:val="20"/>
        </w:rPr>
        <w:t xml:space="preserve">in a way that makes it possible </w:t>
      </w:r>
      <w:r>
        <w:rPr>
          <w:rStyle w:val="bold"/>
          <w:rFonts w:ascii="Arial" w:hAnsi="Arial" w:cs="Arial"/>
          <w:noProof/>
          <w:sz w:val="20"/>
          <w:szCs w:val="20"/>
        </w:rPr>
        <w:t>to monitor the prohibition of transferring public funds earmarked for the management of railway infrastructure to transport services</w:t>
      </w:r>
      <w:r>
        <w:rPr>
          <w:rStyle w:val="FootnoteReference"/>
          <w:rFonts w:ascii="Arial" w:hAnsi="Arial"/>
          <w:noProof/>
          <w:sz w:val="20"/>
        </w:rPr>
        <w:footnoteReference w:id="367"/>
      </w:r>
      <w:r>
        <w:rPr>
          <w:rFonts w:ascii="Arial" w:hAnsi="Arial"/>
          <w:noProof/>
          <w:sz w:val="20"/>
        </w:rPr>
        <w:t>.</w:t>
      </w:r>
    </w:p>
    <w:p w:rsidR="00E201F7" w:rsidRDefault="00E24EFF">
      <w:pPr>
        <w:pStyle w:val="ListParagraph"/>
        <w:numPr>
          <w:ilvl w:val="0"/>
          <w:numId w:val="41"/>
        </w:numPr>
        <w:spacing w:after="120"/>
        <w:ind w:left="1196" w:hanging="357"/>
        <w:contextualSpacing w:val="0"/>
        <w:rPr>
          <w:rFonts w:ascii="Arial" w:hAnsi="Arial"/>
          <w:i/>
          <w:noProof/>
          <w:sz w:val="20"/>
        </w:rPr>
      </w:pPr>
      <w:r>
        <w:rPr>
          <w:rFonts w:ascii="Arial" w:hAnsi="Arial"/>
          <w:i/>
          <w:noProof/>
          <w:sz w:val="20"/>
        </w:rPr>
        <w:t xml:space="preserve">Germany: </w:t>
      </w:r>
      <w:smartTag w:uri="urn:schemas-microsoft-com:office:smarttags" w:element="country-region">
        <w:smartTag w:uri="urn:schemas-microsoft-com:office:smarttags" w:element="place">
          <w:r>
            <w:rPr>
              <w:rFonts w:ascii="Arial" w:hAnsi="Arial"/>
              <w:noProof/>
              <w:sz w:val="20"/>
            </w:rPr>
            <w:t>Germany</w:t>
          </w:r>
        </w:smartTag>
      </w:smartTag>
      <w:r>
        <w:rPr>
          <w:rFonts w:ascii="Arial" w:hAnsi="Arial"/>
          <w:noProof/>
          <w:sz w:val="20"/>
        </w:rPr>
        <w:t xml:space="preserve"> failed to fulfil its port security obligations in relation to port bound</w:t>
      </w:r>
      <w:r>
        <w:rPr>
          <w:rFonts w:ascii="Arial" w:hAnsi="Arial"/>
          <w:noProof/>
          <w:sz w:val="20"/>
        </w:rPr>
        <w:t>aries, port security assessments and port security officers</w:t>
      </w:r>
      <w:r>
        <w:rPr>
          <w:rStyle w:val="FootnoteReference"/>
          <w:rFonts w:ascii="Arial" w:hAnsi="Arial"/>
          <w:noProof/>
          <w:sz w:val="20"/>
        </w:rPr>
        <w:footnoteReference w:id="368"/>
      </w:r>
      <w:r>
        <w:rPr>
          <w:rFonts w:ascii="Arial" w:hAnsi="Arial" w:cs="Arial"/>
          <w:noProof/>
          <w:sz w:val="20"/>
        </w:rPr>
        <w:t>;</w:t>
      </w:r>
    </w:p>
    <w:p w:rsidR="00E201F7" w:rsidRDefault="00E24EFF">
      <w:pPr>
        <w:pStyle w:val="ListParagraph"/>
        <w:numPr>
          <w:ilvl w:val="0"/>
          <w:numId w:val="41"/>
        </w:numPr>
        <w:spacing w:after="120"/>
        <w:ind w:left="1196" w:hanging="357"/>
        <w:contextualSpacing w:val="0"/>
        <w:rPr>
          <w:rFonts w:ascii="Arial" w:hAnsi="Arial" w:cs="Arial"/>
          <w:i/>
          <w:noProof/>
          <w:sz w:val="20"/>
        </w:rPr>
      </w:pPr>
      <w:r>
        <w:rPr>
          <w:rFonts w:ascii="Arial" w:hAnsi="Arial" w:cs="Arial"/>
          <w:i/>
          <w:noProof/>
          <w:sz w:val="20"/>
        </w:rPr>
        <w:t xml:space="preserve">Portugal: </w:t>
      </w:r>
      <w:r>
        <w:rPr>
          <w:rFonts w:ascii="Arial" w:hAnsi="Arial" w:cs="Arial"/>
          <w:noProof/>
          <w:sz w:val="20"/>
        </w:rPr>
        <w:t>Portugal failed to fulfil its obligations under the Directive on driving licences as it failed to connect to the ‘Resper’ network</w:t>
      </w:r>
      <w:r>
        <w:rPr>
          <w:rStyle w:val="FootnoteReference"/>
          <w:rFonts w:ascii="Arial" w:hAnsi="Arial" w:cs="Arial"/>
          <w:noProof/>
          <w:sz w:val="20"/>
        </w:rPr>
        <w:footnoteReference w:id="369"/>
      </w:r>
      <w:r>
        <w:rPr>
          <w:rFonts w:ascii="Arial" w:hAnsi="Arial" w:cs="Arial"/>
          <w:noProof/>
          <w:sz w:val="20"/>
        </w:rPr>
        <w:t>.</w:t>
      </w:r>
    </w:p>
    <w:p w:rsidR="00E201F7" w:rsidRDefault="00E24EFF">
      <w:pPr>
        <w:numPr>
          <w:ilvl w:val="0"/>
          <w:numId w:val="39"/>
        </w:numPr>
        <w:spacing w:after="60"/>
        <w:jc w:val="left"/>
        <w:outlineLvl w:val="1"/>
        <w:rPr>
          <w:rFonts w:ascii="Arial" w:hAnsi="Arial"/>
          <w:noProof/>
          <w:color w:val="002060"/>
          <w:sz w:val="22"/>
        </w:rPr>
      </w:pPr>
      <w:r>
        <w:rPr>
          <w:rFonts w:ascii="Arial" w:hAnsi="Arial"/>
          <w:noProof/>
          <w:color w:val="002060"/>
          <w:sz w:val="22"/>
        </w:rPr>
        <w:t>Preliminary rulings</w:t>
      </w:r>
    </w:p>
    <w:p w:rsidR="00E201F7" w:rsidRDefault="00E24EFF">
      <w:pPr>
        <w:pStyle w:val="Basis"/>
        <w:rPr>
          <w:rFonts w:ascii="Arial" w:hAnsi="Arial" w:cs="Arial"/>
          <w:noProof/>
          <w:lang w:val="en-GB"/>
        </w:rPr>
      </w:pPr>
      <w:r>
        <w:rPr>
          <w:rFonts w:ascii="Arial" w:hAnsi="Arial" w:cs="Arial"/>
          <w:noProof/>
          <w:lang w:val="en-GB"/>
        </w:rPr>
        <w:t>The Court gave the following pre</w:t>
      </w:r>
      <w:r>
        <w:rPr>
          <w:rFonts w:ascii="Arial" w:hAnsi="Arial" w:cs="Arial"/>
          <w:noProof/>
          <w:lang w:val="en-GB"/>
        </w:rPr>
        <w:t>liminary rulings.</w:t>
      </w:r>
    </w:p>
    <w:p w:rsidR="00E201F7" w:rsidRDefault="00E24EFF">
      <w:pPr>
        <w:pStyle w:val="Lijstje2"/>
        <w:spacing w:before="120" w:after="0"/>
        <w:ind w:left="1196" w:hanging="357"/>
        <w:contextualSpacing w:val="0"/>
        <w:rPr>
          <w:rFonts w:ascii="Arial" w:hAnsi="Arial" w:cs="Arial"/>
          <w:noProof/>
          <w:lang w:val="en-GB"/>
        </w:rPr>
      </w:pPr>
      <w:r>
        <w:rPr>
          <w:rFonts w:ascii="Arial" w:hAnsi="Arial" w:cs="Arial"/>
          <w:i/>
          <w:noProof/>
          <w:lang w:val="en-GB"/>
        </w:rPr>
        <w:t xml:space="preserve">Czech </w:t>
      </w:r>
      <w:smartTag w:uri="urn:schemas-microsoft-com:office:smarttags" w:element="PlaceType">
        <w:r>
          <w:rPr>
            <w:rFonts w:ascii="Arial" w:hAnsi="Arial" w:cs="Arial"/>
            <w:i/>
            <w:noProof/>
            <w:lang w:val="en-GB"/>
          </w:rPr>
          <w:t>Republic</w:t>
        </w:r>
      </w:smartTag>
      <w:r>
        <w:rPr>
          <w:rFonts w:ascii="Arial" w:hAnsi="Arial" w:cs="Arial"/>
          <w:noProof/>
          <w:lang w:val="en-GB"/>
        </w:rPr>
        <w:t xml:space="preserve">: A collision between an aircraft and a bird is an extraordinary circumstance exempting the carrier from the obligation to pay compensation in the event of significant delay. That delay cannot be justified by the alleged </w:t>
      </w:r>
      <w:r>
        <w:rPr>
          <w:rFonts w:ascii="Arial" w:hAnsi="Arial" w:cs="Arial"/>
          <w:noProof/>
          <w:lang w:val="en-GB"/>
        </w:rPr>
        <w:t>need to carry out a second check where an authorised expert found that the aircraft was airworthy after the collision</w:t>
      </w:r>
      <w:r>
        <w:rPr>
          <w:rStyle w:val="FootnoteReference"/>
          <w:rFonts w:ascii="Arial" w:hAnsi="Arial" w:cs="Arial"/>
          <w:noProof/>
          <w:lang w:val="en-GB"/>
        </w:rPr>
        <w:footnoteReference w:id="370"/>
      </w:r>
      <w:r>
        <w:rPr>
          <w:rFonts w:ascii="Arial" w:hAnsi="Arial" w:cs="Arial"/>
          <w:noProof/>
          <w:lang w:val="en-GB"/>
        </w:rPr>
        <w:t>.</w:t>
      </w:r>
    </w:p>
    <w:p w:rsidR="00E201F7" w:rsidRDefault="00E24EFF">
      <w:pPr>
        <w:pStyle w:val="Lijstje2"/>
        <w:spacing w:before="120" w:after="0"/>
        <w:ind w:left="1196" w:hanging="357"/>
        <w:contextualSpacing w:val="0"/>
        <w:rPr>
          <w:rFonts w:ascii="Arial" w:hAnsi="Arial" w:cs="Arial"/>
          <w:noProof/>
          <w:lang w:val="en-GB"/>
        </w:rPr>
      </w:pPr>
      <w:r>
        <w:rPr>
          <w:rFonts w:ascii="Arial" w:hAnsi="Arial" w:cs="Arial"/>
          <w:i/>
          <w:noProof/>
          <w:lang w:val="en-GB"/>
        </w:rPr>
        <w:t xml:space="preserve">Germany: </w:t>
      </w:r>
      <w:r>
        <w:rPr>
          <w:rFonts w:ascii="Arial" w:hAnsi="Arial" w:cs="Arial"/>
          <w:noProof/>
          <w:lang w:val="en-GB"/>
        </w:rPr>
        <w:t xml:space="preserve">EU law precludes the application of national provisions providing for a review of the equity of charges for the use of railway </w:t>
      </w:r>
      <w:r>
        <w:rPr>
          <w:rFonts w:ascii="Arial" w:hAnsi="Arial" w:cs="Arial"/>
          <w:noProof/>
          <w:lang w:val="en-GB"/>
        </w:rPr>
        <w:t>infrastructure, on a case-by-case basis, by the ordinary courts and the possibility, if necessary, of amending the amount of those charges, independently of the monitoring performed by the regulatory body provided for in EU law</w:t>
      </w:r>
      <w:r>
        <w:rPr>
          <w:rStyle w:val="FootnoteReference"/>
          <w:rFonts w:ascii="Arial" w:hAnsi="Arial" w:cs="Arial"/>
          <w:noProof/>
          <w:lang w:val="en-GB"/>
        </w:rPr>
        <w:footnoteReference w:id="371"/>
      </w:r>
      <w:r>
        <w:rPr>
          <w:rFonts w:ascii="Arial" w:hAnsi="Arial" w:cs="Arial"/>
          <w:i/>
          <w:noProof/>
          <w:lang w:val="en-GB"/>
        </w:rPr>
        <w:t>.</w:t>
      </w:r>
    </w:p>
    <w:p w:rsidR="00E201F7" w:rsidRDefault="00E24EFF">
      <w:pPr>
        <w:pStyle w:val="Lijstje2"/>
        <w:spacing w:before="120" w:after="0"/>
        <w:ind w:left="1196" w:hanging="357"/>
        <w:contextualSpacing w:val="0"/>
        <w:rPr>
          <w:rFonts w:ascii="Arial" w:hAnsi="Arial" w:cs="Arial"/>
          <w:noProof/>
          <w:lang w:val="en-GB"/>
        </w:rPr>
      </w:pPr>
      <w:r>
        <w:rPr>
          <w:rFonts w:ascii="Arial" w:hAnsi="Arial" w:cs="Arial"/>
          <w:i/>
          <w:noProof/>
          <w:lang w:val="en-GB"/>
        </w:rPr>
        <w:t xml:space="preserve">Spain: </w:t>
      </w:r>
      <w:r>
        <w:rPr>
          <w:rFonts w:ascii="Arial" w:hAnsi="Arial" w:cs="Arial"/>
          <w:noProof/>
          <w:lang w:val="en-GB"/>
        </w:rPr>
        <w:t>An</w:t>
      </w:r>
      <w:r>
        <w:rPr>
          <w:rFonts w:ascii="Arial" w:hAnsi="Arial" w:cs="Arial"/>
          <w:i/>
          <w:noProof/>
          <w:lang w:val="en-GB"/>
        </w:rPr>
        <w:t xml:space="preserve"> </w:t>
      </w:r>
      <w:r>
        <w:rPr>
          <w:rFonts w:ascii="Arial" w:hAnsi="Arial" w:cs="Arial"/>
          <w:noProof/>
          <w:lang w:val="en-GB"/>
        </w:rPr>
        <w:t>intermediation s</w:t>
      </w:r>
      <w:r>
        <w:rPr>
          <w:rFonts w:ascii="Arial" w:hAnsi="Arial" w:cs="Arial"/>
          <w:noProof/>
          <w:lang w:val="en-GB"/>
        </w:rPr>
        <w:t>ervice whose purpose is to connect, by means of a smartphone application and for remuneration, non-professional drivers using their own vehicle with persons who wish to make urban journeys must be considered as a ‘service in the field of transport’. The se</w:t>
      </w:r>
      <w:r>
        <w:rPr>
          <w:rFonts w:ascii="Arial" w:hAnsi="Arial" w:cs="Arial"/>
          <w:noProof/>
          <w:lang w:val="en-GB"/>
        </w:rPr>
        <w:t>rvice in question is consequently covered by the common transport policy</w:t>
      </w:r>
      <w:r>
        <w:rPr>
          <w:rStyle w:val="FootnoteReference"/>
          <w:rFonts w:ascii="Arial" w:hAnsi="Arial" w:cs="Arial"/>
          <w:noProof/>
          <w:lang w:val="en-GB"/>
        </w:rPr>
        <w:footnoteReference w:id="372"/>
      </w:r>
      <w:r>
        <w:rPr>
          <w:rFonts w:ascii="Arial" w:hAnsi="Arial" w:cs="Arial"/>
          <w:noProof/>
          <w:lang w:val="en-GB"/>
        </w:rPr>
        <w:t>.</w:t>
      </w:r>
    </w:p>
    <w:p w:rsidR="00E201F7" w:rsidRDefault="00E24EFF">
      <w:pPr>
        <w:pStyle w:val="Lijstje2"/>
        <w:spacing w:before="120" w:after="0"/>
        <w:ind w:left="1196" w:hanging="357"/>
        <w:contextualSpacing w:val="0"/>
        <w:rPr>
          <w:rFonts w:ascii="Arial" w:hAnsi="Arial" w:cs="Arial"/>
          <w:noProof/>
          <w:lang w:val="en-GB"/>
        </w:rPr>
      </w:pPr>
      <w:r>
        <w:rPr>
          <w:rFonts w:ascii="Arial" w:hAnsi="Arial" w:cs="Arial"/>
          <w:i/>
          <w:noProof/>
          <w:lang w:val="en-GB"/>
        </w:rPr>
        <w:t>Netherlands</w:t>
      </w:r>
      <w:r>
        <w:rPr>
          <w:rFonts w:ascii="Arial" w:hAnsi="Arial" w:cs="Arial"/>
          <w:noProof/>
          <w:lang w:val="en-GB"/>
        </w:rPr>
        <w:t xml:space="preserve">: Where a flight was cancelled, the air carrier has to pay compensation if that information was not communicated to the passenger at least 2 weeks before departure time. </w:t>
      </w:r>
      <w:r>
        <w:rPr>
          <w:rFonts w:ascii="Arial" w:hAnsi="Arial" w:cs="Arial"/>
          <w:noProof/>
          <w:lang w:val="en-GB"/>
        </w:rPr>
        <w:t>This holds even where the information reached, at least 2 weeks before the same time, the travel agent through which the carriage contract had been entered into</w:t>
      </w:r>
      <w:r>
        <w:rPr>
          <w:rStyle w:val="FootnoteReference"/>
          <w:rFonts w:ascii="Arial" w:hAnsi="Arial" w:cs="Arial"/>
          <w:noProof/>
          <w:lang w:val="en-GB"/>
        </w:rPr>
        <w:footnoteReference w:id="373"/>
      </w:r>
      <w:r>
        <w:rPr>
          <w:rFonts w:ascii="Arial" w:hAnsi="Arial" w:cs="Arial"/>
          <w:noProof/>
          <w:lang w:val="en-GB"/>
        </w:rPr>
        <w:t>.</w:t>
      </w:r>
    </w:p>
    <w:p w:rsidR="00E201F7" w:rsidRDefault="00E24EFF">
      <w:pPr>
        <w:pStyle w:val="Lijstje2"/>
        <w:spacing w:before="120" w:after="0"/>
        <w:ind w:left="1196" w:hanging="357"/>
        <w:contextualSpacing w:val="0"/>
        <w:rPr>
          <w:rFonts w:ascii="Arial" w:hAnsi="Arial" w:cs="Arial"/>
          <w:noProof/>
          <w:lang w:val="en-GB"/>
        </w:rPr>
      </w:pPr>
      <w:r>
        <w:rPr>
          <w:rFonts w:ascii="Arial" w:hAnsi="Arial" w:cs="Arial"/>
          <w:i/>
          <w:noProof/>
          <w:lang w:val="en-GB"/>
        </w:rPr>
        <w:t>Romania</w:t>
      </w:r>
      <w:r>
        <w:rPr>
          <w:rFonts w:ascii="Arial" w:hAnsi="Arial" w:cs="Arial"/>
          <w:noProof/>
          <w:lang w:val="en-GB"/>
        </w:rPr>
        <w:t>: National provisions terminating the authorisation to ride mopeds without holding a d</w:t>
      </w:r>
      <w:r>
        <w:rPr>
          <w:rFonts w:ascii="Arial" w:hAnsi="Arial" w:cs="Arial"/>
          <w:noProof/>
          <w:lang w:val="en-GB"/>
        </w:rPr>
        <w:t>riving licence, the issue of which is subject to passing tests or examination, are compliant with EU law</w:t>
      </w:r>
      <w:r>
        <w:rPr>
          <w:rStyle w:val="FootnoteReference"/>
          <w:rFonts w:ascii="Arial" w:hAnsi="Arial" w:cs="Arial"/>
          <w:noProof/>
          <w:lang w:val="en-GB"/>
        </w:rPr>
        <w:footnoteReference w:id="374"/>
      </w:r>
      <w:r>
        <w:rPr>
          <w:rFonts w:ascii="Arial" w:hAnsi="Arial" w:cs="Arial"/>
          <w:noProof/>
          <w:lang w:val="en-GB"/>
        </w:rPr>
        <w:t>.</w:t>
      </w:r>
    </w:p>
    <w:p w:rsidR="00E201F7" w:rsidRDefault="00E24EFF">
      <w:pPr>
        <w:pStyle w:val="kop2"/>
        <w:rPr>
          <w:noProof/>
        </w:rPr>
      </w:pPr>
      <w:r>
        <w:rPr>
          <w:noProof/>
        </w:rPr>
        <w:t>Outlook</w:t>
      </w:r>
    </w:p>
    <w:p w:rsidR="00E201F7" w:rsidRDefault="00E24EFF">
      <w:pPr>
        <w:spacing w:after="60"/>
        <w:ind w:left="360"/>
        <w:jc w:val="left"/>
        <w:outlineLvl w:val="1"/>
        <w:rPr>
          <w:rFonts w:ascii="Arial" w:hAnsi="Arial"/>
          <w:noProof/>
          <w:color w:val="002060"/>
          <w:sz w:val="20"/>
        </w:rPr>
      </w:pPr>
      <w:r>
        <w:rPr>
          <w:rFonts w:ascii="Arial" w:hAnsi="Arial"/>
          <w:noProof/>
          <w:color w:val="002060"/>
          <w:sz w:val="20"/>
        </w:rPr>
        <w:t>Important implementation work in 2018 includes:</w:t>
      </w:r>
    </w:p>
    <w:p w:rsidR="00E201F7" w:rsidRDefault="00E24EFF">
      <w:pPr>
        <w:pStyle w:val="ListParagraph"/>
        <w:numPr>
          <w:ilvl w:val="0"/>
          <w:numId w:val="68"/>
        </w:numPr>
        <w:ind w:left="1200"/>
        <w:rPr>
          <w:rFonts w:ascii="Arial" w:hAnsi="Arial"/>
          <w:noProof/>
          <w:sz w:val="20"/>
        </w:rPr>
      </w:pPr>
      <w:r>
        <w:rPr>
          <w:rFonts w:ascii="Arial" w:hAnsi="Arial"/>
          <w:noProof/>
          <w:sz w:val="20"/>
        </w:rPr>
        <w:t>monitoring and assessing national measures transposing the Directives on:</w:t>
      </w:r>
    </w:p>
    <w:p w:rsidR="00E201F7" w:rsidRDefault="00E24EFF">
      <w:pPr>
        <w:pStyle w:val="ListParagraph"/>
        <w:numPr>
          <w:ilvl w:val="0"/>
          <w:numId w:val="151"/>
        </w:numPr>
        <w:rPr>
          <w:rFonts w:ascii="Arial" w:hAnsi="Arial"/>
          <w:noProof/>
          <w:sz w:val="20"/>
        </w:rPr>
      </w:pPr>
      <w:r>
        <w:rPr>
          <w:rFonts w:ascii="Arial" w:hAnsi="Arial"/>
          <w:noProof/>
          <w:sz w:val="20"/>
        </w:rPr>
        <w:t>periodic vehicle in</w:t>
      </w:r>
      <w:r>
        <w:rPr>
          <w:rFonts w:ascii="Arial" w:hAnsi="Arial"/>
          <w:noProof/>
          <w:sz w:val="20"/>
        </w:rPr>
        <w:t>spections</w:t>
      </w:r>
      <w:r>
        <w:rPr>
          <w:rStyle w:val="FootnoteReference"/>
          <w:rFonts w:ascii="Arial" w:hAnsi="Arial"/>
          <w:noProof/>
          <w:sz w:val="20"/>
        </w:rPr>
        <w:footnoteReference w:id="375"/>
      </w:r>
      <w:r>
        <w:rPr>
          <w:rFonts w:ascii="Arial" w:hAnsi="Arial"/>
          <w:noProof/>
          <w:sz w:val="20"/>
        </w:rPr>
        <w:t xml:space="preserve">; </w:t>
      </w:r>
    </w:p>
    <w:p w:rsidR="00E201F7" w:rsidRDefault="00E24EFF">
      <w:pPr>
        <w:pStyle w:val="ListParagraph"/>
        <w:numPr>
          <w:ilvl w:val="0"/>
          <w:numId w:val="151"/>
        </w:numPr>
        <w:rPr>
          <w:rFonts w:ascii="Arial" w:hAnsi="Arial"/>
          <w:noProof/>
          <w:sz w:val="20"/>
        </w:rPr>
      </w:pPr>
      <w:r>
        <w:rPr>
          <w:rFonts w:ascii="Arial" w:hAnsi="Arial"/>
          <w:noProof/>
          <w:sz w:val="20"/>
        </w:rPr>
        <w:t>vehicle registration documents</w:t>
      </w:r>
      <w:r>
        <w:rPr>
          <w:rStyle w:val="FootnoteReference"/>
          <w:rFonts w:ascii="Arial" w:hAnsi="Arial"/>
          <w:noProof/>
          <w:sz w:val="20"/>
        </w:rPr>
        <w:footnoteReference w:id="376"/>
      </w:r>
      <w:r>
        <w:rPr>
          <w:rFonts w:ascii="Arial" w:hAnsi="Arial"/>
          <w:noProof/>
          <w:sz w:val="20"/>
        </w:rPr>
        <w:t xml:space="preserve">; </w:t>
      </w:r>
    </w:p>
    <w:p w:rsidR="00E201F7" w:rsidRDefault="00E24EFF">
      <w:pPr>
        <w:pStyle w:val="ListParagraph"/>
        <w:numPr>
          <w:ilvl w:val="0"/>
          <w:numId w:val="151"/>
        </w:numPr>
        <w:rPr>
          <w:rFonts w:ascii="Arial" w:hAnsi="Arial"/>
          <w:noProof/>
          <w:sz w:val="20"/>
        </w:rPr>
      </w:pPr>
      <w:r>
        <w:rPr>
          <w:rFonts w:ascii="Arial" w:hAnsi="Arial"/>
          <w:noProof/>
          <w:sz w:val="20"/>
        </w:rPr>
        <w:t>roadside inspections of commercial vehicles</w:t>
      </w:r>
      <w:r>
        <w:rPr>
          <w:rStyle w:val="FootnoteReference"/>
          <w:rFonts w:ascii="Arial" w:hAnsi="Arial"/>
          <w:noProof/>
          <w:sz w:val="20"/>
        </w:rPr>
        <w:footnoteReference w:id="377"/>
      </w:r>
      <w:r>
        <w:rPr>
          <w:rFonts w:ascii="Arial" w:hAnsi="Arial"/>
          <w:noProof/>
          <w:sz w:val="20"/>
        </w:rPr>
        <w:t>;</w:t>
      </w:r>
    </w:p>
    <w:p w:rsidR="00E201F7" w:rsidRDefault="00E24EFF">
      <w:pPr>
        <w:pStyle w:val="ListParagraph"/>
        <w:numPr>
          <w:ilvl w:val="0"/>
          <w:numId w:val="151"/>
        </w:numPr>
        <w:rPr>
          <w:rFonts w:ascii="Arial" w:hAnsi="Arial"/>
          <w:noProof/>
          <w:sz w:val="20"/>
        </w:rPr>
      </w:pPr>
      <w:r>
        <w:rPr>
          <w:rFonts w:ascii="Arial" w:hAnsi="Arial"/>
          <w:noProof/>
          <w:sz w:val="20"/>
        </w:rPr>
        <w:t>the deployment of alternative fuels infrastructure</w:t>
      </w:r>
      <w:r>
        <w:rPr>
          <w:rStyle w:val="FootnoteReference"/>
          <w:rFonts w:ascii="Arial" w:hAnsi="Arial"/>
          <w:noProof/>
          <w:sz w:val="20"/>
        </w:rPr>
        <w:footnoteReference w:id="378"/>
      </w:r>
      <w:r>
        <w:rPr>
          <w:rFonts w:ascii="Arial" w:hAnsi="Arial"/>
          <w:noProof/>
          <w:sz w:val="20"/>
        </w:rPr>
        <w:t>;</w:t>
      </w:r>
    </w:p>
    <w:p w:rsidR="00E201F7" w:rsidRDefault="00E24EFF">
      <w:pPr>
        <w:pStyle w:val="ListParagraph"/>
        <w:numPr>
          <w:ilvl w:val="0"/>
          <w:numId w:val="68"/>
        </w:numPr>
        <w:ind w:left="1200"/>
        <w:rPr>
          <w:rFonts w:ascii="Arial" w:hAnsi="Arial"/>
          <w:noProof/>
          <w:sz w:val="20"/>
        </w:rPr>
      </w:pPr>
      <w:r>
        <w:rPr>
          <w:rFonts w:ascii="Arial" w:hAnsi="Arial"/>
          <w:noProof/>
          <w:sz w:val="20"/>
        </w:rPr>
        <w:t>closely monitoring general issues regarding limitations on market access as well as safety and security in all</w:t>
      </w:r>
      <w:r>
        <w:rPr>
          <w:rFonts w:ascii="Arial" w:hAnsi="Arial"/>
          <w:noProof/>
          <w:sz w:val="20"/>
        </w:rPr>
        <w:t xml:space="preserve"> modes of transport.</w:t>
      </w:r>
    </w:p>
    <w:p w:rsidR="00E201F7" w:rsidRDefault="00E24EFF">
      <w:pPr>
        <w:spacing w:after="0"/>
        <w:jc w:val="left"/>
        <w:rPr>
          <w:noProof/>
          <w:sz w:val="20"/>
        </w:rPr>
        <w:sectPr w:rsidR="00E201F7">
          <w:headerReference w:type="even" r:id="rId173"/>
          <w:headerReference w:type="default" r:id="rId174"/>
          <w:footerReference w:type="even" r:id="rId175"/>
          <w:footerReference w:type="default" r:id="rId176"/>
          <w:headerReference w:type="first" r:id="rId177"/>
          <w:footerReference w:type="first" r:id="rId178"/>
          <w:footnotePr>
            <w:numRestart w:val="eachSect"/>
          </w:footnotePr>
          <w:pgSz w:w="11906" w:h="16838"/>
          <w:pgMar w:top="2127" w:right="1417" w:bottom="1134" w:left="1417" w:header="708" w:footer="708" w:gutter="0"/>
          <w:cols w:space="708"/>
          <w:titlePg/>
          <w:docGrid w:linePitch="360"/>
        </w:sectPr>
      </w:pPr>
      <w:r>
        <w:rPr>
          <w:noProof/>
          <w:sz w:val="20"/>
        </w:rPr>
        <w:br w:type="page"/>
      </w:r>
    </w:p>
    <w:p w:rsidR="00E201F7" w:rsidRDefault="00E24EFF">
      <w:pPr>
        <w:pStyle w:val="Heading1"/>
        <w:spacing w:after="0"/>
        <w:ind w:left="0"/>
        <w:rPr>
          <w:rFonts w:ascii="Arial" w:hAnsi="Arial"/>
          <w:noProof/>
        </w:rPr>
      </w:pPr>
      <w:bookmarkStart w:id="146" w:name="_Toc443057947"/>
      <w:bookmarkStart w:id="147" w:name="_Toc475524742"/>
      <w:bookmarkStart w:id="148" w:name="_Toc475529509"/>
      <w:bookmarkStart w:id="149" w:name="_Toc475529548"/>
      <w:bookmarkStart w:id="150" w:name="_Toc475529876"/>
      <w:bookmarkStart w:id="151" w:name="_Toc475550841"/>
      <w:bookmarkStart w:id="152" w:name="_Toc475551381"/>
      <w:bookmarkStart w:id="153" w:name="_Toc507510324"/>
      <w:bookmarkStart w:id="154" w:name="_Toc507517738"/>
      <w:bookmarkStart w:id="155" w:name="_Toc507520119"/>
      <w:bookmarkStart w:id="156" w:name="_Toc510016536"/>
      <w:r>
        <w:rPr>
          <w:rFonts w:ascii="Arial" w:hAnsi="Arial"/>
          <w:noProof/>
        </w:rPr>
        <w:t>Taxation and customs union</w:t>
      </w:r>
      <w:bookmarkEnd w:id="146"/>
      <w:bookmarkEnd w:id="147"/>
      <w:bookmarkEnd w:id="148"/>
      <w:bookmarkEnd w:id="149"/>
      <w:bookmarkEnd w:id="150"/>
      <w:bookmarkEnd w:id="151"/>
      <w:bookmarkEnd w:id="152"/>
      <w:bookmarkEnd w:id="153"/>
      <w:bookmarkEnd w:id="154"/>
      <w:bookmarkEnd w:id="155"/>
      <w:bookmarkEnd w:id="156"/>
    </w:p>
    <w:p w:rsidR="00E201F7" w:rsidRDefault="00E24EFF">
      <w:pPr>
        <w:pStyle w:val="kop2"/>
        <w:numPr>
          <w:ilvl w:val="0"/>
          <w:numId w:val="155"/>
        </w:numPr>
        <w:rPr>
          <w:noProof/>
        </w:rPr>
      </w:pPr>
      <w:r>
        <w:rPr>
          <w:noProof/>
        </w:rPr>
        <w:t>COMPLAINTS</w:t>
      </w:r>
    </w:p>
    <w:p w:rsidR="00E201F7" w:rsidRDefault="00E24EFF">
      <w:pPr>
        <w:numPr>
          <w:ilvl w:val="0"/>
          <w:numId w:val="144"/>
        </w:numPr>
        <w:spacing w:before="240"/>
        <w:ind w:left="714" w:hanging="357"/>
        <w:jc w:val="left"/>
        <w:outlineLvl w:val="1"/>
        <w:rPr>
          <w:rFonts w:ascii="Arial" w:hAnsi="Arial"/>
          <w:noProof/>
          <w:color w:val="002060"/>
          <w:sz w:val="22"/>
        </w:rPr>
      </w:pPr>
      <w:r>
        <w:rPr>
          <w:rFonts w:ascii="Arial" w:hAnsi="Arial"/>
          <w:noProof/>
          <w:color w:val="002060"/>
          <w:sz w:val="22"/>
        </w:rPr>
        <w:t>New complaints received from members of the public (2013-2017)</w:t>
      </w:r>
    </w:p>
    <w:p w:rsidR="00E201F7" w:rsidRDefault="00E24EFF">
      <w:pPr>
        <w:ind w:left="720"/>
        <w:rPr>
          <w:rFonts w:ascii="Verdana" w:hAnsi="Verdana"/>
          <w:noProof/>
          <w:sz w:val="20"/>
        </w:rPr>
      </w:pPr>
      <w:r>
        <w:rPr>
          <w:rFonts w:ascii="Verdana" w:hAnsi="Verdana"/>
          <w:noProof/>
          <w:sz w:val="20"/>
        </w:rPr>
        <w:drawing>
          <wp:inline distT="0" distB="0" distL="0" distR="0" wp14:anchorId="200FD692" wp14:editId="1AA766BF">
            <wp:extent cx="4612640" cy="2367280"/>
            <wp:effectExtent l="0" t="0" r="0" b="0"/>
            <wp:docPr id="86"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E201F7" w:rsidRDefault="00E24EFF">
      <w:pPr>
        <w:numPr>
          <w:ilvl w:val="0"/>
          <w:numId w:val="144"/>
        </w:numPr>
        <w:spacing w:before="240"/>
        <w:ind w:left="714" w:hanging="357"/>
        <w:jc w:val="left"/>
        <w:outlineLvl w:val="1"/>
        <w:rPr>
          <w:rFonts w:ascii="Arial" w:hAnsi="Arial"/>
          <w:noProof/>
          <w:color w:val="002060"/>
          <w:sz w:val="22"/>
        </w:rPr>
      </w:pPr>
      <w:r>
        <w:rPr>
          <w:rFonts w:ascii="Arial" w:hAnsi="Arial"/>
          <w:noProof/>
          <w:color w:val="002060"/>
          <w:sz w:val="22"/>
        </w:rPr>
        <w:t>Public complaints open at year-end</w:t>
      </w:r>
    </w:p>
    <w:tbl>
      <w:tblPr>
        <w:tblW w:w="0" w:type="auto"/>
        <w:jc w:val="center"/>
        <w:tblLook w:val="04A0" w:firstRow="1" w:lastRow="0" w:firstColumn="1" w:lastColumn="0" w:noHBand="0" w:noVBand="1"/>
      </w:tblPr>
      <w:tblGrid>
        <w:gridCol w:w="1697"/>
        <w:gridCol w:w="355"/>
        <w:gridCol w:w="5310"/>
      </w:tblGrid>
      <w:tr w:rsidR="00E201F7">
        <w:trPr>
          <w:trHeight w:val="403"/>
          <w:jc w:val="center"/>
        </w:trPr>
        <w:tc>
          <w:tcPr>
            <w:tcW w:w="1697" w:type="dxa"/>
            <w:shd w:val="clear" w:color="auto" w:fill="auto"/>
            <w:vAlign w:val="center"/>
          </w:tcPr>
          <w:p w:rsidR="00E201F7" w:rsidRDefault="00E24EFF">
            <w:pPr>
              <w:spacing w:after="0"/>
              <w:jc w:val="right"/>
              <w:rPr>
                <w:rFonts w:ascii="Arial" w:hAnsi="Arial"/>
                <w:noProof/>
                <w:color w:val="548DD4"/>
                <w:sz w:val="22"/>
              </w:rPr>
            </w:pPr>
            <w:r>
              <w:rPr>
                <w:rFonts w:ascii="Arial" w:hAnsi="Arial"/>
                <w:noProof/>
                <w:color w:val="548DD4"/>
                <w:sz w:val="22"/>
              </w:rPr>
              <w:t>340</w:t>
            </w:r>
          </w:p>
        </w:tc>
        <w:tc>
          <w:tcPr>
            <w:tcW w:w="355" w:type="dxa"/>
            <w:shd w:val="clear" w:color="auto" w:fill="auto"/>
            <w:vAlign w:val="center"/>
          </w:tcPr>
          <w:p w:rsidR="00E201F7" w:rsidRDefault="00E24EFF">
            <w:pPr>
              <w:spacing w:after="0"/>
              <w:jc w:val="right"/>
              <w:rPr>
                <w:rFonts w:ascii="Arial" w:hAnsi="Arial"/>
                <w:noProof/>
                <w:color w:val="548DD4"/>
                <w:sz w:val="22"/>
              </w:rPr>
            </w:pPr>
            <w:r>
              <w:rPr>
                <w:rFonts w:ascii="Arial" w:hAnsi="Arial"/>
                <w:noProof/>
                <w:color w:val="548DD4"/>
                <w:sz w:val="22"/>
              </w:rPr>
              <w:t>&gt;</w:t>
            </w:r>
          </w:p>
        </w:tc>
        <w:tc>
          <w:tcPr>
            <w:tcW w:w="5310" w:type="dxa"/>
            <w:shd w:val="clear" w:color="auto" w:fill="auto"/>
            <w:vAlign w:val="center"/>
          </w:tcPr>
          <w:p w:rsidR="00E201F7" w:rsidRDefault="00E24EFF">
            <w:pPr>
              <w:spacing w:after="0"/>
              <w:jc w:val="left"/>
              <w:rPr>
                <w:rFonts w:ascii="Arial" w:hAnsi="Arial"/>
                <w:noProof/>
                <w:color w:val="548DD4"/>
                <w:sz w:val="22"/>
              </w:rPr>
            </w:pPr>
            <w:r>
              <w:rPr>
                <w:rFonts w:ascii="Arial" w:hAnsi="Arial"/>
                <w:noProof/>
                <w:color w:val="548DD4"/>
                <w:sz w:val="22"/>
              </w:rPr>
              <w:t>Complaints open at end-2016</w:t>
            </w:r>
          </w:p>
        </w:tc>
      </w:tr>
      <w:tr w:rsidR="00E201F7">
        <w:trPr>
          <w:trHeight w:val="403"/>
          <w:jc w:val="center"/>
        </w:trPr>
        <w:tc>
          <w:tcPr>
            <w:tcW w:w="1697" w:type="dxa"/>
            <w:shd w:val="clear" w:color="auto" w:fill="auto"/>
            <w:vAlign w:val="center"/>
          </w:tcPr>
          <w:p w:rsidR="00E201F7" w:rsidRDefault="00E24EFF">
            <w:pPr>
              <w:spacing w:after="0"/>
              <w:jc w:val="right"/>
              <w:rPr>
                <w:rFonts w:ascii="Arial" w:hAnsi="Arial"/>
                <w:noProof/>
                <w:color w:val="548DD4"/>
                <w:sz w:val="22"/>
              </w:rPr>
            </w:pPr>
            <w:r>
              <w:rPr>
                <w:rFonts w:ascii="Arial" w:hAnsi="Arial"/>
                <w:noProof/>
                <w:color w:val="548DD4"/>
                <w:sz w:val="22"/>
              </w:rPr>
              <w:t>308</w:t>
            </w:r>
          </w:p>
        </w:tc>
        <w:tc>
          <w:tcPr>
            <w:tcW w:w="355" w:type="dxa"/>
            <w:shd w:val="clear" w:color="auto" w:fill="auto"/>
            <w:vAlign w:val="center"/>
          </w:tcPr>
          <w:p w:rsidR="00E201F7" w:rsidRDefault="00E24EFF">
            <w:pPr>
              <w:spacing w:after="0"/>
              <w:jc w:val="right"/>
              <w:rPr>
                <w:rFonts w:ascii="Arial" w:hAnsi="Arial"/>
                <w:noProof/>
                <w:color w:val="548DD4"/>
                <w:sz w:val="22"/>
              </w:rPr>
            </w:pPr>
            <w:r>
              <w:rPr>
                <w:rFonts w:ascii="Arial" w:hAnsi="Arial"/>
                <w:noProof/>
                <w:color w:val="548DD4"/>
                <w:sz w:val="22"/>
              </w:rPr>
              <w:t>&gt;</w:t>
            </w:r>
          </w:p>
        </w:tc>
        <w:tc>
          <w:tcPr>
            <w:tcW w:w="5310" w:type="dxa"/>
            <w:shd w:val="clear" w:color="auto" w:fill="auto"/>
            <w:vAlign w:val="center"/>
          </w:tcPr>
          <w:p w:rsidR="00E201F7" w:rsidRDefault="00E24EFF">
            <w:pPr>
              <w:spacing w:after="0"/>
              <w:jc w:val="left"/>
              <w:rPr>
                <w:rFonts w:ascii="Arial" w:hAnsi="Arial"/>
                <w:noProof/>
                <w:color w:val="548DD4"/>
                <w:sz w:val="22"/>
              </w:rPr>
            </w:pPr>
            <w:r>
              <w:rPr>
                <w:rFonts w:ascii="Arial" w:hAnsi="Arial"/>
                <w:noProof/>
                <w:color w:val="548DD4"/>
                <w:sz w:val="22"/>
              </w:rPr>
              <w:t>New complaints registered in 2017</w:t>
            </w:r>
          </w:p>
        </w:tc>
      </w:tr>
      <w:tr w:rsidR="00E201F7">
        <w:trPr>
          <w:trHeight w:val="403"/>
          <w:jc w:val="center"/>
        </w:trPr>
        <w:tc>
          <w:tcPr>
            <w:tcW w:w="1697" w:type="dxa"/>
            <w:tcBorders>
              <w:bottom w:val="single" w:sz="24" w:space="0" w:color="548DD4"/>
            </w:tcBorders>
            <w:shd w:val="clear" w:color="auto" w:fill="auto"/>
            <w:vAlign w:val="center"/>
          </w:tcPr>
          <w:p w:rsidR="00E201F7" w:rsidRDefault="00E24EFF">
            <w:pPr>
              <w:spacing w:after="0"/>
              <w:jc w:val="right"/>
              <w:rPr>
                <w:rFonts w:ascii="Arial" w:hAnsi="Arial"/>
                <w:noProof/>
                <w:color w:val="548DD4"/>
                <w:sz w:val="22"/>
              </w:rPr>
            </w:pPr>
            <w:r>
              <w:rPr>
                <w:rFonts w:ascii="Arial" w:hAnsi="Arial"/>
                <w:noProof/>
                <w:color w:val="548DD4"/>
                <w:sz w:val="22"/>
              </w:rPr>
              <w:t>296</w:t>
            </w:r>
          </w:p>
        </w:tc>
        <w:tc>
          <w:tcPr>
            <w:tcW w:w="355" w:type="dxa"/>
            <w:shd w:val="clear" w:color="auto" w:fill="auto"/>
            <w:vAlign w:val="center"/>
          </w:tcPr>
          <w:p w:rsidR="00E201F7" w:rsidRDefault="00E24EFF">
            <w:pPr>
              <w:spacing w:after="0"/>
              <w:jc w:val="right"/>
              <w:rPr>
                <w:rFonts w:ascii="Arial" w:hAnsi="Arial"/>
                <w:noProof/>
                <w:color w:val="548DD4"/>
                <w:sz w:val="22"/>
              </w:rPr>
            </w:pPr>
            <w:r>
              <w:rPr>
                <w:rFonts w:ascii="Arial" w:hAnsi="Arial"/>
                <w:noProof/>
                <w:color w:val="548DD4"/>
                <w:sz w:val="22"/>
              </w:rPr>
              <w:t>&gt;</w:t>
            </w:r>
          </w:p>
        </w:tc>
        <w:tc>
          <w:tcPr>
            <w:tcW w:w="5310" w:type="dxa"/>
            <w:shd w:val="clear" w:color="auto" w:fill="auto"/>
            <w:vAlign w:val="center"/>
          </w:tcPr>
          <w:p w:rsidR="00E201F7" w:rsidRDefault="00E24EFF">
            <w:pPr>
              <w:spacing w:after="0"/>
              <w:jc w:val="left"/>
              <w:rPr>
                <w:rFonts w:ascii="Arial" w:hAnsi="Arial"/>
                <w:noProof/>
                <w:color w:val="548DD4"/>
                <w:sz w:val="22"/>
              </w:rPr>
            </w:pPr>
            <w:r>
              <w:rPr>
                <w:rFonts w:ascii="Arial" w:hAnsi="Arial"/>
                <w:noProof/>
                <w:color w:val="548DD4"/>
                <w:sz w:val="22"/>
              </w:rPr>
              <w:t>Complaints</w:t>
            </w:r>
            <w:r>
              <w:rPr>
                <w:rFonts w:ascii="Arial" w:hAnsi="Arial"/>
                <w:noProof/>
                <w:color w:val="548DD4"/>
                <w:sz w:val="22"/>
              </w:rPr>
              <w:t xml:space="preserve"> handled in 2017</w:t>
            </w:r>
          </w:p>
        </w:tc>
      </w:tr>
      <w:tr w:rsidR="00E201F7">
        <w:trPr>
          <w:trHeight w:val="403"/>
          <w:jc w:val="center"/>
        </w:trPr>
        <w:tc>
          <w:tcPr>
            <w:tcW w:w="1697" w:type="dxa"/>
            <w:tcBorders>
              <w:top w:val="single" w:sz="24" w:space="0" w:color="548DD4"/>
            </w:tcBorders>
            <w:shd w:val="clear" w:color="auto" w:fill="auto"/>
            <w:vAlign w:val="center"/>
          </w:tcPr>
          <w:p w:rsidR="00E201F7" w:rsidRDefault="00E24EFF">
            <w:pPr>
              <w:spacing w:after="0"/>
              <w:jc w:val="right"/>
              <w:rPr>
                <w:rFonts w:ascii="Arial" w:hAnsi="Arial"/>
                <w:noProof/>
                <w:color w:val="C00000"/>
                <w:sz w:val="22"/>
              </w:rPr>
            </w:pPr>
            <w:r>
              <w:rPr>
                <w:rFonts w:ascii="Arial" w:hAnsi="Arial"/>
                <w:noProof/>
                <w:color w:val="C00000"/>
                <w:sz w:val="22"/>
              </w:rPr>
              <w:t>= 352</w:t>
            </w:r>
          </w:p>
        </w:tc>
        <w:tc>
          <w:tcPr>
            <w:tcW w:w="355" w:type="dxa"/>
            <w:shd w:val="clear" w:color="auto" w:fill="auto"/>
            <w:vAlign w:val="center"/>
          </w:tcPr>
          <w:p w:rsidR="00E201F7" w:rsidRDefault="00E24EFF">
            <w:pPr>
              <w:spacing w:after="0"/>
              <w:jc w:val="right"/>
              <w:rPr>
                <w:rFonts w:ascii="Arial" w:hAnsi="Arial"/>
                <w:noProof/>
                <w:color w:val="548DD4"/>
                <w:sz w:val="22"/>
              </w:rPr>
            </w:pPr>
            <w:r>
              <w:rPr>
                <w:rFonts w:ascii="Arial" w:hAnsi="Arial"/>
                <w:noProof/>
                <w:color w:val="548DD4"/>
                <w:sz w:val="22"/>
              </w:rPr>
              <w:t>&gt;</w:t>
            </w:r>
          </w:p>
        </w:tc>
        <w:tc>
          <w:tcPr>
            <w:tcW w:w="5310" w:type="dxa"/>
            <w:shd w:val="clear" w:color="auto" w:fill="auto"/>
            <w:vAlign w:val="center"/>
          </w:tcPr>
          <w:p w:rsidR="00E201F7" w:rsidRDefault="00E24EFF">
            <w:pPr>
              <w:spacing w:after="0"/>
              <w:jc w:val="left"/>
              <w:rPr>
                <w:rFonts w:ascii="Arial" w:hAnsi="Arial"/>
                <w:noProof/>
                <w:color w:val="548DD4"/>
                <w:sz w:val="22"/>
              </w:rPr>
            </w:pPr>
            <w:r>
              <w:rPr>
                <w:rFonts w:ascii="Arial" w:hAnsi="Arial"/>
                <w:noProof/>
                <w:color w:val="548DD4"/>
                <w:sz w:val="22"/>
              </w:rPr>
              <w:t>Complaints open at end-2017</w:t>
            </w:r>
          </w:p>
        </w:tc>
      </w:tr>
    </w:tbl>
    <w:p w:rsidR="00E201F7" w:rsidRDefault="00E24EFF">
      <w:pPr>
        <w:numPr>
          <w:ilvl w:val="0"/>
          <w:numId w:val="144"/>
        </w:numPr>
        <w:spacing w:before="240"/>
        <w:ind w:left="714" w:hanging="357"/>
        <w:jc w:val="left"/>
        <w:outlineLvl w:val="1"/>
        <w:rPr>
          <w:rFonts w:ascii="Arial" w:hAnsi="Arial"/>
          <w:noProof/>
          <w:color w:val="002060"/>
          <w:sz w:val="22"/>
        </w:rPr>
      </w:pPr>
      <w:r>
        <w:rPr>
          <w:rFonts w:ascii="Arial" w:hAnsi="Arial"/>
          <w:noProof/>
          <w:color w:val="002060"/>
          <w:sz w:val="22"/>
        </w:rPr>
        <w:t>New complaints registered in 2017: main policy sectors</w:t>
      </w:r>
    </w:p>
    <w:p w:rsidR="00E201F7" w:rsidRDefault="00E24EFF">
      <w:pPr>
        <w:ind w:left="720"/>
        <w:rPr>
          <w:rFonts w:ascii="Verdana" w:hAnsi="Verdana"/>
          <w:noProof/>
          <w:sz w:val="20"/>
        </w:rPr>
      </w:pPr>
      <w:r>
        <w:rPr>
          <w:rFonts w:ascii="Verdana" w:hAnsi="Verdana"/>
          <w:noProof/>
          <w:sz w:val="20"/>
        </w:rPr>
        <w:drawing>
          <wp:inline distT="0" distB="0" distL="0" distR="0" wp14:anchorId="231D80B6" wp14:editId="3DDF78FE">
            <wp:extent cx="4592320" cy="2275840"/>
            <wp:effectExtent l="0" t="0" r="0" b="0"/>
            <wp:docPr id="87"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E201F7" w:rsidRDefault="00E24EFF">
      <w:pPr>
        <w:spacing w:after="0"/>
        <w:jc w:val="left"/>
        <w:rPr>
          <w:caps/>
          <w:noProof/>
          <w:color w:val="4F81BD"/>
          <w:szCs w:val="24"/>
        </w:rPr>
      </w:pPr>
      <w:r>
        <w:rPr>
          <w:caps/>
          <w:noProof/>
          <w:color w:val="4F81BD"/>
          <w:szCs w:val="24"/>
        </w:rPr>
        <w:br w:type="page"/>
      </w:r>
    </w:p>
    <w:p w:rsidR="00E201F7" w:rsidRDefault="00E24EFF">
      <w:pPr>
        <w:pStyle w:val="kop2"/>
        <w:rPr>
          <w:noProof/>
        </w:rPr>
      </w:pPr>
      <w:r>
        <w:rPr>
          <w:noProof/>
        </w:rPr>
        <w:t>EU PILOT</w:t>
      </w:r>
    </w:p>
    <w:p w:rsidR="00E201F7" w:rsidRDefault="00E24EFF">
      <w:pPr>
        <w:numPr>
          <w:ilvl w:val="0"/>
          <w:numId w:val="149"/>
        </w:numPr>
        <w:spacing w:before="240"/>
        <w:jc w:val="left"/>
        <w:outlineLvl w:val="1"/>
        <w:rPr>
          <w:rFonts w:ascii="Arial" w:hAnsi="Arial"/>
          <w:noProof/>
          <w:color w:val="002060"/>
          <w:sz w:val="22"/>
        </w:rPr>
      </w:pPr>
      <w:r>
        <w:rPr>
          <w:rFonts w:ascii="Arial" w:hAnsi="Arial"/>
          <w:noProof/>
          <w:color w:val="002060"/>
          <w:sz w:val="22"/>
        </w:rPr>
        <w:t>New EU Pilot files (2013-2017)</w:t>
      </w:r>
    </w:p>
    <w:p w:rsidR="00E201F7" w:rsidRDefault="00E24EFF">
      <w:pPr>
        <w:ind w:left="720"/>
        <w:rPr>
          <w:rFonts w:ascii="Verdana" w:hAnsi="Verdana"/>
          <w:noProof/>
          <w:sz w:val="20"/>
        </w:rPr>
      </w:pPr>
      <w:r>
        <w:rPr>
          <w:rFonts w:ascii="Verdana" w:hAnsi="Verdana"/>
          <w:noProof/>
          <w:sz w:val="20"/>
        </w:rPr>
        <w:drawing>
          <wp:inline distT="0" distB="0" distL="0" distR="0" wp14:anchorId="41318EED" wp14:editId="2544EE18">
            <wp:extent cx="4572000" cy="2357120"/>
            <wp:effectExtent l="0" t="0" r="0" b="0"/>
            <wp:docPr id="88"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rsidR="00E201F7" w:rsidRDefault="00E24EFF">
      <w:pPr>
        <w:numPr>
          <w:ilvl w:val="0"/>
          <w:numId w:val="149"/>
        </w:numPr>
        <w:spacing w:before="240"/>
        <w:jc w:val="left"/>
        <w:outlineLvl w:val="1"/>
        <w:rPr>
          <w:rFonts w:ascii="Arial" w:hAnsi="Arial"/>
          <w:noProof/>
          <w:color w:val="002060"/>
          <w:sz w:val="22"/>
        </w:rPr>
      </w:pPr>
      <w:r>
        <w:rPr>
          <w:rFonts w:ascii="Arial" w:hAnsi="Arial"/>
          <w:noProof/>
          <w:color w:val="002060"/>
          <w:sz w:val="22"/>
        </w:rPr>
        <w:t>EU Pilot files open at year-end</w:t>
      </w:r>
    </w:p>
    <w:p w:rsidR="00E201F7" w:rsidRDefault="00E24EFF">
      <w:pPr>
        <w:pStyle w:val="ListParagraph"/>
        <w:rPr>
          <w:rFonts w:ascii="Arial" w:hAnsi="Arial"/>
          <w:noProof/>
          <w:sz w:val="20"/>
        </w:rPr>
      </w:pPr>
      <w:r>
        <w:rPr>
          <w:rFonts w:ascii="Arial" w:hAnsi="Arial"/>
          <w:noProof/>
          <w:sz w:val="20"/>
        </w:rPr>
        <w:t>At the end of 2017, 94 EU Pilot files remained open.</w:t>
      </w:r>
    </w:p>
    <w:p w:rsidR="00E201F7" w:rsidRDefault="00E24EFF">
      <w:pPr>
        <w:numPr>
          <w:ilvl w:val="0"/>
          <w:numId w:val="149"/>
        </w:numPr>
        <w:spacing w:before="240"/>
        <w:jc w:val="left"/>
        <w:outlineLvl w:val="1"/>
        <w:rPr>
          <w:rFonts w:ascii="Arial" w:hAnsi="Arial"/>
          <w:noProof/>
          <w:color w:val="002060"/>
          <w:sz w:val="22"/>
        </w:rPr>
      </w:pPr>
      <w:r>
        <w:rPr>
          <w:rFonts w:ascii="Arial" w:hAnsi="Arial"/>
          <w:noProof/>
          <w:color w:val="002060"/>
          <w:sz w:val="22"/>
        </w:rPr>
        <w:t xml:space="preserve">New EU Pilot </w:t>
      </w:r>
      <w:r>
        <w:rPr>
          <w:rFonts w:ascii="Arial" w:hAnsi="Arial"/>
          <w:noProof/>
          <w:color w:val="002060"/>
          <w:sz w:val="22"/>
        </w:rPr>
        <w:t>files opened in 2017: main policy sectors</w:t>
      </w:r>
    </w:p>
    <w:p w:rsidR="00E201F7" w:rsidRDefault="00E24EFF">
      <w:pPr>
        <w:ind w:left="720"/>
        <w:rPr>
          <w:rFonts w:ascii="Verdana" w:hAnsi="Verdana"/>
          <w:noProof/>
          <w:sz w:val="20"/>
        </w:rPr>
      </w:pPr>
      <w:r>
        <w:rPr>
          <w:rFonts w:ascii="Verdana" w:hAnsi="Verdana"/>
          <w:noProof/>
          <w:sz w:val="20"/>
        </w:rPr>
        <w:drawing>
          <wp:inline distT="0" distB="0" distL="0" distR="0" wp14:anchorId="606ED9F2" wp14:editId="17AC00D8">
            <wp:extent cx="4612640" cy="2296160"/>
            <wp:effectExtent l="0" t="0" r="16510" b="27940"/>
            <wp:docPr id="89"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E201F7" w:rsidRDefault="00E24EFF">
      <w:pPr>
        <w:spacing w:after="0"/>
        <w:jc w:val="left"/>
        <w:rPr>
          <w:rFonts w:ascii="Verdana" w:hAnsi="Verdana"/>
          <w:noProof/>
          <w:sz w:val="20"/>
        </w:rPr>
      </w:pPr>
      <w:r>
        <w:rPr>
          <w:rFonts w:ascii="Verdana" w:hAnsi="Verdana"/>
          <w:noProof/>
          <w:sz w:val="20"/>
        </w:rPr>
        <w:br w:type="page"/>
      </w:r>
    </w:p>
    <w:p w:rsidR="00E201F7" w:rsidRDefault="00E24EFF">
      <w:pPr>
        <w:numPr>
          <w:ilvl w:val="0"/>
          <w:numId w:val="149"/>
        </w:numPr>
        <w:spacing w:before="240"/>
        <w:jc w:val="left"/>
        <w:outlineLvl w:val="1"/>
        <w:rPr>
          <w:rFonts w:ascii="Arial" w:hAnsi="Arial"/>
          <w:noProof/>
          <w:color w:val="002060"/>
          <w:sz w:val="22"/>
        </w:rPr>
      </w:pPr>
      <w:r>
        <w:rPr>
          <w:rFonts w:ascii="Arial" w:hAnsi="Arial"/>
          <w:noProof/>
          <w:color w:val="002060"/>
          <w:sz w:val="22"/>
        </w:rPr>
        <w:t>EU Pilot files: resolution rate for policies (2013-2017)</w:t>
      </w:r>
    </w:p>
    <w:p w:rsidR="00E201F7" w:rsidRDefault="00E24EFF">
      <w:pPr>
        <w:ind w:left="720"/>
        <w:rPr>
          <w:rFonts w:ascii="Verdana" w:hAnsi="Verdana"/>
          <w:noProof/>
          <w:sz w:val="20"/>
        </w:rPr>
      </w:pPr>
      <w:r>
        <w:rPr>
          <w:noProof/>
          <w:color w:val="002060"/>
        </w:rPr>
        <w:t xml:space="preserve"> </w:t>
      </w:r>
      <w:r>
        <w:rPr>
          <w:rFonts w:ascii="Verdana" w:hAnsi="Verdana"/>
          <w:noProof/>
          <w:sz w:val="20"/>
        </w:rPr>
        <w:drawing>
          <wp:inline distT="0" distB="0" distL="0" distR="0" wp14:anchorId="3CA90F79" wp14:editId="3CC366DB">
            <wp:extent cx="4612640" cy="2326640"/>
            <wp:effectExtent l="0" t="0" r="16510" b="16510"/>
            <wp:docPr id="90"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rsidR="00E201F7" w:rsidRDefault="00E24EFF">
      <w:pPr>
        <w:pStyle w:val="kop2"/>
        <w:rPr>
          <w:noProof/>
        </w:rPr>
      </w:pPr>
      <w:r>
        <w:rPr>
          <w:noProof/>
        </w:rPr>
        <w:t>OWN-INITIATIVE CASES</w:t>
      </w:r>
    </w:p>
    <w:p w:rsidR="00E201F7" w:rsidRDefault="00E24EFF">
      <w:pPr>
        <w:spacing w:after="120"/>
        <w:ind w:left="357"/>
        <w:jc w:val="left"/>
        <w:outlineLvl w:val="1"/>
        <w:rPr>
          <w:rFonts w:ascii="Arial" w:hAnsi="Arial"/>
          <w:noProof/>
          <w:color w:val="002060"/>
          <w:sz w:val="22"/>
        </w:rPr>
      </w:pPr>
      <w:r>
        <w:rPr>
          <w:rFonts w:ascii="Arial" w:hAnsi="Arial"/>
          <w:noProof/>
          <w:color w:val="002060"/>
          <w:sz w:val="22"/>
        </w:rPr>
        <w:t>New own-initiative infringement cases</w:t>
      </w:r>
    </w:p>
    <w:p w:rsidR="00E201F7" w:rsidRDefault="00E24EFF">
      <w:pPr>
        <w:pStyle w:val="Basis"/>
        <w:rPr>
          <w:rFonts w:ascii="Arial" w:hAnsi="Arial"/>
          <w:noProof/>
          <w:lang w:val="en-GB"/>
        </w:rPr>
      </w:pPr>
      <w:r>
        <w:rPr>
          <w:rFonts w:ascii="Arial" w:hAnsi="Arial"/>
          <w:noProof/>
          <w:lang w:val="en-GB"/>
        </w:rPr>
        <w:t>In 2017, the Commission opened own-initiative infringement cases over the following:</w:t>
      </w:r>
    </w:p>
    <w:p w:rsidR="00E201F7" w:rsidRDefault="00E24EFF">
      <w:pPr>
        <w:pStyle w:val="Basis"/>
        <w:numPr>
          <w:ilvl w:val="0"/>
          <w:numId w:val="28"/>
        </w:numPr>
        <w:ind w:left="1200"/>
        <w:contextualSpacing/>
        <w:rPr>
          <w:rFonts w:ascii="Arial" w:hAnsi="Arial"/>
          <w:noProof/>
          <w:lang w:val="en-GB"/>
        </w:rPr>
      </w:pPr>
      <w:r>
        <w:rPr>
          <w:rFonts w:ascii="Arial" w:hAnsi="Arial"/>
          <w:noProof/>
          <w:lang w:val="en-GB"/>
        </w:rPr>
        <w:t xml:space="preserve">cash </w:t>
      </w:r>
      <w:r>
        <w:rPr>
          <w:rFonts w:ascii="Arial" w:hAnsi="Arial"/>
          <w:noProof/>
          <w:lang w:val="en-GB"/>
        </w:rPr>
        <w:t>control and fees with an equivalent effect to a customs duty; and</w:t>
      </w:r>
    </w:p>
    <w:p w:rsidR="00E201F7" w:rsidRDefault="00E24EFF">
      <w:pPr>
        <w:pStyle w:val="Basis"/>
        <w:numPr>
          <w:ilvl w:val="0"/>
          <w:numId w:val="28"/>
        </w:numPr>
        <w:ind w:left="1200"/>
        <w:contextualSpacing/>
        <w:rPr>
          <w:rFonts w:ascii="Arial" w:hAnsi="Arial"/>
          <w:noProof/>
          <w:lang w:val="en-GB"/>
        </w:rPr>
      </w:pPr>
      <w:r>
        <w:rPr>
          <w:rFonts w:ascii="Arial" w:hAnsi="Arial"/>
          <w:noProof/>
          <w:lang w:val="en-GB"/>
        </w:rPr>
        <w:t>domestic and cross-border VAT refunds.</w:t>
      </w:r>
    </w:p>
    <w:p w:rsidR="00E201F7" w:rsidRDefault="00E24EFF">
      <w:pPr>
        <w:pStyle w:val="kop2"/>
        <w:rPr>
          <w:noProof/>
        </w:rPr>
      </w:pPr>
      <w:r>
        <w:rPr>
          <w:noProof/>
        </w:rPr>
        <w:t>INFRINGEMENT CASES</w:t>
      </w:r>
    </w:p>
    <w:p w:rsidR="00E201F7" w:rsidRDefault="00E24EFF">
      <w:pPr>
        <w:numPr>
          <w:ilvl w:val="0"/>
          <w:numId w:val="145"/>
        </w:numPr>
        <w:spacing w:before="120"/>
        <w:ind w:left="714" w:hanging="357"/>
        <w:jc w:val="left"/>
        <w:outlineLvl w:val="1"/>
        <w:rPr>
          <w:rFonts w:ascii="Arial" w:hAnsi="Arial"/>
          <w:noProof/>
          <w:color w:val="002060"/>
          <w:sz w:val="22"/>
        </w:rPr>
      </w:pPr>
      <w:r>
        <w:rPr>
          <w:rFonts w:ascii="Arial" w:hAnsi="Arial"/>
          <w:noProof/>
          <w:color w:val="002060"/>
          <w:sz w:val="22"/>
        </w:rPr>
        <w:t>Infringement cases open on 31 December (2013-2017)</w:t>
      </w:r>
    </w:p>
    <w:p w:rsidR="00E201F7" w:rsidRDefault="00E24EFF">
      <w:pPr>
        <w:ind w:left="720"/>
        <w:rPr>
          <w:rFonts w:cs="Arial"/>
          <w:noProof/>
          <w:sz w:val="20"/>
        </w:rPr>
      </w:pPr>
      <w:r>
        <w:rPr>
          <w:rFonts w:ascii="Verdana" w:hAnsi="Verdana"/>
          <w:noProof/>
          <w:sz w:val="20"/>
        </w:rPr>
        <w:drawing>
          <wp:inline distT="0" distB="0" distL="0" distR="0" wp14:anchorId="2F4DA77E" wp14:editId="511F4EA2">
            <wp:extent cx="4622800" cy="2235200"/>
            <wp:effectExtent l="0" t="0" r="0" b="0"/>
            <wp:docPr id="91" name="Grafie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E201F7" w:rsidRDefault="00E24EFF">
      <w:pPr>
        <w:spacing w:after="0"/>
        <w:jc w:val="left"/>
        <w:rPr>
          <w:rFonts w:cs="Arial"/>
          <w:noProof/>
          <w:sz w:val="20"/>
        </w:rPr>
      </w:pPr>
      <w:r>
        <w:rPr>
          <w:rFonts w:cs="Arial"/>
          <w:noProof/>
          <w:sz w:val="20"/>
        </w:rPr>
        <w:br w:type="page"/>
      </w:r>
    </w:p>
    <w:p w:rsidR="00E201F7" w:rsidRDefault="00E24EFF">
      <w:pPr>
        <w:numPr>
          <w:ilvl w:val="0"/>
          <w:numId w:val="145"/>
        </w:numPr>
        <w:spacing w:before="120"/>
        <w:ind w:left="714" w:hanging="357"/>
        <w:jc w:val="left"/>
        <w:outlineLvl w:val="1"/>
        <w:rPr>
          <w:rFonts w:ascii="Arial" w:hAnsi="Arial"/>
          <w:noProof/>
          <w:color w:val="002060"/>
          <w:sz w:val="22"/>
        </w:rPr>
      </w:pPr>
      <w:r>
        <w:rPr>
          <w:rFonts w:ascii="Arial" w:hAnsi="Arial"/>
          <w:noProof/>
          <w:color w:val="002060"/>
          <w:sz w:val="22"/>
        </w:rPr>
        <w:t>Infringement cases open on 31 December 2017: main policy sectors</w:t>
      </w:r>
    </w:p>
    <w:p w:rsidR="00E201F7" w:rsidRDefault="00E24EFF">
      <w:pPr>
        <w:ind w:left="720"/>
        <w:rPr>
          <w:rFonts w:ascii="Verdana" w:hAnsi="Verdana"/>
          <w:noProof/>
          <w:sz w:val="20"/>
        </w:rPr>
      </w:pPr>
      <w:r>
        <w:rPr>
          <w:rFonts w:ascii="Verdana" w:hAnsi="Verdana"/>
          <w:noProof/>
          <w:sz w:val="20"/>
        </w:rPr>
        <w:drawing>
          <wp:inline distT="0" distB="0" distL="0" distR="0" wp14:anchorId="39189018" wp14:editId="7E5CAA21">
            <wp:extent cx="4592320" cy="2479040"/>
            <wp:effectExtent l="0" t="0" r="0" b="0"/>
            <wp:docPr id="92"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E201F7" w:rsidRDefault="00E24EFF">
      <w:pPr>
        <w:numPr>
          <w:ilvl w:val="0"/>
          <w:numId w:val="145"/>
        </w:numPr>
        <w:spacing w:before="120"/>
        <w:ind w:left="714" w:hanging="357"/>
        <w:jc w:val="left"/>
        <w:outlineLvl w:val="1"/>
        <w:rPr>
          <w:rFonts w:ascii="Arial" w:hAnsi="Arial"/>
          <w:noProof/>
          <w:color w:val="002060"/>
          <w:sz w:val="22"/>
        </w:rPr>
      </w:pPr>
      <w:r>
        <w:rPr>
          <w:rFonts w:ascii="Arial" w:hAnsi="Arial"/>
          <w:noProof/>
          <w:color w:val="002060"/>
          <w:sz w:val="22"/>
        </w:rPr>
        <w:t xml:space="preserve">New </w:t>
      </w:r>
      <w:r>
        <w:rPr>
          <w:rFonts w:ascii="Arial" w:hAnsi="Arial"/>
          <w:noProof/>
          <w:color w:val="002060"/>
          <w:sz w:val="22"/>
        </w:rPr>
        <w:t>infringement cases opened in 2017: main policy sectors</w:t>
      </w:r>
    </w:p>
    <w:p w:rsidR="00E201F7" w:rsidRDefault="00E24EFF">
      <w:pPr>
        <w:ind w:left="720"/>
        <w:rPr>
          <w:rFonts w:ascii="Verdana" w:hAnsi="Verdana"/>
          <w:noProof/>
          <w:sz w:val="20"/>
        </w:rPr>
      </w:pPr>
      <w:r>
        <w:rPr>
          <w:rFonts w:ascii="Verdana" w:hAnsi="Verdana"/>
          <w:noProof/>
          <w:sz w:val="20"/>
        </w:rPr>
        <w:drawing>
          <wp:inline distT="0" distB="0" distL="0" distR="0" wp14:anchorId="43F7A3C8" wp14:editId="0E5309CC">
            <wp:extent cx="4632960" cy="2499360"/>
            <wp:effectExtent l="0" t="0" r="15240" b="15240"/>
            <wp:docPr id="93"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rsidR="00E201F7" w:rsidRDefault="00E24EFF">
      <w:pPr>
        <w:numPr>
          <w:ilvl w:val="0"/>
          <w:numId w:val="145"/>
        </w:numPr>
        <w:spacing w:before="120"/>
        <w:ind w:left="714" w:hanging="357"/>
        <w:jc w:val="left"/>
        <w:outlineLvl w:val="1"/>
        <w:rPr>
          <w:rFonts w:ascii="Arial" w:hAnsi="Arial"/>
          <w:noProof/>
          <w:color w:val="002060"/>
          <w:sz w:val="22"/>
        </w:rPr>
      </w:pPr>
      <w:r>
        <w:rPr>
          <w:rFonts w:ascii="Arial" w:hAnsi="Arial"/>
          <w:noProof/>
          <w:color w:val="002060"/>
          <w:sz w:val="22"/>
        </w:rPr>
        <w:t>Key infringement cases and referrals to the Court</w:t>
      </w:r>
    </w:p>
    <w:p w:rsidR="00E201F7" w:rsidRDefault="00E24EFF">
      <w:pPr>
        <w:pStyle w:val="Lijstje"/>
        <w:numPr>
          <w:ilvl w:val="0"/>
          <w:numId w:val="52"/>
        </w:numPr>
        <w:spacing w:after="120"/>
        <w:ind w:left="1200" w:hanging="360"/>
        <w:rPr>
          <w:rFonts w:ascii="Arial" w:hAnsi="Arial" w:cs="Arial"/>
          <w:noProof/>
          <w:lang w:val="en-GB"/>
        </w:rPr>
      </w:pPr>
      <w:r>
        <w:rPr>
          <w:rFonts w:ascii="Arial" w:hAnsi="Arial" w:cs="Arial"/>
          <w:noProof/>
          <w:lang w:val="en-GB"/>
        </w:rPr>
        <w:t>The Commission opened 27 new infringement cases in 2017. These, and other major ongoing infringement cases, include the following:</w:t>
      </w:r>
    </w:p>
    <w:p w:rsidR="00E201F7" w:rsidRDefault="00E24EFF">
      <w:pPr>
        <w:numPr>
          <w:ilvl w:val="0"/>
          <w:numId w:val="24"/>
        </w:numPr>
        <w:spacing w:after="200"/>
        <w:ind w:left="1800"/>
        <w:contextualSpacing/>
        <w:rPr>
          <w:rFonts w:ascii="Arial" w:eastAsia="Calibri" w:hAnsi="Arial" w:cs="Arial"/>
          <w:i/>
          <w:noProof/>
          <w:kern w:val="20"/>
          <w:sz w:val="20"/>
          <w:szCs w:val="20"/>
        </w:rPr>
      </w:pPr>
      <w:r>
        <w:rPr>
          <w:rFonts w:ascii="Arial" w:eastAsia="Calibri" w:hAnsi="Arial" w:cs="Arial"/>
          <w:i/>
          <w:noProof/>
          <w:kern w:val="20"/>
          <w:sz w:val="20"/>
          <w:szCs w:val="20"/>
        </w:rPr>
        <w:t xml:space="preserve">Germany: </w:t>
      </w:r>
      <w:r>
        <w:rPr>
          <w:rFonts w:ascii="Arial" w:eastAsia="Calibri" w:hAnsi="Arial" w:cs="Arial"/>
          <w:noProof/>
          <w:kern w:val="20"/>
          <w:sz w:val="20"/>
          <w:szCs w:val="20"/>
        </w:rPr>
        <w:t>reluctance by the tax administration to inform VAT refund applicants in certain cases may result in EU businesses losing those refund rights;</w:t>
      </w:r>
    </w:p>
    <w:p w:rsidR="00E201F7" w:rsidRDefault="00E24EFF">
      <w:pPr>
        <w:numPr>
          <w:ilvl w:val="0"/>
          <w:numId w:val="24"/>
        </w:numPr>
        <w:spacing w:after="200"/>
        <w:ind w:left="1800"/>
        <w:contextualSpacing/>
        <w:rPr>
          <w:rFonts w:ascii="Arial" w:eastAsia="Calibri" w:hAnsi="Arial"/>
          <w:i/>
          <w:noProof/>
          <w:kern w:val="20"/>
          <w:sz w:val="20"/>
        </w:rPr>
      </w:pPr>
      <w:r>
        <w:rPr>
          <w:rFonts w:ascii="Arial" w:eastAsia="Calibri" w:hAnsi="Arial"/>
          <w:i/>
          <w:noProof/>
          <w:kern w:val="20"/>
          <w:sz w:val="20"/>
        </w:rPr>
        <w:t xml:space="preserve">Spain: </w:t>
      </w:r>
      <w:r>
        <w:rPr>
          <w:rFonts w:ascii="Arial" w:eastAsia="Calibri" w:hAnsi="Arial"/>
          <w:noProof/>
          <w:kern w:val="20"/>
          <w:sz w:val="20"/>
        </w:rPr>
        <w:t xml:space="preserve">the penalty regime under the ‘Modelo </w:t>
      </w:r>
      <w:smartTag w:uri="urn:schemas-microsoft-com:office:smarttags" w:element="metricconverter">
        <w:smartTagPr>
          <w:attr w:name="ProductID" w:val="720’"/>
        </w:smartTagPr>
        <w:r>
          <w:rPr>
            <w:rFonts w:ascii="Arial" w:eastAsia="Calibri" w:hAnsi="Arial"/>
            <w:noProof/>
            <w:kern w:val="20"/>
            <w:sz w:val="20"/>
          </w:rPr>
          <w:t>720’</w:t>
        </w:r>
      </w:smartTag>
      <w:r>
        <w:rPr>
          <w:rFonts w:ascii="Arial" w:eastAsia="Calibri" w:hAnsi="Arial"/>
          <w:noProof/>
          <w:kern w:val="20"/>
          <w:sz w:val="20"/>
        </w:rPr>
        <w:t xml:space="preserve"> (a compulsory declaration on tax residents’ assets located abroad</w:t>
      </w:r>
      <w:r>
        <w:rPr>
          <w:rFonts w:ascii="Arial" w:eastAsia="Calibri" w:hAnsi="Arial"/>
          <w:noProof/>
          <w:kern w:val="20"/>
          <w:sz w:val="20"/>
        </w:rPr>
        <w:t>) may be disproportionate and thus contrary to, among other things, the free movement of capital</w:t>
      </w:r>
      <w:r>
        <w:rPr>
          <w:rStyle w:val="FootnoteReference"/>
          <w:rFonts w:ascii="Arial" w:eastAsia="Calibri" w:hAnsi="Arial" w:cs="Arial"/>
          <w:noProof/>
          <w:kern w:val="20"/>
          <w:sz w:val="20"/>
          <w:szCs w:val="20"/>
        </w:rPr>
        <w:footnoteReference w:id="379"/>
      </w:r>
      <w:r>
        <w:rPr>
          <w:rFonts w:ascii="Arial" w:eastAsia="Calibri" w:hAnsi="Arial"/>
          <w:noProof/>
          <w:kern w:val="20"/>
          <w:sz w:val="20"/>
        </w:rPr>
        <w:t>;</w:t>
      </w:r>
    </w:p>
    <w:p w:rsidR="00E201F7" w:rsidRDefault="00E24EFF">
      <w:pPr>
        <w:numPr>
          <w:ilvl w:val="0"/>
          <w:numId w:val="24"/>
        </w:numPr>
        <w:spacing w:after="200"/>
        <w:ind w:left="1800"/>
        <w:contextualSpacing/>
        <w:rPr>
          <w:rFonts w:ascii="Arial" w:eastAsia="Calibri" w:hAnsi="Arial"/>
          <w:i/>
          <w:noProof/>
          <w:kern w:val="20"/>
          <w:sz w:val="20"/>
        </w:rPr>
      </w:pPr>
      <w:smartTag w:uri="urn:schemas-microsoft-com:office:smarttags" w:element="place">
        <w:smartTag w:uri="urn:schemas-microsoft-com:office:smarttags" w:element="country-region">
          <w:r>
            <w:rPr>
              <w:rFonts w:ascii="Arial" w:eastAsia="Calibri" w:hAnsi="Arial"/>
              <w:i/>
              <w:noProof/>
              <w:kern w:val="20"/>
              <w:sz w:val="20"/>
            </w:rPr>
            <w:t>Italy</w:t>
          </w:r>
        </w:smartTag>
      </w:smartTag>
      <w:r>
        <w:rPr>
          <w:rFonts w:ascii="Arial" w:eastAsia="Calibri" w:hAnsi="Arial"/>
          <w:noProof/>
          <w:kern w:val="20"/>
          <w:sz w:val="20"/>
        </w:rPr>
        <w:t>: discriminatory fiscal treatment of green electricity and discriminatory taxation rules against non-Italian citizens relating to real estate;</w:t>
      </w:r>
    </w:p>
    <w:p w:rsidR="00E201F7" w:rsidRDefault="00E24EFF">
      <w:pPr>
        <w:numPr>
          <w:ilvl w:val="0"/>
          <w:numId w:val="24"/>
        </w:numPr>
        <w:spacing w:after="200"/>
        <w:ind w:left="1800"/>
        <w:contextualSpacing/>
        <w:rPr>
          <w:rFonts w:ascii="Arial" w:eastAsia="Calibri" w:hAnsi="Arial"/>
          <w:i/>
          <w:noProof/>
          <w:kern w:val="20"/>
          <w:sz w:val="20"/>
        </w:rPr>
      </w:pPr>
      <w:r>
        <w:rPr>
          <w:rFonts w:ascii="Arial" w:eastAsia="Calibri" w:hAnsi="Arial"/>
          <w:i/>
          <w:noProof/>
          <w:kern w:val="20"/>
          <w:sz w:val="20"/>
        </w:rPr>
        <w:t>Hungary a</w:t>
      </w:r>
      <w:r>
        <w:rPr>
          <w:rFonts w:ascii="Arial" w:eastAsia="Calibri" w:hAnsi="Arial"/>
          <w:i/>
          <w:noProof/>
          <w:kern w:val="20"/>
          <w:sz w:val="20"/>
        </w:rPr>
        <w:t xml:space="preserve">nd </w:t>
      </w:r>
      <w:smartTag w:uri="urn:schemas-microsoft-com:office:smarttags" w:element="place">
        <w:smartTag w:uri="urn:schemas-microsoft-com:office:smarttags" w:element="country-region">
          <w:r>
            <w:rPr>
              <w:rFonts w:ascii="Arial" w:eastAsia="Calibri" w:hAnsi="Arial"/>
              <w:i/>
              <w:noProof/>
              <w:kern w:val="20"/>
              <w:sz w:val="20"/>
            </w:rPr>
            <w:t>Bulgaria</w:t>
          </w:r>
        </w:smartTag>
      </w:smartTag>
      <w:r>
        <w:rPr>
          <w:rFonts w:ascii="Arial" w:eastAsia="Calibri" w:hAnsi="Arial"/>
          <w:i/>
          <w:noProof/>
          <w:kern w:val="20"/>
          <w:sz w:val="20"/>
        </w:rPr>
        <w:t xml:space="preserve">: </w:t>
      </w:r>
      <w:r>
        <w:rPr>
          <w:rFonts w:ascii="Arial" w:eastAsia="Calibri" w:hAnsi="Arial"/>
          <w:noProof/>
          <w:kern w:val="20"/>
          <w:sz w:val="20"/>
        </w:rPr>
        <w:t>cash control, proportionality of national fines;</w:t>
      </w:r>
    </w:p>
    <w:p w:rsidR="00E201F7" w:rsidRDefault="00E24EFF">
      <w:pPr>
        <w:numPr>
          <w:ilvl w:val="0"/>
          <w:numId w:val="24"/>
        </w:numPr>
        <w:spacing w:after="200"/>
        <w:ind w:left="1800"/>
        <w:contextualSpacing/>
        <w:rPr>
          <w:rFonts w:ascii="Arial" w:eastAsia="Calibri" w:hAnsi="Arial"/>
          <w:i/>
          <w:noProof/>
          <w:kern w:val="20"/>
          <w:sz w:val="20"/>
        </w:rPr>
      </w:pPr>
      <w:r>
        <w:rPr>
          <w:rFonts w:ascii="Arial" w:eastAsia="Calibri" w:hAnsi="Arial"/>
          <w:i/>
          <w:noProof/>
          <w:kern w:val="20"/>
          <w:sz w:val="20"/>
        </w:rPr>
        <w:t>Hungary:</w:t>
      </w:r>
      <w:r>
        <w:rPr>
          <w:rFonts w:ascii="Arial" w:eastAsia="Calibri" w:hAnsi="Arial"/>
          <w:noProof/>
          <w:kern w:val="20"/>
          <w:sz w:val="20"/>
        </w:rPr>
        <w:t xml:space="preserve"> excessive reporting obligations on businesses under the Electronic Road Cargo Monitoring System which may violate the equal treatment of intra-EU and domestic transports.</w:t>
      </w:r>
    </w:p>
    <w:p w:rsidR="00E201F7" w:rsidRDefault="00E24EFF">
      <w:pPr>
        <w:pStyle w:val="Lijstje"/>
        <w:numPr>
          <w:ilvl w:val="0"/>
          <w:numId w:val="52"/>
        </w:numPr>
        <w:spacing w:after="120"/>
        <w:ind w:left="1200" w:hanging="360"/>
        <w:rPr>
          <w:rFonts w:ascii="Arial" w:hAnsi="Arial" w:cs="Arial"/>
          <w:noProof/>
          <w:lang w:val="en-GB"/>
        </w:rPr>
      </w:pPr>
      <w:r>
        <w:rPr>
          <w:rFonts w:ascii="Arial" w:hAnsi="Arial" w:cs="Arial"/>
          <w:noProof/>
          <w:lang w:val="en-GB"/>
        </w:rPr>
        <w:t>The Commission</w:t>
      </w:r>
      <w:r>
        <w:rPr>
          <w:rFonts w:ascii="Arial" w:hAnsi="Arial" w:cs="Arial"/>
          <w:noProof/>
          <w:lang w:val="en-GB"/>
        </w:rPr>
        <w:t xml:space="preserve"> referred four cases to the Court under Article 258 TFEU. </w:t>
      </w:r>
    </w:p>
    <w:p w:rsidR="00E201F7" w:rsidRDefault="00E24EFF">
      <w:pPr>
        <w:numPr>
          <w:ilvl w:val="0"/>
          <w:numId w:val="24"/>
        </w:numPr>
        <w:spacing w:after="120"/>
        <w:ind w:left="1800"/>
        <w:rPr>
          <w:rFonts w:ascii="Arial" w:eastAsia="Calibri" w:hAnsi="Arial"/>
          <w:noProof/>
          <w:kern w:val="20"/>
          <w:sz w:val="20"/>
        </w:rPr>
      </w:pPr>
      <w:r>
        <w:rPr>
          <w:rFonts w:ascii="Arial" w:eastAsia="Calibri" w:hAnsi="Arial"/>
          <w:i/>
          <w:noProof/>
          <w:kern w:val="20"/>
          <w:sz w:val="20"/>
        </w:rPr>
        <w:t>Belgium</w:t>
      </w:r>
      <w:r>
        <w:rPr>
          <w:rStyle w:val="FootnoteReference"/>
          <w:rFonts w:ascii="Arial" w:hAnsi="Arial"/>
          <w:noProof/>
          <w:sz w:val="20"/>
        </w:rPr>
        <w:footnoteReference w:id="380"/>
      </w:r>
      <w:r>
        <w:rPr>
          <w:rFonts w:ascii="Arial" w:eastAsia="Calibri" w:hAnsi="Arial"/>
          <w:i/>
          <w:noProof/>
          <w:kern w:val="20"/>
          <w:sz w:val="20"/>
        </w:rPr>
        <w:t xml:space="preserve">: </w:t>
      </w:r>
      <w:r>
        <w:rPr>
          <w:rFonts w:ascii="Arial" w:eastAsia="Calibri" w:hAnsi="Arial"/>
          <w:noProof/>
          <w:kern w:val="20"/>
          <w:sz w:val="20"/>
        </w:rPr>
        <w:t xml:space="preserve">The Belgian tax laws apply different methods when assessing rents earned from real estate. They attribute a higher value to real estate located abroad than to comparable real estate in </w:t>
      </w:r>
      <w:smartTag w:uri="urn:schemas-microsoft-com:office:smarttags" w:element="country-region">
        <w:smartTag w:uri="urn:schemas-microsoft-com:office:smarttags" w:element="place">
          <w:r>
            <w:rPr>
              <w:rFonts w:ascii="Arial" w:eastAsia="Calibri" w:hAnsi="Arial"/>
              <w:noProof/>
              <w:kern w:val="20"/>
              <w:sz w:val="20"/>
            </w:rPr>
            <w:t>Be</w:t>
          </w:r>
          <w:r>
            <w:rPr>
              <w:rFonts w:ascii="Arial" w:eastAsia="Calibri" w:hAnsi="Arial"/>
              <w:noProof/>
              <w:kern w:val="20"/>
              <w:sz w:val="20"/>
            </w:rPr>
            <w:t>lgium</w:t>
          </w:r>
        </w:smartTag>
      </w:smartTag>
      <w:r>
        <w:rPr>
          <w:rFonts w:ascii="Arial" w:eastAsia="Calibri" w:hAnsi="Arial"/>
          <w:noProof/>
          <w:kern w:val="20"/>
          <w:sz w:val="20"/>
        </w:rPr>
        <w:t>. The rules thus favour investment in Belgian real estate over that in other Member States. This may be contrary to the free movement of capital.</w:t>
      </w:r>
    </w:p>
    <w:p w:rsidR="00E201F7" w:rsidRDefault="00E24EFF">
      <w:pPr>
        <w:numPr>
          <w:ilvl w:val="0"/>
          <w:numId w:val="24"/>
        </w:numPr>
        <w:spacing w:after="120"/>
        <w:ind w:left="1800"/>
        <w:rPr>
          <w:rFonts w:ascii="Arial" w:eastAsia="Calibri" w:hAnsi="Arial"/>
          <w:noProof/>
          <w:kern w:val="20"/>
          <w:sz w:val="20"/>
        </w:rPr>
      </w:pPr>
      <w:r>
        <w:rPr>
          <w:rFonts w:ascii="Arial" w:eastAsia="Calibri" w:hAnsi="Arial"/>
          <w:i/>
          <w:noProof/>
          <w:kern w:val="20"/>
          <w:sz w:val="20"/>
        </w:rPr>
        <w:t>Ireland</w:t>
      </w:r>
      <w:r>
        <w:rPr>
          <w:rStyle w:val="FootnoteReference"/>
          <w:rFonts w:ascii="Arial" w:hAnsi="Arial"/>
          <w:noProof/>
          <w:sz w:val="20"/>
        </w:rPr>
        <w:footnoteReference w:id="381"/>
      </w:r>
      <w:r>
        <w:rPr>
          <w:rFonts w:ascii="Arial" w:eastAsia="Calibri" w:hAnsi="Arial"/>
          <w:i/>
          <w:noProof/>
          <w:kern w:val="20"/>
          <w:sz w:val="20"/>
        </w:rPr>
        <w:t>:</w:t>
      </w:r>
      <w:r>
        <w:rPr>
          <w:rFonts w:ascii="Arial" w:eastAsia="Calibri" w:hAnsi="Arial"/>
          <w:noProof/>
          <w:kern w:val="20"/>
          <w:sz w:val="20"/>
        </w:rPr>
        <w:t xml:space="preserve"> </w:t>
      </w:r>
      <w:smartTag w:uri="urn:schemas-microsoft-com:office:smarttags" w:element="country-region">
        <w:smartTag w:uri="urn:schemas-microsoft-com:office:smarttags" w:element="place">
          <w:r>
            <w:rPr>
              <w:rFonts w:ascii="Arial" w:eastAsia="Calibri" w:hAnsi="Arial"/>
              <w:noProof/>
              <w:kern w:val="20"/>
              <w:sz w:val="20"/>
            </w:rPr>
            <w:t>Ireland</w:t>
          </w:r>
        </w:smartTag>
      </w:smartTag>
      <w:r>
        <w:rPr>
          <w:rFonts w:ascii="Arial" w:eastAsia="Calibri" w:hAnsi="Arial"/>
          <w:noProof/>
          <w:kern w:val="20"/>
          <w:sz w:val="20"/>
        </w:rPr>
        <w:t xml:space="preserve"> does not properly apply the EU rules on fiscal marking</w:t>
      </w:r>
      <w:r>
        <w:rPr>
          <w:rStyle w:val="FootnoteReference"/>
          <w:rFonts w:ascii="Arial" w:hAnsi="Arial"/>
          <w:noProof/>
          <w:sz w:val="20"/>
        </w:rPr>
        <w:footnoteReference w:id="382"/>
      </w:r>
      <w:r>
        <w:rPr>
          <w:rFonts w:ascii="Arial" w:eastAsia="Calibri" w:hAnsi="Arial"/>
          <w:noProof/>
          <w:kern w:val="20"/>
          <w:sz w:val="20"/>
        </w:rPr>
        <w:t xml:space="preserve"> of fuels. Under the rules fishing vessels (among others) may benefit from a lower tax rate on their fuels; however, private leisure boats must use fuel subject to a standard rate. In addition, private leisure boats using marked fuel risk heavy penalties a</w:t>
      </w:r>
      <w:r>
        <w:rPr>
          <w:rFonts w:ascii="Arial" w:eastAsia="Calibri" w:hAnsi="Arial"/>
          <w:noProof/>
          <w:kern w:val="20"/>
          <w:sz w:val="20"/>
        </w:rPr>
        <w:t>broad charged by the authorities of other Member States.</w:t>
      </w:r>
    </w:p>
    <w:p w:rsidR="00E201F7" w:rsidRDefault="00E24EFF">
      <w:pPr>
        <w:numPr>
          <w:ilvl w:val="0"/>
          <w:numId w:val="24"/>
        </w:numPr>
        <w:spacing w:after="120"/>
        <w:ind w:left="1800"/>
        <w:rPr>
          <w:rFonts w:ascii="Arial" w:eastAsia="Calibri" w:hAnsi="Arial" w:cs="Arial"/>
          <w:i/>
          <w:noProof/>
          <w:kern w:val="20"/>
          <w:sz w:val="20"/>
          <w:szCs w:val="20"/>
        </w:rPr>
      </w:pPr>
      <w:r>
        <w:rPr>
          <w:rFonts w:ascii="Arial" w:eastAsia="Calibri" w:hAnsi="Arial" w:cs="Arial"/>
          <w:i/>
          <w:noProof/>
          <w:kern w:val="20"/>
          <w:sz w:val="20"/>
          <w:szCs w:val="20"/>
        </w:rPr>
        <w:t>France</w:t>
      </w:r>
      <w:r>
        <w:rPr>
          <w:rStyle w:val="FootnoteReference"/>
          <w:rFonts w:ascii="Arial" w:hAnsi="Arial" w:cs="Arial"/>
          <w:noProof/>
          <w:sz w:val="20"/>
          <w:szCs w:val="20"/>
        </w:rPr>
        <w:footnoteReference w:id="383"/>
      </w:r>
      <w:r>
        <w:rPr>
          <w:rFonts w:ascii="Arial" w:eastAsia="Calibri" w:hAnsi="Arial" w:cs="Arial"/>
          <w:i/>
          <w:noProof/>
          <w:kern w:val="20"/>
          <w:sz w:val="20"/>
          <w:szCs w:val="20"/>
        </w:rPr>
        <w:t>:</w:t>
      </w:r>
      <w:r>
        <w:rPr>
          <w:rFonts w:ascii="Arial" w:eastAsia="Calibri" w:hAnsi="Arial" w:cs="Arial"/>
          <w:noProof/>
          <w:kern w:val="20"/>
          <w:sz w:val="20"/>
          <w:szCs w:val="20"/>
        </w:rPr>
        <w:t xml:space="preserve"> The case concerns failure to fully comply with the following criteria laid down in an earlier Court judgment on tax treatment of dividends</w:t>
      </w:r>
      <w:r>
        <w:rPr>
          <w:rStyle w:val="FootnoteReference"/>
          <w:rFonts w:ascii="Arial" w:hAnsi="Arial" w:cs="Arial"/>
          <w:noProof/>
          <w:sz w:val="20"/>
          <w:szCs w:val="20"/>
        </w:rPr>
        <w:footnoteReference w:id="384"/>
      </w:r>
      <w:r>
        <w:rPr>
          <w:rFonts w:ascii="Arial" w:eastAsia="Calibri" w:hAnsi="Arial" w:cs="Arial"/>
          <w:noProof/>
          <w:kern w:val="20"/>
          <w:sz w:val="20"/>
          <w:szCs w:val="20"/>
        </w:rPr>
        <w:t>. First, the tax already paid by non-French subsidi</w:t>
      </w:r>
      <w:r>
        <w:rPr>
          <w:rFonts w:ascii="Arial" w:eastAsia="Calibri" w:hAnsi="Arial" w:cs="Arial"/>
          <w:noProof/>
          <w:kern w:val="20"/>
          <w:sz w:val="20"/>
          <w:szCs w:val="20"/>
        </w:rPr>
        <w:t>aries is not taken into account. Second, the tax credit is limited to one third of the dividend redistributed by a non</w:t>
      </w:r>
      <w:r>
        <w:rPr>
          <w:rFonts w:ascii="Arial" w:eastAsia="Calibri" w:hAnsi="Arial" w:cs="Arial"/>
          <w:noProof/>
          <w:kern w:val="20"/>
          <w:sz w:val="20"/>
          <w:szCs w:val="20"/>
        </w:rPr>
        <w:noBreakHyphen/>
        <w:t xml:space="preserve">French subsidiary, which discriminates between dividends received from companies in other </w:t>
      </w:r>
      <w:smartTag w:uri="urn:schemas-microsoft-com:office:smarttags" w:element="place">
        <w:smartTag w:uri="urn:schemas-microsoft-com:office:smarttags" w:element="PlaceName">
          <w:r>
            <w:rPr>
              <w:rFonts w:ascii="Arial" w:eastAsia="Calibri" w:hAnsi="Arial" w:cs="Arial"/>
              <w:noProof/>
              <w:kern w:val="20"/>
              <w:sz w:val="20"/>
              <w:szCs w:val="20"/>
            </w:rPr>
            <w:t>Member</w:t>
          </w:r>
        </w:smartTag>
        <w:r>
          <w:rPr>
            <w:rFonts w:ascii="Arial" w:eastAsia="Calibri" w:hAnsi="Arial" w:cs="Arial"/>
            <w:noProof/>
            <w:kern w:val="20"/>
            <w:sz w:val="20"/>
            <w:szCs w:val="20"/>
          </w:rPr>
          <w:t xml:space="preserve"> </w:t>
        </w:r>
        <w:smartTag w:uri="urn:schemas-microsoft-com:office:smarttags" w:element="PlaceType">
          <w:r>
            <w:rPr>
              <w:rFonts w:ascii="Arial" w:eastAsia="Calibri" w:hAnsi="Arial" w:cs="Arial"/>
              <w:noProof/>
              <w:kern w:val="20"/>
              <w:sz w:val="20"/>
              <w:szCs w:val="20"/>
            </w:rPr>
            <w:t>States</w:t>
          </w:r>
        </w:smartTag>
      </w:smartTag>
      <w:r>
        <w:rPr>
          <w:rFonts w:ascii="Arial" w:eastAsia="Calibri" w:hAnsi="Arial" w:cs="Arial"/>
          <w:noProof/>
          <w:kern w:val="20"/>
          <w:sz w:val="20"/>
          <w:szCs w:val="20"/>
        </w:rPr>
        <w:t xml:space="preserve"> and those of French origin. Final</w:t>
      </w:r>
      <w:r>
        <w:rPr>
          <w:rFonts w:ascii="Arial" w:eastAsia="Calibri" w:hAnsi="Arial" w:cs="Arial"/>
          <w:noProof/>
          <w:kern w:val="20"/>
          <w:sz w:val="20"/>
          <w:szCs w:val="20"/>
        </w:rPr>
        <w:t>ly, the requirement of proof is still maintained to restrict companies’ right to a refund.</w:t>
      </w:r>
    </w:p>
    <w:p w:rsidR="00E201F7" w:rsidRDefault="00E24EFF">
      <w:pPr>
        <w:numPr>
          <w:ilvl w:val="0"/>
          <w:numId w:val="24"/>
        </w:numPr>
        <w:spacing w:after="120"/>
        <w:ind w:left="1797" w:hanging="357"/>
        <w:rPr>
          <w:rFonts w:ascii="Arial" w:eastAsia="Calibri" w:hAnsi="Arial"/>
          <w:noProof/>
          <w:kern w:val="20"/>
          <w:sz w:val="20"/>
        </w:rPr>
      </w:pPr>
      <w:r>
        <w:rPr>
          <w:rFonts w:ascii="Arial" w:eastAsia="Calibri" w:hAnsi="Arial"/>
          <w:i/>
          <w:noProof/>
          <w:kern w:val="20"/>
          <w:sz w:val="20"/>
        </w:rPr>
        <w:t>United Kingdom</w:t>
      </w:r>
      <w:r>
        <w:rPr>
          <w:rStyle w:val="FootnoteReference"/>
          <w:rFonts w:ascii="Arial" w:hAnsi="Arial"/>
          <w:noProof/>
          <w:sz w:val="20"/>
        </w:rPr>
        <w:footnoteReference w:id="385"/>
      </w:r>
      <w:r>
        <w:rPr>
          <w:rFonts w:ascii="Arial" w:eastAsia="Calibri" w:hAnsi="Arial"/>
          <w:i/>
          <w:noProof/>
          <w:kern w:val="20"/>
          <w:sz w:val="20"/>
        </w:rPr>
        <w:t>:</w:t>
      </w:r>
      <w:r>
        <w:rPr>
          <w:rFonts w:ascii="Arial" w:eastAsia="Calibri" w:hAnsi="Arial"/>
          <w:noProof/>
          <w:kern w:val="20"/>
          <w:sz w:val="20"/>
        </w:rPr>
        <w:t xml:space="preserve"> This case also concerns failure to properly apply the EU rules on fiscal marking of fuels</w:t>
      </w:r>
      <w:r>
        <w:rPr>
          <w:rStyle w:val="FootnoteReference"/>
          <w:rFonts w:ascii="Arial" w:hAnsi="Arial"/>
          <w:noProof/>
          <w:sz w:val="20"/>
        </w:rPr>
        <w:footnoteReference w:id="386"/>
      </w:r>
      <w:r>
        <w:rPr>
          <w:rFonts w:ascii="Arial" w:eastAsia="Calibri" w:hAnsi="Arial"/>
          <w:noProof/>
          <w:kern w:val="20"/>
          <w:sz w:val="20"/>
        </w:rPr>
        <w:t>. Under the rules fishing vessels, among others, may benef</w:t>
      </w:r>
      <w:r>
        <w:rPr>
          <w:rFonts w:ascii="Arial" w:eastAsia="Calibri" w:hAnsi="Arial"/>
          <w:noProof/>
          <w:kern w:val="20"/>
          <w:sz w:val="20"/>
        </w:rPr>
        <w:t xml:space="preserve">it from a lower tax rate on their fuels; by contrast, private leisure boats must use fuel subject to a standard rate. </w:t>
      </w:r>
      <w:smartTag w:uri="urn:schemas-microsoft-com:office:smarttags" w:element="country-region">
        <w:smartTag w:uri="urn:schemas-microsoft-com:office:smarttags" w:element="place">
          <w:r>
            <w:rPr>
              <w:rFonts w:ascii="Arial" w:eastAsia="Calibri" w:hAnsi="Arial"/>
              <w:noProof/>
              <w:kern w:val="20"/>
              <w:sz w:val="20"/>
            </w:rPr>
            <w:t>UK</w:t>
          </w:r>
        </w:smartTag>
      </w:smartTag>
      <w:r>
        <w:rPr>
          <w:rFonts w:ascii="Arial" w:eastAsia="Calibri" w:hAnsi="Arial"/>
          <w:noProof/>
          <w:kern w:val="20"/>
          <w:sz w:val="20"/>
        </w:rPr>
        <w:t xml:space="preserve"> law does not require fuel distributors to have separate fuel tanks for marked and standard fuel. Thus, private leisure boat owners ofte</w:t>
      </w:r>
      <w:r>
        <w:rPr>
          <w:rFonts w:ascii="Arial" w:eastAsia="Calibri" w:hAnsi="Arial"/>
          <w:noProof/>
          <w:kern w:val="20"/>
          <w:sz w:val="20"/>
        </w:rPr>
        <w:t>n have no choice but to buy marked fuel which is not intended for them. In addition, private leisure boats using marked fuel risk heavy penalties abroad charged by the authorities of other Member States.</w:t>
      </w:r>
    </w:p>
    <w:p w:rsidR="00E201F7" w:rsidRDefault="00E24EFF">
      <w:pPr>
        <w:pStyle w:val="Lijstje"/>
        <w:numPr>
          <w:ilvl w:val="0"/>
          <w:numId w:val="52"/>
        </w:numPr>
        <w:spacing w:after="120"/>
        <w:ind w:left="1196" w:hanging="357"/>
        <w:rPr>
          <w:rFonts w:ascii="Arial" w:hAnsi="Arial" w:cs="Arial"/>
          <w:noProof/>
          <w:lang w:val="en-GB"/>
        </w:rPr>
      </w:pPr>
      <w:r>
        <w:rPr>
          <w:rFonts w:ascii="Arial" w:hAnsi="Arial"/>
          <w:noProof/>
          <w:lang w:val="en-GB"/>
        </w:rPr>
        <w:t xml:space="preserve">The </w:t>
      </w:r>
      <w:r>
        <w:rPr>
          <w:rFonts w:ascii="Arial" w:hAnsi="Arial" w:cs="Arial"/>
          <w:noProof/>
          <w:lang w:val="en-GB"/>
        </w:rPr>
        <w:t xml:space="preserve">Commission did not refer any cases to the Court </w:t>
      </w:r>
      <w:r>
        <w:rPr>
          <w:rFonts w:ascii="Arial" w:hAnsi="Arial" w:cs="Arial"/>
          <w:noProof/>
          <w:lang w:val="en-GB"/>
        </w:rPr>
        <w:t>under Article 260(2) TFEU.</w:t>
      </w:r>
      <w:r>
        <w:rPr>
          <w:rFonts w:ascii="Arial" w:hAnsi="Arial" w:cs="Arial"/>
          <w:noProof/>
          <w:lang w:val="en-GB"/>
        </w:rPr>
        <w:br w:type="page"/>
      </w:r>
    </w:p>
    <w:p w:rsidR="00E201F7" w:rsidRDefault="00E24EFF">
      <w:pPr>
        <w:pStyle w:val="kop2"/>
        <w:rPr>
          <w:noProof/>
        </w:rPr>
      </w:pPr>
      <w:r>
        <w:rPr>
          <w:noProof/>
        </w:rPr>
        <w:t>TRANSPOSITION OF DIRECTIVES</w:t>
      </w:r>
    </w:p>
    <w:p w:rsidR="00E201F7" w:rsidRDefault="00E24EFF">
      <w:pPr>
        <w:numPr>
          <w:ilvl w:val="0"/>
          <w:numId w:val="146"/>
        </w:numPr>
        <w:spacing w:before="120"/>
        <w:jc w:val="left"/>
        <w:outlineLvl w:val="1"/>
        <w:rPr>
          <w:rFonts w:ascii="Arial" w:hAnsi="Arial"/>
          <w:noProof/>
          <w:color w:val="002060"/>
          <w:sz w:val="22"/>
        </w:rPr>
      </w:pPr>
      <w:r>
        <w:rPr>
          <w:rFonts w:ascii="Arial" w:hAnsi="Arial"/>
          <w:noProof/>
          <w:color w:val="002060"/>
          <w:sz w:val="22"/>
        </w:rPr>
        <w:t>New late transposition infringement cases (2013-2017)</w:t>
      </w:r>
    </w:p>
    <w:p w:rsidR="00E201F7" w:rsidRDefault="00E24EFF">
      <w:pPr>
        <w:ind w:left="720"/>
        <w:rPr>
          <w:rFonts w:ascii="Verdana" w:hAnsi="Verdana"/>
          <w:noProof/>
          <w:sz w:val="20"/>
        </w:rPr>
      </w:pPr>
      <w:r>
        <w:rPr>
          <w:rFonts w:ascii="Verdana" w:hAnsi="Verdana"/>
          <w:noProof/>
          <w:sz w:val="20"/>
        </w:rPr>
        <w:drawing>
          <wp:inline distT="0" distB="0" distL="0" distR="0" wp14:anchorId="22AB9E4B" wp14:editId="2CE46C27">
            <wp:extent cx="4318000" cy="2133600"/>
            <wp:effectExtent l="0" t="0" r="0" b="0"/>
            <wp:docPr id="94" name="Grafiek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rsidR="00E201F7" w:rsidRDefault="00E24EFF">
      <w:pPr>
        <w:numPr>
          <w:ilvl w:val="0"/>
          <w:numId w:val="146"/>
        </w:numPr>
        <w:spacing w:before="120"/>
        <w:jc w:val="left"/>
        <w:outlineLvl w:val="1"/>
        <w:rPr>
          <w:rFonts w:ascii="Arial" w:hAnsi="Arial"/>
          <w:noProof/>
          <w:color w:val="002060"/>
          <w:sz w:val="22"/>
        </w:rPr>
      </w:pPr>
      <w:r>
        <w:rPr>
          <w:rFonts w:ascii="Arial" w:hAnsi="Arial"/>
          <w:noProof/>
          <w:color w:val="002060"/>
          <w:sz w:val="22"/>
        </w:rPr>
        <w:t>New late transposition infringement cases opened in 2017: main policy sectors</w:t>
      </w:r>
    </w:p>
    <w:p w:rsidR="00E201F7" w:rsidRDefault="00E24EFF">
      <w:pPr>
        <w:ind w:left="720"/>
        <w:rPr>
          <w:rFonts w:ascii="Arial" w:hAnsi="Arial"/>
          <w:noProof/>
        </w:rPr>
      </w:pPr>
      <w:r>
        <w:rPr>
          <w:rFonts w:ascii="Arial" w:eastAsia="Calibri" w:hAnsi="Arial"/>
          <w:noProof/>
          <w:kern w:val="20"/>
          <w:sz w:val="20"/>
        </w:rPr>
        <w:t xml:space="preserve">All 16 new late transposition infringement cases opened in 2017 </w:t>
      </w:r>
      <w:r>
        <w:rPr>
          <w:rFonts w:ascii="Arial" w:eastAsia="Calibri" w:hAnsi="Arial"/>
          <w:noProof/>
          <w:kern w:val="20"/>
          <w:sz w:val="20"/>
        </w:rPr>
        <w:t>concern direct taxation.</w:t>
      </w:r>
    </w:p>
    <w:p w:rsidR="00E201F7" w:rsidRDefault="00E24EFF">
      <w:pPr>
        <w:numPr>
          <w:ilvl w:val="0"/>
          <w:numId w:val="146"/>
        </w:numPr>
        <w:spacing w:before="120"/>
        <w:jc w:val="left"/>
        <w:outlineLvl w:val="1"/>
        <w:rPr>
          <w:rFonts w:ascii="Arial" w:hAnsi="Arial"/>
          <w:noProof/>
          <w:color w:val="002060"/>
          <w:sz w:val="22"/>
        </w:rPr>
      </w:pPr>
      <w:r>
        <w:rPr>
          <w:rFonts w:ascii="Arial" w:hAnsi="Arial"/>
          <w:noProof/>
          <w:color w:val="002060"/>
          <w:sz w:val="22"/>
        </w:rPr>
        <w:t>Key infringement cases and referrals to the Court</w:t>
      </w:r>
    </w:p>
    <w:p w:rsidR="00E201F7" w:rsidRDefault="00E24EFF">
      <w:pPr>
        <w:numPr>
          <w:ilvl w:val="0"/>
          <w:numId w:val="55"/>
        </w:numPr>
        <w:spacing w:after="120"/>
        <w:ind w:left="1200" w:hanging="360"/>
        <w:rPr>
          <w:rFonts w:ascii="Arial" w:eastAsia="Calibri" w:hAnsi="Arial"/>
          <w:noProof/>
          <w:kern w:val="20"/>
          <w:sz w:val="20"/>
        </w:rPr>
      </w:pPr>
      <w:r>
        <w:rPr>
          <w:rFonts w:ascii="Arial" w:eastAsia="Calibri" w:hAnsi="Arial"/>
          <w:noProof/>
          <w:kern w:val="20"/>
          <w:sz w:val="20"/>
        </w:rPr>
        <w:t>The Commission opened 16 cases for late transposition in 2017. Most concern:</w:t>
      </w:r>
    </w:p>
    <w:p w:rsidR="00E201F7" w:rsidRDefault="00E24EFF">
      <w:pPr>
        <w:pStyle w:val="Lijstje2"/>
        <w:ind w:left="1843"/>
        <w:rPr>
          <w:rFonts w:ascii="Arial" w:hAnsi="Arial" w:cs="Arial"/>
          <w:noProof/>
          <w:lang w:val="en-GB"/>
        </w:rPr>
      </w:pPr>
      <w:r>
        <w:rPr>
          <w:rFonts w:ascii="Arial" w:hAnsi="Arial" w:cs="Arial"/>
          <w:noProof/>
          <w:lang w:val="en-GB"/>
        </w:rPr>
        <w:t>the Directives amending the Directive on mandatory automatic exchange of information in the field of tax</w:t>
      </w:r>
      <w:r>
        <w:rPr>
          <w:rFonts w:ascii="Arial" w:hAnsi="Arial" w:cs="Arial"/>
          <w:noProof/>
          <w:lang w:val="en-GB"/>
        </w:rPr>
        <w:t>ation</w:t>
      </w:r>
      <w:r>
        <w:rPr>
          <w:rStyle w:val="FootnoteReference"/>
          <w:rFonts w:ascii="Arial" w:hAnsi="Arial" w:cs="Arial"/>
          <w:noProof/>
          <w:lang w:val="en-GB"/>
        </w:rPr>
        <w:footnoteReference w:id="387"/>
      </w:r>
      <w:r>
        <w:rPr>
          <w:rFonts w:ascii="Arial" w:hAnsi="Arial" w:cs="Arial"/>
          <w:noProof/>
          <w:lang w:val="en-GB"/>
        </w:rPr>
        <w:t xml:space="preserve"> (DAC 3 and DAC 4)</w:t>
      </w:r>
      <w:r>
        <w:rPr>
          <w:rStyle w:val="FootnoteReference"/>
          <w:rFonts w:ascii="Arial" w:hAnsi="Arial" w:cs="Arial"/>
          <w:noProof/>
          <w:lang w:val="en-GB"/>
        </w:rPr>
        <w:footnoteReference w:id="388"/>
      </w:r>
      <w:r>
        <w:rPr>
          <w:rFonts w:ascii="Arial" w:hAnsi="Arial" w:cs="Arial"/>
          <w:noProof/>
          <w:lang w:val="en-GB"/>
        </w:rPr>
        <w:t>.</w:t>
      </w:r>
    </w:p>
    <w:p w:rsidR="00E201F7" w:rsidRDefault="00E24EFF">
      <w:pPr>
        <w:numPr>
          <w:ilvl w:val="0"/>
          <w:numId w:val="55"/>
        </w:numPr>
        <w:spacing w:after="120"/>
        <w:ind w:left="1200" w:hanging="360"/>
        <w:rPr>
          <w:rFonts w:ascii="Arial" w:eastAsia="Calibri" w:hAnsi="Arial"/>
          <w:b/>
          <w:noProof/>
          <w:kern w:val="20"/>
          <w:sz w:val="20"/>
        </w:rPr>
      </w:pPr>
      <w:r>
        <w:rPr>
          <w:rFonts w:ascii="Arial" w:eastAsia="Calibri" w:hAnsi="Arial"/>
          <w:noProof/>
          <w:kern w:val="20"/>
          <w:sz w:val="20"/>
        </w:rPr>
        <w:t>The Commission did not refer any cases to the Court under Articles 258 and 260(3) TFEU.</w:t>
      </w:r>
    </w:p>
    <w:p w:rsidR="00E201F7" w:rsidRDefault="00E24EFF">
      <w:pPr>
        <w:pStyle w:val="kop2"/>
        <w:rPr>
          <w:noProof/>
        </w:rPr>
      </w:pPr>
      <w:r>
        <w:rPr>
          <w:noProof/>
        </w:rPr>
        <w:t>EARLY RESOLUTION OF INFRINGEMENT CASES</w:t>
      </w:r>
    </w:p>
    <w:p w:rsidR="00E201F7" w:rsidRDefault="00E24EFF">
      <w:pPr>
        <w:spacing w:after="60"/>
        <w:ind w:left="360"/>
        <w:jc w:val="left"/>
        <w:outlineLvl w:val="1"/>
        <w:rPr>
          <w:rFonts w:ascii="Arial" w:hAnsi="Arial"/>
          <w:noProof/>
          <w:color w:val="002060"/>
          <w:sz w:val="22"/>
        </w:rPr>
      </w:pPr>
      <w:r>
        <w:rPr>
          <w:rFonts w:ascii="Arial" w:hAnsi="Arial"/>
          <w:noProof/>
          <w:color w:val="002060"/>
          <w:sz w:val="22"/>
        </w:rPr>
        <w:t>Major cases closed without a Court judgment in 2017</w:t>
      </w:r>
    </w:p>
    <w:p w:rsidR="00E201F7" w:rsidRDefault="00E24EFF">
      <w:pPr>
        <w:autoSpaceDE w:val="0"/>
        <w:autoSpaceDN w:val="0"/>
        <w:adjustRightInd w:val="0"/>
        <w:spacing w:before="120" w:after="120"/>
        <w:ind w:left="720"/>
        <w:rPr>
          <w:rFonts w:ascii="Arial" w:hAnsi="Arial"/>
          <w:noProof/>
          <w:sz w:val="20"/>
        </w:rPr>
      </w:pPr>
      <w:r>
        <w:rPr>
          <w:rFonts w:ascii="Arial" w:hAnsi="Arial"/>
          <w:noProof/>
          <w:sz w:val="20"/>
        </w:rPr>
        <w:t>These concerned the following.</w:t>
      </w:r>
    </w:p>
    <w:p w:rsidR="00E201F7" w:rsidRDefault="00E24EFF">
      <w:pPr>
        <w:pStyle w:val="Lijstje2"/>
        <w:ind w:left="1440"/>
        <w:rPr>
          <w:rFonts w:ascii="Arial" w:hAnsi="Arial" w:cs="Arial"/>
          <w:noProof/>
          <w:lang w:val="en-GB"/>
        </w:rPr>
      </w:pPr>
      <w:r>
        <w:rPr>
          <w:rFonts w:ascii="Arial" w:hAnsi="Arial" w:cs="Arial"/>
          <w:i/>
          <w:noProof/>
          <w:lang w:val="en-GB"/>
        </w:rPr>
        <w:t xml:space="preserve">Denmark: </w:t>
      </w:r>
      <w:r>
        <w:rPr>
          <w:rFonts w:ascii="Arial" w:hAnsi="Arial" w:cs="Arial"/>
          <w:noProof/>
          <w:lang w:val="en-GB"/>
        </w:rPr>
        <w:t xml:space="preserve">Incorrect </w:t>
      </w:r>
      <w:r>
        <w:rPr>
          <w:rFonts w:ascii="Arial" w:hAnsi="Arial" w:cs="Arial"/>
          <w:noProof/>
          <w:lang w:val="en-GB"/>
        </w:rPr>
        <w:t>implementation of the EU Customs Code by not requiring certain data for a customs declaration</w:t>
      </w:r>
      <w:r>
        <w:rPr>
          <w:rStyle w:val="FootnoteReference"/>
          <w:rFonts w:ascii="Arial" w:hAnsi="Arial" w:cs="Arial"/>
          <w:noProof/>
          <w:lang w:val="en-GB"/>
        </w:rPr>
        <w:footnoteReference w:id="389"/>
      </w:r>
      <w:r>
        <w:rPr>
          <w:rFonts w:ascii="Arial" w:hAnsi="Arial" w:cs="Arial"/>
          <w:noProof/>
          <w:lang w:val="en-GB"/>
        </w:rPr>
        <w:t>.</w:t>
      </w:r>
    </w:p>
    <w:p w:rsidR="00E201F7" w:rsidRDefault="00E24EFF">
      <w:pPr>
        <w:pStyle w:val="Lijstje2"/>
        <w:ind w:left="1440"/>
        <w:rPr>
          <w:rFonts w:ascii="Arial" w:hAnsi="Arial" w:cs="Arial"/>
          <w:noProof/>
          <w:lang w:val="en-GB"/>
        </w:rPr>
      </w:pPr>
      <w:r>
        <w:rPr>
          <w:rFonts w:ascii="Arial" w:hAnsi="Arial" w:cs="Arial"/>
          <w:i/>
          <w:noProof/>
          <w:lang w:val="en-GB"/>
        </w:rPr>
        <w:t>Germany:</w:t>
      </w:r>
      <w:r>
        <w:rPr>
          <w:rFonts w:ascii="Arial" w:hAnsi="Arial" w:cs="Arial"/>
          <w:noProof/>
          <w:lang w:val="en-GB"/>
        </w:rPr>
        <w:t xml:space="preserve"> Lack of definition of ‘normal residence’ for the purpose of temporary car import from another Member State; refusal to exempt from motor vehicle tax th</w:t>
      </w:r>
      <w:r>
        <w:rPr>
          <w:rFonts w:ascii="Arial" w:hAnsi="Arial" w:cs="Arial"/>
          <w:noProof/>
          <w:lang w:val="en-GB"/>
        </w:rPr>
        <w:t>e cars of people who return to their non-German place of normal residence every weekend but during the working week commute between their temporary residence and working place, both in Germany.</w:t>
      </w:r>
    </w:p>
    <w:p w:rsidR="00E201F7" w:rsidRDefault="00E24EFF">
      <w:pPr>
        <w:pStyle w:val="Lijstje2"/>
        <w:ind w:left="1440"/>
        <w:rPr>
          <w:rFonts w:ascii="Arial" w:hAnsi="Arial" w:cs="Arial"/>
          <w:noProof/>
          <w:lang w:val="en-GB"/>
        </w:rPr>
      </w:pPr>
      <w:r>
        <w:rPr>
          <w:rFonts w:ascii="Arial" w:hAnsi="Arial" w:cs="Arial"/>
          <w:i/>
          <w:noProof/>
          <w:lang w:val="en-GB"/>
        </w:rPr>
        <w:t xml:space="preserve">Germany: </w:t>
      </w:r>
      <w:r>
        <w:rPr>
          <w:rFonts w:ascii="Arial" w:hAnsi="Arial" w:cs="Arial"/>
          <w:noProof/>
          <w:lang w:val="en-GB"/>
        </w:rPr>
        <w:t>The special maintenance allowance under inheritance l</w:t>
      </w:r>
      <w:r>
        <w:rPr>
          <w:rFonts w:ascii="Arial" w:hAnsi="Arial" w:cs="Arial"/>
          <w:noProof/>
          <w:lang w:val="en-GB"/>
        </w:rPr>
        <w:t>aw. This was extended to non-German surviving spouses (registered partners) upon inheriting a German estate or investment when neither the deceased nor the heirs are tax-resident in Germany</w:t>
      </w:r>
      <w:r>
        <w:rPr>
          <w:rStyle w:val="FootnoteReference"/>
          <w:rFonts w:ascii="Arial" w:hAnsi="Arial" w:cs="Arial"/>
          <w:noProof/>
          <w:lang w:val="en-GB"/>
        </w:rPr>
        <w:footnoteReference w:id="390"/>
      </w:r>
      <w:r>
        <w:rPr>
          <w:rFonts w:ascii="Arial" w:hAnsi="Arial" w:cs="Arial"/>
          <w:noProof/>
          <w:lang w:val="en-GB"/>
        </w:rPr>
        <w:t>.</w:t>
      </w:r>
    </w:p>
    <w:p w:rsidR="00E201F7" w:rsidRDefault="00E24EFF">
      <w:pPr>
        <w:pStyle w:val="Lijstje2"/>
        <w:ind w:left="1440"/>
        <w:rPr>
          <w:rFonts w:ascii="Arial" w:hAnsi="Arial" w:cs="Arial"/>
          <w:noProof/>
          <w:lang w:val="en-GB"/>
        </w:rPr>
      </w:pPr>
      <w:r>
        <w:rPr>
          <w:rFonts w:ascii="Arial" w:hAnsi="Arial" w:cs="Arial"/>
          <w:i/>
          <w:noProof/>
          <w:lang w:val="en-GB"/>
        </w:rPr>
        <w:t>Italy</w:t>
      </w:r>
      <w:r>
        <w:rPr>
          <w:rFonts w:ascii="Arial" w:hAnsi="Arial" w:cs="Arial"/>
          <w:noProof/>
          <w:lang w:val="en-GB"/>
        </w:rPr>
        <w:t>: Systematic and unexplained refusal of applications from c</w:t>
      </w:r>
      <w:r>
        <w:rPr>
          <w:rFonts w:ascii="Arial" w:hAnsi="Arial" w:cs="Arial"/>
          <w:noProof/>
          <w:lang w:val="en-GB"/>
        </w:rPr>
        <w:t>ustoms agents to operate as direct representatives in the simplified customs procedures.</w:t>
      </w:r>
      <w:r>
        <w:rPr>
          <w:rFonts w:ascii="Arial" w:hAnsi="Arial" w:cs="Arial"/>
          <w:i/>
          <w:noProof/>
          <w:lang w:val="en-GB"/>
        </w:rPr>
        <w:t xml:space="preserve"> </w:t>
      </w:r>
    </w:p>
    <w:p w:rsidR="00E201F7" w:rsidRDefault="00E24EFF">
      <w:pPr>
        <w:pStyle w:val="Lijstje2"/>
        <w:ind w:left="1440"/>
        <w:rPr>
          <w:rFonts w:ascii="Arial" w:hAnsi="Arial" w:cs="Arial"/>
          <w:noProof/>
          <w:lang w:val="en-GB"/>
        </w:rPr>
      </w:pPr>
      <w:r>
        <w:rPr>
          <w:rFonts w:ascii="Arial" w:hAnsi="Arial" w:cs="Arial"/>
          <w:i/>
          <w:noProof/>
          <w:lang w:val="en-GB"/>
        </w:rPr>
        <w:t>Finland</w:t>
      </w:r>
      <w:r>
        <w:rPr>
          <w:rFonts w:ascii="Arial" w:hAnsi="Arial" w:cs="Arial"/>
          <w:noProof/>
          <w:lang w:val="en-GB"/>
        </w:rPr>
        <w:t>: Disproportionate taxation of vehicles leased or rented in other Member States when their limited duration of use in Finland is precisely known.</w:t>
      </w:r>
    </w:p>
    <w:p w:rsidR="00E201F7" w:rsidRDefault="00E24EFF">
      <w:pPr>
        <w:pStyle w:val="kop2"/>
        <w:rPr>
          <w:noProof/>
        </w:rPr>
      </w:pPr>
      <w:r>
        <w:rPr>
          <w:noProof/>
        </w:rPr>
        <w:t>IMPORTANT JUD</w:t>
      </w:r>
      <w:r>
        <w:rPr>
          <w:noProof/>
        </w:rPr>
        <w:t>GMENTS</w:t>
      </w:r>
    </w:p>
    <w:p w:rsidR="00E201F7" w:rsidRDefault="00E24EFF">
      <w:pPr>
        <w:numPr>
          <w:ilvl w:val="0"/>
          <w:numId w:val="147"/>
        </w:numPr>
        <w:spacing w:before="120"/>
        <w:jc w:val="left"/>
        <w:outlineLvl w:val="1"/>
        <w:rPr>
          <w:rFonts w:ascii="Arial" w:hAnsi="Arial"/>
          <w:noProof/>
          <w:color w:val="002060"/>
          <w:sz w:val="22"/>
        </w:rPr>
      </w:pPr>
      <w:r>
        <w:rPr>
          <w:rFonts w:ascii="Arial" w:hAnsi="Arial"/>
          <w:noProof/>
          <w:color w:val="002060"/>
          <w:sz w:val="22"/>
        </w:rPr>
        <w:t>Court rulings</w:t>
      </w:r>
    </w:p>
    <w:p w:rsidR="00E201F7" w:rsidRDefault="00E24EFF">
      <w:pPr>
        <w:spacing w:after="120"/>
        <w:ind w:left="720"/>
        <w:rPr>
          <w:rFonts w:ascii="Arial" w:hAnsi="Arial"/>
          <w:noProof/>
          <w:sz w:val="20"/>
        </w:rPr>
      </w:pPr>
      <w:r>
        <w:rPr>
          <w:rFonts w:ascii="Arial" w:hAnsi="Arial"/>
          <w:noProof/>
          <w:sz w:val="20"/>
        </w:rPr>
        <w:t>The Court gave the following rulings.</w:t>
      </w:r>
    </w:p>
    <w:p w:rsidR="00E201F7" w:rsidRDefault="00E24EFF">
      <w:pPr>
        <w:pStyle w:val="Lijstje2"/>
        <w:spacing w:before="120" w:after="0"/>
        <w:ind w:left="1434" w:hanging="357"/>
        <w:contextualSpacing w:val="0"/>
        <w:rPr>
          <w:rFonts w:ascii="Arial" w:hAnsi="Arial" w:cs="Arial"/>
          <w:noProof/>
          <w:lang w:val="en-GB"/>
        </w:rPr>
      </w:pPr>
      <w:r>
        <w:rPr>
          <w:rFonts w:ascii="Arial" w:hAnsi="Arial" w:cs="Arial"/>
          <w:i/>
          <w:noProof/>
          <w:lang w:val="en-GB"/>
        </w:rPr>
        <w:t xml:space="preserve">Germany: </w:t>
      </w:r>
      <w:r>
        <w:rPr>
          <w:rFonts w:ascii="Arial" w:hAnsi="Arial" w:cs="Arial"/>
          <w:noProof/>
          <w:lang w:val="en-GB"/>
        </w:rPr>
        <w:t>As the VAT Directive exempts from VAT all services provided by cost-sharing groups</w:t>
      </w:r>
      <w:r>
        <w:rPr>
          <w:rStyle w:val="FootnoteReference"/>
          <w:rFonts w:ascii="Arial" w:hAnsi="Arial"/>
          <w:noProof/>
          <w:lang w:val="en-GB"/>
        </w:rPr>
        <w:footnoteReference w:id="391"/>
      </w:r>
      <w:r>
        <w:rPr>
          <w:rFonts w:ascii="Arial" w:hAnsi="Arial" w:cs="Arial"/>
          <w:noProof/>
          <w:lang w:val="en-GB"/>
        </w:rPr>
        <w:t xml:space="preserve"> to their members (under certain common conditions), the German rule that restricted this kind of VAT exemption to cost-sharing groups operating in the medical and healthcare sector violated EU law</w:t>
      </w:r>
      <w:r>
        <w:rPr>
          <w:rStyle w:val="FootnoteReference"/>
          <w:rFonts w:ascii="Arial" w:hAnsi="Arial"/>
          <w:noProof/>
          <w:lang w:val="en-GB"/>
        </w:rPr>
        <w:footnoteReference w:id="392"/>
      </w:r>
      <w:r>
        <w:rPr>
          <w:rFonts w:ascii="Arial" w:hAnsi="Arial" w:cs="Arial"/>
          <w:noProof/>
          <w:lang w:val="en-GB"/>
        </w:rPr>
        <w:t>.</w:t>
      </w:r>
    </w:p>
    <w:p w:rsidR="00E201F7" w:rsidRDefault="00E24EFF">
      <w:pPr>
        <w:pStyle w:val="Lijstje2"/>
        <w:spacing w:before="120" w:after="0"/>
        <w:ind w:left="1434" w:hanging="357"/>
        <w:contextualSpacing w:val="0"/>
        <w:rPr>
          <w:rFonts w:ascii="Arial" w:hAnsi="Arial" w:cs="Arial"/>
          <w:noProof/>
          <w:lang w:val="en-GB"/>
        </w:rPr>
      </w:pPr>
      <w:r>
        <w:rPr>
          <w:rFonts w:ascii="Arial" w:hAnsi="Arial" w:cs="Arial"/>
          <w:i/>
          <w:noProof/>
          <w:lang w:val="en-GB"/>
        </w:rPr>
        <w:t xml:space="preserve">Ireland: </w:t>
      </w:r>
      <w:r>
        <w:rPr>
          <w:rFonts w:ascii="Arial" w:hAnsi="Arial" w:cs="Arial"/>
          <w:noProof/>
          <w:lang w:val="en-GB"/>
        </w:rPr>
        <w:t>The legislation levied the full amount of car t</w:t>
      </w:r>
      <w:r>
        <w:rPr>
          <w:rFonts w:ascii="Arial" w:hAnsi="Arial" w:cs="Arial"/>
          <w:noProof/>
          <w:lang w:val="en-GB"/>
        </w:rPr>
        <w:t>ax on leased or rented vehicles even if the precise duration of the lease or rent is known (e.g. based on a leasing or rental contract). Even though the amount levied in excess is refunded once the vehicle is registered in another country, the rules qualif</w:t>
      </w:r>
      <w:r>
        <w:rPr>
          <w:rFonts w:ascii="Arial" w:hAnsi="Arial" w:cs="Arial"/>
          <w:noProof/>
          <w:lang w:val="en-GB"/>
        </w:rPr>
        <w:t>y as a disproportionate obstacle to the freedom to provide services</w:t>
      </w:r>
      <w:r>
        <w:rPr>
          <w:rStyle w:val="FootnoteReference"/>
          <w:rFonts w:ascii="Arial" w:hAnsi="Arial"/>
          <w:noProof/>
          <w:lang w:val="en-GB"/>
        </w:rPr>
        <w:footnoteReference w:id="393"/>
      </w:r>
      <w:r>
        <w:rPr>
          <w:rFonts w:ascii="Arial" w:hAnsi="Arial" w:cs="Arial"/>
          <w:noProof/>
          <w:lang w:val="en-GB"/>
        </w:rPr>
        <w:t>.</w:t>
      </w:r>
    </w:p>
    <w:p w:rsidR="00E201F7" w:rsidRDefault="00E24EFF">
      <w:pPr>
        <w:pStyle w:val="Lijstje2"/>
        <w:spacing w:before="120" w:after="0"/>
        <w:ind w:left="1434" w:hanging="357"/>
        <w:contextualSpacing w:val="0"/>
        <w:rPr>
          <w:rFonts w:ascii="Arial" w:hAnsi="Arial" w:cs="Arial"/>
          <w:noProof/>
          <w:lang w:val="en-GB"/>
        </w:rPr>
      </w:pPr>
      <w:r>
        <w:rPr>
          <w:rFonts w:ascii="Arial" w:hAnsi="Arial" w:cs="Arial"/>
          <w:i/>
          <w:noProof/>
          <w:lang w:val="en-GB"/>
        </w:rPr>
        <w:t xml:space="preserve">Greece: </w:t>
      </w:r>
      <w:r>
        <w:rPr>
          <w:rFonts w:ascii="Arial" w:hAnsi="Arial" w:cs="Arial"/>
          <w:noProof/>
          <w:lang w:val="en-GB"/>
        </w:rPr>
        <w:t>Legacies bestowed on certain non-profit entities established in Greece benefited automatically from a preferential tax rate of 0.5 %; however, similar non-profit entities from ot</w:t>
      </w:r>
      <w:r>
        <w:rPr>
          <w:rFonts w:ascii="Arial" w:hAnsi="Arial" w:cs="Arial"/>
          <w:noProof/>
          <w:lang w:val="en-GB"/>
        </w:rPr>
        <w:t>her Member States could benefit from this tax rate only in case of reciprocity (without it, the tax rate varied 20-40 %). As the Greek measure could vastly reduce the value of the bequeathed property, it restricted the free movement of capital</w:t>
      </w:r>
      <w:r>
        <w:rPr>
          <w:rStyle w:val="FootnoteReference"/>
          <w:rFonts w:ascii="Arial" w:hAnsi="Arial"/>
          <w:noProof/>
          <w:lang w:val="en-GB"/>
        </w:rPr>
        <w:footnoteReference w:id="394"/>
      </w:r>
      <w:r>
        <w:rPr>
          <w:rFonts w:ascii="Arial" w:hAnsi="Arial" w:cs="Arial"/>
          <w:noProof/>
          <w:lang w:val="en-GB"/>
        </w:rPr>
        <w:t>.</w:t>
      </w:r>
    </w:p>
    <w:p w:rsidR="00E201F7" w:rsidRDefault="00E24EFF">
      <w:pPr>
        <w:pStyle w:val="Lijstje2"/>
        <w:spacing w:before="120" w:after="0"/>
        <w:ind w:left="1434" w:hanging="357"/>
        <w:contextualSpacing w:val="0"/>
        <w:rPr>
          <w:rFonts w:ascii="Arial" w:hAnsi="Arial" w:cs="Arial"/>
          <w:noProof/>
          <w:lang w:val="en-GB"/>
        </w:rPr>
      </w:pPr>
      <w:r>
        <w:rPr>
          <w:rFonts w:ascii="Arial" w:hAnsi="Arial" w:cs="Arial"/>
          <w:i/>
          <w:noProof/>
          <w:lang w:val="en-GB"/>
        </w:rPr>
        <w:t>Luxembourg</w:t>
      </w:r>
      <w:r>
        <w:rPr>
          <w:rFonts w:ascii="Arial" w:hAnsi="Arial" w:cs="Arial"/>
          <w:i/>
          <w:noProof/>
          <w:lang w:val="en-GB"/>
        </w:rPr>
        <w:t xml:space="preserve">: </w:t>
      </w:r>
      <w:r>
        <w:rPr>
          <w:rFonts w:ascii="Arial" w:hAnsi="Arial" w:cs="Arial"/>
          <w:noProof/>
          <w:lang w:val="en-GB"/>
        </w:rPr>
        <w:t>Contrary to the strict conditions in the VAT Directive on exempting from VAT services provided by cost-sharing groups</w:t>
      </w:r>
      <w:r>
        <w:rPr>
          <w:rStyle w:val="FootnoteReference"/>
          <w:rFonts w:ascii="Arial" w:hAnsi="Arial"/>
          <w:noProof/>
          <w:lang w:val="en-GB"/>
        </w:rPr>
        <w:footnoteReference w:id="395"/>
      </w:r>
      <w:r>
        <w:rPr>
          <w:rFonts w:ascii="Arial" w:hAnsi="Arial" w:cs="Arial"/>
          <w:noProof/>
          <w:lang w:val="en-GB"/>
        </w:rPr>
        <w:t xml:space="preserve">, Luxembourgish law allowed the exemption only if the members’ taxed activities did not exceed 30 % (or in some cases 45 %) of their </w:t>
      </w:r>
      <w:r>
        <w:rPr>
          <w:rFonts w:ascii="Arial" w:hAnsi="Arial" w:cs="Arial"/>
          <w:noProof/>
          <w:lang w:val="en-GB"/>
        </w:rPr>
        <w:t>annual turnover. In addition, group members were allowed to deduct the VAT charged to the group on its purchases of goods and services. Lastly, operations by a member in his or her own name but on behalf of the group were regarded as outside the scope of V</w:t>
      </w:r>
      <w:r>
        <w:rPr>
          <w:rFonts w:ascii="Arial" w:hAnsi="Arial" w:cs="Arial"/>
          <w:noProof/>
          <w:lang w:val="en-GB"/>
        </w:rPr>
        <w:t>AT, with these rules considered as incompatible with the VAT Directive by the Court</w:t>
      </w:r>
      <w:r>
        <w:rPr>
          <w:rStyle w:val="FootnoteReference"/>
          <w:rFonts w:ascii="Arial" w:hAnsi="Arial"/>
          <w:noProof/>
          <w:lang w:val="en-GB"/>
        </w:rPr>
        <w:footnoteReference w:id="396"/>
      </w:r>
      <w:r>
        <w:rPr>
          <w:rFonts w:ascii="Arial" w:hAnsi="Arial" w:cs="Arial"/>
          <w:noProof/>
          <w:lang w:val="en-GB"/>
        </w:rPr>
        <w:t>.</w:t>
      </w:r>
    </w:p>
    <w:p w:rsidR="00E201F7" w:rsidRDefault="00E24EFF">
      <w:pPr>
        <w:pStyle w:val="Lijstje2"/>
        <w:spacing w:before="120" w:after="0"/>
        <w:ind w:left="1434" w:hanging="357"/>
        <w:contextualSpacing w:val="0"/>
        <w:rPr>
          <w:rFonts w:ascii="Arial" w:hAnsi="Arial"/>
          <w:noProof/>
          <w:lang w:val="en-GB"/>
        </w:rPr>
      </w:pPr>
      <w:r>
        <w:rPr>
          <w:rFonts w:ascii="Arial" w:hAnsi="Arial" w:cs="Arial"/>
          <w:i/>
          <w:noProof/>
          <w:lang w:val="en-GB"/>
        </w:rPr>
        <w:t xml:space="preserve">Portugal: </w:t>
      </w:r>
      <w:r>
        <w:rPr>
          <w:rFonts w:ascii="Arial" w:hAnsi="Arial" w:cs="Arial"/>
          <w:noProof/>
          <w:lang w:val="en-GB"/>
        </w:rPr>
        <w:t xml:space="preserve">National rules </w:t>
      </w:r>
      <w:r>
        <w:rPr>
          <w:rFonts w:ascii="Arial" w:hAnsi="Arial" w:cs="Arial"/>
          <w:bCs/>
          <w:noProof/>
          <w:lang w:val="en-GB"/>
        </w:rPr>
        <w:t xml:space="preserve">provided that cigarettes released for consumption in a given year may no longer be marketed or sold to the public </w:t>
      </w:r>
      <w:r>
        <w:rPr>
          <w:rFonts w:ascii="Arial" w:hAnsi="Arial" w:cs="Arial"/>
          <w:noProof/>
          <w:lang w:val="en-GB"/>
        </w:rPr>
        <w:t>after the expiry of a three-mon</w:t>
      </w:r>
      <w:r>
        <w:rPr>
          <w:rFonts w:ascii="Arial" w:hAnsi="Arial" w:cs="Arial"/>
          <w:noProof/>
          <w:lang w:val="en-GB"/>
        </w:rPr>
        <w:t>th time limit starting from the first day of the following year, even where there is no increase in the excise duty in that following year</w:t>
      </w:r>
      <w:r>
        <w:rPr>
          <w:rStyle w:val="FootnoteReference"/>
          <w:rFonts w:ascii="Arial" w:hAnsi="Arial"/>
          <w:noProof/>
          <w:lang w:val="en-GB"/>
        </w:rPr>
        <w:footnoteReference w:id="397"/>
      </w:r>
      <w:r>
        <w:rPr>
          <w:rFonts w:ascii="Arial" w:hAnsi="Arial" w:cs="Arial"/>
          <w:noProof/>
          <w:lang w:val="en-GB"/>
        </w:rPr>
        <w:t>. These rules were not in line with the Excise Duty Directive</w:t>
      </w:r>
      <w:r>
        <w:rPr>
          <w:rStyle w:val="FootnoteReference"/>
          <w:rFonts w:ascii="Arial" w:hAnsi="Arial" w:cs="Arial"/>
          <w:noProof/>
          <w:lang w:val="en-GB"/>
        </w:rPr>
        <w:footnoteReference w:id="398"/>
      </w:r>
      <w:r>
        <w:rPr>
          <w:rFonts w:ascii="Arial" w:hAnsi="Arial" w:cs="Arial"/>
          <w:noProof/>
          <w:lang w:val="en-GB"/>
        </w:rPr>
        <w:t xml:space="preserve"> and the principle of proportionality.</w:t>
      </w:r>
    </w:p>
    <w:p w:rsidR="00E201F7" w:rsidRDefault="00E24EFF">
      <w:pPr>
        <w:spacing w:after="0"/>
        <w:jc w:val="left"/>
        <w:rPr>
          <w:rFonts w:ascii="Arial" w:hAnsi="Arial"/>
          <w:noProof/>
          <w:color w:val="002060"/>
          <w:sz w:val="22"/>
        </w:rPr>
      </w:pPr>
      <w:r>
        <w:rPr>
          <w:rFonts w:ascii="Arial" w:hAnsi="Arial"/>
          <w:noProof/>
          <w:color w:val="002060"/>
          <w:sz w:val="22"/>
        </w:rPr>
        <w:br w:type="page"/>
      </w:r>
    </w:p>
    <w:p w:rsidR="00E201F7" w:rsidRDefault="00E24EFF">
      <w:pPr>
        <w:numPr>
          <w:ilvl w:val="0"/>
          <w:numId w:val="147"/>
        </w:numPr>
        <w:spacing w:before="240"/>
        <w:ind w:left="714" w:hanging="357"/>
        <w:jc w:val="left"/>
        <w:outlineLvl w:val="1"/>
        <w:rPr>
          <w:rFonts w:ascii="Arial" w:hAnsi="Arial"/>
          <w:noProof/>
          <w:color w:val="002060"/>
          <w:sz w:val="22"/>
        </w:rPr>
      </w:pPr>
      <w:r>
        <w:rPr>
          <w:rFonts w:ascii="Arial" w:hAnsi="Arial"/>
          <w:noProof/>
          <w:color w:val="002060"/>
          <w:sz w:val="22"/>
        </w:rPr>
        <w:t>Preliminary ru</w:t>
      </w:r>
      <w:r>
        <w:rPr>
          <w:rFonts w:ascii="Arial" w:hAnsi="Arial"/>
          <w:noProof/>
          <w:color w:val="002060"/>
          <w:sz w:val="22"/>
        </w:rPr>
        <w:t>lings</w:t>
      </w:r>
    </w:p>
    <w:p w:rsidR="00E201F7" w:rsidRDefault="00E24EFF">
      <w:pPr>
        <w:pStyle w:val="Basis"/>
        <w:rPr>
          <w:rFonts w:ascii="Arial" w:hAnsi="Arial" w:cs="Arial"/>
          <w:noProof/>
          <w:lang w:val="en-GB"/>
        </w:rPr>
      </w:pPr>
      <w:r>
        <w:rPr>
          <w:rFonts w:ascii="Arial" w:hAnsi="Arial" w:cs="Arial"/>
          <w:noProof/>
          <w:lang w:val="en-GB"/>
        </w:rPr>
        <w:t>The Court gave the following preliminary rulings.</w:t>
      </w:r>
    </w:p>
    <w:p w:rsidR="00E201F7" w:rsidRDefault="00E24EFF">
      <w:pPr>
        <w:pStyle w:val="Lijstje2"/>
        <w:spacing w:after="120"/>
        <w:ind w:left="1434" w:hanging="357"/>
        <w:contextualSpacing w:val="0"/>
        <w:rPr>
          <w:rFonts w:ascii="Arial" w:hAnsi="Arial" w:cs="Arial"/>
          <w:noProof/>
          <w:lang w:val="en-GB"/>
        </w:rPr>
      </w:pPr>
      <w:r>
        <w:rPr>
          <w:rFonts w:ascii="Arial" w:hAnsi="Arial" w:cs="Arial"/>
          <w:i/>
          <w:noProof/>
          <w:lang w:val="en-GB"/>
        </w:rPr>
        <w:t>Belgium</w:t>
      </w:r>
      <w:r>
        <w:rPr>
          <w:rFonts w:ascii="Arial" w:hAnsi="Arial" w:cs="Arial"/>
          <w:noProof/>
          <w:lang w:val="en-GB"/>
        </w:rPr>
        <w:t>: Article 56 TFEU and Article 36 EEA preclude the Belgian national legislation that imposes discriminatory conditions for savings deposits in order to benefit from a tax exemption</w:t>
      </w:r>
      <w:r>
        <w:rPr>
          <w:rStyle w:val="FootnoteReference"/>
          <w:rFonts w:ascii="Arial" w:hAnsi="Arial" w:cs="Arial"/>
          <w:noProof/>
          <w:lang w:val="en-GB"/>
        </w:rPr>
        <w:footnoteReference w:id="399"/>
      </w:r>
      <w:r>
        <w:rPr>
          <w:rFonts w:ascii="Arial" w:hAnsi="Arial" w:cs="Arial"/>
          <w:noProof/>
          <w:lang w:val="en-GB"/>
        </w:rPr>
        <w:t>.</w:t>
      </w:r>
    </w:p>
    <w:p w:rsidR="00E201F7" w:rsidRDefault="00E24EFF">
      <w:pPr>
        <w:pStyle w:val="Lijstje2"/>
        <w:spacing w:after="120"/>
        <w:ind w:left="1434" w:hanging="357"/>
        <w:contextualSpacing w:val="0"/>
        <w:rPr>
          <w:rFonts w:ascii="Arial" w:hAnsi="Arial" w:cs="Arial"/>
          <w:noProof/>
          <w:lang w:val="en-GB"/>
        </w:rPr>
      </w:pPr>
      <w:r>
        <w:rPr>
          <w:rFonts w:ascii="Arial" w:hAnsi="Arial" w:cs="Arial"/>
          <w:i/>
          <w:noProof/>
          <w:lang w:val="en-GB"/>
        </w:rPr>
        <w:t>Belgium</w:t>
      </w:r>
      <w:r>
        <w:rPr>
          <w:rFonts w:ascii="Arial" w:hAnsi="Arial" w:cs="Arial"/>
          <w:noProof/>
          <w:lang w:val="en-GB"/>
        </w:rPr>
        <w:t>: Th</w:t>
      </w:r>
      <w:r>
        <w:rPr>
          <w:rFonts w:ascii="Arial" w:hAnsi="Arial" w:cs="Arial"/>
          <w:noProof/>
          <w:lang w:val="en-GB"/>
        </w:rPr>
        <w:t>e Parent-Subsidiary Directive</w:t>
      </w:r>
      <w:r>
        <w:rPr>
          <w:rStyle w:val="FootnoteReference"/>
          <w:rFonts w:ascii="Arial" w:hAnsi="Arial" w:cs="Arial"/>
          <w:noProof/>
          <w:lang w:val="en-GB"/>
        </w:rPr>
        <w:footnoteReference w:id="400"/>
      </w:r>
      <w:r>
        <w:rPr>
          <w:rFonts w:ascii="Arial" w:hAnsi="Arial" w:cs="Arial"/>
          <w:noProof/>
          <w:lang w:val="en-GB"/>
        </w:rPr>
        <w:t xml:space="preserve"> precludes the Belgian legislation on the ‘Fairness Tax’. This taxes dividends received from subsidiaries and exempted under the Directive in the hands of the parent company when they are redistributed by that company</w:t>
      </w:r>
      <w:r>
        <w:rPr>
          <w:rStyle w:val="FootnoteReference"/>
          <w:rFonts w:ascii="Arial" w:hAnsi="Arial" w:cs="Arial"/>
          <w:noProof/>
          <w:lang w:val="en-GB"/>
        </w:rPr>
        <w:footnoteReference w:id="401"/>
      </w:r>
      <w:r>
        <w:rPr>
          <w:rFonts w:ascii="Arial" w:hAnsi="Arial" w:cs="Arial"/>
          <w:noProof/>
          <w:lang w:val="en-GB"/>
        </w:rPr>
        <w:t>.</w:t>
      </w:r>
    </w:p>
    <w:p w:rsidR="00E201F7" w:rsidRDefault="00E24EFF">
      <w:pPr>
        <w:pStyle w:val="Lijstje2"/>
        <w:spacing w:after="120"/>
        <w:ind w:left="1434" w:hanging="357"/>
        <w:contextualSpacing w:val="0"/>
        <w:rPr>
          <w:rFonts w:ascii="Arial" w:hAnsi="Arial"/>
          <w:noProof/>
          <w:lang w:val="en-GB"/>
        </w:rPr>
      </w:pPr>
      <w:r>
        <w:rPr>
          <w:rFonts w:ascii="Arial" w:hAnsi="Arial"/>
          <w:i/>
          <w:noProof/>
          <w:lang w:val="en-GB"/>
        </w:rPr>
        <w:t>Belgiu</w:t>
      </w:r>
      <w:r>
        <w:rPr>
          <w:rFonts w:ascii="Arial" w:hAnsi="Arial"/>
          <w:i/>
          <w:noProof/>
          <w:lang w:val="en-GB"/>
        </w:rPr>
        <w:t>m:</w:t>
      </w:r>
      <w:r>
        <w:rPr>
          <w:rFonts w:ascii="Arial" w:hAnsi="Arial"/>
          <w:noProof/>
          <w:lang w:val="en-GB"/>
        </w:rPr>
        <w:t xml:space="preserve"> Belgian rules are contrary to the free movement of workers in requiring resident workers to register their own car in </w:t>
      </w:r>
      <w:smartTag w:uri="urn:schemas-microsoft-com:office:smarttags" w:element="country-region">
        <w:r>
          <w:rPr>
            <w:rFonts w:ascii="Arial" w:hAnsi="Arial"/>
            <w:noProof/>
            <w:lang w:val="en-GB"/>
          </w:rPr>
          <w:t>Belgium</w:t>
        </w:r>
      </w:smartTag>
      <w:r>
        <w:rPr>
          <w:rFonts w:ascii="Arial" w:hAnsi="Arial"/>
          <w:noProof/>
          <w:lang w:val="en-GB"/>
        </w:rPr>
        <w:t xml:space="preserve"> if the car is already registered in another </w:t>
      </w:r>
      <w:smartTag w:uri="urn:schemas-microsoft-com:office:smarttags" w:element="place">
        <w:smartTag w:uri="urn:schemas-microsoft-com:office:smarttags" w:element="PlaceName">
          <w:r>
            <w:rPr>
              <w:rFonts w:ascii="Arial" w:hAnsi="Arial"/>
              <w:noProof/>
              <w:lang w:val="en-GB"/>
            </w:rPr>
            <w:t>Member</w:t>
          </w:r>
        </w:smartTag>
        <w:r>
          <w:rPr>
            <w:rFonts w:ascii="Arial" w:hAnsi="Arial"/>
            <w:noProof/>
            <w:lang w:val="en-GB"/>
          </w:rPr>
          <w:t xml:space="preserve"> </w:t>
        </w:r>
        <w:smartTag w:uri="urn:schemas-microsoft-com:office:smarttags" w:element="PlaceType">
          <w:r>
            <w:rPr>
              <w:rFonts w:ascii="Arial" w:hAnsi="Arial"/>
              <w:noProof/>
              <w:lang w:val="en-GB"/>
            </w:rPr>
            <w:t>State</w:t>
          </w:r>
        </w:smartTag>
      </w:smartTag>
      <w:r>
        <w:rPr>
          <w:rFonts w:ascii="Arial" w:hAnsi="Arial"/>
          <w:noProof/>
          <w:lang w:val="en-GB"/>
        </w:rPr>
        <w:t xml:space="preserve"> and is intended to be used primarily in that other State</w:t>
      </w:r>
      <w:r>
        <w:rPr>
          <w:rStyle w:val="FootnoteReference"/>
          <w:rFonts w:ascii="Arial" w:hAnsi="Arial" w:cs="Arial"/>
          <w:noProof/>
          <w:lang w:val="en-GB"/>
        </w:rPr>
        <w:footnoteReference w:id="402"/>
      </w:r>
      <w:r>
        <w:rPr>
          <w:rFonts w:ascii="Arial" w:hAnsi="Arial" w:cs="Arial"/>
          <w:noProof/>
          <w:lang w:val="en-GB"/>
        </w:rPr>
        <w:t>.</w:t>
      </w:r>
    </w:p>
    <w:p w:rsidR="00E201F7" w:rsidRDefault="00E24EFF">
      <w:pPr>
        <w:pStyle w:val="Lijstje2"/>
        <w:spacing w:after="120"/>
        <w:ind w:left="1434" w:hanging="357"/>
        <w:contextualSpacing w:val="0"/>
        <w:rPr>
          <w:rFonts w:ascii="Arial" w:hAnsi="Arial"/>
          <w:noProof/>
          <w:lang w:val="en-GB"/>
        </w:rPr>
      </w:pPr>
      <w:r>
        <w:rPr>
          <w:rFonts w:ascii="Arial" w:hAnsi="Arial" w:cs="Arial"/>
          <w:i/>
          <w:noProof/>
          <w:lang w:val="en-GB"/>
        </w:rPr>
        <w:t>Germany</w:t>
      </w:r>
      <w:r>
        <w:rPr>
          <w:rFonts w:ascii="Arial" w:hAnsi="Arial"/>
          <w:i/>
          <w:noProof/>
          <w:lang w:val="en-GB"/>
        </w:rPr>
        <w:t>:</w:t>
      </w:r>
      <w:r>
        <w:rPr>
          <w:rFonts w:ascii="Arial" w:hAnsi="Arial"/>
          <w:noProof/>
          <w:lang w:val="en-GB"/>
        </w:rPr>
        <w:t xml:space="preserve"> In</w:t>
      </w:r>
      <w:r>
        <w:rPr>
          <w:rFonts w:ascii="Arial" w:hAnsi="Arial"/>
          <w:noProof/>
          <w:lang w:val="en-GB"/>
        </w:rPr>
        <w:t xml:space="preserve"> relation to customs valuation, a flat-rate adjustment based on transfer pricing arrangements, and made after the accounting period, cannot be taken into account when establishing the transaction value of imported goods</w:t>
      </w:r>
      <w:r>
        <w:rPr>
          <w:rStyle w:val="FootnoteReference"/>
          <w:rFonts w:ascii="Arial" w:hAnsi="Arial" w:cs="Arial"/>
          <w:noProof/>
          <w:lang w:val="en-GB"/>
        </w:rPr>
        <w:footnoteReference w:id="403"/>
      </w:r>
      <w:r>
        <w:rPr>
          <w:rFonts w:ascii="Arial" w:hAnsi="Arial" w:cs="Arial"/>
          <w:noProof/>
          <w:lang w:val="en-GB"/>
        </w:rPr>
        <w:t>.</w:t>
      </w:r>
    </w:p>
    <w:p w:rsidR="00E201F7" w:rsidRDefault="00E24EFF">
      <w:pPr>
        <w:pStyle w:val="Lijstje2"/>
        <w:spacing w:after="120"/>
        <w:ind w:left="1434" w:hanging="357"/>
        <w:contextualSpacing w:val="0"/>
        <w:rPr>
          <w:rFonts w:ascii="Arial" w:hAnsi="Arial" w:cs="Arial"/>
          <w:noProof/>
          <w:lang w:val="en-GB"/>
        </w:rPr>
      </w:pPr>
      <w:r>
        <w:rPr>
          <w:rFonts w:ascii="Arial" w:hAnsi="Arial" w:cs="Arial"/>
          <w:i/>
          <w:noProof/>
          <w:lang w:val="en-GB"/>
        </w:rPr>
        <w:t>Germany</w:t>
      </w:r>
      <w:r>
        <w:rPr>
          <w:rFonts w:ascii="Arial" w:hAnsi="Arial" w:cs="Arial"/>
          <w:noProof/>
          <w:lang w:val="en-GB"/>
        </w:rPr>
        <w:t>: The German anti-abuse mea</w:t>
      </w:r>
      <w:r>
        <w:rPr>
          <w:rFonts w:ascii="Arial" w:hAnsi="Arial" w:cs="Arial"/>
          <w:noProof/>
          <w:lang w:val="en-GB"/>
        </w:rPr>
        <w:t>sures concerning dividend payments to foreign companies without genuine activity were incompatible, in the respective tax years, with both the Parent-Subsidiary Directive and the freedom of establishment</w:t>
      </w:r>
      <w:r>
        <w:rPr>
          <w:rStyle w:val="FootnoteReference"/>
          <w:rFonts w:ascii="Arial" w:hAnsi="Arial" w:cs="Arial"/>
          <w:noProof/>
          <w:lang w:val="en-GB"/>
        </w:rPr>
        <w:footnoteReference w:id="404"/>
      </w:r>
      <w:r>
        <w:rPr>
          <w:rFonts w:ascii="Arial" w:hAnsi="Arial" w:cs="Arial"/>
          <w:noProof/>
          <w:lang w:val="en-GB"/>
        </w:rPr>
        <w:t>.</w:t>
      </w:r>
    </w:p>
    <w:p w:rsidR="00E201F7" w:rsidRDefault="00E24EFF">
      <w:pPr>
        <w:pStyle w:val="Lijstje2"/>
        <w:spacing w:after="120"/>
        <w:ind w:left="1434" w:hanging="357"/>
        <w:contextualSpacing w:val="0"/>
        <w:rPr>
          <w:rFonts w:ascii="Arial" w:hAnsi="Arial" w:cs="Arial"/>
          <w:noProof/>
          <w:lang w:val="en-GB"/>
        </w:rPr>
      </w:pPr>
      <w:r>
        <w:rPr>
          <w:rFonts w:ascii="Arial" w:hAnsi="Arial" w:cs="Arial"/>
          <w:i/>
          <w:noProof/>
          <w:lang w:val="en-GB"/>
        </w:rPr>
        <w:t>Germany</w:t>
      </w:r>
      <w:r>
        <w:rPr>
          <w:rFonts w:ascii="Arial" w:hAnsi="Arial" w:cs="Arial"/>
          <w:noProof/>
          <w:lang w:val="en-GB"/>
        </w:rPr>
        <w:t xml:space="preserve">: It is incompatible with the free movement of workers that German law does not allow residents working in another </w:t>
      </w:r>
      <w:smartTag w:uri="urn:schemas-microsoft-com:office:smarttags" w:element="PlaceName">
        <w:r>
          <w:rPr>
            <w:rFonts w:ascii="Arial" w:hAnsi="Arial" w:cs="Arial"/>
            <w:noProof/>
            <w:lang w:val="en-GB"/>
          </w:rPr>
          <w:t>Member</w:t>
        </w:r>
      </w:smartTag>
      <w:r>
        <w:rPr>
          <w:rFonts w:ascii="Arial" w:hAnsi="Arial" w:cs="Arial"/>
          <w:noProof/>
          <w:lang w:val="en-GB"/>
        </w:rPr>
        <w:t xml:space="preserve"> </w:t>
      </w:r>
      <w:smartTag w:uri="urn:schemas-microsoft-com:office:smarttags" w:element="PlaceType">
        <w:r>
          <w:rPr>
            <w:rFonts w:ascii="Arial" w:hAnsi="Arial" w:cs="Arial"/>
            <w:noProof/>
            <w:lang w:val="en-GB"/>
          </w:rPr>
          <w:t>State</w:t>
        </w:r>
      </w:smartTag>
      <w:r>
        <w:rPr>
          <w:rFonts w:ascii="Arial" w:hAnsi="Arial" w:cs="Arial"/>
          <w:noProof/>
          <w:lang w:val="en-GB"/>
        </w:rPr>
        <w:t xml:space="preserve"> to deduct, from their income tax base, pension and health insurance contributions which were deducted from their wages in the </w:t>
      </w:r>
      <w:smartTag w:uri="urn:schemas-microsoft-com:office:smarttags" w:element="place">
        <w:smartTag w:uri="urn:schemas-microsoft-com:office:smarttags" w:element="PlaceName">
          <w:r>
            <w:rPr>
              <w:rFonts w:ascii="Arial" w:hAnsi="Arial" w:cs="Arial"/>
              <w:noProof/>
              <w:lang w:val="en-GB"/>
            </w:rPr>
            <w:t>Me</w:t>
          </w:r>
          <w:r>
            <w:rPr>
              <w:rFonts w:ascii="Arial" w:hAnsi="Arial" w:cs="Arial"/>
              <w:noProof/>
              <w:lang w:val="en-GB"/>
            </w:rPr>
            <w:t>mber</w:t>
          </w:r>
        </w:smartTag>
        <w:r>
          <w:rPr>
            <w:rFonts w:ascii="Arial" w:hAnsi="Arial" w:cs="Arial"/>
            <w:noProof/>
            <w:lang w:val="en-GB"/>
          </w:rPr>
          <w:t xml:space="preserve"> </w:t>
        </w:r>
        <w:smartTag w:uri="urn:schemas-microsoft-com:office:smarttags" w:element="PlaceType">
          <w:r>
            <w:rPr>
              <w:rFonts w:ascii="Arial" w:hAnsi="Arial" w:cs="Arial"/>
              <w:noProof/>
              <w:lang w:val="en-GB"/>
            </w:rPr>
            <w:t>State</w:t>
          </w:r>
        </w:smartTag>
      </w:smartTag>
      <w:r>
        <w:rPr>
          <w:rFonts w:ascii="Arial" w:hAnsi="Arial" w:cs="Arial"/>
          <w:noProof/>
          <w:lang w:val="en-GB"/>
        </w:rPr>
        <w:t xml:space="preserve"> of employment, in contrast to comparable contributions paid to the German social security. This also applies where under a double-taxation Convention the income from the source state must not be taxed in the worker’s </w:t>
      </w:r>
      <w:smartTag w:uri="urn:schemas-microsoft-com:office:smarttags" w:element="place">
        <w:smartTag w:uri="urn:schemas-microsoft-com:office:smarttags" w:element="PlaceName">
          <w:r>
            <w:rPr>
              <w:rFonts w:ascii="Arial" w:hAnsi="Arial" w:cs="Arial"/>
              <w:noProof/>
              <w:lang w:val="en-GB"/>
            </w:rPr>
            <w:t>Member</w:t>
          </w:r>
        </w:smartTag>
        <w:r>
          <w:rPr>
            <w:rFonts w:ascii="Arial" w:hAnsi="Arial" w:cs="Arial"/>
            <w:noProof/>
            <w:lang w:val="en-GB"/>
          </w:rPr>
          <w:t xml:space="preserve"> </w:t>
        </w:r>
        <w:smartTag w:uri="urn:schemas-microsoft-com:office:smarttags" w:element="PlaceType">
          <w:r>
            <w:rPr>
              <w:rFonts w:ascii="Arial" w:hAnsi="Arial" w:cs="Arial"/>
              <w:noProof/>
              <w:lang w:val="en-GB"/>
            </w:rPr>
            <w:t>State</w:t>
          </w:r>
        </w:smartTag>
      </w:smartTag>
      <w:r>
        <w:rPr>
          <w:rFonts w:ascii="Arial" w:hAnsi="Arial" w:cs="Arial"/>
          <w:noProof/>
          <w:lang w:val="en-GB"/>
        </w:rPr>
        <w:t xml:space="preserve"> of residence bu</w:t>
      </w:r>
      <w:r>
        <w:rPr>
          <w:rFonts w:ascii="Arial" w:hAnsi="Arial" w:cs="Arial"/>
          <w:noProof/>
          <w:lang w:val="en-GB"/>
        </w:rPr>
        <w:t>t merely increases the tax rate to be applied to other income</w:t>
      </w:r>
      <w:r>
        <w:rPr>
          <w:rStyle w:val="FootnoteReference"/>
          <w:rFonts w:ascii="Arial" w:hAnsi="Arial" w:cs="Arial"/>
          <w:noProof/>
          <w:lang w:val="en-GB"/>
        </w:rPr>
        <w:footnoteReference w:id="405"/>
      </w:r>
      <w:r>
        <w:rPr>
          <w:rFonts w:ascii="Arial" w:hAnsi="Arial" w:cs="Arial"/>
          <w:noProof/>
          <w:lang w:val="en-GB"/>
        </w:rPr>
        <w:t>.</w:t>
      </w:r>
    </w:p>
    <w:p w:rsidR="00E201F7" w:rsidRDefault="00E24EFF">
      <w:pPr>
        <w:pStyle w:val="Lijstje2"/>
        <w:spacing w:after="120"/>
        <w:ind w:left="1434" w:hanging="357"/>
        <w:contextualSpacing w:val="0"/>
        <w:rPr>
          <w:rFonts w:ascii="Arial" w:hAnsi="Arial" w:cs="Arial"/>
          <w:noProof/>
          <w:lang w:val="en-GB"/>
        </w:rPr>
      </w:pPr>
      <w:r>
        <w:rPr>
          <w:rFonts w:ascii="Arial" w:hAnsi="Arial" w:cs="Arial"/>
          <w:i/>
          <w:noProof/>
          <w:lang w:val="en-GB"/>
        </w:rPr>
        <w:t>France</w:t>
      </w:r>
      <w:r>
        <w:rPr>
          <w:rFonts w:ascii="Arial" w:hAnsi="Arial" w:cs="Arial"/>
          <w:noProof/>
          <w:lang w:val="en-GB"/>
        </w:rPr>
        <w:t>: The Parent-Subsidiary Directive</w:t>
      </w:r>
      <w:r>
        <w:rPr>
          <w:rStyle w:val="FootnoteReference"/>
          <w:rFonts w:ascii="Arial" w:hAnsi="Arial" w:cs="Arial"/>
          <w:noProof/>
          <w:lang w:val="en-GB"/>
        </w:rPr>
        <w:footnoteReference w:id="406"/>
      </w:r>
      <w:r>
        <w:rPr>
          <w:rFonts w:ascii="Arial" w:hAnsi="Arial" w:cs="Arial"/>
          <w:noProof/>
          <w:lang w:val="en-GB"/>
        </w:rPr>
        <w:t xml:space="preserve"> precludes a tax measure providing for the levy of a tax on dividends redistributed by a French parent company coming from that company’s non-resident s</w:t>
      </w:r>
      <w:r>
        <w:rPr>
          <w:rFonts w:ascii="Arial" w:hAnsi="Arial" w:cs="Arial"/>
          <w:noProof/>
          <w:lang w:val="en-GB"/>
        </w:rPr>
        <w:t>ubsidiaries</w:t>
      </w:r>
      <w:r>
        <w:rPr>
          <w:rStyle w:val="FootnoteReference"/>
          <w:rFonts w:ascii="Arial" w:hAnsi="Arial" w:cs="Arial"/>
          <w:noProof/>
          <w:lang w:val="en-GB"/>
        </w:rPr>
        <w:footnoteReference w:id="407"/>
      </w:r>
      <w:r>
        <w:rPr>
          <w:rFonts w:ascii="Arial" w:hAnsi="Arial" w:cs="Arial"/>
          <w:noProof/>
          <w:lang w:val="en-GB"/>
        </w:rPr>
        <w:t>.</w:t>
      </w:r>
    </w:p>
    <w:p w:rsidR="00E201F7" w:rsidRDefault="00E24EFF">
      <w:pPr>
        <w:pStyle w:val="Lijstje2"/>
        <w:spacing w:after="120"/>
        <w:ind w:left="1434" w:hanging="357"/>
        <w:contextualSpacing w:val="0"/>
        <w:rPr>
          <w:rFonts w:ascii="Arial" w:hAnsi="Arial" w:cs="Arial"/>
          <w:noProof/>
          <w:lang w:val="en-GB"/>
        </w:rPr>
      </w:pPr>
      <w:r>
        <w:rPr>
          <w:rFonts w:ascii="Arial" w:hAnsi="Arial" w:cs="Arial"/>
          <w:i/>
          <w:noProof/>
          <w:lang w:val="en-GB"/>
        </w:rPr>
        <w:t>Luxembourg</w:t>
      </w:r>
      <w:r>
        <w:rPr>
          <w:rFonts w:ascii="Arial" w:hAnsi="Arial" w:cs="Arial"/>
          <w:noProof/>
          <w:lang w:val="en-GB"/>
        </w:rPr>
        <w:t>: In the context of information exchange between Member States, the right to an effective remedy under the EU Charter of Fundamental Rights requires that the information holder should be able to contest the legality of an informatio</w:t>
      </w:r>
      <w:r>
        <w:rPr>
          <w:rFonts w:ascii="Arial" w:hAnsi="Arial" w:cs="Arial"/>
          <w:noProof/>
          <w:lang w:val="en-GB"/>
        </w:rPr>
        <w:t>n request before a court if it is subject to a fine in case of non-compliance</w:t>
      </w:r>
      <w:r>
        <w:rPr>
          <w:rStyle w:val="FootnoteReference"/>
          <w:rFonts w:ascii="Arial" w:hAnsi="Arial" w:cs="Arial"/>
          <w:noProof/>
          <w:lang w:val="en-GB"/>
        </w:rPr>
        <w:footnoteReference w:id="408"/>
      </w:r>
      <w:r>
        <w:rPr>
          <w:rFonts w:ascii="Arial" w:hAnsi="Arial" w:cs="Arial"/>
          <w:noProof/>
          <w:lang w:val="en-GB"/>
        </w:rPr>
        <w:t>.</w:t>
      </w:r>
    </w:p>
    <w:p w:rsidR="00E201F7" w:rsidRDefault="00E24EFF">
      <w:pPr>
        <w:pStyle w:val="Lijstje2"/>
        <w:spacing w:after="120"/>
        <w:ind w:left="1434" w:hanging="357"/>
        <w:contextualSpacing w:val="0"/>
        <w:rPr>
          <w:rFonts w:ascii="Arial" w:hAnsi="Arial"/>
          <w:noProof/>
          <w:lang w:val="en-GB"/>
        </w:rPr>
      </w:pPr>
      <w:r>
        <w:rPr>
          <w:rFonts w:ascii="Arial" w:hAnsi="Arial" w:cs="Arial"/>
          <w:i/>
          <w:noProof/>
          <w:lang w:val="en-GB"/>
        </w:rPr>
        <w:t>Netherlands</w:t>
      </w:r>
      <w:r>
        <w:rPr>
          <w:rFonts w:ascii="Arial" w:hAnsi="Arial" w:cs="Arial"/>
          <w:bCs/>
          <w:i/>
          <w:noProof/>
          <w:lang w:val="en-GB"/>
        </w:rPr>
        <w:t>:</w:t>
      </w:r>
      <w:r>
        <w:rPr>
          <w:rFonts w:ascii="Arial" w:hAnsi="Arial"/>
          <w:noProof/>
          <w:lang w:val="en-GB"/>
        </w:rPr>
        <w:t xml:space="preserve"> The ‘cost of transport’ as defined in the Community Customs Code is not necessarily limited to the amounts charged by the carriers which themselves carry out the t</w:t>
      </w:r>
      <w:r>
        <w:rPr>
          <w:rFonts w:ascii="Arial" w:hAnsi="Arial"/>
          <w:noProof/>
          <w:lang w:val="en-GB"/>
        </w:rPr>
        <w:t>ransport of the imported goods</w:t>
      </w:r>
      <w:r>
        <w:rPr>
          <w:rStyle w:val="FootnoteReference"/>
          <w:rFonts w:ascii="Arial" w:hAnsi="Arial" w:cs="Arial"/>
          <w:noProof/>
          <w:lang w:val="en-GB"/>
        </w:rPr>
        <w:footnoteReference w:id="409"/>
      </w:r>
      <w:r>
        <w:rPr>
          <w:rFonts w:ascii="Arial" w:hAnsi="Arial" w:cs="Arial"/>
          <w:noProof/>
          <w:lang w:val="en-GB"/>
        </w:rPr>
        <w:t>.</w:t>
      </w:r>
    </w:p>
    <w:p w:rsidR="00E201F7" w:rsidRDefault="00E24EFF">
      <w:pPr>
        <w:pStyle w:val="Lijstje2"/>
        <w:spacing w:after="120"/>
        <w:ind w:left="1434" w:hanging="357"/>
        <w:contextualSpacing w:val="0"/>
        <w:rPr>
          <w:rFonts w:ascii="Arial" w:hAnsi="Arial"/>
          <w:noProof/>
          <w:lang w:val="en-GB"/>
        </w:rPr>
      </w:pPr>
      <w:r>
        <w:rPr>
          <w:rFonts w:ascii="Arial" w:hAnsi="Arial" w:cs="Arial"/>
          <w:i/>
          <w:noProof/>
          <w:lang w:val="en-GB"/>
        </w:rPr>
        <w:t>Netherlands</w:t>
      </w:r>
      <w:r>
        <w:rPr>
          <w:rFonts w:ascii="Arial" w:hAnsi="Arial" w:cs="Arial"/>
          <w:bCs/>
          <w:i/>
          <w:noProof/>
          <w:lang w:val="en-GB"/>
        </w:rPr>
        <w:t>:</w:t>
      </w:r>
      <w:r>
        <w:rPr>
          <w:rFonts w:ascii="Arial" w:hAnsi="Arial"/>
          <w:noProof/>
          <w:lang w:val="en-GB"/>
        </w:rPr>
        <w:t xml:space="preserve"> under the Combined Nomenclature, the classification of video footage lasting longer than 30 minutes does not change if it is divided into parts shorter than 30 minutes. This remains so either when during the pl</w:t>
      </w:r>
      <w:r>
        <w:rPr>
          <w:rFonts w:ascii="Arial" w:hAnsi="Arial"/>
          <w:noProof/>
          <w:lang w:val="en-GB"/>
        </w:rPr>
        <w:t>ayback the user is unable to perceive the transition from one file to the next, or when he must play each file separately</w:t>
      </w:r>
      <w:r>
        <w:rPr>
          <w:rStyle w:val="FootnoteReference"/>
          <w:rFonts w:ascii="Arial" w:hAnsi="Arial" w:cs="Arial"/>
          <w:noProof/>
          <w:lang w:val="en-GB"/>
        </w:rPr>
        <w:footnoteReference w:id="410"/>
      </w:r>
      <w:r>
        <w:rPr>
          <w:rFonts w:ascii="Arial" w:hAnsi="Arial" w:cs="Arial"/>
          <w:noProof/>
          <w:lang w:val="en-GB"/>
        </w:rPr>
        <w:t>.</w:t>
      </w:r>
    </w:p>
    <w:p w:rsidR="00E201F7" w:rsidRDefault="00E24EFF">
      <w:pPr>
        <w:pStyle w:val="Lijstje2"/>
        <w:spacing w:after="120"/>
        <w:ind w:left="1434" w:hanging="357"/>
        <w:contextualSpacing w:val="0"/>
        <w:rPr>
          <w:rFonts w:ascii="Arial" w:hAnsi="Arial"/>
          <w:noProof/>
          <w:lang w:val="en-GB"/>
        </w:rPr>
      </w:pPr>
      <w:r>
        <w:rPr>
          <w:rFonts w:ascii="Arial" w:hAnsi="Arial" w:cs="Arial"/>
          <w:i/>
          <w:noProof/>
          <w:lang w:val="en-GB"/>
        </w:rPr>
        <w:t>Netherlands</w:t>
      </w:r>
      <w:r>
        <w:rPr>
          <w:rFonts w:ascii="Arial" w:hAnsi="Arial" w:cs="Arial"/>
          <w:bCs/>
          <w:i/>
          <w:noProof/>
          <w:lang w:val="en-GB"/>
        </w:rPr>
        <w:t>:</w:t>
      </w:r>
      <w:r>
        <w:rPr>
          <w:rFonts w:ascii="Arial" w:hAnsi="Arial"/>
          <w:noProof/>
          <w:lang w:val="en-GB"/>
        </w:rPr>
        <w:t xml:space="preserve"> Screws to be used for medical implant purposes should be classified as orthopaedic articles under the Combined Nomenclature and not as ‘regular’ screws, even if they ‘entirely correspond’ to ordinary screws</w:t>
      </w:r>
      <w:r>
        <w:rPr>
          <w:rStyle w:val="FootnoteReference"/>
          <w:rFonts w:ascii="Arial" w:hAnsi="Arial" w:cs="Arial"/>
          <w:noProof/>
          <w:lang w:val="en-GB"/>
        </w:rPr>
        <w:footnoteReference w:id="411"/>
      </w:r>
      <w:r>
        <w:rPr>
          <w:rFonts w:ascii="Arial" w:hAnsi="Arial"/>
          <w:noProof/>
          <w:lang w:val="en-GB"/>
        </w:rPr>
        <w:t>.</w:t>
      </w:r>
    </w:p>
    <w:p w:rsidR="00E201F7" w:rsidRDefault="00E24EFF">
      <w:pPr>
        <w:pStyle w:val="Lijstje2"/>
        <w:spacing w:after="120"/>
        <w:ind w:left="1434" w:hanging="357"/>
        <w:contextualSpacing w:val="0"/>
        <w:rPr>
          <w:rFonts w:ascii="Arial" w:hAnsi="Arial"/>
          <w:noProof/>
          <w:lang w:val="en-GB"/>
        </w:rPr>
      </w:pPr>
      <w:r>
        <w:rPr>
          <w:rFonts w:ascii="Arial" w:hAnsi="Arial"/>
          <w:i/>
          <w:noProof/>
          <w:lang w:val="en-GB"/>
        </w:rPr>
        <w:t>Portugal:</w:t>
      </w:r>
      <w:r>
        <w:rPr>
          <w:rFonts w:ascii="Arial" w:hAnsi="Arial"/>
          <w:noProof/>
          <w:lang w:val="en-GB"/>
        </w:rPr>
        <w:t xml:space="preserve"> For an intra-Community supply transa</w:t>
      </w:r>
      <w:r>
        <w:rPr>
          <w:rFonts w:ascii="Arial" w:hAnsi="Arial"/>
          <w:noProof/>
          <w:lang w:val="en-GB"/>
        </w:rPr>
        <w:t>ction to benefit from the VAT exemption set out in the VAT Directive, the purchaser should neither have to acquire a VAT identification number valid for the purpose of carrying out intra-Community transactions nor include that number in the VIES system. Th</w:t>
      </w:r>
      <w:r>
        <w:rPr>
          <w:rFonts w:ascii="Arial" w:hAnsi="Arial"/>
          <w:noProof/>
          <w:lang w:val="en-GB"/>
        </w:rPr>
        <w:t>ese are merely formal requirements which cannot undermine the vendor’s right to be exempt from VAT where the substantive conditions are satisfied</w:t>
      </w:r>
      <w:r>
        <w:rPr>
          <w:rStyle w:val="FootnoteReference"/>
          <w:rFonts w:ascii="Arial" w:hAnsi="Arial" w:cs="Arial"/>
          <w:noProof/>
          <w:lang w:val="en-GB"/>
        </w:rPr>
        <w:footnoteReference w:id="412"/>
      </w:r>
      <w:r>
        <w:rPr>
          <w:rFonts w:ascii="Arial" w:hAnsi="Arial" w:cs="Arial"/>
          <w:noProof/>
          <w:lang w:val="en-GB"/>
        </w:rPr>
        <w:t>.</w:t>
      </w:r>
    </w:p>
    <w:p w:rsidR="00E201F7" w:rsidRDefault="00E24EFF">
      <w:pPr>
        <w:pStyle w:val="Lijstje2"/>
        <w:spacing w:after="120"/>
        <w:ind w:left="1434" w:hanging="357"/>
        <w:contextualSpacing w:val="0"/>
        <w:rPr>
          <w:rFonts w:ascii="Arial" w:hAnsi="Arial"/>
          <w:noProof/>
          <w:lang w:val="en-GB"/>
        </w:rPr>
      </w:pPr>
      <w:r>
        <w:rPr>
          <w:rFonts w:ascii="Arial" w:hAnsi="Arial" w:cs="Arial"/>
          <w:i/>
          <w:noProof/>
          <w:lang w:val="en-GB"/>
        </w:rPr>
        <w:t>United Kingdom:</w:t>
      </w:r>
      <w:r>
        <w:rPr>
          <w:rFonts w:ascii="Arial" w:hAnsi="Arial" w:cs="Arial"/>
          <w:noProof/>
          <w:lang w:val="en-GB"/>
        </w:rPr>
        <w:t xml:space="preserve"> The case concerned the interpretation of the words ‘contract for hire which provides that in</w:t>
      </w:r>
      <w:r>
        <w:rPr>
          <w:rFonts w:ascii="Arial" w:hAnsi="Arial" w:cs="Arial"/>
          <w:noProof/>
          <w:lang w:val="en-GB"/>
        </w:rPr>
        <w:t xml:space="preserve"> the normal course of events ownership is to pass at the latest upon payment of the final instalment’, used in the VAT Directive. The Court held that this phrase must be interpreted as applying to a leasing contract with an option to purchase if the contra</w:t>
      </w:r>
      <w:r>
        <w:rPr>
          <w:rFonts w:ascii="Arial" w:hAnsi="Arial" w:cs="Arial"/>
          <w:noProof/>
          <w:lang w:val="en-GB"/>
        </w:rPr>
        <w:t>ct’s financial terms suggest that exercising the option appears to be the only economically rational choice to be made by the lessee at the time of performing the contract in full</w:t>
      </w:r>
      <w:r>
        <w:rPr>
          <w:rStyle w:val="FootnoteReference"/>
          <w:rFonts w:ascii="Arial" w:hAnsi="Arial" w:cs="Arial"/>
          <w:noProof/>
          <w:lang w:val="en-GB"/>
        </w:rPr>
        <w:footnoteReference w:id="413"/>
      </w:r>
      <w:r>
        <w:rPr>
          <w:rFonts w:ascii="Arial" w:hAnsi="Arial" w:cs="Arial"/>
          <w:noProof/>
          <w:lang w:val="en-GB"/>
        </w:rPr>
        <w:t>.</w:t>
      </w:r>
    </w:p>
    <w:p w:rsidR="00E201F7" w:rsidRDefault="00E24EFF">
      <w:pPr>
        <w:pStyle w:val="kop2"/>
        <w:rPr>
          <w:noProof/>
        </w:rPr>
      </w:pPr>
      <w:r>
        <w:rPr>
          <w:noProof/>
        </w:rPr>
        <w:t>Outlook</w:t>
      </w:r>
    </w:p>
    <w:p w:rsidR="00E201F7" w:rsidRDefault="00E24EFF">
      <w:pPr>
        <w:spacing w:after="60"/>
        <w:ind w:left="360"/>
        <w:jc w:val="left"/>
        <w:outlineLvl w:val="1"/>
        <w:rPr>
          <w:rFonts w:ascii="Arial" w:hAnsi="Arial"/>
          <w:noProof/>
          <w:color w:val="002060"/>
          <w:sz w:val="22"/>
        </w:rPr>
      </w:pPr>
      <w:r>
        <w:rPr>
          <w:rFonts w:ascii="Arial" w:hAnsi="Arial"/>
          <w:noProof/>
          <w:color w:val="002060"/>
          <w:sz w:val="22"/>
        </w:rPr>
        <w:t>Important implementation work in 2018 includes:</w:t>
      </w:r>
    </w:p>
    <w:p w:rsidR="00E201F7" w:rsidRDefault="00E24EFF">
      <w:pPr>
        <w:numPr>
          <w:ilvl w:val="0"/>
          <w:numId w:val="25"/>
        </w:numPr>
        <w:spacing w:before="240"/>
        <w:ind w:left="1276" w:hanging="357"/>
        <w:rPr>
          <w:rFonts w:ascii="Arial" w:eastAsia="Calibri" w:hAnsi="Arial"/>
          <w:i/>
          <w:noProof/>
          <w:color w:val="000000"/>
          <w:kern w:val="20"/>
          <w:sz w:val="20"/>
        </w:rPr>
      </w:pPr>
      <w:r>
        <w:rPr>
          <w:rFonts w:ascii="Arial" w:hAnsi="Arial"/>
          <w:i/>
          <w:noProof/>
          <w:sz w:val="20"/>
        </w:rPr>
        <w:t>Indirect taxation:</w:t>
      </w:r>
    </w:p>
    <w:p w:rsidR="00E201F7" w:rsidRDefault="00E24EFF">
      <w:pPr>
        <w:pStyle w:val="ListParagraph"/>
        <w:numPr>
          <w:ilvl w:val="0"/>
          <w:numId w:val="25"/>
        </w:numPr>
        <w:autoSpaceDE w:val="0"/>
        <w:autoSpaceDN w:val="0"/>
        <w:adjustRightInd w:val="0"/>
        <w:ind w:left="1800"/>
        <w:rPr>
          <w:rFonts w:ascii="Arial" w:hAnsi="Arial"/>
          <w:noProof/>
          <w:sz w:val="20"/>
        </w:rPr>
      </w:pPr>
      <w:r>
        <w:rPr>
          <w:rFonts w:ascii="Arial" w:hAnsi="Arial"/>
          <w:noProof/>
          <w:sz w:val="20"/>
        </w:rPr>
        <w:t>focusing on infringements with a strong impact on the functioning of the internal market and the economy</w:t>
      </w:r>
      <w:r>
        <w:rPr>
          <w:rFonts w:ascii="Arial" w:hAnsi="Arial" w:cs="Arial"/>
          <w:noProof/>
          <w:sz w:val="20"/>
        </w:rPr>
        <w:t>;</w:t>
      </w:r>
    </w:p>
    <w:p w:rsidR="00E201F7" w:rsidRDefault="00E24EFF">
      <w:pPr>
        <w:pStyle w:val="ListParagraph"/>
        <w:numPr>
          <w:ilvl w:val="0"/>
          <w:numId w:val="25"/>
        </w:numPr>
        <w:autoSpaceDE w:val="0"/>
        <w:autoSpaceDN w:val="0"/>
        <w:adjustRightInd w:val="0"/>
        <w:ind w:left="1800"/>
        <w:rPr>
          <w:rFonts w:ascii="Arial" w:hAnsi="Arial"/>
          <w:noProof/>
          <w:sz w:val="20"/>
        </w:rPr>
      </w:pPr>
      <w:r>
        <w:rPr>
          <w:rFonts w:ascii="Arial" w:hAnsi="Arial"/>
          <w:noProof/>
          <w:sz w:val="20"/>
        </w:rPr>
        <w:t>following up on the horizontal application of Court judgments</w:t>
      </w:r>
      <w:r>
        <w:rPr>
          <w:rFonts w:ascii="Arial" w:hAnsi="Arial" w:cs="Arial"/>
          <w:noProof/>
          <w:sz w:val="20"/>
        </w:rPr>
        <w:t>;</w:t>
      </w:r>
    </w:p>
    <w:p w:rsidR="00E201F7" w:rsidRDefault="00E24EFF">
      <w:pPr>
        <w:pStyle w:val="ListParagraph"/>
        <w:numPr>
          <w:ilvl w:val="0"/>
          <w:numId w:val="25"/>
        </w:numPr>
        <w:autoSpaceDE w:val="0"/>
        <w:autoSpaceDN w:val="0"/>
        <w:adjustRightInd w:val="0"/>
        <w:ind w:left="1800"/>
        <w:rPr>
          <w:rFonts w:ascii="Arial" w:hAnsi="Arial"/>
          <w:noProof/>
          <w:sz w:val="20"/>
        </w:rPr>
      </w:pPr>
      <w:r>
        <w:rPr>
          <w:rFonts w:ascii="Arial" w:hAnsi="Arial"/>
          <w:noProof/>
          <w:sz w:val="20"/>
        </w:rPr>
        <w:t>monitoring cases affecting the economic situation of businesses (VAT refund) and cases</w:t>
      </w:r>
      <w:r>
        <w:rPr>
          <w:rFonts w:ascii="Arial" w:hAnsi="Arial"/>
          <w:noProof/>
          <w:sz w:val="20"/>
        </w:rPr>
        <w:t xml:space="preserve"> aiming to remove obstacles to the free circulation of goods and services.</w:t>
      </w:r>
    </w:p>
    <w:p w:rsidR="00E201F7" w:rsidRDefault="00E24EFF">
      <w:pPr>
        <w:numPr>
          <w:ilvl w:val="0"/>
          <w:numId w:val="25"/>
        </w:numPr>
        <w:ind w:left="1276"/>
        <w:contextualSpacing/>
        <w:rPr>
          <w:rFonts w:ascii="Arial" w:hAnsi="Arial"/>
          <w:i/>
          <w:noProof/>
          <w:sz w:val="20"/>
        </w:rPr>
      </w:pPr>
      <w:r>
        <w:rPr>
          <w:rFonts w:ascii="Arial" w:hAnsi="Arial"/>
          <w:i/>
          <w:noProof/>
          <w:sz w:val="20"/>
        </w:rPr>
        <w:t>Direct taxation</w:t>
      </w:r>
      <w:r>
        <w:rPr>
          <w:rFonts w:ascii="Arial" w:hAnsi="Arial" w:cs="Arial"/>
          <w:i/>
          <w:noProof/>
          <w:sz w:val="20"/>
        </w:rPr>
        <w:t>:</w:t>
      </w:r>
    </w:p>
    <w:p w:rsidR="00E201F7" w:rsidRDefault="00E24EFF">
      <w:pPr>
        <w:pStyle w:val="ListParagraph"/>
        <w:numPr>
          <w:ilvl w:val="0"/>
          <w:numId w:val="25"/>
        </w:numPr>
        <w:ind w:left="1800"/>
        <w:rPr>
          <w:rFonts w:ascii="Arial" w:hAnsi="Arial"/>
          <w:noProof/>
          <w:sz w:val="20"/>
        </w:rPr>
      </w:pPr>
      <w:r>
        <w:rPr>
          <w:rFonts w:ascii="Arial" w:hAnsi="Arial"/>
          <w:noProof/>
          <w:sz w:val="20"/>
        </w:rPr>
        <w:t>assessing the conformity of the rules on mandatory automatic exchange of information on taxation. This will concern in particular the Directives on:</w:t>
      </w:r>
    </w:p>
    <w:p w:rsidR="00E201F7" w:rsidRDefault="00E24EFF">
      <w:pPr>
        <w:pStyle w:val="ListParagraph"/>
        <w:numPr>
          <w:ilvl w:val="0"/>
          <w:numId w:val="152"/>
        </w:numPr>
        <w:rPr>
          <w:rFonts w:ascii="Arial" w:hAnsi="Arial"/>
          <w:noProof/>
          <w:sz w:val="20"/>
        </w:rPr>
      </w:pPr>
      <w:r>
        <w:rPr>
          <w:rFonts w:ascii="Arial" w:hAnsi="Arial"/>
          <w:noProof/>
          <w:sz w:val="20"/>
        </w:rPr>
        <w:t>the automatic e</w:t>
      </w:r>
      <w:r>
        <w:rPr>
          <w:rFonts w:ascii="Arial" w:hAnsi="Arial"/>
          <w:noProof/>
          <w:sz w:val="20"/>
        </w:rPr>
        <w:t>xchange within the EU of information relative to financial income, including dividends and capital gains, and account balances</w:t>
      </w:r>
      <w:r>
        <w:rPr>
          <w:rStyle w:val="FootnoteReference"/>
          <w:rFonts w:ascii="Arial" w:hAnsi="Arial"/>
          <w:noProof/>
          <w:sz w:val="20"/>
        </w:rPr>
        <w:footnoteReference w:id="414"/>
      </w:r>
      <w:r>
        <w:rPr>
          <w:rFonts w:ascii="Arial" w:hAnsi="Arial"/>
          <w:noProof/>
          <w:sz w:val="20"/>
        </w:rPr>
        <w:t>;</w:t>
      </w:r>
    </w:p>
    <w:p w:rsidR="00E201F7" w:rsidRDefault="00E24EFF">
      <w:pPr>
        <w:pStyle w:val="ListParagraph"/>
        <w:numPr>
          <w:ilvl w:val="0"/>
          <w:numId w:val="152"/>
        </w:numPr>
        <w:rPr>
          <w:rFonts w:ascii="Arial" w:hAnsi="Arial"/>
          <w:noProof/>
          <w:sz w:val="20"/>
        </w:rPr>
      </w:pPr>
      <w:r>
        <w:rPr>
          <w:rFonts w:ascii="Arial" w:hAnsi="Arial"/>
          <w:noProof/>
          <w:sz w:val="20"/>
        </w:rPr>
        <w:t>the mandatory automatic exchange of information in the field of taxation</w:t>
      </w:r>
      <w:r>
        <w:rPr>
          <w:rStyle w:val="FootnoteReference"/>
          <w:rFonts w:ascii="Arial" w:hAnsi="Arial"/>
          <w:noProof/>
          <w:sz w:val="20"/>
        </w:rPr>
        <w:footnoteReference w:id="415"/>
      </w:r>
      <w:r>
        <w:rPr>
          <w:rFonts w:ascii="Arial" w:hAnsi="Arial"/>
          <w:noProof/>
          <w:sz w:val="20"/>
        </w:rPr>
        <w:t>; and</w:t>
      </w:r>
    </w:p>
    <w:p w:rsidR="00E201F7" w:rsidRDefault="00E24EFF">
      <w:pPr>
        <w:pStyle w:val="ListParagraph"/>
        <w:numPr>
          <w:ilvl w:val="0"/>
          <w:numId w:val="152"/>
        </w:numPr>
        <w:rPr>
          <w:rFonts w:ascii="Arial" w:hAnsi="Arial"/>
          <w:noProof/>
          <w:sz w:val="20"/>
        </w:rPr>
      </w:pPr>
      <w:r>
        <w:rPr>
          <w:rFonts w:ascii="Arial" w:hAnsi="Arial"/>
          <w:noProof/>
          <w:sz w:val="20"/>
        </w:rPr>
        <w:t>country-by-country reporting of information by m</w:t>
      </w:r>
      <w:r>
        <w:rPr>
          <w:rFonts w:ascii="Arial" w:hAnsi="Arial"/>
          <w:noProof/>
          <w:sz w:val="20"/>
        </w:rPr>
        <w:t>ultinationals to tax authorities</w:t>
      </w:r>
      <w:r>
        <w:rPr>
          <w:rStyle w:val="FootnoteReference"/>
          <w:rFonts w:ascii="Arial" w:hAnsi="Arial"/>
          <w:noProof/>
          <w:sz w:val="20"/>
        </w:rPr>
        <w:footnoteReference w:id="416"/>
      </w:r>
      <w:r>
        <w:rPr>
          <w:rFonts w:ascii="Arial" w:hAnsi="Arial"/>
          <w:noProof/>
          <w:sz w:val="20"/>
        </w:rPr>
        <w:t>.</w:t>
      </w:r>
    </w:p>
    <w:p w:rsidR="00E201F7" w:rsidRDefault="00E24EFF">
      <w:pPr>
        <w:numPr>
          <w:ilvl w:val="0"/>
          <w:numId w:val="25"/>
        </w:numPr>
        <w:ind w:left="1276"/>
        <w:contextualSpacing/>
        <w:rPr>
          <w:rFonts w:ascii="Arial" w:hAnsi="Arial"/>
          <w:i/>
          <w:noProof/>
          <w:sz w:val="20"/>
        </w:rPr>
      </w:pPr>
      <w:r>
        <w:rPr>
          <w:rFonts w:ascii="Arial" w:hAnsi="Arial"/>
          <w:i/>
          <w:noProof/>
          <w:sz w:val="20"/>
        </w:rPr>
        <w:t>Customs</w:t>
      </w:r>
      <w:r>
        <w:rPr>
          <w:rFonts w:ascii="Arial" w:hAnsi="Arial" w:cs="Arial"/>
          <w:i/>
          <w:noProof/>
          <w:sz w:val="20"/>
        </w:rPr>
        <w:t>:</w:t>
      </w:r>
    </w:p>
    <w:p w:rsidR="00E201F7" w:rsidRDefault="00E24EFF">
      <w:pPr>
        <w:pStyle w:val="ListParagraph"/>
        <w:numPr>
          <w:ilvl w:val="0"/>
          <w:numId w:val="25"/>
        </w:numPr>
        <w:ind w:left="1800"/>
        <w:rPr>
          <w:rFonts w:ascii="Arial" w:hAnsi="Arial"/>
          <w:noProof/>
          <w:sz w:val="20"/>
        </w:rPr>
      </w:pPr>
      <w:r>
        <w:rPr>
          <w:rFonts w:ascii="Arial" w:hAnsi="Arial"/>
          <w:noProof/>
          <w:sz w:val="20"/>
        </w:rPr>
        <w:t>focusing on cases where there is a significant financial impact on the collection of the EU’s traditional own resources and where it is considered that the EU’s exclusive competence in the customs area needs to b</w:t>
      </w:r>
      <w:r>
        <w:rPr>
          <w:rFonts w:ascii="Arial" w:hAnsi="Arial"/>
          <w:noProof/>
          <w:sz w:val="20"/>
        </w:rPr>
        <w:t>e defended.</w:t>
      </w:r>
    </w:p>
    <w:p w:rsidR="00E201F7" w:rsidRDefault="00E201F7">
      <w:pPr>
        <w:contextualSpacing/>
        <w:rPr>
          <w:rFonts w:cs="Arial"/>
          <w:noProof/>
          <w:sz w:val="20"/>
        </w:rPr>
      </w:pPr>
    </w:p>
    <w:p w:rsidR="00E201F7" w:rsidRDefault="00E201F7">
      <w:pPr>
        <w:contextualSpacing/>
        <w:rPr>
          <w:rFonts w:cs="Arial"/>
          <w:noProof/>
          <w:sz w:val="20"/>
        </w:rPr>
        <w:sectPr w:rsidR="00E201F7">
          <w:headerReference w:type="even" r:id="rId188"/>
          <w:headerReference w:type="default" r:id="rId189"/>
          <w:footerReference w:type="even" r:id="rId190"/>
          <w:footerReference w:type="default" r:id="rId191"/>
          <w:headerReference w:type="first" r:id="rId192"/>
          <w:footerReference w:type="first" r:id="rId193"/>
          <w:footnotePr>
            <w:numRestart w:val="eachSect"/>
          </w:footnotePr>
          <w:pgSz w:w="11906" w:h="16838"/>
          <w:pgMar w:top="1985" w:right="1417" w:bottom="1134" w:left="1417" w:header="708" w:footer="708" w:gutter="0"/>
          <w:cols w:space="708"/>
          <w:titlePg/>
          <w:docGrid w:linePitch="360"/>
        </w:sectPr>
      </w:pPr>
    </w:p>
    <w:p w:rsidR="00E201F7" w:rsidRDefault="00E24EFF">
      <w:pPr>
        <w:pStyle w:val="Heading1"/>
        <w:spacing w:after="0"/>
        <w:ind w:left="0"/>
        <w:rPr>
          <w:rFonts w:ascii="Arial" w:hAnsi="Arial"/>
          <w:noProof/>
        </w:rPr>
      </w:pPr>
      <w:bookmarkStart w:id="157" w:name="_Toc510016537"/>
      <w:r>
        <w:rPr>
          <w:rFonts w:ascii="Arial" w:hAnsi="Arial"/>
          <w:noProof/>
        </w:rPr>
        <w:t>Methodology and explanations</w:t>
      </w:r>
      <w:bookmarkEnd w:id="130"/>
      <w:bookmarkEnd w:id="131"/>
      <w:bookmarkEnd w:id="132"/>
      <w:bookmarkEnd w:id="133"/>
      <w:bookmarkEnd w:id="157"/>
    </w:p>
    <w:p w:rsidR="00E201F7" w:rsidRDefault="00E24EFF">
      <w:pPr>
        <w:pStyle w:val="kop2"/>
        <w:numPr>
          <w:ilvl w:val="0"/>
          <w:numId w:val="90"/>
        </w:numPr>
        <w:rPr>
          <w:noProof/>
        </w:rPr>
      </w:pPr>
      <w:r>
        <w:rPr>
          <w:noProof/>
        </w:rPr>
        <w:t>Annex I — POLICY AREAS</w:t>
      </w:r>
    </w:p>
    <w:p w:rsidR="00E201F7" w:rsidRDefault="00E24EFF">
      <w:pPr>
        <w:keepNext/>
        <w:keepLines/>
        <w:numPr>
          <w:ilvl w:val="1"/>
          <w:numId w:val="63"/>
        </w:numPr>
        <w:outlineLvl w:val="2"/>
        <w:rPr>
          <w:rFonts w:ascii="Arial" w:eastAsia="MS Gothic" w:hAnsi="Arial"/>
          <w:noProof/>
          <w:color w:val="006FB4"/>
          <w:kern w:val="20"/>
          <w:sz w:val="20"/>
          <w:lang w:eastAsia="zh-CN"/>
        </w:rPr>
      </w:pPr>
      <w:r>
        <w:rPr>
          <w:rFonts w:ascii="Arial" w:eastAsia="MS Gothic" w:hAnsi="Arial"/>
          <w:noProof/>
          <w:color w:val="006FB4"/>
          <w:kern w:val="20"/>
          <w:sz w:val="20"/>
          <w:lang w:eastAsia="zh-CN"/>
        </w:rPr>
        <w:t>Complaints</w:t>
      </w:r>
    </w:p>
    <w:p w:rsidR="00E201F7" w:rsidRDefault="00E24EFF">
      <w:pPr>
        <w:rPr>
          <w:rFonts w:ascii="Arial" w:hAnsi="Arial"/>
          <w:b/>
          <w:noProof/>
          <w:sz w:val="20"/>
        </w:rPr>
      </w:pPr>
      <w:r>
        <w:rPr>
          <w:rFonts w:ascii="Arial" w:hAnsi="Arial"/>
          <w:b/>
          <w:noProof/>
          <w:color w:val="002060"/>
          <w:sz w:val="20"/>
        </w:rPr>
        <w:t>First chart: New complaints received from members of the public (2013-2017)</w:t>
      </w:r>
    </w:p>
    <w:p w:rsidR="00E201F7" w:rsidRDefault="00E24EFF">
      <w:pPr>
        <w:rPr>
          <w:rFonts w:ascii="Arial" w:hAnsi="Arial"/>
          <w:noProof/>
          <w:sz w:val="20"/>
        </w:rPr>
      </w:pPr>
      <w:r>
        <w:rPr>
          <w:rFonts w:ascii="Arial" w:hAnsi="Arial"/>
          <w:noProof/>
          <w:sz w:val="20"/>
        </w:rPr>
        <w:t xml:space="preserve">This shows the number of public complaints the Commission registered in the given policy field </w:t>
      </w:r>
      <w:r>
        <w:rPr>
          <w:rFonts w:ascii="Arial" w:hAnsi="Arial"/>
          <w:noProof/>
          <w:sz w:val="20"/>
        </w:rPr>
        <w:t>in 2013-2017.</w:t>
      </w:r>
    </w:p>
    <w:p w:rsidR="00E201F7" w:rsidRDefault="00E24EFF">
      <w:pPr>
        <w:rPr>
          <w:rFonts w:ascii="Arial" w:hAnsi="Arial"/>
          <w:b/>
          <w:noProof/>
          <w:color w:val="002060"/>
          <w:sz w:val="20"/>
        </w:rPr>
      </w:pPr>
      <w:r>
        <w:rPr>
          <w:rFonts w:ascii="Arial" w:hAnsi="Arial"/>
          <w:b/>
          <w:noProof/>
          <w:color w:val="002060"/>
          <w:sz w:val="20"/>
        </w:rPr>
        <w:t>Second chart: Public complaints open at year-end</w:t>
      </w:r>
    </w:p>
    <w:p w:rsidR="00E201F7" w:rsidRDefault="00E24EFF">
      <w:pPr>
        <w:rPr>
          <w:rFonts w:ascii="Arial" w:hAnsi="Arial"/>
          <w:noProof/>
          <w:sz w:val="20"/>
        </w:rPr>
      </w:pPr>
      <w:r>
        <w:rPr>
          <w:rFonts w:ascii="Arial" w:hAnsi="Arial"/>
          <w:noProof/>
          <w:sz w:val="20"/>
        </w:rPr>
        <w:t xml:space="preserve">This starts with the number of open complaints carried over from 2016 (first column). The second column shows the number of new complaints registered in 2017. The third column shows the number </w:t>
      </w:r>
      <w:r>
        <w:rPr>
          <w:rFonts w:ascii="Arial" w:hAnsi="Arial"/>
          <w:noProof/>
          <w:sz w:val="20"/>
        </w:rPr>
        <w:t>of complaints on which the Commission took a decision in 2017. The fourth column shows the number of complaints open at the end of 2017 (calculated by taking the first figure, adding the second and subtracting the third).</w:t>
      </w:r>
    </w:p>
    <w:p w:rsidR="00E201F7" w:rsidRDefault="00E24EFF">
      <w:pPr>
        <w:rPr>
          <w:rFonts w:ascii="Arial" w:hAnsi="Arial"/>
          <w:b/>
          <w:noProof/>
          <w:color w:val="002060"/>
          <w:sz w:val="20"/>
        </w:rPr>
      </w:pPr>
      <w:r>
        <w:rPr>
          <w:rFonts w:ascii="Arial" w:hAnsi="Arial"/>
          <w:b/>
          <w:noProof/>
          <w:color w:val="002060"/>
          <w:sz w:val="20"/>
        </w:rPr>
        <w:t>Third chart: New complaints regist</w:t>
      </w:r>
      <w:r>
        <w:rPr>
          <w:rFonts w:ascii="Arial" w:hAnsi="Arial"/>
          <w:b/>
          <w:noProof/>
          <w:color w:val="002060"/>
          <w:sz w:val="20"/>
        </w:rPr>
        <w:t>ered in 2017: main policy sectors</w:t>
      </w:r>
    </w:p>
    <w:p w:rsidR="00E201F7" w:rsidRDefault="00E24EFF">
      <w:pPr>
        <w:rPr>
          <w:rFonts w:ascii="Arial" w:hAnsi="Arial"/>
          <w:noProof/>
          <w:sz w:val="20"/>
        </w:rPr>
      </w:pPr>
      <w:r>
        <w:rPr>
          <w:rFonts w:ascii="Arial" w:hAnsi="Arial"/>
          <w:noProof/>
          <w:sz w:val="20"/>
        </w:rPr>
        <w:t>The number of registered complaints for the current reporting year is broken down by policy sector. In general, this breakdown shows the three policy sectors in which the most complaints were received in 2017. Four (or mor</w:t>
      </w:r>
      <w:r>
        <w:rPr>
          <w:rFonts w:ascii="Arial" w:hAnsi="Arial"/>
          <w:noProof/>
          <w:sz w:val="20"/>
        </w:rPr>
        <w:t>e) policy sectors are mentioned if two (or more) policy sectors attracted the third highest number of complaints. The number of sectors covered varies according to the breadth of each policy area.</w:t>
      </w:r>
    </w:p>
    <w:p w:rsidR="00E201F7" w:rsidRDefault="00E24EFF">
      <w:pPr>
        <w:keepNext/>
        <w:keepLines/>
        <w:numPr>
          <w:ilvl w:val="1"/>
          <w:numId w:val="63"/>
        </w:numPr>
        <w:outlineLvl w:val="2"/>
        <w:rPr>
          <w:rFonts w:ascii="Arial" w:eastAsia="MS Gothic" w:hAnsi="Arial"/>
          <w:noProof/>
          <w:color w:val="006FB4"/>
          <w:kern w:val="20"/>
          <w:sz w:val="20"/>
          <w:lang w:eastAsia="zh-CN"/>
        </w:rPr>
      </w:pPr>
      <w:r>
        <w:rPr>
          <w:rFonts w:ascii="Arial" w:eastAsia="MS Gothic" w:hAnsi="Arial"/>
          <w:noProof/>
          <w:color w:val="006FB4"/>
          <w:kern w:val="20"/>
          <w:sz w:val="20"/>
          <w:lang w:eastAsia="zh-CN"/>
        </w:rPr>
        <w:t>EU PILOT</w:t>
      </w:r>
    </w:p>
    <w:p w:rsidR="00E201F7" w:rsidRDefault="00E24EFF">
      <w:pPr>
        <w:rPr>
          <w:rFonts w:ascii="Arial" w:hAnsi="Arial"/>
          <w:b/>
          <w:noProof/>
          <w:color w:val="002060"/>
          <w:sz w:val="20"/>
        </w:rPr>
      </w:pPr>
      <w:r>
        <w:rPr>
          <w:rFonts w:ascii="Arial" w:hAnsi="Arial"/>
          <w:b/>
          <w:noProof/>
          <w:color w:val="002060"/>
          <w:sz w:val="20"/>
        </w:rPr>
        <w:t>First chart: New EU Pilot files (2013-2017)</w:t>
      </w:r>
    </w:p>
    <w:p w:rsidR="00E201F7" w:rsidRDefault="00E24EFF">
      <w:pPr>
        <w:rPr>
          <w:rFonts w:ascii="Arial" w:hAnsi="Arial"/>
          <w:noProof/>
          <w:sz w:val="20"/>
        </w:rPr>
      </w:pPr>
      <w:r>
        <w:rPr>
          <w:rFonts w:ascii="Arial" w:hAnsi="Arial"/>
          <w:noProof/>
          <w:sz w:val="20"/>
        </w:rPr>
        <w:t>This s</w:t>
      </w:r>
      <w:r>
        <w:rPr>
          <w:rFonts w:ascii="Arial" w:hAnsi="Arial"/>
          <w:noProof/>
          <w:sz w:val="20"/>
        </w:rPr>
        <w:t>hows the number of EU Pilot files the Commission opened in the given policy area in 2013-2017.</w:t>
      </w:r>
    </w:p>
    <w:p w:rsidR="00E201F7" w:rsidRDefault="00E24EFF">
      <w:pPr>
        <w:rPr>
          <w:rFonts w:ascii="Arial" w:hAnsi="Arial"/>
          <w:b/>
          <w:noProof/>
          <w:color w:val="002060"/>
          <w:sz w:val="20"/>
        </w:rPr>
      </w:pPr>
      <w:r>
        <w:rPr>
          <w:rFonts w:ascii="Arial" w:hAnsi="Arial"/>
          <w:b/>
          <w:noProof/>
          <w:color w:val="002060"/>
          <w:sz w:val="20"/>
        </w:rPr>
        <w:t>Second chart: New EU Pilot files opened in 2017: main policy sectors</w:t>
      </w:r>
    </w:p>
    <w:p w:rsidR="00E201F7" w:rsidRDefault="00E24EFF">
      <w:pPr>
        <w:rPr>
          <w:rFonts w:ascii="Arial" w:hAnsi="Arial"/>
          <w:noProof/>
          <w:sz w:val="20"/>
        </w:rPr>
      </w:pPr>
      <w:r>
        <w:rPr>
          <w:rFonts w:ascii="Arial" w:hAnsi="Arial"/>
          <w:noProof/>
          <w:sz w:val="20"/>
        </w:rPr>
        <w:t>The number of new EU Pilot files opened in the current reporting year is broken down by poli</w:t>
      </w:r>
      <w:r>
        <w:rPr>
          <w:rFonts w:ascii="Arial" w:hAnsi="Arial"/>
          <w:noProof/>
          <w:sz w:val="20"/>
        </w:rPr>
        <w:t>cy sector. This breakdown shows the three policy sectors in which the most EU Pilot files were opened in 2017. Four (or more) policy sectors are included if two (or more) policy sectors tied for the third highest number of new EU Pilot files.</w:t>
      </w:r>
    </w:p>
    <w:p w:rsidR="00E201F7" w:rsidRDefault="00E24EFF">
      <w:pPr>
        <w:spacing w:after="60"/>
        <w:jc w:val="left"/>
        <w:outlineLvl w:val="1"/>
        <w:rPr>
          <w:rFonts w:ascii="Arial" w:hAnsi="Arial"/>
          <w:b/>
          <w:noProof/>
          <w:color w:val="002060"/>
          <w:sz w:val="20"/>
        </w:rPr>
      </w:pPr>
      <w:r>
        <w:rPr>
          <w:rFonts w:ascii="Arial" w:hAnsi="Arial"/>
          <w:b/>
          <w:noProof/>
          <w:color w:val="002060"/>
          <w:sz w:val="20"/>
        </w:rPr>
        <w:t xml:space="preserve">Third chart: </w:t>
      </w:r>
      <w:r>
        <w:rPr>
          <w:rFonts w:ascii="Arial" w:hAnsi="Arial"/>
          <w:b/>
          <w:noProof/>
          <w:color w:val="002060"/>
          <w:sz w:val="20"/>
        </w:rPr>
        <w:t>EU Pilot files: resolution rate for policies in 2013-2017</w:t>
      </w:r>
    </w:p>
    <w:p w:rsidR="00E201F7" w:rsidRDefault="00E24EFF">
      <w:pPr>
        <w:rPr>
          <w:rFonts w:ascii="Arial" w:hAnsi="Arial"/>
          <w:noProof/>
          <w:sz w:val="20"/>
        </w:rPr>
      </w:pPr>
      <w:r>
        <w:rPr>
          <w:rFonts w:ascii="Arial" w:hAnsi="Arial"/>
          <w:noProof/>
          <w:sz w:val="20"/>
        </w:rPr>
        <w:t>The resolution rate in the given policy field is the percentage of EU Pilot files handled in that field for which the Commission accepted the Member States’ responses. The chart shows the resolution</w:t>
      </w:r>
      <w:r>
        <w:rPr>
          <w:rFonts w:ascii="Arial" w:hAnsi="Arial"/>
          <w:noProof/>
          <w:sz w:val="20"/>
        </w:rPr>
        <w:t xml:space="preserve"> rate for the last 5 years.</w:t>
      </w:r>
    </w:p>
    <w:p w:rsidR="00E201F7" w:rsidRDefault="00E201F7">
      <w:pPr>
        <w:rPr>
          <w:rFonts w:ascii="Arial" w:hAnsi="Arial"/>
          <w:noProof/>
          <w:sz w:val="20"/>
        </w:rPr>
        <w:sectPr w:rsidR="00E201F7">
          <w:headerReference w:type="even" r:id="rId194"/>
          <w:headerReference w:type="default" r:id="rId195"/>
          <w:footerReference w:type="even" r:id="rId196"/>
          <w:footerReference w:type="default" r:id="rId197"/>
          <w:headerReference w:type="first" r:id="rId198"/>
          <w:footerReference w:type="first" r:id="rId199"/>
          <w:footnotePr>
            <w:numRestart w:val="eachSect"/>
          </w:footnotePr>
          <w:pgSz w:w="11907" w:h="16839" w:code="9"/>
          <w:pgMar w:top="1560" w:right="1418" w:bottom="737" w:left="1418" w:header="284" w:footer="352" w:gutter="0"/>
          <w:cols w:space="720"/>
          <w:titlePg/>
          <w:docGrid w:linePitch="326"/>
        </w:sectPr>
      </w:pPr>
    </w:p>
    <w:p w:rsidR="00E201F7" w:rsidRDefault="00E24EFF">
      <w:pPr>
        <w:keepNext/>
        <w:keepLines/>
        <w:numPr>
          <w:ilvl w:val="1"/>
          <w:numId w:val="63"/>
        </w:numPr>
        <w:outlineLvl w:val="2"/>
        <w:rPr>
          <w:rFonts w:ascii="Arial" w:eastAsia="MS Gothic" w:hAnsi="Arial"/>
          <w:noProof/>
          <w:color w:val="006FB4"/>
          <w:kern w:val="20"/>
          <w:sz w:val="20"/>
          <w:lang w:eastAsia="zh-CN"/>
        </w:rPr>
      </w:pPr>
      <w:r>
        <w:rPr>
          <w:rFonts w:ascii="Arial" w:eastAsia="MS Gothic" w:hAnsi="Arial"/>
          <w:noProof/>
          <w:color w:val="006FB4"/>
          <w:kern w:val="20"/>
          <w:sz w:val="20"/>
          <w:lang w:eastAsia="zh-CN"/>
        </w:rPr>
        <w:t>OWN-INITIATIVE CASES</w:t>
      </w:r>
    </w:p>
    <w:p w:rsidR="00E201F7" w:rsidRDefault="00E24EFF">
      <w:pPr>
        <w:rPr>
          <w:rFonts w:ascii="Arial" w:hAnsi="Arial"/>
          <w:b/>
          <w:noProof/>
          <w:color w:val="002060"/>
          <w:sz w:val="20"/>
        </w:rPr>
      </w:pPr>
      <w:r>
        <w:rPr>
          <w:rFonts w:ascii="Arial" w:hAnsi="Arial"/>
          <w:b/>
          <w:noProof/>
          <w:color w:val="002060"/>
          <w:sz w:val="20"/>
        </w:rPr>
        <w:t>New own-initiative cases</w:t>
      </w:r>
    </w:p>
    <w:p w:rsidR="00E201F7" w:rsidRDefault="00E24EFF">
      <w:pPr>
        <w:rPr>
          <w:rFonts w:ascii="Arial" w:hAnsi="Arial"/>
          <w:noProof/>
          <w:sz w:val="20"/>
        </w:rPr>
      </w:pPr>
      <w:r>
        <w:rPr>
          <w:rFonts w:ascii="Arial" w:hAnsi="Arial"/>
          <w:noProof/>
          <w:sz w:val="20"/>
        </w:rPr>
        <w:t>This section contains a list of the most important infringement cases the Commission launched in the given policy area in 2017. The list is not exhaustive.</w:t>
      </w:r>
    </w:p>
    <w:p w:rsidR="00E201F7" w:rsidRDefault="00E24EFF">
      <w:pPr>
        <w:keepNext/>
        <w:keepLines/>
        <w:numPr>
          <w:ilvl w:val="1"/>
          <w:numId w:val="63"/>
        </w:numPr>
        <w:outlineLvl w:val="2"/>
        <w:rPr>
          <w:rFonts w:ascii="Arial" w:eastAsia="MS Gothic" w:hAnsi="Arial"/>
          <w:noProof/>
          <w:color w:val="006FB4"/>
          <w:kern w:val="20"/>
          <w:sz w:val="20"/>
          <w:lang w:eastAsia="zh-CN"/>
        </w:rPr>
      </w:pPr>
      <w:r>
        <w:rPr>
          <w:rFonts w:ascii="Arial" w:eastAsia="MS Gothic" w:hAnsi="Arial"/>
          <w:noProof/>
          <w:color w:val="006FB4"/>
          <w:kern w:val="20"/>
          <w:sz w:val="20"/>
          <w:lang w:eastAsia="zh-CN"/>
        </w:rPr>
        <w:t>INFRINGEMENT CASES</w:t>
      </w:r>
    </w:p>
    <w:p w:rsidR="00E201F7" w:rsidRDefault="00E24EFF">
      <w:pPr>
        <w:rPr>
          <w:rFonts w:ascii="Arial" w:hAnsi="Arial"/>
          <w:b/>
          <w:noProof/>
          <w:color w:val="002060"/>
          <w:sz w:val="20"/>
        </w:rPr>
      </w:pPr>
      <w:r>
        <w:rPr>
          <w:rFonts w:ascii="Arial" w:hAnsi="Arial"/>
          <w:b/>
          <w:noProof/>
          <w:color w:val="002060"/>
          <w:sz w:val="20"/>
        </w:rPr>
        <w:t>First chart: Infringement cases open on 31 December (2013-2017)</w:t>
      </w:r>
    </w:p>
    <w:p w:rsidR="00E201F7" w:rsidRDefault="00E24EFF">
      <w:pPr>
        <w:rPr>
          <w:rFonts w:ascii="Arial" w:hAnsi="Arial"/>
          <w:noProof/>
          <w:sz w:val="20"/>
        </w:rPr>
      </w:pPr>
      <w:r>
        <w:rPr>
          <w:rFonts w:ascii="Arial" w:hAnsi="Arial"/>
          <w:noProof/>
          <w:sz w:val="20"/>
        </w:rPr>
        <w:t xml:space="preserve">These figures include all procedures the Commission initiated in the policy area by sending a letter of formal notice under Article 258 TFEU. It covers letters sent in 2017 </w:t>
      </w:r>
      <w:r>
        <w:rPr>
          <w:rFonts w:ascii="Arial" w:hAnsi="Arial"/>
          <w:noProof/>
          <w:sz w:val="20"/>
        </w:rPr>
        <w:t>or before, irrespective of the stages the cases have reached. Only cases which have not yet been closed by a formal decision are shown.</w:t>
      </w:r>
    </w:p>
    <w:p w:rsidR="00E201F7" w:rsidRDefault="00E24EFF">
      <w:pPr>
        <w:rPr>
          <w:rFonts w:ascii="Arial" w:hAnsi="Arial"/>
          <w:noProof/>
          <w:sz w:val="20"/>
        </w:rPr>
      </w:pPr>
      <w:r>
        <w:rPr>
          <w:rFonts w:ascii="Arial" w:hAnsi="Arial"/>
          <w:noProof/>
          <w:sz w:val="20"/>
        </w:rPr>
        <w:t>Accordingly, this number includes all cases that, on 31 December of the years 2013 to 2017:</w:t>
      </w:r>
    </w:p>
    <w:p w:rsidR="00E201F7" w:rsidRDefault="00E24EFF">
      <w:pPr>
        <w:numPr>
          <w:ilvl w:val="0"/>
          <w:numId w:val="62"/>
        </w:numPr>
        <w:contextualSpacing/>
        <w:rPr>
          <w:rFonts w:ascii="Arial" w:eastAsia="Calibri" w:hAnsi="Arial"/>
          <w:noProof/>
          <w:sz w:val="20"/>
        </w:rPr>
      </w:pPr>
      <w:r>
        <w:rPr>
          <w:rFonts w:ascii="Arial" w:eastAsia="Calibri" w:hAnsi="Arial"/>
          <w:noProof/>
          <w:sz w:val="20"/>
        </w:rPr>
        <w:t>were in the pre-litigation p</w:t>
      </w:r>
      <w:r>
        <w:rPr>
          <w:rFonts w:ascii="Arial" w:eastAsia="Calibri" w:hAnsi="Arial"/>
          <w:noProof/>
          <w:sz w:val="20"/>
        </w:rPr>
        <w:t>hase (letter of formal notice, reasoned opinion or decision on referral to the Court under Article 258 TFEU);</w:t>
      </w:r>
    </w:p>
    <w:p w:rsidR="00E201F7" w:rsidRDefault="00E24EFF">
      <w:pPr>
        <w:numPr>
          <w:ilvl w:val="0"/>
          <w:numId w:val="62"/>
        </w:numPr>
        <w:contextualSpacing/>
        <w:rPr>
          <w:rFonts w:ascii="Arial" w:eastAsia="Calibri" w:hAnsi="Arial"/>
          <w:noProof/>
          <w:sz w:val="20"/>
        </w:rPr>
      </w:pPr>
      <w:r>
        <w:rPr>
          <w:rFonts w:ascii="Arial" w:eastAsia="Calibri" w:hAnsi="Arial"/>
          <w:noProof/>
          <w:sz w:val="20"/>
        </w:rPr>
        <w:t>were pending before the Court under Article 258 TFEU and Article 260(3) TFEU;</w:t>
      </w:r>
    </w:p>
    <w:p w:rsidR="00E201F7" w:rsidRDefault="00E24EFF">
      <w:pPr>
        <w:numPr>
          <w:ilvl w:val="0"/>
          <w:numId w:val="62"/>
        </w:numPr>
        <w:contextualSpacing/>
        <w:rPr>
          <w:rFonts w:ascii="Arial" w:eastAsia="Calibri" w:hAnsi="Arial"/>
          <w:noProof/>
          <w:sz w:val="20"/>
        </w:rPr>
      </w:pPr>
      <w:r>
        <w:rPr>
          <w:rFonts w:ascii="Arial" w:eastAsia="Calibri" w:hAnsi="Arial"/>
          <w:noProof/>
          <w:sz w:val="20"/>
        </w:rPr>
        <w:t>the Court had ruled on but where the Commission could not yet confir</w:t>
      </w:r>
      <w:r>
        <w:rPr>
          <w:rFonts w:ascii="Arial" w:eastAsia="Calibri" w:hAnsi="Arial"/>
          <w:noProof/>
          <w:sz w:val="20"/>
        </w:rPr>
        <w:t xml:space="preserve">m that the </w:t>
      </w:r>
      <w:smartTag w:uri="urn:schemas-microsoft-com:office:smarttags" w:element="place">
        <w:smartTag w:uri="urn:schemas-microsoft-com:office:smarttags" w:element="PlaceName">
          <w:r>
            <w:rPr>
              <w:rFonts w:ascii="Arial" w:eastAsia="Calibri" w:hAnsi="Arial"/>
              <w:noProof/>
              <w:sz w:val="20"/>
            </w:rPr>
            <w:t>Member</w:t>
          </w:r>
        </w:smartTag>
        <w:r>
          <w:rPr>
            <w:rFonts w:ascii="Arial" w:eastAsia="Calibri" w:hAnsi="Arial"/>
            <w:noProof/>
            <w:sz w:val="20"/>
          </w:rPr>
          <w:t xml:space="preserve"> </w:t>
        </w:r>
        <w:smartTag w:uri="urn:schemas-microsoft-com:office:smarttags" w:element="PlaceType">
          <w:r>
            <w:rPr>
              <w:rFonts w:ascii="Arial" w:eastAsia="Calibri" w:hAnsi="Arial"/>
              <w:noProof/>
              <w:sz w:val="20"/>
            </w:rPr>
            <w:t>State</w:t>
          </w:r>
        </w:smartTag>
      </w:smartTag>
      <w:r>
        <w:rPr>
          <w:rFonts w:ascii="Arial" w:eastAsia="Calibri" w:hAnsi="Arial"/>
          <w:noProof/>
          <w:sz w:val="20"/>
        </w:rPr>
        <w:t xml:space="preserve"> had implemented the judgment correctly:</w:t>
      </w:r>
    </w:p>
    <w:p w:rsidR="00E201F7" w:rsidRDefault="00E24EFF">
      <w:pPr>
        <w:numPr>
          <w:ilvl w:val="0"/>
          <w:numId w:val="62"/>
        </w:numPr>
        <w:contextualSpacing/>
        <w:rPr>
          <w:rFonts w:ascii="Arial" w:eastAsia="Calibri" w:hAnsi="Arial"/>
          <w:noProof/>
          <w:sz w:val="20"/>
        </w:rPr>
      </w:pPr>
      <w:r>
        <w:rPr>
          <w:rFonts w:ascii="Arial" w:eastAsia="Calibri" w:hAnsi="Arial"/>
          <w:noProof/>
          <w:sz w:val="20"/>
        </w:rPr>
        <w:t>were in the second pre-litigation procedure (letter of formal notice or referral decision under Article 260(2) TFEU);</w:t>
      </w:r>
    </w:p>
    <w:p w:rsidR="00E201F7" w:rsidRDefault="00E24EFF">
      <w:pPr>
        <w:numPr>
          <w:ilvl w:val="0"/>
          <w:numId w:val="62"/>
        </w:numPr>
        <w:contextualSpacing/>
        <w:rPr>
          <w:rFonts w:ascii="Arial" w:eastAsia="Calibri" w:hAnsi="Arial"/>
          <w:noProof/>
          <w:sz w:val="20"/>
        </w:rPr>
      </w:pPr>
      <w:r>
        <w:rPr>
          <w:rFonts w:ascii="Arial" w:eastAsia="Calibri" w:hAnsi="Arial"/>
          <w:noProof/>
          <w:sz w:val="20"/>
        </w:rPr>
        <w:t>were pending before the Court due to a second referral; and</w:t>
      </w:r>
    </w:p>
    <w:p w:rsidR="00E201F7" w:rsidRDefault="00E24EFF">
      <w:pPr>
        <w:numPr>
          <w:ilvl w:val="0"/>
          <w:numId w:val="62"/>
        </w:numPr>
        <w:contextualSpacing/>
        <w:rPr>
          <w:rFonts w:ascii="Arial" w:eastAsia="Calibri" w:hAnsi="Arial"/>
          <w:noProof/>
          <w:sz w:val="20"/>
        </w:rPr>
      </w:pPr>
      <w:r>
        <w:rPr>
          <w:rFonts w:ascii="Arial" w:eastAsia="Calibri" w:hAnsi="Arial"/>
          <w:noProof/>
          <w:sz w:val="20"/>
        </w:rPr>
        <w:t xml:space="preserve">the Court had </w:t>
      </w:r>
      <w:r>
        <w:rPr>
          <w:rFonts w:ascii="Arial" w:eastAsia="Calibri" w:hAnsi="Arial"/>
          <w:noProof/>
          <w:sz w:val="20"/>
        </w:rPr>
        <w:t xml:space="preserve">ruled on for the second time but where the Commission could not yet confirm that the </w:t>
      </w:r>
      <w:smartTag w:uri="urn:schemas-microsoft-com:office:smarttags" w:element="place">
        <w:smartTag w:uri="urn:schemas-microsoft-com:office:smarttags" w:element="PlaceName">
          <w:r>
            <w:rPr>
              <w:rFonts w:ascii="Arial" w:eastAsia="Calibri" w:hAnsi="Arial"/>
              <w:noProof/>
              <w:sz w:val="20"/>
            </w:rPr>
            <w:t>Member</w:t>
          </w:r>
        </w:smartTag>
        <w:r>
          <w:rPr>
            <w:rFonts w:ascii="Arial" w:eastAsia="Calibri" w:hAnsi="Arial"/>
            <w:noProof/>
            <w:sz w:val="20"/>
          </w:rPr>
          <w:t xml:space="preserve"> </w:t>
        </w:r>
        <w:smartTag w:uri="urn:schemas-microsoft-com:office:smarttags" w:element="PlaceType">
          <w:r>
            <w:rPr>
              <w:rFonts w:ascii="Arial" w:eastAsia="Calibri" w:hAnsi="Arial"/>
              <w:noProof/>
              <w:sz w:val="20"/>
            </w:rPr>
            <w:t>State</w:t>
          </w:r>
        </w:smartTag>
      </w:smartTag>
      <w:r>
        <w:rPr>
          <w:rFonts w:ascii="Arial" w:eastAsia="Calibri" w:hAnsi="Arial"/>
          <w:noProof/>
          <w:sz w:val="20"/>
        </w:rPr>
        <w:t xml:space="preserve"> had implemented the second judgment correctly.</w:t>
      </w:r>
    </w:p>
    <w:p w:rsidR="00E201F7" w:rsidRDefault="00E24EFF">
      <w:pPr>
        <w:rPr>
          <w:rFonts w:ascii="Arial" w:hAnsi="Arial"/>
          <w:noProof/>
          <w:sz w:val="20"/>
        </w:rPr>
      </w:pPr>
      <w:r>
        <w:rPr>
          <w:rFonts w:ascii="Arial" w:hAnsi="Arial"/>
          <w:noProof/>
          <w:sz w:val="20"/>
        </w:rPr>
        <w:t xml:space="preserve">This figure does </w:t>
      </w:r>
      <w:r>
        <w:rPr>
          <w:rFonts w:ascii="Arial" w:hAnsi="Arial"/>
          <w:i/>
          <w:noProof/>
          <w:sz w:val="20"/>
        </w:rPr>
        <w:t>not</w:t>
      </w:r>
      <w:r>
        <w:rPr>
          <w:rFonts w:ascii="Arial" w:hAnsi="Arial"/>
          <w:noProof/>
          <w:sz w:val="20"/>
        </w:rPr>
        <w:t xml:space="preserve"> include, for example, open EU Pilot files in the policy area. It also does not include EU Pilot files for which the Commission had already rejected a </w:t>
      </w:r>
      <w:smartTag w:uri="urn:schemas-microsoft-com:office:smarttags" w:element="place">
        <w:smartTag w:uri="urn:schemas-microsoft-com:office:smarttags" w:element="PlaceName">
          <w:r>
            <w:rPr>
              <w:rFonts w:ascii="Arial" w:hAnsi="Arial"/>
              <w:noProof/>
              <w:sz w:val="20"/>
            </w:rPr>
            <w:t>Member</w:t>
          </w:r>
        </w:smartTag>
        <w:r>
          <w:rPr>
            <w:rFonts w:ascii="Arial" w:hAnsi="Arial"/>
            <w:noProof/>
            <w:sz w:val="20"/>
          </w:rPr>
          <w:t xml:space="preserve"> </w:t>
        </w:r>
        <w:smartTag w:uri="urn:schemas-microsoft-com:office:smarttags" w:element="PlaceType">
          <w:r>
            <w:rPr>
              <w:rFonts w:ascii="Arial" w:hAnsi="Arial"/>
              <w:noProof/>
              <w:sz w:val="20"/>
            </w:rPr>
            <w:t>State</w:t>
          </w:r>
        </w:smartTag>
      </w:smartTag>
      <w:r>
        <w:rPr>
          <w:rFonts w:ascii="Arial" w:hAnsi="Arial"/>
          <w:noProof/>
          <w:sz w:val="20"/>
        </w:rPr>
        <w:t>’s response but had not yet sent a letter of formal notice under Article 258 TFEU.</w:t>
      </w:r>
    </w:p>
    <w:p w:rsidR="00E201F7" w:rsidRDefault="00E24EFF">
      <w:pPr>
        <w:rPr>
          <w:rFonts w:ascii="Arial" w:hAnsi="Arial"/>
          <w:b/>
          <w:noProof/>
          <w:color w:val="002060"/>
          <w:sz w:val="20"/>
        </w:rPr>
      </w:pPr>
      <w:r>
        <w:rPr>
          <w:rFonts w:ascii="Arial" w:hAnsi="Arial"/>
          <w:b/>
          <w:noProof/>
          <w:color w:val="002060"/>
          <w:sz w:val="20"/>
        </w:rPr>
        <w:t>Second cha</w:t>
      </w:r>
      <w:r>
        <w:rPr>
          <w:rFonts w:ascii="Arial" w:hAnsi="Arial"/>
          <w:b/>
          <w:noProof/>
          <w:color w:val="002060"/>
          <w:sz w:val="20"/>
        </w:rPr>
        <w:t>rt: Infringement cases open on 31 December 2017: main policy sectors</w:t>
      </w:r>
    </w:p>
    <w:p w:rsidR="00E201F7" w:rsidRDefault="00E24EFF">
      <w:pPr>
        <w:rPr>
          <w:rFonts w:ascii="Arial" w:hAnsi="Arial"/>
          <w:noProof/>
          <w:sz w:val="20"/>
        </w:rPr>
      </w:pPr>
      <w:r>
        <w:rPr>
          <w:rFonts w:ascii="Arial" w:hAnsi="Arial"/>
          <w:noProof/>
          <w:sz w:val="20"/>
        </w:rPr>
        <w:t>This shows, for the given policy area, the sectors in which the most infringement cases were still open on 31 December 2017. The number of sectors shown varies according to the breadth of</w:t>
      </w:r>
      <w:r>
        <w:rPr>
          <w:rFonts w:ascii="Arial" w:hAnsi="Arial"/>
          <w:noProof/>
          <w:sz w:val="20"/>
        </w:rPr>
        <w:t xml:space="preserve"> each policy area.</w:t>
      </w:r>
    </w:p>
    <w:p w:rsidR="00E201F7" w:rsidRDefault="00E24EFF">
      <w:pPr>
        <w:rPr>
          <w:rFonts w:ascii="Arial" w:hAnsi="Arial"/>
          <w:b/>
          <w:noProof/>
          <w:color w:val="002060"/>
          <w:sz w:val="20"/>
        </w:rPr>
      </w:pPr>
      <w:r>
        <w:rPr>
          <w:rFonts w:ascii="Arial" w:hAnsi="Arial"/>
          <w:b/>
          <w:noProof/>
          <w:color w:val="002060"/>
          <w:sz w:val="20"/>
        </w:rPr>
        <w:t>Third chart: New infringement cases opened in 2017: main policy sectors</w:t>
      </w:r>
    </w:p>
    <w:p w:rsidR="00E201F7" w:rsidRDefault="00E24EFF">
      <w:pPr>
        <w:rPr>
          <w:rFonts w:ascii="Arial" w:hAnsi="Arial"/>
          <w:noProof/>
          <w:sz w:val="20"/>
        </w:rPr>
      </w:pPr>
      <w:r>
        <w:rPr>
          <w:rFonts w:ascii="Arial" w:hAnsi="Arial"/>
          <w:noProof/>
          <w:sz w:val="20"/>
        </w:rPr>
        <w:t>This shows, for the given policy area, the sectors in which the most infringement cases were launched in 2017.</w:t>
      </w:r>
    </w:p>
    <w:p w:rsidR="00E201F7" w:rsidRDefault="00E24EFF">
      <w:pPr>
        <w:rPr>
          <w:rFonts w:ascii="Arial" w:hAnsi="Arial"/>
          <w:b/>
          <w:noProof/>
          <w:color w:val="002060"/>
          <w:sz w:val="20"/>
        </w:rPr>
      </w:pPr>
      <w:r>
        <w:rPr>
          <w:rFonts w:ascii="Arial" w:hAnsi="Arial"/>
          <w:b/>
          <w:noProof/>
          <w:color w:val="002060"/>
          <w:sz w:val="20"/>
        </w:rPr>
        <w:t>Key infringement cases and referrals to the Court</w:t>
      </w:r>
    </w:p>
    <w:p w:rsidR="00E201F7" w:rsidRDefault="00E24EFF">
      <w:pPr>
        <w:rPr>
          <w:rFonts w:ascii="Arial" w:hAnsi="Arial"/>
          <w:noProof/>
          <w:sz w:val="20"/>
        </w:rPr>
      </w:pPr>
      <w:r>
        <w:rPr>
          <w:rFonts w:ascii="Arial" w:hAnsi="Arial"/>
          <w:noProof/>
          <w:sz w:val="20"/>
        </w:rPr>
        <w:t>This</w:t>
      </w:r>
      <w:r>
        <w:rPr>
          <w:rFonts w:ascii="Arial" w:hAnsi="Arial"/>
          <w:noProof/>
          <w:sz w:val="20"/>
        </w:rPr>
        <w:t xml:space="preserve"> section has three parts:</w:t>
      </w:r>
    </w:p>
    <w:p w:rsidR="00E201F7" w:rsidRDefault="00E24EFF">
      <w:pPr>
        <w:rPr>
          <w:rFonts w:ascii="Arial" w:hAnsi="Arial"/>
          <w:noProof/>
          <w:sz w:val="20"/>
        </w:rPr>
      </w:pPr>
      <w:r>
        <w:rPr>
          <w:rFonts w:ascii="Arial" w:hAnsi="Arial"/>
          <w:noProof/>
          <w:sz w:val="20"/>
        </w:rPr>
        <w:t>Part a) shows the number of new infringement cases launched in the policy area in 2017 and lists the most important new cases under Article 258 TFEU.</w:t>
      </w:r>
    </w:p>
    <w:p w:rsidR="00E201F7" w:rsidRDefault="00E24EFF">
      <w:pPr>
        <w:rPr>
          <w:rFonts w:ascii="Arial" w:hAnsi="Arial"/>
          <w:noProof/>
          <w:sz w:val="20"/>
        </w:rPr>
      </w:pPr>
      <w:r>
        <w:rPr>
          <w:rFonts w:ascii="Arial" w:hAnsi="Arial"/>
          <w:noProof/>
          <w:sz w:val="20"/>
        </w:rPr>
        <w:t xml:space="preserve">Part b) lists the cases which the Commission referred to the Court </w:t>
      </w:r>
      <w:r>
        <w:rPr>
          <w:rFonts w:ascii="Arial" w:hAnsi="Arial"/>
          <w:i/>
          <w:noProof/>
          <w:sz w:val="20"/>
        </w:rPr>
        <w:t>solely</w:t>
      </w:r>
      <w:r>
        <w:rPr>
          <w:rFonts w:ascii="Arial" w:hAnsi="Arial"/>
          <w:noProof/>
          <w:sz w:val="20"/>
        </w:rPr>
        <w:t xml:space="preserve"> under </w:t>
      </w:r>
      <w:r>
        <w:rPr>
          <w:rFonts w:ascii="Arial" w:hAnsi="Arial"/>
          <w:noProof/>
          <w:sz w:val="20"/>
        </w:rPr>
        <w:t xml:space="preserve">Article 258 TFEU by 31 December 2017. The cases submitted to the Court under Article 258 </w:t>
      </w:r>
      <w:r>
        <w:rPr>
          <w:rFonts w:ascii="Arial" w:hAnsi="Arial"/>
          <w:i/>
          <w:noProof/>
          <w:sz w:val="20"/>
        </w:rPr>
        <w:t>and</w:t>
      </w:r>
      <w:r>
        <w:rPr>
          <w:rFonts w:ascii="Arial" w:hAnsi="Arial"/>
          <w:noProof/>
          <w:sz w:val="20"/>
        </w:rPr>
        <w:t xml:space="preserve"> 260(3) TFEU are discussed in the ‘transposition of directives’ section (see below).</w:t>
      </w:r>
    </w:p>
    <w:p w:rsidR="00E201F7" w:rsidRDefault="00E24EFF">
      <w:pPr>
        <w:rPr>
          <w:rFonts w:ascii="Arial" w:hAnsi="Arial"/>
          <w:noProof/>
          <w:sz w:val="20"/>
        </w:rPr>
      </w:pPr>
      <w:r>
        <w:rPr>
          <w:rFonts w:ascii="Arial" w:hAnsi="Arial"/>
          <w:noProof/>
          <w:sz w:val="20"/>
        </w:rPr>
        <w:t xml:space="preserve">Part c) contains the cases which the Commission referred to the Court under </w:t>
      </w:r>
      <w:r>
        <w:rPr>
          <w:rFonts w:ascii="Arial" w:hAnsi="Arial"/>
          <w:noProof/>
          <w:sz w:val="20"/>
        </w:rPr>
        <w:t>Article 260(2) TFEU by 31 December 2017.</w:t>
      </w:r>
    </w:p>
    <w:p w:rsidR="00E201F7" w:rsidRDefault="00E24EFF">
      <w:pPr>
        <w:keepNext/>
        <w:keepLines/>
        <w:numPr>
          <w:ilvl w:val="1"/>
          <w:numId w:val="63"/>
        </w:numPr>
        <w:outlineLvl w:val="2"/>
        <w:rPr>
          <w:rFonts w:ascii="Arial" w:eastAsia="MS Gothic" w:hAnsi="Arial"/>
          <w:noProof/>
          <w:color w:val="006FB4"/>
          <w:kern w:val="20"/>
          <w:sz w:val="20"/>
          <w:lang w:eastAsia="zh-CN"/>
        </w:rPr>
      </w:pPr>
      <w:r>
        <w:rPr>
          <w:rFonts w:ascii="Arial" w:eastAsia="MS Gothic" w:hAnsi="Arial"/>
          <w:noProof/>
          <w:color w:val="006FB4"/>
          <w:kern w:val="20"/>
          <w:sz w:val="20"/>
          <w:lang w:eastAsia="zh-CN"/>
        </w:rPr>
        <w:t>TRANSPOSITION OF DIRECTIVES</w:t>
      </w:r>
    </w:p>
    <w:p w:rsidR="00E201F7" w:rsidRDefault="00E24EFF">
      <w:pPr>
        <w:rPr>
          <w:rFonts w:ascii="Arial" w:hAnsi="Arial"/>
          <w:b/>
          <w:noProof/>
          <w:color w:val="002060"/>
          <w:sz w:val="20"/>
        </w:rPr>
      </w:pPr>
      <w:r>
        <w:rPr>
          <w:rFonts w:ascii="Arial" w:hAnsi="Arial"/>
          <w:b/>
          <w:noProof/>
          <w:color w:val="002060"/>
          <w:sz w:val="20"/>
        </w:rPr>
        <w:t>First chart: New late transposition infringement cases (2013-2017)</w:t>
      </w:r>
    </w:p>
    <w:p w:rsidR="00E201F7" w:rsidRDefault="00E24EFF">
      <w:pPr>
        <w:rPr>
          <w:rFonts w:ascii="Arial" w:hAnsi="Arial"/>
          <w:noProof/>
          <w:sz w:val="20"/>
        </w:rPr>
      </w:pPr>
      <w:r>
        <w:rPr>
          <w:rFonts w:ascii="Arial" w:hAnsi="Arial"/>
          <w:noProof/>
          <w:sz w:val="20"/>
        </w:rPr>
        <w:t>This shows the number of letters of formal notice sent to Member States under Article 258 TFEU for missing or partial no</w:t>
      </w:r>
      <w:r>
        <w:rPr>
          <w:rFonts w:ascii="Arial" w:hAnsi="Arial"/>
          <w:noProof/>
          <w:sz w:val="20"/>
        </w:rPr>
        <w:t xml:space="preserve">tification of national measures transposing directives in the given policy area. This figure is already included in the total number of new infringement cases initiated in the policy area in 2017, so it should </w:t>
      </w:r>
      <w:r>
        <w:rPr>
          <w:rFonts w:ascii="Arial" w:hAnsi="Arial"/>
          <w:i/>
          <w:noProof/>
          <w:sz w:val="20"/>
        </w:rPr>
        <w:t xml:space="preserve">not </w:t>
      </w:r>
      <w:r>
        <w:rPr>
          <w:rFonts w:ascii="Arial" w:hAnsi="Arial"/>
          <w:noProof/>
          <w:sz w:val="20"/>
        </w:rPr>
        <w:t xml:space="preserve">be added to the figure shown in the first </w:t>
      </w:r>
      <w:r>
        <w:rPr>
          <w:rFonts w:ascii="Arial" w:hAnsi="Arial"/>
          <w:noProof/>
          <w:sz w:val="20"/>
        </w:rPr>
        <w:t>chart of the general statistics section.</w:t>
      </w:r>
    </w:p>
    <w:p w:rsidR="00E201F7" w:rsidRDefault="00E24EFF">
      <w:pPr>
        <w:rPr>
          <w:rFonts w:ascii="Arial" w:hAnsi="Arial"/>
          <w:noProof/>
          <w:sz w:val="20"/>
        </w:rPr>
      </w:pPr>
      <w:r>
        <w:rPr>
          <w:rFonts w:ascii="Arial" w:hAnsi="Arial"/>
          <w:noProof/>
          <w:sz w:val="20"/>
        </w:rPr>
        <w:t>Please note that not all of these new infringement cases for late transposition were necessarily still open on 31 December 2017. For example, if the Commission opened a late transposition infringement procedure in M</w:t>
      </w:r>
      <w:r>
        <w:rPr>
          <w:rFonts w:ascii="Arial" w:hAnsi="Arial"/>
          <w:noProof/>
          <w:sz w:val="20"/>
        </w:rPr>
        <w:t>arch 2017 by sending a letter of formal notice, this would be added to the new infringement cases even if the Commission closed the case in October 2017 as a result of the Member State notifying complete transposition.</w:t>
      </w:r>
    </w:p>
    <w:p w:rsidR="00E201F7" w:rsidRDefault="00E24EFF">
      <w:pPr>
        <w:rPr>
          <w:rFonts w:ascii="Arial" w:hAnsi="Arial"/>
          <w:b/>
          <w:noProof/>
          <w:color w:val="002060"/>
          <w:sz w:val="20"/>
        </w:rPr>
      </w:pPr>
      <w:r>
        <w:rPr>
          <w:rFonts w:ascii="Arial" w:hAnsi="Arial"/>
          <w:b/>
          <w:noProof/>
          <w:color w:val="002060"/>
          <w:sz w:val="20"/>
        </w:rPr>
        <w:t xml:space="preserve">Second chart: New late transposition </w:t>
      </w:r>
      <w:r>
        <w:rPr>
          <w:rFonts w:ascii="Arial" w:hAnsi="Arial"/>
          <w:b/>
          <w:noProof/>
          <w:color w:val="002060"/>
          <w:sz w:val="20"/>
        </w:rPr>
        <w:t>infringement cases opened in 2017: main policy sectors</w:t>
      </w:r>
    </w:p>
    <w:p w:rsidR="00E201F7" w:rsidRDefault="00E24EFF">
      <w:pPr>
        <w:rPr>
          <w:rFonts w:ascii="Arial" w:hAnsi="Arial"/>
          <w:noProof/>
          <w:sz w:val="20"/>
        </w:rPr>
      </w:pPr>
      <w:r>
        <w:rPr>
          <w:rFonts w:ascii="Arial" w:hAnsi="Arial"/>
          <w:noProof/>
          <w:sz w:val="20"/>
        </w:rPr>
        <w:t>This shows the policy sectors in which the most late transposition procedures were launched in 2017.</w:t>
      </w:r>
    </w:p>
    <w:p w:rsidR="00E201F7" w:rsidRDefault="00E24EFF">
      <w:pPr>
        <w:rPr>
          <w:rFonts w:ascii="Arial" w:hAnsi="Arial"/>
          <w:b/>
          <w:noProof/>
          <w:color w:val="002060"/>
          <w:sz w:val="20"/>
        </w:rPr>
      </w:pPr>
      <w:r>
        <w:rPr>
          <w:rFonts w:ascii="Arial" w:hAnsi="Arial"/>
          <w:b/>
          <w:noProof/>
          <w:color w:val="002060"/>
          <w:sz w:val="20"/>
        </w:rPr>
        <w:t>Key infringement cases and referrals to the Court</w:t>
      </w:r>
    </w:p>
    <w:p w:rsidR="00E201F7" w:rsidRDefault="00E24EFF">
      <w:pPr>
        <w:rPr>
          <w:rFonts w:ascii="Arial" w:hAnsi="Arial"/>
          <w:noProof/>
          <w:sz w:val="20"/>
        </w:rPr>
      </w:pPr>
      <w:r>
        <w:rPr>
          <w:rFonts w:ascii="Arial" w:hAnsi="Arial"/>
          <w:noProof/>
          <w:sz w:val="20"/>
        </w:rPr>
        <w:t>This section has two parts:</w:t>
      </w:r>
    </w:p>
    <w:p w:rsidR="00E201F7" w:rsidRDefault="00E24EFF">
      <w:pPr>
        <w:rPr>
          <w:rFonts w:ascii="Arial" w:hAnsi="Arial"/>
          <w:noProof/>
          <w:sz w:val="20"/>
        </w:rPr>
      </w:pPr>
      <w:r>
        <w:rPr>
          <w:rFonts w:ascii="Arial" w:hAnsi="Arial"/>
          <w:noProof/>
          <w:sz w:val="20"/>
        </w:rPr>
        <w:t>Part a) lists, for the</w:t>
      </w:r>
      <w:r>
        <w:rPr>
          <w:rFonts w:ascii="Arial" w:hAnsi="Arial"/>
          <w:noProof/>
          <w:sz w:val="20"/>
        </w:rPr>
        <w:t xml:space="preserve"> given policy area, the most important directive(s) over which the Commission had to launch infringement procedures against a relatively high number of Member States.</w:t>
      </w:r>
    </w:p>
    <w:p w:rsidR="00E201F7" w:rsidRDefault="00E24EFF">
      <w:pPr>
        <w:rPr>
          <w:rFonts w:ascii="Arial" w:hAnsi="Arial"/>
          <w:noProof/>
          <w:sz w:val="20"/>
        </w:rPr>
      </w:pPr>
      <w:r>
        <w:rPr>
          <w:rFonts w:ascii="Arial" w:hAnsi="Arial"/>
          <w:noProof/>
          <w:sz w:val="20"/>
        </w:rPr>
        <w:t>Part b) lists the cases which the Commission referred to the Court under Article 258 TFEU</w:t>
      </w:r>
      <w:r>
        <w:rPr>
          <w:rFonts w:ascii="Arial" w:hAnsi="Arial"/>
          <w:noProof/>
          <w:sz w:val="20"/>
        </w:rPr>
        <w:t xml:space="preserve"> and Article 260(3) by 31 December 2017.</w:t>
      </w:r>
    </w:p>
    <w:p w:rsidR="00E201F7" w:rsidRDefault="00E24EFF">
      <w:pPr>
        <w:keepNext/>
        <w:keepLines/>
        <w:numPr>
          <w:ilvl w:val="1"/>
          <w:numId w:val="63"/>
        </w:numPr>
        <w:outlineLvl w:val="2"/>
        <w:rPr>
          <w:rFonts w:ascii="Arial" w:eastAsia="MS Gothic" w:hAnsi="Arial"/>
          <w:noProof/>
          <w:color w:val="006FB4"/>
          <w:kern w:val="20"/>
          <w:sz w:val="20"/>
          <w:lang w:eastAsia="zh-CN"/>
        </w:rPr>
      </w:pPr>
      <w:r>
        <w:rPr>
          <w:rFonts w:ascii="Arial" w:eastAsia="MS Gothic" w:hAnsi="Arial"/>
          <w:noProof/>
          <w:color w:val="006FB4"/>
          <w:kern w:val="20"/>
          <w:sz w:val="20"/>
          <w:lang w:eastAsia="zh-CN"/>
        </w:rPr>
        <w:t>EARLY RESOLUTION OF INFRINGEMENT CASES</w:t>
      </w:r>
    </w:p>
    <w:p w:rsidR="00E201F7" w:rsidRDefault="00E24EFF">
      <w:pPr>
        <w:rPr>
          <w:rFonts w:ascii="Arial" w:hAnsi="Arial"/>
          <w:b/>
          <w:noProof/>
          <w:color w:val="002060"/>
          <w:sz w:val="20"/>
        </w:rPr>
      </w:pPr>
      <w:r>
        <w:rPr>
          <w:rFonts w:ascii="Arial" w:hAnsi="Arial"/>
          <w:b/>
          <w:noProof/>
          <w:color w:val="002060"/>
          <w:sz w:val="20"/>
        </w:rPr>
        <w:t>Major cases closed without a Court judgment in 2017</w:t>
      </w:r>
    </w:p>
    <w:p w:rsidR="00E201F7" w:rsidRDefault="00E24EFF">
      <w:pPr>
        <w:rPr>
          <w:rFonts w:ascii="Arial" w:hAnsi="Arial"/>
          <w:noProof/>
          <w:sz w:val="20"/>
        </w:rPr>
      </w:pPr>
      <w:r>
        <w:rPr>
          <w:rFonts w:ascii="Arial" w:hAnsi="Arial"/>
          <w:noProof/>
          <w:sz w:val="20"/>
        </w:rPr>
        <w:t>This section contains a list of the most important infringement cases the Commission closed in the given policy area in 2017</w:t>
      </w:r>
      <w:r>
        <w:rPr>
          <w:rFonts w:ascii="Arial" w:hAnsi="Arial"/>
          <w:noProof/>
          <w:sz w:val="20"/>
        </w:rPr>
        <w:t xml:space="preserve"> without a Court judgment. The list is not exhaustive.</w:t>
      </w:r>
    </w:p>
    <w:p w:rsidR="00E201F7" w:rsidRDefault="00E24EFF">
      <w:pPr>
        <w:keepNext/>
        <w:keepLines/>
        <w:numPr>
          <w:ilvl w:val="1"/>
          <w:numId w:val="63"/>
        </w:numPr>
        <w:outlineLvl w:val="2"/>
        <w:rPr>
          <w:rFonts w:ascii="Arial" w:eastAsia="MS Gothic" w:hAnsi="Arial"/>
          <w:noProof/>
          <w:color w:val="006FB4"/>
          <w:kern w:val="20"/>
          <w:sz w:val="20"/>
          <w:lang w:eastAsia="zh-CN"/>
        </w:rPr>
      </w:pPr>
      <w:r>
        <w:rPr>
          <w:rFonts w:ascii="Arial" w:eastAsia="MS Gothic" w:hAnsi="Arial"/>
          <w:noProof/>
          <w:color w:val="006FB4"/>
          <w:kern w:val="20"/>
          <w:sz w:val="20"/>
          <w:lang w:eastAsia="zh-CN"/>
        </w:rPr>
        <w:t>IMPORTANT JUDGMENTS</w:t>
      </w:r>
    </w:p>
    <w:p w:rsidR="00E201F7" w:rsidRDefault="00E24EFF">
      <w:pPr>
        <w:rPr>
          <w:rFonts w:ascii="Arial" w:hAnsi="Arial"/>
          <w:noProof/>
          <w:sz w:val="20"/>
        </w:rPr>
      </w:pPr>
      <w:r>
        <w:rPr>
          <w:rFonts w:ascii="Arial" w:hAnsi="Arial"/>
          <w:noProof/>
          <w:sz w:val="20"/>
        </w:rPr>
        <w:t>This section contains two lists:</w:t>
      </w:r>
    </w:p>
    <w:p w:rsidR="00E201F7" w:rsidRDefault="00E24EFF">
      <w:pPr>
        <w:rPr>
          <w:rFonts w:ascii="Arial" w:hAnsi="Arial"/>
          <w:noProof/>
          <w:sz w:val="20"/>
        </w:rPr>
      </w:pPr>
      <w:r>
        <w:rPr>
          <w:rFonts w:ascii="Arial" w:hAnsi="Arial"/>
          <w:noProof/>
          <w:sz w:val="20"/>
        </w:rPr>
        <w:t>The first list contains the Court’s most important judgments in the given policy area in 2017. These judgments are almost exclusively handed down un</w:t>
      </w:r>
      <w:r>
        <w:rPr>
          <w:rFonts w:ascii="Arial" w:hAnsi="Arial"/>
          <w:noProof/>
          <w:sz w:val="20"/>
        </w:rPr>
        <w:t>der Article 258 or Articles 260(2) TFEU.</w:t>
      </w:r>
    </w:p>
    <w:p w:rsidR="00E201F7" w:rsidRDefault="00E24EFF">
      <w:pPr>
        <w:rPr>
          <w:rFonts w:ascii="Arial" w:hAnsi="Arial"/>
          <w:noProof/>
          <w:sz w:val="20"/>
        </w:rPr>
      </w:pPr>
      <w:r>
        <w:rPr>
          <w:rFonts w:ascii="Arial" w:hAnsi="Arial"/>
          <w:noProof/>
          <w:sz w:val="20"/>
        </w:rPr>
        <w:t xml:space="preserve">The second list contains the most important preliminary rulings that the Court issued to the </w:t>
      </w:r>
      <w:smartTag w:uri="urn:schemas-microsoft-com:office:smarttags" w:element="place">
        <w:smartTag w:uri="urn:schemas-microsoft-com:office:smarttags" w:element="PlaceName">
          <w:r>
            <w:rPr>
              <w:rFonts w:ascii="Arial" w:hAnsi="Arial"/>
              <w:noProof/>
              <w:sz w:val="20"/>
            </w:rPr>
            <w:t>Member</w:t>
          </w:r>
        </w:smartTag>
        <w:r>
          <w:rPr>
            <w:rFonts w:ascii="Arial" w:hAnsi="Arial"/>
            <w:noProof/>
            <w:sz w:val="20"/>
          </w:rPr>
          <w:t xml:space="preserve"> </w:t>
        </w:r>
        <w:smartTag w:uri="urn:schemas-microsoft-com:office:smarttags" w:element="PlaceType">
          <w:r>
            <w:rPr>
              <w:rFonts w:ascii="Arial" w:hAnsi="Arial"/>
              <w:noProof/>
              <w:sz w:val="20"/>
            </w:rPr>
            <w:t>State</w:t>
          </w:r>
        </w:smartTag>
      </w:smartTag>
      <w:r>
        <w:rPr>
          <w:rFonts w:ascii="Arial" w:hAnsi="Arial"/>
          <w:noProof/>
          <w:sz w:val="20"/>
        </w:rPr>
        <w:t>’s judiciary in the given policy area.</w:t>
      </w:r>
    </w:p>
    <w:p w:rsidR="00E201F7" w:rsidRDefault="00E24EFF">
      <w:pPr>
        <w:rPr>
          <w:rFonts w:ascii="Arial" w:hAnsi="Arial"/>
          <w:noProof/>
          <w:sz w:val="20"/>
        </w:rPr>
      </w:pPr>
      <w:r>
        <w:rPr>
          <w:rFonts w:ascii="Arial" w:hAnsi="Arial"/>
          <w:noProof/>
          <w:sz w:val="20"/>
        </w:rPr>
        <w:t>These lists are not necessarily exhaustive.</w:t>
      </w:r>
      <w:bookmarkEnd w:id="134"/>
    </w:p>
    <w:p w:rsidR="00E201F7" w:rsidRDefault="00E201F7">
      <w:pPr>
        <w:rPr>
          <w:noProof/>
        </w:rPr>
      </w:pPr>
    </w:p>
    <w:sectPr w:rsidR="00E201F7">
      <w:headerReference w:type="even" r:id="rId200"/>
      <w:headerReference w:type="default" r:id="rId201"/>
      <w:footerReference w:type="even" r:id="rId202"/>
      <w:footerReference w:type="default" r:id="rId203"/>
      <w:headerReference w:type="first" r:id="rId204"/>
      <w:footerReference w:type="first" r:id="rId205"/>
      <w:footnotePr>
        <w:numRestart w:val="eachSect"/>
      </w:footnotePr>
      <w:pgSz w:w="11906" w:h="16838"/>
      <w:pgMar w:top="212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1F7" w:rsidRDefault="00E24EFF">
      <w:pPr>
        <w:spacing w:after="0"/>
      </w:pPr>
      <w:r>
        <w:separator/>
      </w:r>
    </w:p>
  </w:endnote>
  <w:endnote w:type="continuationSeparator" w:id="0">
    <w:p w:rsidR="00E201F7" w:rsidRDefault="00E24EF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New Roman Bold">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EFF" w:rsidRPr="00E24EFF" w:rsidRDefault="00E24EFF" w:rsidP="00E24EF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01F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11</w:t>
    </w:r>
    <w:r>
      <w:rPr>
        <w:rFonts w:ascii="Arial" w:hAnsi="Arial" w:cs="Arial"/>
        <w:sz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pStyle w:val="Footer"/>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7</w:t>
    </w:r>
    <w:r>
      <w:rPr>
        <w:rFonts w:ascii="Arial" w:hAnsi="Arial" w:cs="Arial"/>
        <w:sz w:val="18"/>
        <w:szCs w:val="18"/>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01F7">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pStyle w:val="Footer"/>
      <w:jc w:val="center"/>
      <w:rPr>
        <w:rFonts w:ascii="Arial" w:hAnsi="Arial" w:cs="Arial"/>
      </w:rPr>
    </w:pP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17</w:t>
    </w:r>
    <w:r>
      <w:rPr>
        <w:rFonts w:ascii="Arial" w:hAnsi="Arial" w:cs="Arial"/>
        <w:sz w:val="18"/>
        <w:szCs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pStyle w:val="Footer"/>
      <w:jc w:val="center"/>
      <w:rPr>
        <w:rFonts w:ascii="Arial" w:hAnsi="Arial" w:cs="Arial"/>
      </w:rPr>
    </w:pP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12</w:t>
    </w:r>
    <w:r>
      <w:rPr>
        <w:rFonts w:ascii="Arial" w:hAnsi="Arial" w:cs="Arial"/>
        <w:sz w:val="18"/>
        <w:szCs w:val="18"/>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01F7">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pStyle w:val="Footer"/>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23</w:t>
    </w:r>
    <w:r>
      <w:rPr>
        <w:rFonts w:ascii="Arial" w:hAnsi="Arial" w:cs="Arial"/>
        <w:sz w:val="18"/>
        <w:szCs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pStyle w:val="Footer"/>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18</w:t>
    </w:r>
    <w:r>
      <w:rPr>
        <w:rFonts w:ascii="Arial" w:hAnsi="Arial" w:cs="Arial"/>
        <w:sz w:val="18"/>
        <w:szCs w:val="18"/>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01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EFF" w:rsidRPr="00E24EFF" w:rsidRDefault="00E24EFF" w:rsidP="00E24EFF">
    <w:pPr>
      <w:pStyle w:val="FooterCoverPage"/>
      <w:rPr>
        <w:rFonts w:ascii="Arial" w:hAnsi="Arial" w:cs="Arial"/>
        <w:b/>
        <w:sz w:val="48"/>
      </w:rPr>
    </w:pPr>
    <w:r w:rsidRPr="00E24EFF">
      <w:rPr>
        <w:rFonts w:ascii="Arial" w:hAnsi="Arial" w:cs="Arial"/>
        <w:b/>
        <w:sz w:val="48"/>
      </w:rPr>
      <w:t>EN</w:t>
    </w:r>
    <w:r w:rsidRPr="00E24EFF">
      <w:rPr>
        <w:rFonts w:ascii="Arial" w:hAnsi="Arial" w:cs="Arial"/>
        <w:b/>
        <w:sz w:val="48"/>
      </w:rPr>
      <w:tab/>
    </w:r>
    <w:r w:rsidRPr="00E24EFF">
      <w:rPr>
        <w:rFonts w:ascii="Arial" w:hAnsi="Arial" w:cs="Arial"/>
        <w:b/>
        <w:sz w:val="48"/>
      </w:rPr>
      <w:tab/>
    </w:r>
    <w:r w:rsidRPr="00E24EFF">
      <w:tab/>
    </w:r>
    <w:r w:rsidRPr="00E24EFF">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pStyle w:val="Footer"/>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34</w:t>
    </w:r>
    <w:r>
      <w:rPr>
        <w:rFonts w:ascii="Arial" w:hAnsi="Arial" w:cs="Arial"/>
        <w:sz w:val="18"/>
        <w:szCs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pStyle w:val="Footer"/>
      <w:jc w:val="center"/>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noProof/>
        <w:sz w:val="18"/>
        <w:szCs w:val="18"/>
      </w:rPr>
      <w:t>24</w:t>
    </w:r>
    <w:r>
      <w:rPr>
        <w:sz w:val="18"/>
        <w:szCs w:val="18"/>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01F7">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pStyle w:val="Footer"/>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40</w:t>
    </w:r>
    <w:r>
      <w:rPr>
        <w:rFonts w:ascii="Arial" w:hAnsi="Arial" w:cs="Arial"/>
        <w:sz w:val="18"/>
        <w:szCs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pStyle w:val="Footer"/>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35</w:t>
    </w:r>
    <w:r>
      <w:rPr>
        <w:rFonts w:ascii="Arial" w:hAnsi="Arial" w:cs="Arial"/>
        <w:sz w:val="18"/>
        <w:szCs w:val="18"/>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01F7">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pStyle w:val="Footer"/>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45</w:t>
    </w:r>
    <w:r>
      <w:rPr>
        <w:rFonts w:ascii="Arial" w:hAnsi="Arial" w:cs="Arial"/>
        <w:sz w:val="18"/>
        <w:szCs w:val="18"/>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pStyle w:val="Footer"/>
      <w:jc w:val="center"/>
      <w:rPr>
        <w:rFonts w:ascii="Arial" w:hAnsi="Arial" w:cs="Arial"/>
      </w:rPr>
    </w:pP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41</w:t>
    </w:r>
    <w:r>
      <w:rPr>
        <w:rFonts w:ascii="Arial" w:hAnsi="Arial" w:cs="Arial"/>
        <w:sz w:val="18"/>
        <w:szCs w:val="18"/>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01F7">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pStyle w:val="Footer"/>
      <w:jc w:val="center"/>
      <w:rPr>
        <w:rFonts w:ascii="Arial" w:hAnsi="Arial"/>
        <w:sz w:val="18"/>
      </w:rPr>
    </w:pPr>
    <w:r>
      <w:rPr>
        <w:rFonts w:ascii="Arial" w:hAnsi="Arial"/>
        <w:sz w:val="18"/>
      </w:rPr>
      <w:fldChar w:fldCharType="begin"/>
    </w:r>
    <w:r>
      <w:rPr>
        <w:sz w:val="18"/>
        <w:szCs w:val="18"/>
      </w:rPr>
      <w:instrText xml:space="preserve"> PAGE   \* MERGEFORMAT </w:instrText>
    </w:r>
    <w:r>
      <w:rPr>
        <w:rFonts w:ascii="Arial" w:hAnsi="Arial"/>
        <w:sz w:val="18"/>
      </w:rPr>
      <w:fldChar w:fldCharType="separate"/>
    </w:r>
    <w:r>
      <w:rPr>
        <w:noProof/>
        <w:sz w:val="18"/>
        <w:szCs w:val="18"/>
      </w:rPr>
      <w:t>51</w:t>
    </w:r>
    <w:r>
      <w:rPr>
        <w:rFonts w:ascii="Arial" w:hAnsi="Arial"/>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EFF" w:rsidRPr="00E24EFF" w:rsidRDefault="00E24EFF" w:rsidP="00E24EFF">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pStyle w:val="Footer"/>
      <w:jc w:val="center"/>
      <w:rPr>
        <w:rFonts w:ascii="Arial" w:hAnsi="Arial"/>
        <w:sz w:val="18"/>
      </w:rPr>
    </w:pPr>
    <w:r>
      <w:rPr>
        <w:rFonts w:ascii="Arial" w:hAnsi="Arial"/>
        <w:sz w:val="18"/>
      </w:rPr>
      <w:fldChar w:fldCharType="begin"/>
    </w:r>
    <w:r>
      <w:rPr>
        <w:rFonts w:ascii="Arial" w:hAnsi="Arial"/>
        <w:sz w:val="18"/>
      </w:rPr>
      <w:instrText xml:space="preserve"> PAGE   \* MERGEFORMAT </w:instrText>
    </w:r>
    <w:r>
      <w:rPr>
        <w:rFonts w:ascii="Arial" w:hAnsi="Arial"/>
        <w:sz w:val="18"/>
      </w:rPr>
      <w:fldChar w:fldCharType="separate"/>
    </w:r>
    <w:r>
      <w:rPr>
        <w:rFonts w:ascii="Arial" w:hAnsi="Arial"/>
        <w:noProof/>
        <w:sz w:val="18"/>
      </w:rPr>
      <w:t>46</w:t>
    </w:r>
    <w:r>
      <w:rPr>
        <w:rFonts w:ascii="Arial" w:hAnsi="Arial"/>
        <w:sz w:val="18"/>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01F7">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pStyle w:val="Footer"/>
      <w:jc w:val="center"/>
      <w:rPr>
        <w:rFonts w:ascii="Arial" w:hAnsi="Arial"/>
        <w:sz w:val="18"/>
      </w:rPr>
    </w:pPr>
    <w:r>
      <w:rPr>
        <w:rFonts w:ascii="Arial" w:hAnsi="Arial"/>
        <w:sz w:val="18"/>
      </w:rPr>
      <w:fldChar w:fldCharType="begin"/>
    </w:r>
    <w:r>
      <w:rPr>
        <w:rFonts w:ascii="Arial" w:hAnsi="Arial"/>
        <w:sz w:val="18"/>
      </w:rPr>
      <w:instrText xml:space="preserve"> PAGE   \* MERGEFORMAT </w:instrText>
    </w:r>
    <w:r>
      <w:rPr>
        <w:rFonts w:ascii="Arial" w:hAnsi="Arial"/>
        <w:sz w:val="18"/>
      </w:rPr>
      <w:fldChar w:fldCharType="separate"/>
    </w:r>
    <w:r>
      <w:rPr>
        <w:rFonts w:ascii="Arial" w:hAnsi="Arial"/>
        <w:noProof/>
        <w:sz w:val="18"/>
      </w:rPr>
      <w:t>59</w:t>
    </w:r>
    <w:r>
      <w:rPr>
        <w:rFonts w:ascii="Arial" w:hAnsi="Arial"/>
        <w:sz w:val="18"/>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pStyle w:val="Footer"/>
      <w:jc w:val="center"/>
      <w:rPr>
        <w:rFonts w:ascii="Arial" w:hAnsi="Arial"/>
        <w:sz w:val="18"/>
      </w:rPr>
    </w:pPr>
    <w:r>
      <w:rPr>
        <w:rFonts w:ascii="Arial" w:hAnsi="Arial"/>
        <w:sz w:val="18"/>
      </w:rPr>
      <w:fldChar w:fldCharType="begin"/>
    </w:r>
    <w:r>
      <w:rPr>
        <w:rFonts w:ascii="Arial" w:hAnsi="Arial"/>
        <w:sz w:val="18"/>
      </w:rPr>
      <w:instrText xml:space="preserve"> PAGE   \* MERGEFORMAT </w:instrText>
    </w:r>
    <w:r>
      <w:rPr>
        <w:rFonts w:ascii="Arial" w:hAnsi="Arial"/>
        <w:sz w:val="18"/>
      </w:rPr>
      <w:fldChar w:fldCharType="separate"/>
    </w:r>
    <w:r>
      <w:rPr>
        <w:rFonts w:ascii="Arial" w:hAnsi="Arial"/>
        <w:noProof/>
        <w:sz w:val="18"/>
      </w:rPr>
      <w:t>52</w:t>
    </w:r>
    <w:r>
      <w:rPr>
        <w:rFonts w:ascii="Arial" w:hAnsi="Arial"/>
        <w:sz w:val="18"/>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01F7">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pStyle w:val="Footer"/>
      <w:jc w:val="center"/>
      <w:rPr>
        <w:rFonts w:ascii="Arial" w:hAnsi="Arial"/>
      </w:rPr>
    </w:pPr>
    <w:r>
      <w:rPr>
        <w:rFonts w:ascii="Arial" w:hAnsi="Arial"/>
        <w:sz w:val="18"/>
      </w:rPr>
      <w:fldChar w:fldCharType="begin"/>
    </w:r>
    <w:r>
      <w:rPr>
        <w:rFonts w:ascii="Arial" w:hAnsi="Arial"/>
        <w:sz w:val="18"/>
      </w:rPr>
      <w:instrText xml:space="preserve"> PAGE   \* MERGEFORMAT </w:instrText>
    </w:r>
    <w:r>
      <w:rPr>
        <w:rFonts w:ascii="Arial" w:hAnsi="Arial"/>
        <w:sz w:val="18"/>
      </w:rPr>
      <w:fldChar w:fldCharType="separate"/>
    </w:r>
    <w:r>
      <w:rPr>
        <w:rFonts w:ascii="Arial" w:hAnsi="Arial"/>
        <w:noProof/>
        <w:sz w:val="18"/>
      </w:rPr>
      <w:t>62</w:t>
    </w:r>
    <w:r>
      <w:rPr>
        <w:rFonts w:ascii="Arial" w:hAnsi="Arial"/>
        <w:sz w:val="18"/>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pStyle w:val="Footer"/>
      <w:jc w:val="center"/>
      <w:rPr>
        <w:rFonts w:ascii="Arial" w:hAnsi="Arial"/>
        <w:sz w:val="18"/>
      </w:rPr>
    </w:pPr>
    <w:r>
      <w:rPr>
        <w:rFonts w:ascii="Arial" w:hAnsi="Arial"/>
        <w:sz w:val="18"/>
      </w:rPr>
      <w:fldChar w:fldCharType="begin"/>
    </w:r>
    <w:r>
      <w:rPr>
        <w:rFonts w:ascii="Arial" w:hAnsi="Arial"/>
        <w:sz w:val="18"/>
      </w:rPr>
      <w:instrText xml:space="preserve"> PAGE   \* MERGEFORMAT </w:instrText>
    </w:r>
    <w:r>
      <w:rPr>
        <w:rFonts w:ascii="Arial" w:hAnsi="Arial"/>
        <w:sz w:val="18"/>
      </w:rPr>
      <w:fldChar w:fldCharType="separate"/>
    </w:r>
    <w:r>
      <w:rPr>
        <w:rFonts w:ascii="Arial" w:hAnsi="Arial"/>
        <w:noProof/>
        <w:sz w:val="18"/>
      </w:rPr>
      <w:t>60</w:t>
    </w:r>
    <w:r>
      <w:rPr>
        <w:rFonts w:ascii="Arial" w:hAnsi="Arial"/>
        <w:sz w:val="18"/>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01F7">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pStyle w:val="Footer"/>
      <w:jc w:val="center"/>
      <w:rPr>
        <w:rFonts w:ascii="Arial" w:hAnsi="Arial"/>
        <w:sz w:val="18"/>
      </w:rPr>
    </w:pPr>
    <w:r>
      <w:rPr>
        <w:rFonts w:ascii="Arial" w:hAnsi="Arial"/>
        <w:sz w:val="18"/>
      </w:rPr>
      <w:fldChar w:fldCharType="begin"/>
    </w:r>
    <w:r>
      <w:rPr>
        <w:sz w:val="18"/>
        <w:szCs w:val="18"/>
      </w:rPr>
      <w:instrText xml:space="preserve"> PAGE   \* MERGEFORMAT </w:instrText>
    </w:r>
    <w:r>
      <w:rPr>
        <w:rFonts w:ascii="Arial" w:hAnsi="Arial"/>
        <w:sz w:val="18"/>
      </w:rPr>
      <w:fldChar w:fldCharType="separate"/>
    </w:r>
    <w:r>
      <w:rPr>
        <w:noProof/>
        <w:sz w:val="18"/>
        <w:szCs w:val="18"/>
      </w:rPr>
      <w:t>71</w:t>
    </w:r>
    <w:r>
      <w:rPr>
        <w:rFonts w:ascii="Arial" w:hAnsi="Arial"/>
        <w:sz w:val="18"/>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pStyle w:val="Footer"/>
      <w:jc w:val="center"/>
      <w:rPr>
        <w:rFonts w:ascii="Arial" w:hAnsi="Arial"/>
        <w:sz w:val="18"/>
      </w:rPr>
    </w:pPr>
    <w:r>
      <w:rPr>
        <w:rFonts w:ascii="Arial" w:hAnsi="Arial"/>
        <w:sz w:val="18"/>
      </w:rPr>
      <w:fldChar w:fldCharType="begin"/>
    </w:r>
    <w:r>
      <w:rPr>
        <w:rFonts w:ascii="Arial" w:hAnsi="Arial"/>
        <w:sz w:val="18"/>
      </w:rPr>
      <w:instrText xml:space="preserve"> PAGE   \* MERGEFORMAT </w:instrText>
    </w:r>
    <w:r>
      <w:rPr>
        <w:rFonts w:ascii="Arial" w:hAnsi="Arial"/>
        <w:sz w:val="18"/>
      </w:rPr>
      <w:fldChar w:fldCharType="separate"/>
    </w:r>
    <w:r>
      <w:rPr>
        <w:rFonts w:ascii="Arial" w:hAnsi="Arial"/>
        <w:noProof/>
        <w:sz w:val="18"/>
      </w:rPr>
      <w:t>63</w:t>
    </w:r>
    <w:r>
      <w:rPr>
        <w:rFonts w:ascii="Arial" w:hAnsi="Arial"/>
        <w:sz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01F7">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01F7">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pStyle w:val="Footer"/>
      <w:jc w:val="center"/>
      <w:rPr>
        <w:rFonts w:ascii="Arial" w:hAnsi="Arial"/>
        <w:sz w:val="18"/>
      </w:rPr>
    </w:pPr>
    <w:r>
      <w:rPr>
        <w:rFonts w:ascii="Arial" w:hAnsi="Arial"/>
        <w:sz w:val="18"/>
      </w:rPr>
      <w:fldChar w:fldCharType="begin"/>
    </w:r>
    <w:r>
      <w:rPr>
        <w:rFonts w:ascii="Arial" w:hAnsi="Arial"/>
        <w:sz w:val="18"/>
      </w:rPr>
      <w:instrText xml:space="preserve"> PAGE   \* MERGEFORMAT </w:instrText>
    </w:r>
    <w:r>
      <w:rPr>
        <w:rFonts w:ascii="Arial" w:hAnsi="Arial"/>
        <w:sz w:val="18"/>
      </w:rPr>
      <w:fldChar w:fldCharType="separate"/>
    </w:r>
    <w:r>
      <w:rPr>
        <w:rFonts w:ascii="Arial" w:hAnsi="Arial"/>
        <w:noProof/>
        <w:sz w:val="18"/>
      </w:rPr>
      <w:t>79</w:t>
    </w:r>
    <w:r>
      <w:rPr>
        <w:rFonts w:ascii="Arial" w:hAnsi="Arial"/>
        <w:sz w:val="18"/>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pStyle w:val="Footer"/>
      <w:jc w:val="center"/>
      <w:rPr>
        <w:rFonts w:ascii="Arial" w:hAnsi="Arial"/>
      </w:rPr>
    </w:pPr>
    <w:r>
      <w:rPr>
        <w:rFonts w:ascii="Arial" w:hAnsi="Arial"/>
        <w:sz w:val="18"/>
      </w:rPr>
      <w:fldChar w:fldCharType="begin"/>
    </w:r>
    <w:r>
      <w:rPr>
        <w:sz w:val="18"/>
        <w:szCs w:val="18"/>
      </w:rPr>
      <w:instrText xml:space="preserve"> PAGE   \* MERGEFORMAT </w:instrText>
    </w:r>
    <w:r>
      <w:rPr>
        <w:rFonts w:ascii="Arial" w:hAnsi="Arial"/>
        <w:sz w:val="18"/>
      </w:rPr>
      <w:fldChar w:fldCharType="separate"/>
    </w:r>
    <w:r>
      <w:rPr>
        <w:noProof/>
        <w:sz w:val="18"/>
        <w:szCs w:val="18"/>
      </w:rPr>
      <w:t>72</w:t>
    </w:r>
    <w:r>
      <w:rPr>
        <w:rFonts w:ascii="Arial" w:hAnsi="Arial"/>
        <w:sz w:val="18"/>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01F7">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pStyle w:val="Footer"/>
      <w:jc w:val="center"/>
      <w:rPr>
        <w:rFonts w:ascii="Arial" w:hAnsi="Arial" w:cs="Arial"/>
        <w:sz w:val="18"/>
        <w:szCs w:val="18"/>
      </w:rPr>
    </w:pPr>
    <w:r>
      <w:rPr>
        <w:rFonts w:ascii="Arial" w:hAnsi="Arial" w:cs="Arial"/>
        <w:sz w:val="18"/>
      </w:rPr>
      <w:fldChar w:fldCharType="begin"/>
    </w:r>
    <w:r>
      <w:rPr>
        <w:rFonts w:ascii="Arial" w:hAnsi="Arial" w:cs="Arial"/>
        <w:sz w:val="18"/>
        <w:szCs w:val="18"/>
      </w:rPr>
      <w:instrText xml:space="preserve"> PAGE   \* MERGEFORMAT </w:instrText>
    </w:r>
    <w:r>
      <w:rPr>
        <w:rFonts w:ascii="Arial" w:hAnsi="Arial" w:cs="Arial"/>
        <w:sz w:val="18"/>
      </w:rPr>
      <w:fldChar w:fldCharType="separate"/>
    </w:r>
    <w:r>
      <w:rPr>
        <w:rFonts w:ascii="Arial" w:hAnsi="Arial" w:cs="Arial"/>
        <w:noProof/>
        <w:sz w:val="18"/>
        <w:szCs w:val="18"/>
      </w:rPr>
      <w:t>88</w:t>
    </w:r>
    <w:r>
      <w:rPr>
        <w:rFonts w:ascii="Arial" w:hAnsi="Arial" w:cs="Arial"/>
        <w:sz w:val="18"/>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pStyle w:val="Footer"/>
      <w:jc w:val="center"/>
      <w:rPr>
        <w:rFonts w:ascii="Arial" w:hAnsi="Arial"/>
        <w:sz w:val="18"/>
      </w:rPr>
    </w:pPr>
    <w:r>
      <w:rPr>
        <w:rFonts w:ascii="Arial" w:hAnsi="Arial"/>
        <w:sz w:val="18"/>
      </w:rPr>
      <w:fldChar w:fldCharType="begin"/>
    </w:r>
    <w:r>
      <w:rPr>
        <w:rFonts w:ascii="Arial" w:hAnsi="Arial"/>
        <w:sz w:val="18"/>
      </w:rPr>
      <w:instrText xml:space="preserve"> PAGE   \* MERGEFORMAT </w:instrText>
    </w:r>
    <w:r>
      <w:rPr>
        <w:rFonts w:ascii="Arial" w:hAnsi="Arial"/>
        <w:sz w:val="18"/>
      </w:rPr>
      <w:fldChar w:fldCharType="separate"/>
    </w:r>
    <w:r>
      <w:rPr>
        <w:rFonts w:ascii="Arial" w:hAnsi="Arial"/>
        <w:noProof/>
        <w:sz w:val="18"/>
      </w:rPr>
      <w:t>80</w:t>
    </w:r>
    <w:r>
      <w:rPr>
        <w:rFonts w:ascii="Arial" w:hAnsi="Arial"/>
        <w:sz w:val="18"/>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01F7">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pStyle w:val="Footer"/>
      <w:jc w:val="center"/>
    </w:pPr>
    <w:r>
      <w:fldChar w:fldCharType="begin"/>
    </w:r>
    <w:r>
      <w:instrText xml:space="preserve"> PAGE   \* MERGEFORMAT </w:instrText>
    </w:r>
    <w:r>
      <w:fldChar w:fldCharType="separate"/>
    </w:r>
    <w:r>
      <w:t>3</w:t>
    </w:r>
    <w:r>
      <w:fldChar w:fldCharType="end"/>
    </w:r>
  </w:p>
  <w:p w:rsidR="00E201F7" w:rsidRDefault="00E201F7">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pStyle w:val="Footer"/>
      <w:jc w:val="center"/>
      <w:rPr>
        <w:rFonts w:ascii="Arial" w:hAnsi="Arial"/>
        <w:sz w:val="18"/>
      </w:rPr>
    </w:pPr>
    <w:r>
      <w:rPr>
        <w:rFonts w:ascii="Arial" w:hAnsi="Arial"/>
        <w:sz w:val="18"/>
      </w:rPr>
      <w:fldChar w:fldCharType="begin"/>
    </w:r>
    <w:r>
      <w:rPr>
        <w:sz w:val="18"/>
        <w:szCs w:val="18"/>
      </w:rPr>
      <w:instrText xml:space="preserve"> PAGE   \* MERGEFORMAT </w:instrText>
    </w:r>
    <w:r>
      <w:rPr>
        <w:rFonts w:ascii="Arial" w:hAnsi="Arial"/>
        <w:sz w:val="18"/>
      </w:rPr>
      <w:fldChar w:fldCharType="separate"/>
    </w:r>
    <w:r>
      <w:rPr>
        <w:noProof/>
        <w:sz w:val="18"/>
        <w:szCs w:val="18"/>
      </w:rPr>
      <w:t>89</w:t>
    </w:r>
    <w:r>
      <w:rPr>
        <w:rFonts w:ascii="Arial" w:hAnsi="Arial"/>
        <w:sz w:val="18"/>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01F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pStyle w:val="Footer"/>
      <w:jc w:val="center"/>
      <w:rPr>
        <w:sz w:val="18"/>
      </w:rPr>
    </w:pPr>
    <w:r>
      <w:rPr>
        <w:sz w:val="18"/>
      </w:rPr>
      <w:fldChar w:fldCharType="begin"/>
    </w:r>
    <w:r>
      <w:rPr>
        <w:sz w:val="18"/>
      </w:rPr>
      <w:instrText xml:space="preserve"> PAGE   \* MERGEFORMAT </w:instrText>
    </w:r>
    <w:r>
      <w:rPr>
        <w:sz w:val="18"/>
      </w:rPr>
      <w:fldChar w:fldCharType="separate"/>
    </w:r>
    <w:r>
      <w:rPr>
        <w:noProof/>
        <w:sz w:val="18"/>
      </w:rPr>
      <w:t>2</w:t>
    </w:r>
    <w:r>
      <w:rPr>
        <w:sz w:val="18"/>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pStyle w:val="Footer"/>
      <w:jc w:val="center"/>
      <w:rPr>
        <w:rFonts w:ascii="Arial" w:hAnsi="Arial"/>
        <w:sz w:val="18"/>
      </w:rPr>
    </w:pPr>
    <w:r>
      <w:rPr>
        <w:rFonts w:ascii="Arial" w:hAnsi="Arial"/>
        <w:sz w:val="18"/>
      </w:rPr>
      <w:fldChar w:fldCharType="begin"/>
    </w:r>
    <w:r>
      <w:rPr>
        <w:sz w:val="18"/>
        <w:szCs w:val="18"/>
      </w:rPr>
      <w:instrText xml:space="preserve"> PAGE   \* MERGEFORMAT </w:instrText>
    </w:r>
    <w:r>
      <w:rPr>
        <w:rFonts w:ascii="Arial" w:hAnsi="Arial"/>
        <w:sz w:val="18"/>
      </w:rPr>
      <w:fldChar w:fldCharType="separate"/>
    </w:r>
    <w:r>
      <w:rPr>
        <w:noProof/>
        <w:sz w:val="18"/>
        <w:szCs w:val="18"/>
      </w:rPr>
      <w:t>91</w:t>
    </w:r>
    <w:r>
      <w:rPr>
        <w:rFonts w:ascii="Arial" w:hAnsi="Arial"/>
        <w:sz w:val="18"/>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pStyle w:val="Footer"/>
      <w:jc w:val="center"/>
      <w:rPr>
        <w:rFonts w:ascii="Arial" w:hAnsi="Arial"/>
        <w:sz w:val="18"/>
      </w:rPr>
    </w:pPr>
    <w:r>
      <w:rPr>
        <w:rFonts w:ascii="Arial" w:hAnsi="Arial"/>
        <w:sz w:val="18"/>
      </w:rPr>
      <w:fldChar w:fldCharType="begin"/>
    </w:r>
    <w:r>
      <w:rPr>
        <w:sz w:val="18"/>
        <w:szCs w:val="18"/>
      </w:rPr>
      <w:instrText xml:space="preserve"> PAGE   \* MERGEFORMAT </w:instrText>
    </w:r>
    <w:r>
      <w:rPr>
        <w:rFonts w:ascii="Arial" w:hAnsi="Arial"/>
        <w:sz w:val="18"/>
      </w:rPr>
      <w:fldChar w:fldCharType="separate"/>
    </w:r>
    <w:r>
      <w:rPr>
        <w:noProof/>
        <w:sz w:val="18"/>
        <w:szCs w:val="18"/>
      </w:rPr>
      <w:t>90</w:t>
    </w:r>
    <w:r>
      <w:rPr>
        <w:rFonts w:ascii="Arial" w:hAnsi="Arial"/>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pStyle w:val="Footer"/>
      <w:jc w:val="center"/>
      <w:rPr>
        <w:sz w:val="18"/>
      </w:rPr>
    </w:pPr>
    <w:r>
      <w:rPr>
        <w:sz w:val="18"/>
      </w:rPr>
      <w:fldChar w:fldCharType="begin"/>
    </w:r>
    <w:r>
      <w:rPr>
        <w:sz w:val="18"/>
      </w:rPr>
      <w:instrText xml:space="preserve"> PAGE   \* MERGEFORMAT </w:instrText>
    </w:r>
    <w:r>
      <w:rPr>
        <w:sz w:val="18"/>
      </w:rPr>
      <w:fldChar w:fldCharType="separate"/>
    </w:r>
    <w:r>
      <w:rPr>
        <w:noProof/>
        <w:sz w:val="18"/>
      </w:rPr>
      <w:t>1</w:t>
    </w:r>
    <w:r>
      <w:rPr>
        <w:sz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01F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3</w:t>
    </w:r>
    <w:r>
      <w:rPr>
        <w:rFonts w:ascii="Arial" w:hAnsi="Arial" w:cs="Arial"/>
        <w:sz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2</w:t>
    </w:r>
    <w:r>
      <w:rPr>
        <w:rFonts w:ascii="Arial" w:hAnsi="Arial" w:cs="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1F7" w:rsidRDefault="00E24EFF">
      <w:pPr>
        <w:spacing w:after="0"/>
      </w:pPr>
      <w:r>
        <w:separator/>
      </w:r>
    </w:p>
  </w:footnote>
  <w:footnote w:type="continuationSeparator" w:id="0">
    <w:p w:rsidR="00E201F7" w:rsidRDefault="00E24EFF">
      <w:pPr>
        <w:spacing w:after="0"/>
      </w:pPr>
      <w:r>
        <w:continuationSeparator/>
      </w:r>
    </w:p>
  </w:footnote>
  <w:footnote w:id="1">
    <w:p w:rsidR="00E201F7" w:rsidRDefault="00E24EFF">
      <w:pPr>
        <w:pStyle w:val="FootnoteText"/>
      </w:pPr>
      <w:r>
        <w:rPr>
          <w:rStyle w:val="FootnoteReference"/>
        </w:rPr>
        <w:footnoteRef/>
      </w:r>
      <w:r>
        <w:t xml:space="preserve"> </w:t>
      </w:r>
      <w:r>
        <w:tab/>
        <w:t>Dire</w:t>
      </w:r>
      <w:r>
        <w:t xml:space="preserve">ctive </w:t>
      </w:r>
      <w:hyperlink r:id="rId1" w:history="1">
        <w:r>
          <w:rPr>
            <w:rStyle w:val="Hyperlink"/>
          </w:rPr>
          <w:t>2015/2203/EU</w:t>
        </w:r>
      </w:hyperlink>
      <w:r>
        <w:t>.</w:t>
      </w:r>
    </w:p>
  </w:footnote>
  <w:footnote w:id="2">
    <w:p w:rsidR="00E201F7" w:rsidRDefault="00E24EFF">
      <w:pPr>
        <w:pStyle w:val="FootnoteText"/>
      </w:pPr>
      <w:r>
        <w:rPr>
          <w:rStyle w:val="FootnoteReference"/>
        </w:rPr>
        <w:footnoteRef/>
      </w:r>
      <w:r>
        <w:t xml:space="preserve"> </w:t>
      </w:r>
      <w:r>
        <w:tab/>
        <w:t xml:space="preserve">Directive </w:t>
      </w:r>
      <w:hyperlink r:id="rId2" w:history="1">
        <w:r>
          <w:rPr>
            <w:rStyle w:val="Hyperlink"/>
          </w:rPr>
          <w:t>2015/2203/EU</w:t>
        </w:r>
      </w:hyperlink>
      <w:r>
        <w:t>.</w:t>
      </w:r>
    </w:p>
  </w:footnote>
  <w:footnote w:id="3">
    <w:p w:rsidR="00E201F7" w:rsidRDefault="00E24EFF">
      <w:pPr>
        <w:pStyle w:val="FootnoteText"/>
      </w:pPr>
      <w:r>
        <w:rPr>
          <w:rStyle w:val="FootnoteReference"/>
        </w:rPr>
        <w:footnoteRef/>
      </w:r>
      <w:r>
        <w:t xml:space="preserve"> </w:t>
      </w:r>
      <w:r>
        <w:tab/>
        <w:t>To</w:t>
      </w:r>
      <w:r>
        <w:t xml:space="preserve">fuTown.com, </w:t>
      </w:r>
      <w:hyperlink r:id="rId3" w:history="1">
        <w:r>
          <w:rPr>
            <w:rStyle w:val="Hyperlink"/>
          </w:rPr>
          <w:t>C</w:t>
        </w:r>
        <w:r>
          <w:rPr>
            <w:rStyle w:val="Hyperlink"/>
            <w:rFonts w:ascii="MS Gothic" w:eastAsia="MS Gothic" w:hAnsi="MS Gothic" w:cs="MS Gothic" w:hint="eastAsia"/>
          </w:rPr>
          <w:t>‑</w:t>
        </w:r>
        <w:r>
          <w:rPr>
            <w:rStyle w:val="Hyperlink"/>
          </w:rPr>
          <w:t>422/16</w:t>
        </w:r>
      </w:hyperlink>
      <w:r>
        <w:t xml:space="preserve"> and Court press release </w:t>
      </w:r>
      <w:hyperlink r:id="rId4" w:history="1">
        <w:r>
          <w:rPr>
            <w:rStyle w:val="Hyperlink"/>
          </w:rPr>
          <w:t>No 63/17</w:t>
        </w:r>
      </w:hyperlink>
      <w:r>
        <w:t>.</w:t>
      </w:r>
    </w:p>
  </w:footnote>
  <w:footnote w:id="4">
    <w:p w:rsidR="00E201F7" w:rsidRDefault="00E24EFF">
      <w:pPr>
        <w:pStyle w:val="FootnoteText"/>
        <w:rPr>
          <w:lang w:val="fr-BE"/>
        </w:rPr>
      </w:pPr>
      <w:r>
        <w:rPr>
          <w:rStyle w:val="FootnoteReference"/>
        </w:rPr>
        <w:footnoteRef/>
      </w:r>
      <w:r>
        <w:rPr>
          <w:lang w:val="fr-BE"/>
        </w:rPr>
        <w:t xml:space="preserve"> </w:t>
      </w:r>
      <w:r>
        <w:rPr>
          <w:lang w:val="fr-BE"/>
        </w:rPr>
        <w:tab/>
        <w:t xml:space="preserve">Comité Interprofessionnel du Vin de Champagne, </w:t>
      </w:r>
      <w:hyperlink r:id="rId5" w:history="1">
        <w:r>
          <w:rPr>
            <w:rStyle w:val="Hyperlink"/>
            <w:lang w:val="fr-BE"/>
          </w:rPr>
          <w:t>C-393/16</w:t>
        </w:r>
      </w:hyperlink>
      <w:r>
        <w:rPr>
          <w:lang w:val="fr-BE"/>
        </w:rPr>
        <w:t xml:space="preserve"> and Court press release </w:t>
      </w:r>
      <w:hyperlink r:id="rId6" w:history="1">
        <w:r>
          <w:rPr>
            <w:rStyle w:val="Hyperlink"/>
            <w:lang w:val="fr-BE"/>
          </w:rPr>
          <w:t>No 139/17</w:t>
        </w:r>
      </w:hyperlink>
      <w:r>
        <w:rPr>
          <w:lang w:val="fr-BE"/>
        </w:rPr>
        <w:t>.</w:t>
      </w:r>
    </w:p>
  </w:footnote>
  <w:footnote w:id="5">
    <w:p w:rsidR="00E201F7" w:rsidRDefault="00E24EFF">
      <w:pPr>
        <w:pStyle w:val="FootnoteText"/>
      </w:pPr>
      <w:r>
        <w:rPr>
          <w:rStyle w:val="FootnoteReference"/>
        </w:rPr>
        <w:footnoteRef/>
      </w:r>
      <w:r>
        <w:t xml:space="preserve"> </w:t>
      </w:r>
      <w:r>
        <w:tab/>
        <w:t xml:space="preserve">APVE and Others, </w:t>
      </w:r>
      <w:hyperlink r:id="rId7" w:history="1">
        <w:r>
          <w:rPr>
            <w:rStyle w:val="Hyperlink"/>
          </w:rPr>
          <w:t>C-671/15</w:t>
        </w:r>
      </w:hyperlink>
      <w:r>
        <w:t xml:space="preserve"> and Court press release </w:t>
      </w:r>
      <w:hyperlink r:id="rId8" w:history="1">
        <w:r>
          <w:rPr>
            <w:rStyle w:val="Hyperlink"/>
          </w:rPr>
          <w:t>No 120/17</w:t>
        </w:r>
      </w:hyperlink>
      <w:r>
        <w:t>.</w:t>
      </w:r>
    </w:p>
  </w:footnote>
  <w:footnote w:id="6">
    <w:p w:rsidR="00E201F7" w:rsidRDefault="00E24EFF">
      <w:pPr>
        <w:pStyle w:val="FootnoteText"/>
      </w:pPr>
      <w:r>
        <w:rPr>
          <w:rStyle w:val="FootnoteReference"/>
        </w:rPr>
        <w:footnoteRef/>
      </w:r>
      <w:r>
        <w:t xml:space="preserve"> </w:t>
      </w:r>
      <w:r>
        <w:tab/>
        <w:t xml:space="preserve">Directive </w:t>
      </w:r>
      <w:hyperlink r:id="rId9" w:history="1">
        <w:r>
          <w:rPr>
            <w:rStyle w:val="Hyperlink"/>
          </w:rPr>
          <w:t>2002/21/EC</w:t>
        </w:r>
      </w:hyperlink>
      <w:r>
        <w:t>.</w:t>
      </w:r>
    </w:p>
  </w:footnote>
  <w:footnote w:id="7">
    <w:p w:rsidR="00E201F7" w:rsidRDefault="00E24EFF">
      <w:pPr>
        <w:pStyle w:val="FootnoteText"/>
      </w:pPr>
      <w:r>
        <w:rPr>
          <w:rStyle w:val="FootnoteReference"/>
        </w:rPr>
        <w:footnoteRef/>
      </w:r>
      <w:r>
        <w:t xml:space="preserve"> </w:t>
      </w:r>
      <w:r>
        <w:tab/>
        <w:t xml:space="preserve">Regulation </w:t>
      </w:r>
      <w:hyperlink r:id="rId10" w:history="1">
        <w:r>
          <w:rPr>
            <w:rStyle w:val="Hyperlink"/>
          </w:rPr>
          <w:t>910/2014/EU.</w:t>
        </w:r>
      </w:hyperlink>
    </w:p>
  </w:footnote>
  <w:footnote w:id="8">
    <w:p w:rsidR="00E201F7" w:rsidRDefault="00E24EFF">
      <w:pPr>
        <w:pStyle w:val="FootnoteText"/>
      </w:pPr>
      <w:r>
        <w:rPr>
          <w:rStyle w:val="FootnoteReference"/>
        </w:rPr>
        <w:footnoteRef/>
      </w:r>
      <w:r>
        <w:t xml:space="preserve"> </w:t>
      </w:r>
      <w:r>
        <w:tab/>
        <w:t xml:space="preserve">Directive </w:t>
      </w:r>
      <w:hyperlink r:id="rId11" w:history="1">
        <w:r>
          <w:rPr>
            <w:rStyle w:val="Hyperlink"/>
          </w:rPr>
          <w:t>2014/26/EU</w:t>
        </w:r>
      </w:hyperlink>
      <w:r>
        <w:t>.</w:t>
      </w:r>
    </w:p>
  </w:footnote>
  <w:footnote w:id="9">
    <w:p w:rsidR="00E201F7" w:rsidRDefault="00E24EFF">
      <w:pPr>
        <w:pStyle w:val="FootnoteText"/>
      </w:pPr>
      <w:r>
        <w:rPr>
          <w:rStyle w:val="FootnoteReference"/>
        </w:rPr>
        <w:footnoteRef/>
      </w:r>
      <w:r>
        <w:t xml:space="preserve"> </w:t>
      </w:r>
      <w:r>
        <w:tab/>
        <w:t xml:space="preserve">Directive </w:t>
      </w:r>
      <w:hyperlink r:id="rId12" w:history="1">
        <w:r>
          <w:rPr>
            <w:rStyle w:val="Hyperlink"/>
          </w:rPr>
          <w:t>2002/21/EC</w:t>
        </w:r>
      </w:hyperlink>
      <w:r>
        <w:t>,</w:t>
      </w:r>
      <w:r>
        <w:rPr>
          <w:sz w:val="22"/>
        </w:rPr>
        <w:t xml:space="preserve"> </w:t>
      </w:r>
      <w:hyperlink r:id="rId13" w:history="1">
        <w:r>
          <w:rPr>
            <w:rStyle w:val="Hyperlink"/>
          </w:rPr>
          <w:t>MEMO/17</w:t>
        </w:r>
        <w:r>
          <w:rPr>
            <w:rStyle w:val="Hyperlink"/>
          </w:rPr>
          <w:t>/3494</w:t>
        </w:r>
      </w:hyperlink>
      <w:r>
        <w:t>.</w:t>
      </w:r>
    </w:p>
  </w:footnote>
  <w:footnote w:id="10">
    <w:p w:rsidR="00E201F7" w:rsidRDefault="00E24EFF">
      <w:pPr>
        <w:pStyle w:val="FootnoteText"/>
      </w:pPr>
      <w:r>
        <w:rPr>
          <w:rStyle w:val="FootnoteReference"/>
        </w:rPr>
        <w:footnoteRef/>
      </w:r>
      <w:r>
        <w:t xml:space="preserve"> </w:t>
      </w:r>
      <w:r>
        <w:tab/>
        <w:t xml:space="preserve">Directive </w:t>
      </w:r>
      <w:hyperlink r:id="rId14" w:history="1">
        <w:r>
          <w:rPr>
            <w:rStyle w:val="Hyperlink"/>
          </w:rPr>
          <w:t>93/83/CEE</w:t>
        </w:r>
      </w:hyperlink>
      <w:r>
        <w:t>.</w:t>
      </w:r>
    </w:p>
  </w:footnote>
  <w:footnote w:id="11">
    <w:p w:rsidR="00E201F7" w:rsidRDefault="00E24EFF">
      <w:pPr>
        <w:pStyle w:val="FootnoteText"/>
      </w:pPr>
      <w:r>
        <w:rPr>
          <w:rStyle w:val="FootnoteReference"/>
        </w:rPr>
        <w:footnoteRef/>
      </w:r>
      <w:r>
        <w:t xml:space="preserve"> </w:t>
      </w:r>
      <w:r>
        <w:tab/>
        <w:t xml:space="preserve">Directive </w:t>
      </w:r>
      <w:hyperlink r:id="rId15" w:history="1">
        <w:r>
          <w:rPr>
            <w:rStyle w:val="Hyperlink"/>
          </w:rPr>
          <w:t>2014/26/EU</w:t>
        </w:r>
      </w:hyperlink>
      <w:r>
        <w:t>.</w:t>
      </w:r>
    </w:p>
  </w:footnote>
  <w:footnote w:id="12">
    <w:p w:rsidR="00E201F7" w:rsidRDefault="00E24EFF">
      <w:pPr>
        <w:pStyle w:val="FootnoteText"/>
      </w:pPr>
      <w:r>
        <w:rPr>
          <w:rStyle w:val="FootnoteReference"/>
        </w:rPr>
        <w:footnoteRef/>
      </w:r>
      <w:r>
        <w:t xml:space="preserve"> </w:t>
      </w:r>
      <w:r>
        <w:tab/>
        <w:t xml:space="preserve">Regulation </w:t>
      </w:r>
      <w:hyperlink r:id="rId16" w:history="1">
        <w:r>
          <w:rPr>
            <w:rStyle w:val="Hyperlink"/>
          </w:rPr>
          <w:t>910/2014/EU</w:t>
        </w:r>
      </w:hyperlink>
      <w:r>
        <w:t xml:space="preserve">, </w:t>
      </w:r>
      <w:hyperlink r:id="rId17" w:history="1">
        <w:r>
          <w:rPr>
            <w:rStyle w:val="Hyperlink"/>
          </w:rPr>
          <w:t>MEMO/17/3494</w:t>
        </w:r>
      </w:hyperlink>
      <w:r>
        <w:t>.</w:t>
      </w:r>
    </w:p>
  </w:footnote>
  <w:footnote w:id="13">
    <w:p w:rsidR="00E201F7" w:rsidRDefault="00E24EFF">
      <w:pPr>
        <w:pStyle w:val="FootnoteText"/>
      </w:pPr>
      <w:r>
        <w:rPr>
          <w:rStyle w:val="FootnoteReference"/>
        </w:rPr>
        <w:footnoteRef/>
      </w:r>
      <w:r>
        <w:t xml:space="preserve"> </w:t>
      </w:r>
      <w:r>
        <w:tab/>
        <w:t xml:space="preserve">Directive </w:t>
      </w:r>
      <w:hyperlink r:id="rId18" w:history="1">
        <w:r>
          <w:rPr>
            <w:rStyle w:val="Hyperlink"/>
          </w:rPr>
          <w:t>2014/61/EU</w:t>
        </w:r>
      </w:hyperlink>
      <w:r>
        <w:t xml:space="preserve">, Commission v Belgium, </w:t>
      </w:r>
      <w:hyperlink r:id="rId19" w:history="1">
        <w:r>
          <w:rPr>
            <w:rStyle w:val="Hyperlink"/>
          </w:rPr>
          <w:t>C-543/17</w:t>
        </w:r>
      </w:hyperlink>
      <w:r>
        <w:t xml:space="preserve">; </w:t>
      </w:r>
      <w:hyperlink r:id="rId20" w:history="1">
        <w:r>
          <w:rPr>
            <w:rStyle w:val="Hyperlink"/>
          </w:rPr>
          <w:t>IP/17/1937</w:t>
        </w:r>
      </w:hyperlink>
      <w:r>
        <w:t>.</w:t>
      </w:r>
    </w:p>
  </w:footnote>
  <w:footnote w:id="14">
    <w:p w:rsidR="00E201F7" w:rsidRDefault="00E24EFF">
      <w:pPr>
        <w:pStyle w:val="FootnoteText"/>
      </w:pPr>
      <w:r>
        <w:rPr>
          <w:rStyle w:val="FootnoteReference"/>
        </w:rPr>
        <w:footnoteRef/>
      </w:r>
      <w:r>
        <w:t xml:space="preserve"> </w:t>
      </w:r>
      <w:r>
        <w:tab/>
        <w:t xml:space="preserve">Directive </w:t>
      </w:r>
      <w:hyperlink r:id="rId21" w:history="1">
        <w:r>
          <w:rPr>
            <w:rStyle w:val="Hyperlink"/>
          </w:rPr>
          <w:t>2007/65/EC</w:t>
        </w:r>
      </w:hyperlink>
      <w:r>
        <w:t xml:space="preserve"> amending Directive </w:t>
      </w:r>
      <w:hyperlink r:id="rId22" w:history="1">
        <w:r>
          <w:rPr>
            <w:rStyle w:val="Hyperlink"/>
          </w:rPr>
          <w:t>89/552/EEC</w:t>
        </w:r>
      </w:hyperlink>
      <w:r>
        <w:t>.</w:t>
      </w:r>
    </w:p>
  </w:footnote>
  <w:footnote w:id="15">
    <w:p w:rsidR="00E201F7" w:rsidRDefault="00E24EFF">
      <w:pPr>
        <w:pStyle w:val="FootnoteText"/>
      </w:pPr>
      <w:r>
        <w:rPr>
          <w:rStyle w:val="FootnoteReference"/>
        </w:rPr>
        <w:footnoteRef/>
      </w:r>
      <w:r>
        <w:t xml:space="preserve"> </w:t>
      </w:r>
      <w:r>
        <w:tab/>
        <w:t xml:space="preserve">Directive </w:t>
      </w:r>
      <w:hyperlink r:id="rId23" w:history="1">
        <w:r>
          <w:rPr>
            <w:rStyle w:val="Hyperlink"/>
          </w:rPr>
          <w:t>2001/29/EC</w:t>
        </w:r>
      </w:hyperlink>
      <w:r>
        <w:t>.</w:t>
      </w:r>
    </w:p>
  </w:footnote>
  <w:footnote w:id="16">
    <w:p w:rsidR="00E201F7" w:rsidRDefault="00E24EFF">
      <w:pPr>
        <w:pStyle w:val="FootnoteText"/>
      </w:pPr>
      <w:r>
        <w:rPr>
          <w:rStyle w:val="FootnoteReference"/>
        </w:rPr>
        <w:footnoteRef/>
      </w:r>
      <w:r>
        <w:t xml:space="preserve"> </w:t>
      </w:r>
      <w:r>
        <w:tab/>
        <w:t xml:space="preserve">Directive </w:t>
      </w:r>
      <w:hyperlink r:id="rId24" w:history="1">
        <w:r>
          <w:rPr>
            <w:rStyle w:val="Hyperlink"/>
          </w:rPr>
          <w:t>2001/29/EC</w:t>
        </w:r>
      </w:hyperlink>
      <w:r>
        <w:t>.</w:t>
      </w:r>
    </w:p>
  </w:footnote>
  <w:footnote w:id="17">
    <w:p w:rsidR="00E201F7" w:rsidRDefault="00E24EFF">
      <w:pPr>
        <w:pStyle w:val="FootnoteText"/>
      </w:pPr>
      <w:r>
        <w:rPr>
          <w:rStyle w:val="FootnoteReference"/>
        </w:rPr>
        <w:footnoteRef/>
      </w:r>
      <w:r>
        <w:t xml:space="preserve"> </w:t>
      </w:r>
      <w:r>
        <w:tab/>
        <w:t>VCAST Limited v RTI SpA,</w:t>
      </w:r>
      <w:hyperlink r:id="rId25" w:history="1">
        <w:r>
          <w:rPr>
            <w:rStyle w:val="Hyperlink"/>
          </w:rPr>
          <w:t>C-265/16</w:t>
        </w:r>
      </w:hyperlink>
      <w:r>
        <w:t>.</w:t>
      </w:r>
    </w:p>
  </w:footnote>
  <w:footnote w:id="18">
    <w:p w:rsidR="00E201F7" w:rsidRDefault="00E24EFF">
      <w:pPr>
        <w:pStyle w:val="FootnoteText"/>
      </w:pPr>
      <w:r>
        <w:rPr>
          <w:rStyle w:val="FootnoteReference"/>
        </w:rPr>
        <w:footnoteRef/>
      </w:r>
      <w:r>
        <w:t xml:space="preserve"> </w:t>
      </w:r>
      <w:r>
        <w:tab/>
        <w:t xml:space="preserve">Stichting Brein v </w:t>
      </w:r>
      <w:r>
        <w:t xml:space="preserve">Ziggo BV and XS4All Internet BV, </w:t>
      </w:r>
      <w:hyperlink r:id="rId26" w:history="1">
        <w:r>
          <w:rPr>
            <w:rStyle w:val="Hyperlink"/>
          </w:rPr>
          <w:t>C-610/15</w:t>
        </w:r>
      </w:hyperlink>
      <w:r>
        <w:t>.</w:t>
      </w:r>
    </w:p>
  </w:footnote>
  <w:footnote w:id="19">
    <w:p w:rsidR="00E201F7" w:rsidRDefault="00E24EFF">
      <w:pPr>
        <w:pStyle w:val="FootnoteText"/>
        <w:rPr>
          <w:lang w:val="nl-NL"/>
        </w:rPr>
      </w:pPr>
      <w:r>
        <w:rPr>
          <w:rStyle w:val="FootnoteReference"/>
        </w:rPr>
        <w:footnoteRef/>
      </w:r>
      <w:r>
        <w:rPr>
          <w:lang w:val="nl-NL"/>
        </w:rPr>
        <w:t xml:space="preserve"> </w:t>
      </w:r>
      <w:r>
        <w:rPr>
          <w:lang w:val="nl-NL"/>
        </w:rPr>
        <w:tab/>
        <w:t xml:space="preserve">Directive </w:t>
      </w:r>
      <w:hyperlink r:id="rId27" w:history="1">
        <w:r>
          <w:rPr>
            <w:rStyle w:val="Hyperlink"/>
            <w:lang w:val="nl-NL"/>
          </w:rPr>
          <w:t>2002/19/EC</w:t>
        </w:r>
      </w:hyperlink>
      <w:r>
        <w:rPr>
          <w:lang w:val="nl-NL"/>
        </w:rPr>
        <w:t xml:space="preserve">; Polkomtel sp. z o.o., </w:t>
      </w:r>
      <w:hyperlink r:id="rId28" w:history="1">
        <w:r>
          <w:rPr>
            <w:rStyle w:val="Hyperlink"/>
            <w:lang w:val="nl-NL"/>
          </w:rPr>
          <w:t>C-277/16</w:t>
        </w:r>
      </w:hyperlink>
      <w:r>
        <w:rPr>
          <w:lang w:val="nl-NL"/>
        </w:rPr>
        <w:t>.</w:t>
      </w:r>
    </w:p>
  </w:footnote>
  <w:footnote w:id="20">
    <w:p w:rsidR="00E201F7" w:rsidRDefault="00E24EFF">
      <w:pPr>
        <w:pStyle w:val="FootnoteText"/>
        <w:rPr>
          <w:lang w:val="nl-NL"/>
        </w:rPr>
      </w:pPr>
      <w:r>
        <w:rPr>
          <w:rStyle w:val="FootnoteReference"/>
        </w:rPr>
        <w:footnoteRef/>
      </w:r>
      <w:r>
        <w:rPr>
          <w:lang w:val="nl-NL"/>
        </w:rPr>
        <w:t xml:space="preserve"> </w:t>
      </w:r>
      <w:r>
        <w:rPr>
          <w:lang w:val="nl-NL"/>
        </w:rPr>
        <w:tab/>
        <w:t xml:space="preserve">Directive </w:t>
      </w:r>
      <w:hyperlink r:id="rId29" w:history="1">
        <w:r>
          <w:rPr>
            <w:rStyle w:val="Hyperlink"/>
            <w:lang w:val="nl-NL"/>
          </w:rPr>
          <w:t>2014/112/EU</w:t>
        </w:r>
      </w:hyperlink>
      <w:r>
        <w:rPr>
          <w:lang w:val="nl-NL"/>
        </w:rPr>
        <w:t>.</w:t>
      </w:r>
    </w:p>
  </w:footnote>
  <w:footnote w:id="21">
    <w:p w:rsidR="00E201F7" w:rsidRDefault="00E24EFF">
      <w:pPr>
        <w:pStyle w:val="FootnoteText"/>
        <w:rPr>
          <w:lang w:val="nl-NL"/>
        </w:rPr>
      </w:pPr>
      <w:r>
        <w:rPr>
          <w:rStyle w:val="FootnoteReference"/>
        </w:rPr>
        <w:footnoteRef/>
      </w:r>
      <w:r>
        <w:rPr>
          <w:lang w:val="nl-NL"/>
        </w:rPr>
        <w:t xml:space="preserve"> </w:t>
      </w:r>
      <w:r>
        <w:rPr>
          <w:lang w:val="nl-NL"/>
        </w:rPr>
        <w:tab/>
        <w:t xml:space="preserve">Directive </w:t>
      </w:r>
      <w:hyperlink r:id="rId30" w:history="1">
        <w:r>
          <w:rPr>
            <w:rStyle w:val="Hyperlink"/>
            <w:lang w:val="nl-NL"/>
          </w:rPr>
          <w:t>2015/1794/EU</w:t>
        </w:r>
      </w:hyperlink>
      <w:r>
        <w:rPr>
          <w:lang w:val="nl-NL"/>
        </w:rPr>
        <w:t>.</w:t>
      </w:r>
    </w:p>
  </w:footnote>
  <w:footnote w:id="22">
    <w:p w:rsidR="00E201F7" w:rsidRDefault="00E24EFF">
      <w:pPr>
        <w:pStyle w:val="FootnoteText"/>
        <w:rPr>
          <w:lang w:val="nl-NL"/>
        </w:rPr>
      </w:pPr>
      <w:r>
        <w:rPr>
          <w:rStyle w:val="FootnoteReference"/>
        </w:rPr>
        <w:footnoteRef/>
      </w:r>
      <w:r>
        <w:rPr>
          <w:lang w:val="nl-NL"/>
        </w:rPr>
        <w:t xml:space="preserve"> </w:t>
      </w:r>
      <w:r>
        <w:rPr>
          <w:lang w:val="nl-NL"/>
        </w:rPr>
        <w:tab/>
        <w:t xml:space="preserve">Directive </w:t>
      </w:r>
      <w:hyperlink r:id="rId31" w:history="1">
        <w:r>
          <w:rPr>
            <w:rStyle w:val="Hyperlink"/>
            <w:lang w:val="nl-NL"/>
          </w:rPr>
          <w:t>2015/1794/EU</w:t>
        </w:r>
      </w:hyperlink>
      <w:r>
        <w:rPr>
          <w:lang w:val="nl-NL"/>
        </w:rPr>
        <w:t>.</w:t>
      </w:r>
    </w:p>
  </w:footnote>
  <w:footnote w:id="23">
    <w:p w:rsidR="00E201F7" w:rsidRDefault="00E24EFF">
      <w:pPr>
        <w:pStyle w:val="FootnoteText"/>
        <w:rPr>
          <w:lang w:val="nl-NL"/>
        </w:rPr>
      </w:pPr>
      <w:r>
        <w:rPr>
          <w:rStyle w:val="FootnoteReference"/>
        </w:rPr>
        <w:footnoteRef/>
      </w:r>
      <w:r>
        <w:rPr>
          <w:lang w:val="nl-NL"/>
        </w:rPr>
        <w:t xml:space="preserve"> </w:t>
      </w:r>
      <w:r>
        <w:rPr>
          <w:lang w:val="nl-NL"/>
        </w:rPr>
        <w:tab/>
        <w:t xml:space="preserve">Directive </w:t>
      </w:r>
      <w:hyperlink r:id="rId32" w:history="1">
        <w:r>
          <w:rPr>
            <w:rStyle w:val="Hyperlink"/>
            <w:lang w:val="nl-NL"/>
          </w:rPr>
          <w:t>2014/112/EU</w:t>
        </w:r>
      </w:hyperlink>
      <w:r>
        <w:rPr>
          <w:lang w:val="nl-NL"/>
        </w:rPr>
        <w:t>.</w:t>
      </w:r>
    </w:p>
  </w:footnote>
  <w:footnote w:id="24">
    <w:p w:rsidR="00E201F7" w:rsidRDefault="00E24EFF">
      <w:pPr>
        <w:pStyle w:val="FootnoteText"/>
        <w:rPr>
          <w:lang w:val="nl-NL"/>
        </w:rPr>
      </w:pPr>
      <w:r>
        <w:rPr>
          <w:rStyle w:val="FootnoteReference"/>
        </w:rPr>
        <w:footnoteRef/>
      </w:r>
      <w:r>
        <w:rPr>
          <w:lang w:val="nl-NL"/>
        </w:rPr>
        <w:t xml:space="preserve"> </w:t>
      </w:r>
      <w:r>
        <w:rPr>
          <w:lang w:val="nl-NL"/>
        </w:rPr>
        <w:tab/>
        <w:t xml:space="preserve">Directive </w:t>
      </w:r>
      <w:hyperlink r:id="rId33" w:history="1">
        <w:r>
          <w:rPr>
            <w:rStyle w:val="Hyperlink"/>
            <w:lang w:val="nl-NL"/>
          </w:rPr>
          <w:t>2003/88/EC</w:t>
        </w:r>
      </w:hyperlink>
      <w:r>
        <w:rPr>
          <w:lang w:val="nl-NL"/>
        </w:rPr>
        <w:t>.</w:t>
      </w:r>
    </w:p>
  </w:footnote>
  <w:footnote w:id="25">
    <w:p w:rsidR="00E201F7" w:rsidRDefault="00E24EFF">
      <w:pPr>
        <w:pStyle w:val="FootnoteText"/>
        <w:rPr>
          <w:lang w:val="nl-NL"/>
        </w:rPr>
      </w:pPr>
      <w:r>
        <w:rPr>
          <w:rStyle w:val="FootnoteReference"/>
        </w:rPr>
        <w:footnoteRef/>
      </w:r>
      <w:r>
        <w:rPr>
          <w:lang w:val="nl-NL"/>
        </w:rPr>
        <w:t xml:space="preserve"> </w:t>
      </w:r>
      <w:r>
        <w:rPr>
          <w:lang w:val="nl-NL"/>
        </w:rPr>
        <w:tab/>
        <w:t xml:space="preserve">Directive </w:t>
      </w:r>
      <w:hyperlink r:id="rId34" w:history="1">
        <w:r>
          <w:rPr>
            <w:rStyle w:val="Hyperlink"/>
            <w:lang w:val="nl-NL"/>
          </w:rPr>
          <w:t>2003/88/EC</w:t>
        </w:r>
      </w:hyperlink>
      <w:r>
        <w:rPr>
          <w:lang w:val="nl-NL"/>
        </w:rPr>
        <w:t>.</w:t>
      </w:r>
    </w:p>
  </w:footnote>
  <w:footnote w:id="26">
    <w:p w:rsidR="00E201F7" w:rsidRDefault="00E24EFF">
      <w:pPr>
        <w:pStyle w:val="FootnoteText"/>
        <w:rPr>
          <w:lang w:val="nl-NL"/>
        </w:rPr>
      </w:pPr>
      <w:r>
        <w:rPr>
          <w:rStyle w:val="FootnoteReference"/>
        </w:rPr>
        <w:footnoteRef/>
      </w:r>
      <w:r>
        <w:rPr>
          <w:lang w:val="nl-NL"/>
        </w:rPr>
        <w:t xml:space="preserve"> </w:t>
      </w:r>
      <w:r>
        <w:rPr>
          <w:lang w:val="nl-NL"/>
        </w:rPr>
        <w:tab/>
        <w:t xml:space="preserve">Directive </w:t>
      </w:r>
      <w:hyperlink r:id="rId35" w:history="1">
        <w:r>
          <w:rPr>
            <w:rStyle w:val="Hyperlink"/>
            <w:lang w:val="nl-NL"/>
          </w:rPr>
          <w:t>2003/88/EC</w:t>
        </w:r>
      </w:hyperlink>
      <w:r>
        <w:rPr>
          <w:lang w:val="nl-NL"/>
        </w:rPr>
        <w:t>.</w:t>
      </w:r>
    </w:p>
  </w:footnote>
  <w:footnote w:id="27">
    <w:p w:rsidR="00E201F7" w:rsidRDefault="00E24EFF">
      <w:pPr>
        <w:pStyle w:val="FootnoteText"/>
        <w:rPr>
          <w:lang w:val="nl-NL"/>
        </w:rPr>
      </w:pPr>
      <w:r>
        <w:rPr>
          <w:rStyle w:val="FootnoteReference"/>
        </w:rPr>
        <w:footnoteRef/>
      </w:r>
      <w:r>
        <w:rPr>
          <w:lang w:val="nl-NL"/>
        </w:rPr>
        <w:t xml:space="preserve"> </w:t>
      </w:r>
      <w:r>
        <w:rPr>
          <w:lang w:val="nl-NL"/>
        </w:rPr>
        <w:tab/>
        <w:t xml:space="preserve">Erzberger, </w:t>
      </w:r>
      <w:hyperlink r:id="rId36" w:history="1">
        <w:r>
          <w:rPr>
            <w:rStyle w:val="Hyperlink"/>
            <w:lang w:val="nl-NL"/>
          </w:rPr>
          <w:t>C-566/15</w:t>
        </w:r>
      </w:hyperlink>
      <w:r>
        <w:rPr>
          <w:lang w:val="nl-NL"/>
        </w:rPr>
        <w:t>.</w:t>
      </w:r>
    </w:p>
  </w:footnote>
  <w:footnote w:id="28">
    <w:p w:rsidR="00E201F7" w:rsidRDefault="00E24EFF">
      <w:pPr>
        <w:pStyle w:val="FootnoteText"/>
        <w:rPr>
          <w:lang w:val="nl-NL"/>
        </w:rPr>
      </w:pPr>
      <w:r>
        <w:rPr>
          <w:rStyle w:val="FootnoteReference"/>
        </w:rPr>
        <w:footnoteRef/>
      </w:r>
      <w:r>
        <w:rPr>
          <w:lang w:val="nl-NL"/>
        </w:rPr>
        <w:t xml:space="preserve"> </w:t>
      </w:r>
      <w:r>
        <w:rPr>
          <w:lang w:val="nl-NL"/>
        </w:rPr>
        <w:tab/>
        <w:t xml:space="preserve">Directive </w:t>
      </w:r>
      <w:hyperlink r:id="rId37" w:history="1">
        <w:r>
          <w:rPr>
            <w:rStyle w:val="Hyperlink"/>
            <w:lang w:val="nl-NL"/>
          </w:rPr>
          <w:t>1999/70/EC</w:t>
        </w:r>
      </w:hyperlink>
      <w:r>
        <w:rPr>
          <w:lang w:val="nl-NL"/>
        </w:rPr>
        <w:t>.</w:t>
      </w:r>
    </w:p>
  </w:footnote>
  <w:footnote w:id="29">
    <w:p w:rsidR="00E201F7" w:rsidRDefault="00E24EFF">
      <w:pPr>
        <w:pStyle w:val="FootnoteText"/>
        <w:rPr>
          <w:lang w:val="nl-NL"/>
        </w:rPr>
      </w:pPr>
      <w:r>
        <w:rPr>
          <w:rStyle w:val="FootnoteReference"/>
        </w:rPr>
        <w:footnoteRef/>
      </w:r>
      <w:r>
        <w:rPr>
          <w:lang w:val="nl-NL"/>
        </w:rPr>
        <w:t xml:space="preserve"> </w:t>
      </w:r>
      <w:r>
        <w:rPr>
          <w:lang w:val="nl-NL"/>
        </w:rPr>
        <w:tab/>
        <w:t xml:space="preserve">Vega Gonzalez, </w:t>
      </w:r>
      <w:hyperlink r:id="rId38" w:history="1">
        <w:r>
          <w:rPr>
            <w:rStyle w:val="Hyperlink"/>
            <w:lang w:val="nl-NL"/>
          </w:rPr>
          <w:t>C-158/16</w:t>
        </w:r>
      </w:hyperlink>
      <w:r>
        <w:rPr>
          <w:lang w:val="nl-NL"/>
        </w:rPr>
        <w:t>.</w:t>
      </w:r>
    </w:p>
  </w:footnote>
  <w:footnote w:id="30">
    <w:p w:rsidR="00E201F7" w:rsidRDefault="00E24EFF">
      <w:pPr>
        <w:pStyle w:val="FootnoteText"/>
      </w:pPr>
      <w:r>
        <w:rPr>
          <w:rStyle w:val="FootnoteReference"/>
        </w:rPr>
        <w:footnoteRef/>
      </w:r>
      <w:r>
        <w:t xml:space="preserve"> </w:t>
      </w:r>
      <w:r>
        <w:tab/>
        <w:t xml:space="preserve">Regulation (EC) No </w:t>
      </w:r>
      <w:hyperlink r:id="rId39" w:history="1">
        <w:r>
          <w:rPr>
            <w:rStyle w:val="Hyperlink"/>
          </w:rPr>
          <w:t>883/2004</w:t>
        </w:r>
      </w:hyperlink>
      <w:r>
        <w:t>.</w:t>
      </w:r>
    </w:p>
  </w:footnote>
  <w:footnote w:id="31">
    <w:p w:rsidR="00E201F7" w:rsidRDefault="00E24EFF">
      <w:pPr>
        <w:pStyle w:val="FootnoteText"/>
      </w:pPr>
      <w:r>
        <w:rPr>
          <w:rStyle w:val="FootnoteReference"/>
        </w:rPr>
        <w:footnoteRef/>
      </w:r>
      <w:r>
        <w:t xml:space="preserve"> </w:t>
      </w:r>
      <w:r>
        <w:tab/>
        <w:t xml:space="preserve">A-ROSA, </w:t>
      </w:r>
      <w:hyperlink r:id="rId40" w:history="1">
        <w:r>
          <w:rPr>
            <w:rStyle w:val="Hyperlink"/>
          </w:rPr>
          <w:t>C-620/15</w:t>
        </w:r>
      </w:hyperlink>
      <w:r>
        <w:t>.</w:t>
      </w:r>
    </w:p>
  </w:footnote>
  <w:footnote w:id="32">
    <w:p w:rsidR="00E201F7" w:rsidRDefault="00E24EFF">
      <w:pPr>
        <w:pStyle w:val="FootnoteText"/>
      </w:pPr>
      <w:r>
        <w:rPr>
          <w:rStyle w:val="FootnoteReference"/>
        </w:rPr>
        <w:footnoteRef/>
      </w:r>
      <w:r>
        <w:t xml:space="preserve"> </w:t>
      </w:r>
      <w:r>
        <w:tab/>
        <w:t xml:space="preserve">Directive </w:t>
      </w:r>
      <w:hyperlink r:id="rId41" w:history="1">
        <w:r>
          <w:rPr>
            <w:rStyle w:val="Hyperlink"/>
          </w:rPr>
          <w:t>2001/23/EC</w:t>
        </w:r>
      </w:hyperlink>
      <w:r>
        <w:t>.</w:t>
      </w:r>
    </w:p>
  </w:footnote>
  <w:footnote w:id="33">
    <w:p w:rsidR="00E201F7" w:rsidRDefault="00E24EFF">
      <w:pPr>
        <w:pStyle w:val="FootnoteText"/>
      </w:pPr>
      <w:r>
        <w:rPr>
          <w:rStyle w:val="FootnoteReference"/>
        </w:rPr>
        <w:footnoteRef/>
      </w:r>
      <w:r>
        <w:t xml:space="preserve"> </w:t>
      </w:r>
      <w:r>
        <w:tab/>
        <w:t xml:space="preserve">Smallsteps, </w:t>
      </w:r>
      <w:hyperlink r:id="rId42" w:history="1">
        <w:r>
          <w:rPr>
            <w:rStyle w:val="Hyperlink"/>
          </w:rPr>
          <w:t>C-126/16</w:t>
        </w:r>
      </w:hyperlink>
      <w:r>
        <w:t>.</w:t>
      </w:r>
    </w:p>
  </w:footnote>
  <w:footnote w:id="34">
    <w:p w:rsidR="00E201F7" w:rsidRDefault="00E24EFF">
      <w:pPr>
        <w:pStyle w:val="FootnoteText"/>
      </w:pPr>
      <w:r>
        <w:rPr>
          <w:rStyle w:val="FootnoteReference"/>
        </w:rPr>
        <w:footnoteRef/>
      </w:r>
      <w:r>
        <w:t xml:space="preserve"> </w:t>
      </w:r>
      <w:r>
        <w:tab/>
        <w:t xml:space="preserve">Directive </w:t>
      </w:r>
      <w:hyperlink r:id="rId43" w:history="1">
        <w:r>
          <w:rPr>
            <w:rStyle w:val="Hyperlink"/>
          </w:rPr>
          <w:t>1998/59/EC</w:t>
        </w:r>
      </w:hyperlink>
      <w:r>
        <w:t>.</w:t>
      </w:r>
    </w:p>
  </w:footnote>
  <w:footnote w:id="35">
    <w:p w:rsidR="00E201F7" w:rsidRDefault="00E24EFF">
      <w:pPr>
        <w:pStyle w:val="FootnoteText"/>
        <w:rPr>
          <w:lang w:val="pt-PT"/>
        </w:rPr>
      </w:pPr>
      <w:r>
        <w:rPr>
          <w:rStyle w:val="FootnoteReference"/>
        </w:rPr>
        <w:footnoteRef/>
      </w:r>
      <w:r>
        <w:rPr>
          <w:lang w:val="pt-PT"/>
        </w:rPr>
        <w:t xml:space="preserve"> </w:t>
      </w:r>
      <w:r>
        <w:rPr>
          <w:lang w:val="pt-PT"/>
        </w:rPr>
        <w:tab/>
        <w:t xml:space="preserve">Socha, </w:t>
      </w:r>
      <w:hyperlink r:id="rId44" w:history="1">
        <w:r>
          <w:rPr>
            <w:rStyle w:val="Hyperlink"/>
            <w:lang w:val="pt-PT"/>
          </w:rPr>
          <w:t>C-149/16</w:t>
        </w:r>
      </w:hyperlink>
      <w:r>
        <w:rPr>
          <w:lang w:val="pt-PT"/>
        </w:rPr>
        <w:t xml:space="preserve"> and Ciupa, </w:t>
      </w:r>
      <w:hyperlink r:id="rId45" w:history="1">
        <w:r>
          <w:rPr>
            <w:rStyle w:val="Hyperlink"/>
            <w:lang w:val="pt-PT"/>
          </w:rPr>
          <w:t>C-429/16</w:t>
        </w:r>
      </w:hyperlink>
      <w:r>
        <w:rPr>
          <w:lang w:val="pt-PT"/>
        </w:rPr>
        <w:t>.</w:t>
      </w:r>
    </w:p>
  </w:footnote>
  <w:footnote w:id="36">
    <w:p w:rsidR="00E201F7" w:rsidRDefault="00E24EFF">
      <w:pPr>
        <w:pStyle w:val="FootnoteText"/>
        <w:rPr>
          <w:lang w:val="pt-PT"/>
        </w:rPr>
      </w:pPr>
      <w:r>
        <w:rPr>
          <w:rStyle w:val="FootnoteReference"/>
        </w:rPr>
        <w:footnoteRef/>
      </w:r>
      <w:r>
        <w:rPr>
          <w:lang w:val="pt-PT"/>
        </w:rPr>
        <w:t xml:space="preserve"> </w:t>
      </w:r>
      <w:r>
        <w:rPr>
          <w:lang w:val="pt-PT"/>
        </w:rPr>
        <w:tab/>
        <w:t xml:space="preserve">Maio Marques da Rosa, </w:t>
      </w:r>
      <w:hyperlink r:id="rId46" w:history="1">
        <w:r>
          <w:rPr>
            <w:rStyle w:val="Hyperlink"/>
            <w:lang w:val="pt-PT"/>
          </w:rPr>
          <w:t>C-306/16</w:t>
        </w:r>
      </w:hyperlink>
      <w:r>
        <w:rPr>
          <w:lang w:val="pt-PT"/>
        </w:rPr>
        <w:t>.</w:t>
      </w:r>
    </w:p>
  </w:footnote>
  <w:footnote w:id="37">
    <w:p w:rsidR="00E201F7" w:rsidRDefault="00E24EFF">
      <w:pPr>
        <w:pStyle w:val="FootnoteText"/>
      </w:pPr>
      <w:r>
        <w:rPr>
          <w:rStyle w:val="FootnoteReference"/>
        </w:rPr>
        <w:footnoteRef/>
      </w:r>
      <w:r>
        <w:t xml:space="preserve"> </w:t>
      </w:r>
      <w:r>
        <w:tab/>
        <w:t xml:space="preserve">Regulation </w:t>
      </w:r>
      <w:hyperlink r:id="rId47" w:history="1">
        <w:r>
          <w:rPr>
            <w:rStyle w:val="Hyperlink"/>
          </w:rPr>
          <w:t>(EC) No 883/2004</w:t>
        </w:r>
      </w:hyperlink>
      <w:r>
        <w:t>.</w:t>
      </w:r>
    </w:p>
  </w:footnote>
  <w:footnote w:id="38">
    <w:p w:rsidR="00E201F7" w:rsidRDefault="00E24EFF">
      <w:pPr>
        <w:pStyle w:val="FootnoteText"/>
      </w:pPr>
      <w:r>
        <w:rPr>
          <w:rStyle w:val="FootnoteReference"/>
        </w:rPr>
        <w:footnoteRef/>
      </w:r>
      <w:r>
        <w:t xml:space="preserve"> </w:t>
      </w:r>
      <w:r>
        <w:tab/>
        <w:t xml:space="preserve">Szoja, </w:t>
      </w:r>
      <w:hyperlink r:id="rId48" w:history="1">
        <w:r>
          <w:rPr>
            <w:rStyle w:val="Hyperlink"/>
          </w:rPr>
          <w:t>C-89/16</w:t>
        </w:r>
      </w:hyperlink>
      <w:r>
        <w:t>.</w:t>
      </w:r>
    </w:p>
  </w:footnote>
  <w:footnote w:id="39">
    <w:p w:rsidR="00E201F7" w:rsidRDefault="00E24EFF">
      <w:pPr>
        <w:pStyle w:val="FootnoteText"/>
      </w:pPr>
      <w:r>
        <w:rPr>
          <w:rStyle w:val="FootnoteReference"/>
        </w:rPr>
        <w:footnoteRef/>
      </w:r>
      <w:r>
        <w:t xml:space="preserve"> </w:t>
      </w:r>
      <w:r>
        <w:tab/>
        <w:t xml:space="preserve">Directive </w:t>
      </w:r>
      <w:hyperlink r:id="rId49" w:history="1">
        <w:r>
          <w:rPr>
            <w:rStyle w:val="Hyperlink"/>
          </w:rPr>
          <w:t>2003/88/EC</w:t>
        </w:r>
      </w:hyperlink>
      <w:r>
        <w:t>.</w:t>
      </w:r>
    </w:p>
  </w:footnote>
  <w:footnote w:id="40">
    <w:p w:rsidR="00E201F7" w:rsidRDefault="00E24EFF">
      <w:pPr>
        <w:pStyle w:val="FootnoteText"/>
      </w:pPr>
      <w:r>
        <w:rPr>
          <w:rStyle w:val="FootnoteReference"/>
        </w:rPr>
        <w:footnoteRef/>
      </w:r>
      <w:r>
        <w:t xml:space="preserve"> </w:t>
      </w:r>
      <w:r>
        <w:tab/>
        <w:t xml:space="preserve">Persons caring for children in a </w:t>
      </w:r>
      <w:r>
        <w:t>family-like environment (in SOS Children’s villages, for example).</w:t>
      </w:r>
    </w:p>
  </w:footnote>
  <w:footnote w:id="41">
    <w:p w:rsidR="00E201F7" w:rsidRDefault="00E24EFF">
      <w:pPr>
        <w:pStyle w:val="FootnoteText"/>
      </w:pPr>
      <w:r>
        <w:rPr>
          <w:rStyle w:val="FootnoteReference"/>
        </w:rPr>
        <w:footnoteRef/>
      </w:r>
      <w:r>
        <w:t xml:space="preserve"> </w:t>
      </w:r>
      <w:r>
        <w:tab/>
        <w:t xml:space="preserve">Directive </w:t>
      </w:r>
      <w:hyperlink r:id="rId50" w:history="1">
        <w:r>
          <w:rPr>
            <w:rStyle w:val="Hyperlink"/>
          </w:rPr>
          <w:t>2003/88/EC</w:t>
        </w:r>
      </w:hyperlink>
      <w:r>
        <w:t xml:space="preserve"> and Hälvä, </w:t>
      </w:r>
      <w:hyperlink r:id="rId51" w:history="1">
        <w:r>
          <w:rPr>
            <w:rStyle w:val="Hyperlink"/>
          </w:rPr>
          <w:t>C-175/16</w:t>
        </w:r>
      </w:hyperlink>
      <w:r>
        <w:t>.</w:t>
      </w:r>
    </w:p>
  </w:footnote>
  <w:footnote w:id="42">
    <w:p w:rsidR="00E201F7" w:rsidRDefault="00E24EFF">
      <w:pPr>
        <w:pStyle w:val="FootnoteText"/>
      </w:pPr>
      <w:r>
        <w:rPr>
          <w:rStyle w:val="FootnoteReference"/>
        </w:rPr>
        <w:footnoteRef/>
      </w:r>
      <w:r>
        <w:t xml:space="preserve"> </w:t>
      </w:r>
      <w:r>
        <w:tab/>
        <w:t xml:space="preserve">Directive </w:t>
      </w:r>
      <w:hyperlink r:id="rId52" w:history="1">
        <w:r>
          <w:rPr>
            <w:rStyle w:val="Hyperlink"/>
          </w:rPr>
          <w:t>2003/88/EC</w:t>
        </w:r>
      </w:hyperlink>
      <w:r>
        <w:t>.</w:t>
      </w:r>
    </w:p>
  </w:footnote>
  <w:footnote w:id="43">
    <w:p w:rsidR="00E201F7" w:rsidRDefault="00E24EFF">
      <w:pPr>
        <w:pStyle w:val="FootnoteText"/>
      </w:pPr>
      <w:r>
        <w:rPr>
          <w:rStyle w:val="FootnoteReference"/>
        </w:rPr>
        <w:footnoteRef/>
      </w:r>
      <w:r>
        <w:t xml:space="preserve"> </w:t>
      </w:r>
      <w:r>
        <w:tab/>
        <w:t xml:space="preserve">King, </w:t>
      </w:r>
      <w:hyperlink r:id="rId53" w:history="1">
        <w:r>
          <w:rPr>
            <w:rStyle w:val="Hyperlink"/>
          </w:rPr>
          <w:t>C-214/16</w:t>
        </w:r>
      </w:hyperlink>
      <w:r>
        <w:t>.</w:t>
      </w:r>
    </w:p>
  </w:footnote>
  <w:footnote w:id="44">
    <w:p w:rsidR="00E201F7" w:rsidRDefault="00E24EFF">
      <w:pPr>
        <w:pStyle w:val="FootnoteText"/>
      </w:pPr>
      <w:r>
        <w:rPr>
          <w:rStyle w:val="FootnoteReference"/>
        </w:rPr>
        <w:footnoteRef/>
      </w:r>
      <w:r>
        <w:t xml:space="preserve"> </w:t>
      </w:r>
      <w:r>
        <w:tab/>
        <w:t xml:space="preserve">Directive </w:t>
      </w:r>
      <w:hyperlink r:id="rId54" w:history="1">
        <w:r>
          <w:rPr>
            <w:rStyle w:val="Hyperlink"/>
          </w:rPr>
          <w:t>2014/54/EU</w:t>
        </w:r>
      </w:hyperlink>
      <w:r>
        <w:t>.</w:t>
      </w:r>
    </w:p>
  </w:footnote>
  <w:footnote w:id="45">
    <w:p w:rsidR="00E201F7" w:rsidRDefault="00E24EFF">
      <w:pPr>
        <w:pStyle w:val="FootnoteText"/>
      </w:pPr>
      <w:r>
        <w:rPr>
          <w:rStyle w:val="FootnoteReference"/>
        </w:rPr>
        <w:footnoteRef/>
      </w:r>
      <w:r>
        <w:t xml:space="preserve"> </w:t>
      </w:r>
      <w:r>
        <w:tab/>
        <w:t xml:space="preserve">Directive </w:t>
      </w:r>
      <w:hyperlink r:id="rId55" w:history="1">
        <w:r>
          <w:rPr>
            <w:rStyle w:val="Hyperlink"/>
          </w:rPr>
          <w:t>2014/67/EU</w:t>
        </w:r>
      </w:hyperlink>
      <w:r>
        <w:t>.</w:t>
      </w:r>
    </w:p>
  </w:footnote>
  <w:footnote w:id="46">
    <w:p w:rsidR="00E201F7" w:rsidRDefault="00E24EFF">
      <w:pPr>
        <w:pStyle w:val="FootnoteText"/>
      </w:pPr>
      <w:r>
        <w:rPr>
          <w:rStyle w:val="FootnoteReference"/>
        </w:rPr>
        <w:footnoteRef/>
      </w:r>
      <w:r>
        <w:t xml:space="preserve"> </w:t>
      </w:r>
      <w:r>
        <w:tab/>
        <w:t xml:space="preserve">Regulation (EC) No </w:t>
      </w:r>
      <w:hyperlink r:id="rId56" w:history="1">
        <w:r>
          <w:rPr>
            <w:rStyle w:val="Hyperlink"/>
          </w:rPr>
          <w:t>1272/2008</w:t>
        </w:r>
      </w:hyperlink>
      <w:r>
        <w:rPr>
          <w:rStyle w:val="Hyperlink"/>
        </w:rPr>
        <w:t>.</w:t>
      </w:r>
    </w:p>
  </w:footnote>
  <w:footnote w:id="47">
    <w:p w:rsidR="00E201F7" w:rsidRDefault="00E24EFF">
      <w:pPr>
        <w:pStyle w:val="FootnoteText"/>
        <w:rPr>
          <w:highlight w:val="yellow"/>
        </w:rPr>
      </w:pPr>
      <w:r>
        <w:rPr>
          <w:rStyle w:val="FootnoteReference"/>
        </w:rPr>
        <w:footnoteRef/>
      </w:r>
      <w:r>
        <w:t xml:space="preserve"> </w:t>
      </w:r>
      <w:r>
        <w:tab/>
        <w:t xml:space="preserve">Directives </w:t>
      </w:r>
      <w:hyperlink r:id="rId57" w:history="1">
        <w:r>
          <w:rPr>
            <w:rStyle w:val="Hyperlink"/>
          </w:rPr>
          <w:t>92/58/EEC</w:t>
        </w:r>
      </w:hyperlink>
      <w:r>
        <w:t xml:space="preserve">, </w:t>
      </w:r>
      <w:hyperlink r:id="rId58" w:history="1">
        <w:r>
          <w:rPr>
            <w:rStyle w:val="Hyperlink"/>
          </w:rPr>
          <w:t>92/85/EEC</w:t>
        </w:r>
      </w:hyperlink>
      <w:hyperlink r:id="rId59" w:history="1">
        <w:r>
          <w:rPr>
            <w:rStyle w:val="Hyperlink"/>
          </w:rPr>
          <w:t>, 94/33/EC</w:t>
        </w:r>
      </w:hyperlink>
      <w:hyperlink r:id="rId60" w:history="1">
        <w:r>
          <w:rPr>
            <w:rStyle w:val="Hyperlink"/>
          </w:rPr>
          <w:t>, 98/24/EC</w:t>
        </w:r>
      </w:hyperlink>
      <w:r>
        <w:t xml:space="preserve"> and </w:t>
      </w:r>
      <w:hyperlink r:id="rId61" w:history="1">
        <w:r>
          <w:rPr>
            <w:rStyle w:val="Hyperlink"/>
          </w:rPr>
          <w:t>2004/37/EC</w:t>
        </w:r>
      </w:hyperlink>
      <w:r>
        <w:rPr>
          <w:rStyle w:val="Hyperlink"/>
        </w:rPr>
        <w:t>.</w:t>
      </w:r>
    </w:p>
  </w:footnote>
  <w:footnote w:id="48">
    <w:p w:rsidR="00E201F7" w:rsidRDefault="00E24EFF">
      <w:pPr>
        <w:pStyle w:val="FootnoteText"/>
      </w:pPr>
      <w:r>
        <w:rPr>
          <w:rStyle w:val="FootnoteReference"/>
        </w:rPr>
        <w:footnoteRef/>
      </w:r>
      <w:r>
        <w:t xml:space="preserve"> </w:t>
      </w:r>
      <w:r>
        <w:tab/>
        <w:t xml:space="preserve">Directive </w:t>
      </w:r>
      <w:hyperlink r:id="rId62" w:history="1">
        <w:r>
          <w:rPr>
            <w:rStyle w:val="Hyperlink"/>
          </w:rPr>
          <w:t>2014/50/EU</w:t>
        </w:r>
      </w:hyperlink>
      <w:r>
        <w:t>.</w:t>
      </w:r>
    </w:p>
  </w:footnote>
  <w:footnote w:id="49">
    <w:p w:rsidR="00E201F7" w:rsidRDefault="00E24EFF">
      <w:pPr>
        <w:pStyle w:val="FootnoteText"/>
      </w:pPr>
      <w:r>
        <w:rPr>
          <w:rStyle w:val="FootnoteReference"/>
        </w:rPr>
        <w:footnoteRef/>
      </w:r>
      <w:r>
        <w:t xml:space="preserve"> </w:t>
      </w:r>
      <w:r>
        <w:tab/>
        <w:t>Directive</w:t>
      </w:r>
      <w:r>
        <w:rPr>
          <w:color w:val="FF0000"/>
        </w:rPr>
        <w:t xml:space="preserve"> </w:t>
      </w:r>
      <w:hyperlink r:id="rId63" w:history="1">
        <w:r>
          <w:rPr>
            <w:rStyle w:val="Hyperlink"/>
          </w:rPr>
          <w:t>98/24/EC.</w:t>
        </w:r>
      </w:hyperlink>
    </w:p>
  </w:footnote>
  <w:footnote w:id="50">
    <w:p w:rsidR="00E201F7" w:rsidRDefault="00E24EFF">
      <w:pPr>
        <w:pStyle w:val="FootnoteText"/>
      </w:pPr>
      <w:r>
        <w:rPr>
          <w:rStyle w:val="FootnoteReference"/>
        </w:rPr>
        <w:footnoteRef/>
      </w:r>
      <w:r>
        <w:t xml:space="preserve"> </w:t>
      </w:r>
      <w:r>
        <w:tab/>
        <w:t xml:space="preserve">Directive </w:t>
      </w:r>
      <w:hyperlink r:id="rId64" w:history="1">
        <w:r>
          <w:rPr>
            <w:rStyle w:val="Hyperlink"/>
          </w:rPr>
          <w:t>2013/51/Euratom</w:t>
        </w:r>
      </w:hyperlink>
      <w:r>
        <w:t>.</w:t>
      </w:r>
    </w:p>
  </w:footnote>
  <w:footnote w:id="51">
    <w:p w:rsidR="00E201F7" w:rsidRDefault="00E24EFF">
      <w:pPr>
        <w:pStyle w:val="FootnoteText"/>
      </w:pPr>
      <w:r>
        <w:rPr>
          <w:rStyle w:val="FootnoteReference"/>
        </w:rPr>
        <w:footnoteRef/>
      </w:r>
      <w:r>
        <w:t xml:space="preserve"> </w:t>
      </w:r>
      <w:r>
        <w:tab/>
        <w:t xml:space="preserve">Directive </w:t>
      </w:r>
      <w:hyperlink r:id="rId65" w:history="1">
        <w:r>
          <w:rPr>
            <w:rStyle w:val="Hyperlink"/>
          </w:rPr>
          <w:t>2014/87/Euratom</w:t>
        </w:r>
      </w:hyperlink>
      <w:r>
        <w:t>.</w:t>
      </w:r>
    </w:p>
  </w:footnote>
  <w:footnote w:id="52">
    <w:p w:rsidR="00E201F7" w:rsidRDefault="00E24EFF">
      <w:pPr>
        <w:pStyle w:val="FootnoteText"/>
      </w:pPr>
      <w:r>
        <w:rPr>
          <w:rStyle w:val="FootnoteReference"/>
        </w:rPr>
        <w:footnoteRef/>
      </w:r>
      <w:r>
        <w:t xml:space="preserve"> </w:t>
      </w:r>
      <w:r>
        <w:tab/>
        <w:t xml:space="preserve">Directive </w:t>
      </w:r>
      <w:hyperlink r:id="rId66" w:history="1">
        <w:r>
          <w:rPr>
            <w:rStyle w:val="Hyperlink"/>
          </w:rPr>
          <w:t>2011/70/Euratom</w:t>
        </w:r>
      </w:hyperlink>
      <w:r>
        <w:t xml:space="preserve">, </w:t>
      </w:r>
      <w:hyperlink r:id="rId67" w:history="1">
        <w:r>
          <w:rPr>
            <w:rStyle w:val="Hyperlink"/>
          </w:rPr>
          <w:t>MEMO/17/1935</w:t>
        </w:r>
      </w:hyperlink>
      <w:r>
        <w:t>.</w:t>
      </w:r>
    </w:p>
  </w:footnote>
  <w:footnote w:id="53">
    <w:p w:rsidR="00E201F7" w:rsidRDefault="00E24EFF">
      <w:pPr>
        <w:pStyle w:val="FootnoteText"/>
      </w:pPr>
      <w:r>
        <w:rPr>
          <w:rStyle w:val="FootnoteReference"/>
        </w:rPr>
        <w:footnoteRef/>
      </w:r>
      <w:r>
        <w:t xml:space="preserve"> </w:t>
      </w:r>
      <w:r>
        <w:tab/>
        <w:t xml:space="preserve">Directives </w:t>
      </w:r>
      <w:hyperlink r:id="rId68" w:history="1">
        <w:r>
          <w:rPr>
            <w:rStyle w:val="Hyperlink"/>
          </w:rPr>
          <w:t>2009/72/EC</w:t>
        </w:r>
      </w:hyperlink>
      <w:r>
        <w:t xml:space="preserve"> and </w:t>
      </w:r>
      <w:hyperlink r:id="rId69" w:history="1">
        <w:r>
          <w:rPr>
            <w:rStyle w:val="Hyperlink"/>
          </w:rPr>
          <w:t>2009/72/EC</w:t>
        </w:r>
      </w:hyperlink>
      <w:r>
        <w:t>.</w:t>
      </w:r>
    </w:p>
  </w:footnote>
  <w:footnote w:id="54">
    <w:p w:rsidR="00E201F7" w:rsidRDefault="00E24EFF">
      <w:pPr>
        <w:pStyle w:val="FootnoteText"/>
      </w:pPr>
      <w:r>
        <w:rPr>
          <w:rStyle w:val="FootnoteReference"/>
        </w:rPr>
        <w:footnoteRef/>
      </w:r>
      <w:r>
        <w:t xml:space="preserve"> </w:t>
      </w:r>
      <w:r>
        <w:tab/>
        <w:t xml:space="preserve">Directive </w:t>
      </w:r>
      <w:hyperlink r:id="rId70" w:history="1">
        <w:r>
          <w:rPr>
            <w:rStyle w:val="Hyperlink"/>
          </w:rPr>
          <w:t>2010/31/EU</w:t>
        </w:r>
      </w:hyperlink>
      <w:r>
        <w:t>.</w:t>
      </w:r>
    </w:p>
  </w:footnote>
  <w:footnote w:id="55">
    <w:p w:rsidR="00E201F7" w:rsidRDefault="00E24EFF">
      <w:pPr>
        <w:pStyle w:val="FootnoteText"/>
      </w:pPr>
      <w:r>
        <w:rPr>
          <w:rStyle w:val="FootnoteReference"/>
        </w:rPr>
        <w:footnoteRef/>
      </w:r>
      <w:r>
        <w:t xml:space="preserve"> </w:t>
      </w:r>
      <w:r>
        <w:tab/>
        <w:t xml:space="preserve">Directive </w:t>
      </w:r>
      <w:hyperlink r:id="rId71" w:history="1">
        <w:r>
          <w:rPr>
            <w:rStyle w:val="Hyperlink"/>
          </w:rPr>
          <w:t>2012/27/EU</w:t>
        </w:r>
      </w:hyperlink>
      <w:r>
        <w:t>,</w:t>
      </w:r>
      <w:r>
        <w:rPr>
          <w:sz w:val="22"/>
        </w:rPr>
        <w:t xml:space="preserve"> </w:t>
      </w:r>
      <w:hyperlink r:id="rId72" w:history="1">
        <w:r>
          <w:rPr>
            <w:rStyle w:val="Hyperlink"/>
          </w:rPr>
          <w:t>MEMO/17/3494</w:t>
        </w:r>
      </w:hyperlink>
      <w:r>
        <w:t>.</w:t>
      </w:r>
    </w:p>
  </w:footnote>
  <w:footnote w:id="56">
    <w:p w:rsidR="00E201F7" w:rsidRDefault="00E24EFF">
      <w:pPr>
        <w:pStyle w:val="FootnoteText"/>
      </w:pPr>
      <w:r>
        <w:rPr>
          <w:rStyle w:val="FootnoteReference"/>
        </w:rPr>
        <w:footnoteRef/>
      </w:r>
      <w:r>
        <w:t xml:space="preserve"> </w:t>
      </w:r>
      <w:r>
        <w:tab/>
        <w:t xml:space="preserve">Directive </w:t>
      </w:r>
      <w:hyperlink r:id="rId73" w:history="1">
        <w:r>
          <w:rPr>
            <w:rStyle w:val="Hyperlink"/>
          </w:rPr>
          <w:t>2009/28/EC</w:t>
        </w:r>
      </w:hyperlink>
      <w:r>
        <w:t xml:space="preserve">, </w:t>
      </w:r>
      <w:hyperlink r:id="rId74" w:history="1">
        <w:r>
          <w:rPr>
            <w:rStyle w:val="Hyperlink"/>
          </w:rPr>
          <w:t>MEMO/17/1045</w:t>
        </w:r>
      </w:hyperlink>
      <w:r>
        <w:t>.</w:t>
      </w:r>
    </w:p>
  </w:footnote>
  <w:footnote w:id="57">
    <w:p w:rsidR="00E201F7" w:rsidRDefault="00E24EFF">
      <w:pPr>
        <w:pStyle w:val="FootnoteText"/>
      </w:pPr>
      <w:r>
        <w:rPr>
          <w:rStyle w:val="FootnoteReference"/>
        </w:rPr>
        <w:footnoteRef/>
      </w:r>
      <w:r>
        <w:t xml:space="preserve"> </w:t>
      </w:r>
      <w:r>
        <w:tab/>
        <w:t xml:space="preserve">Directive </w:t>
      </w:r>
      <w:hyperlink r:id="rId75" w:history="1">
        <w:r>
          <w:rPr>
            <w:rStyle w:val="Hyperlink"/>
          </w:rPr>
          <w:t>2013/51/Euratom</w:t>
        </w:r>
      </w:hyperlink>
      <w:r>
        <w:t>.</w:t>
      </w:r>
    </w:p>
  </w:footnote>
  <w:footnote w:id="58">
    <w:p w:rsidR="00E201F7" w:rsidRDefault="00E24EFF">
      <w:pPr>
        <w:pStyle w:val="FootnoteText"/>
      </w:pPr>
      <w:r>
        <w:rPr>
          <w:rStyle w:val="FootnoteReference"/>
        </w:rPr>
        <w:footnoteRef/>
      </w:r>
      <w:r>
        <w:t xml:space="preserve"> </w:t>
      </w:r>
      <w:r>
        <w:tab/>
        <w:t xml:space="preserve">Directive </w:t>
      </w:r>
      <w:hyperlink r:id="rId76" w:history="1">
        <w:r>
          <w:rPr>
            <w:rStyle w:val="Hyperlink"/>
          </w:rPr>
          <w:t>2013/30/</w:t>
        </w:r>
        <w:r>
          <w:rPr>
            <w:rStyle w:val="Hyperlink"/>
          </w:rPr>
          <w:t>EU</w:t>
        </w:r>
      </w:hyperlink>
      <w:r>
        <w:t>.</w:t>
      </w:r>
    </w:p>
  </w:footnote>
  <w:footnote w:id="59">
    <w:p w:rsidR="00E201F7" w:rsidRDefault="00E24EFF">
      <w:pPr>
        <w:pStyle w:val="FootnoteText"/>
      </w:pPr>
      <w:r>
        <w:rPr>
          <w:rStyle w:val="FootnoteReference"/>
        </w:rPr>
        <w:footnoteRef/>
      </w:r>
      <w:r>
        <w:t xml:space="preserve"> </w:t>
      </w:r>
      <w:r>
        <w:tab/>
        <w:t xml:space="preserve">Directive </w:t>
      </w:r>
      <w:hyperlink r:id="rId77" w:history="1">
        <w:r>
          <w:rPr>
            <w:rStyle w:val="Hyperlink"/>
          </w:rPr>
          <w:t>2010/31/EU</w:t>
        </w:r>
      </w:hyperlink>
      <w:r>
        <w:t>.</w:t>
      </w:r>
    </w:p>
  </w:footnote>
  <w:footnote w:id="60">
    <w:p w:rsidR="00E201F7" w:rsidRDefault="00E24EFF">
      <w:pPr>
        <w:pStyle w:val="FootnoteText"/>
      </w:pPr>
      <w:r>
        <w:rPr>
          <w:rStyle w:val="FootnoteReference"/>
        </w:rPr>
        <w:footnoteRef/>
      </w:r>
      <w:r>
        <w:t xml:space="preserve"> </w:t>
      </w:r>
      <w:r>
        <w:tab/>
        <w:t xml:space="preserve">Directive </w:t>
      </w:r>
      <w:hyperlink r:id="rId78" w:history="1">
        <w:r>
          <w:rPr>
            <w:rStyle w:val="Hyperlink"/>
          </w:rPr>
          <w:t>2010/31/EU</w:t>
        </w:r>
      </w:hyperlink>
      <w:r>
        <w:t>.</w:t>
      </w:r>
    </w:p>
  </w:footnote>
  <w:footnote w:id="61">
    <w:p w:rsidR="00E201F7" w:rsidRDefault="00E24EFF">
      <w:pPr>
        <w:pStyle w:val="FootnoteText"/>
      </w:pPr>
      <w:r>
        <w:rPr>
          <w:rStyle w:val="FootnoteReference"/>
        </w:rPr>
        <w:footnoteRef/>
      </w:r>
      <w:r>
        <w:t xml:space="preserve"> </w:t>
      </w:r>
      <w:r>
        <w:tab/>
        <w:t xml:space="preserve">Directive </w:t>
      </w:r>
      <w:hyperlink r:id="rId79" w:history="1">
        <w:r>
          <w:rPr>
            <w:rStyle w:val="Hyperlink"/>
          </w:rPr>
          <w:t>2009/72/EC</w:t>
        </w:r>
      </w:hyperlink>
      <w:r>
        <w:t>.</w:t>
      </w:r>
    </w:p>
  </w:footnote>
  <w:footnote w:id="62">
    <w:p w:rsidR="00E201F7" w:rsidRDefault="00E24EFF">
      <w:pPr>
        <w:pStyle w:val="FootnoteText"/>
      </w:pPr>
      <w:r>
        <w:rPr>
          <w:rStyle w:val="FootnoteReference"/>
        </w:rPr>
        <w:footnoteRef/>
      </w:r>
      <w:r>
        <w:t xml:space="preserve"> </w:t>
      </w:r>
      <w:r>
        <w:tab/>
        <w:t>Directive</w:t>
      </w:r>
      <w:hyperlink r:id="rId80" w:history="1">
        <w:r>
          <w:rPr>
            <w:rStyle w:val="Hyperlink"/>
          </w:rPr>
          <w:t xml:space="preserve"> </w:t>
        </w:r>
        <w:r>
          <w:rPr>
            <w:rStyle w:val="Hyperlink"/>
          </w:rPr>
          <w:t>2009/73/EC</w:t>
        </w:r>
      </w:hyperlink>
      <w:r>
        <w:t>.</w:t>
      </w:r>
    </w:p>
  </w:footnote>
  <w:footnote w:id="63">
    <w:p w:rsidR="00E201F7" w:rsidRDefault="00E24EFF">
      <w:pPr>
        <w:pStyle w:val="FootnoteText"/>
        <w:rPr>
          <w:highlight w:val="yellow"/>
        </w:rPr>
      </w:pPr>
      <w:r>
        <w:rPr>
          <w:rStyle w:val="FootnoteReference"/>
        </w:rPr>
        <w:footnoteRef/>
      </w:r>
      <w:r>
        <w:t xml:space="preserve"> </w:t>
      </w:r>
      <w:r>
        <w:tab/>
        <w:t xml:space="preserve">Directive </w:t>
      </w:r>
      <w:hyperlink r:id="rId81" w:history="1">
        <w:r>
          <w:rPr>
            <w:rStyle w:val="Hyperlink"/>
          </w:rPr>
          <w:t>2011/70/Euratom</w:t>
        </w:r>
      </w:hyperlink>
    </w:p>
  </w:footnote>
  <w:footnote w:id="64">
    <w:p w:rsidR="00E201F7" w:rsidRDefault="00E24EFF">
      <w:pPr>
        <w:pStyle w:val="FootnoteText"/>
      </w:pPr>
      <w:r>
        <w:rPr>
          <w:rStyle w:val="FootnoteReference"/>
        </w:rPr>
        <w:footnoteRef/>
      </w:r>
      <w:r>
        <w:t xml:space="preserve"> </w:t>
      </w:r>
      <w:r>
        <w:tab/>
        <w:t xml:space="preserve">Directive </w:t>
      </w:r>
      <w:hyperlink r:id="rId82" w:history="1">
        <w:r>
          <w:rPr>
            <w:rStyle w:val="Hyperlink"/>
          </w:rPr>
          <w:t>2013/51/Euratom</w:t>
        </w:r>
      </w:hyperlink>
      <w:r>
        <w:t>.</w:t>
      </w:r>
    </w:p>
  </w:footnote>
  <w:footnote w:id="65">
    <w:p w:rsidR="00E201F7" w:rsidRDefault="00E24EFF">
      <w:pPr>
        <w:pStyle w:val="FootnoteText"/>
      </w:pPr>
      <w:r>
        <w:rPr>
          <w:rStyle w:val="FootnoteReference"/>
        </w:rPr>
        <w:footnoteRef/>
      </w:r>
      <w:r>
        <w:t xml:space="preserve"> </w:t>
      </w:r>
      <w:r>
        <w:tab/>
      </w:r>
      <w:r>
        <w:t xml:space="preserve">Balgarska energiyna borsa AD (BEB), </w:t>
      </w:r>
      <w:hyperlink r:id="rId83" w:history="1">
        <w:r>
          <w:rPr>
            <w:rStyle w:val="Hyperlink"/>
          </w:rPr>
          <w:t>C-347/16</w:t>
        </w:r>
      </w:hyperlink>
      <w:r>
        <w:t>.</w:t>
      </w:r>
    </w:p>
  </w:footnote>
  <w:footnote w:id="66">
    <w:p w:rsidR="00E201F7" w:rsidRDefault="00E24EFF">
      <w:pPr>
        <w:pStyle w:val="FootnoteText"/>
      </w:pPr>
      <w:r>
        <w:rPr>
          <w:rStyle w:val="FootnoteReference"/>
        </w:rPr>
        <w:footnoteRef/>
      </w:r>
      <w:r>
        <w:t xml:space="preserve"> </w:t>
      </w:r>
      <w:r>
        <w:tab/>
        <w:t xml:space="preserve">Elecdey Carcelen SA and Others, </w:t>
      </w:r>
      <w:hyperlink r:id="rId84" w:history="1">
        <w:r>
          <w:rPr>
            <w:rStyle w:val="Hyperlink"/>
          </w:rPr>
          <w:t>C-215/16</w:t>
        </w:r>
      </w:hyperlink>
      <w:r>
        <w:t>.</w:t>
      </w:r>
    </w:p>
  </w:footnote>
  <w:footnote w:id="67">
    <w:p w:rsidR="00E201F7" w:rsidRDefault="00E24EFF">
      <w:pPr>
        <w:pStyle w:val="FootnoteText"/>
      </w:pPr>
      <w:r>
        <w:rPr>
          <w:rStyle w:val="FootnoteReference"/>
        </w:rPr>
        <w:footnoteRef/>
      </w:r>
      <w:r>
        <w:t xml:space="preserve"> </w:t>
      </w:r>
      <w:r>
        <w:tab/>
        <w:t xml:space="preserve">Eni SpA and Others, </w:t>
      </w:r>
      <w:hyperlink r:id="rId85" w:history="1">
        <w:r>
          <w:rPr>
            <w:rStyle w:val="Hyperlink"/>
          </w:rPr>
          <w:t>C-226/16</w:t>
        </w:r>
      </w:hyperlink>
      <w:r>
        <w:t>.</w:t>
      </w:r>
    </w:p>
  </w:footnote>
  <w:footnote w:id="68">
    <w:p w:rsidR="00E201F7" w:rsidRDefault="00E24EFF">
      <w:pPr>
        <w:pStyle w:val="FootnoteText"/>
        <w:rPr>
          <w:lang w:val="pl-PL"/>
        </w:rPr>
      </w:pPr>
      <w:r>
        <w:rPr>
          <w:rStyle w:val="FootnoteReference"/>
        </w:rPr>
        <w:footnoteRef/>
      </w:r>
      <w:r>
        <w:rPr>
          <w:lang w:val="pl-PL"/>
        </w:rPr>
        <w:t xml:space="preserve"> </w:t>
      </w:r>
      <w:r>
        <w:rPr>
          <w:lang w:val="pl-PL"/>
        </w:rPr>
        <w:tab/>
        <w:t xml:space="preserve">J. D. v Prezes Urzędu Regulacji Energetyki, </w:t>
      </w:r>
      <w:hyperlink r:id="rId86" w:history="1">
        <w:r>
          <w:rPr>
            <w:rStyle w:val="Hyperlink"/>
            <w:lang w:val="pl-PL"/>
          </w:rPr>
          <w:t>C-4/16</w:t>
        </w:r>
      </w:hyperlink>
      <w:r>
        <w:rPr>
          <w:lang w:val="pl-PL"/>
        </w:rPr>
        <w:t>.</w:t>
      </w:r>
    </w:p>
  </w:footnote>
  <w:footnote w:id="69">
    <w:p w:rsidR="00E201F7" w:rsidRDefault="00E24EFF">
      <w:pPr>
        <w:pStyle w:val="FootnoteText"/>
        <w:rPr>
          <w:lang w:val="de-DE"/>
        </w:rPr>
      </w:pPr>
      <w:r>
        <w:rPr>
          <w:rStyle w:val="FootnoteReference"/>
        </w:rPr>
        <w:footnoteRef/>
      </w:r>
      <w:r>
        <w:rPr>
          <w:lang w:val="de-DE"/>
        </w:rPr>
        <w:t xml:space="preserve"> </w:t>
      </w:r>
      <w:r>
        <w:rPr>
          <w:lang w:val="de-DE"/>
        </w:rPr>
        <w:tab/>
        <w:t xml:space="preserve">E.ON Biofor Sverige AB, </w:t>
      </w:r>
      <w:hyperlink r:id="rId87" w:history="1">
        <w:r>
          <w:rPr>
            <w:rStyle w:val="Hyperlink"/>
            <w:lang w:val="de-DE"/>
          </w:rPr>
          <w:t>C-549/15</w:t>
        </w:r>
      </w:hyperlink>
      <w:r>
        <w:rPr>
          <w:lang w:val="de-DE"/>
        </w:rPr>
        <w:t>.</w:t>
      </w:r>
    </w:p>
  </w:footnote>
  <w:footnote w:id="70">
    <w:p w:rsidR="00E201F7" w:rsidRDefault="00E24EFF">
      <w:pPr>
        <w:pStyle w:val="FootnoteText"/>
        <w:rPr>
          <w:lang w:val="de-DE"/>
        </w:rPr>
      </w:pPr>
      <w:r>
        <w:rPr>
          <w:rStyle w:val="FootnoteReference"/>
        </w:rPr>
        <w:footnoteRef/>
      </w:r>
      <w:r>
        <w:rPr>
          <w:lang w:val="de-DE"/>
        </w:rPr>
        <w:t xml:space="preserve"> </w:t>
      </w:r>
      <w:r>
        <w:rPr>
          <w:lang w:val="de-DE"/>
        </w:rPr>
        <w:tab/>
        <w:t xml:space="preserve">Directive </w:t>
      </w:r>
      <w:hyperlink r:id="rId88" w:history="1">
        <w:r>
          <w:rPr>
            <w:rStyle w:val="Hyperlink"/>
            <w:lang w:val="de-DE"/>
          </w:rPr>
          <w:t>2006/21/EC</w:t>
        </w:r>
      </w:hyperlink>
      <w:r>
        <w:rPr>
          <w:lang w:val="de-DE"/>
        </w:rPr>
        <w:t>.</w:t>
      </w:r>
    </w:p>
  </w:footnote>
  <w:footnote w:id="71">
    <w:p w:rsidR="00E201F7" w:rsidRDefault="00E24EFF">
      <w:pPr>
        <w:pStyle w:val="FootnoteText"/>
        <w:rPr>
          <w:lang w:val="de-DE"/>
        </w:rPr>
      </w:pPr>
      <w:r>
        <w:rPr>
          <w:rStyle w:val="FootnoteReference"/>
        </w:rPr>
        <w:footnoteRef/>
      </w:r>
      <w:r>
        <w:rPr>
          <w:lang w:val="de-DE"/>
        </w:rPr>
        <w:t xml:space="preserve"> </w:t>
      </w:r>
      <w:r>
        <w:rPr>
          <w:lang w:val="de-DE"/>
        </w:rPr>
        <w:tab/>
        <w:t xml:space="preserve">Directive </w:t>
      </w:r>
      <w:hyperlink r:id="rId89" w:history="1">
        <w:r>
          <w:rPr>
            <w:rStyle w:val="Hyperlink"/>
            <w:lang w:val="de-DE"/>
          </w:rPr>
          <w:t>2012/19/EU</w:t>
        </w:r>
      </w:hyperlink>
      <w:r>
        <w:rPr>
          <w:lang w:val="de-DE"/>
        </w:rPr>
        <w:t>.</w:t>
      </w:r>
    </w:p>
  </w:footnote>
  <w:footnote w:id="72">
    <w:p w:rsidR="00E201F7" w:rsidRDefault="00E24EFF">
      <w:pPr>
        <w:pStyle w:val="FootnoteText"/>
        <w:rPr>
          <w:lang w:val="de-DE"/>
        </w:rPr>
      </w:pPr>
      <w:r>
        <w:rPr>
          <w:rStyle w:val="FootnoteReference"/>
        </w:rPr>
        <w:footnoteRef/>
      </w:r>
      <w:r>
        <w:rPr>
          <w:lang w:val="de-DE"/>
        </w:rPr>
        <w:t xml:space="preserve"> </w:t>
      </w:r>
      <w:r>
        <w:rPr>
          <w:lang w:val="de-DE"/>
        </w:rPr>
        <w:tab/>
        <w:t xml:space="preserve">Directive </w:t>
      </w:r>
      <w:hyperlink r:id="rId90" w:history="1">
        <w:r>
          <w:rPr>
            <w:rStyle w:val="Hyperlink"/>
            <w:lang w:val="de-DE"/>
          </w:rPr>
          <w:t>1999/31/EC</w:t>
        </w:r>
      </w:hyperlink>
      <w:r>
        <w:rPr>
          <w:lang w:val="de-DE"/>
        </w:rPr>
        <w:t>.</w:t>
      </w:r>
    </w:p>
  </w:footnote>
  <w:footnote w:id="73">
    <w:p w:rsidR="00E201F7" w:rsidRDefault="00E24EFF">
      <w:pPr>
        <w:pStyle w:val="FootnoteText"/>
        <w:rPr>
          <w:lang w:val="de-DE"/>
        </w:rPr>
      </w:pPr>
      <w:r>
        <w:rPr>
          <w:rStyle w:val="FootnoteReference"/>
        </w:rPr>
        <w:footnoteRef/>
      </w:r>
      <w:r>
        <w:rPr>
          <w:lang w:val="de-DE"/>
        </w:rPr>
        <w:t xml:space="preserve"> </w:t>
      </w:r>
      <w:r>
        <w:rPr>
          <w:lang w:val="de-DE"/>
        </w:rPr>
        <w:tab/>
        <w:t xml:space="preserve">Directive </w:t>
      </w:r>
      <w:hyperlink r:id="rId91" w:history="1">
        <w:r>
          <w:rPr>
            <w:rStyle w:val="Hyperlink"/>
            <w:lang w:val="de-DE"/>
          </w:rPr>
          <w:t>92/43/EEC</w:t>
        </w:r>
      </w:hyperlink>
      <w:r>
        <w:rPr>
          <w:lang w:val="de-DE"/>
        </w:rPr>
        <w:t>.</w:t>
      </w:r>
    </w:p>
  </w:footnote>
  <w:footnote w:id="74">
    <w:p w:rsidR="00E201F7" w:rsidRDefault="00E24EFF">
      <w:pPr>
        <w:pStyle w:val="FootnoteText"/>
        <w:rPr>
          <w:lang w:val="de-DE"/>
        </w:rPr>
      </w:pPr>
      <w:r>
        <w:rPr>
          <w:rStyle w:val="FootnoteReference"/>
        </w:rPr>
        <w:footnoteRef/>
      </w:r>
      <w:r>
        <w:rPr>
          <w:lang w:val="de-DE"/>
        </w:rPr>
        <w:t xml:space="preserve"> </w:t>
      </w:r>
      <w:r>
        <w:rPr>
          <w:lang w:val="de-DE"/>
        </w:rPr>
        <w:tab/>
        <w:t xml:space="preserve">Directive </w:t>
      </w:r>
      <w:hyperlink r:id="rId92" w:history="1">
        <w:r>
          <w:rPr>
            <w:rStyle w:val="Hyperlink"/>
            <w:lang w:val="de-DE"/>
          </w:rPr>
          <w:t>2009/147/EC</w:t>
        </w:r>
      </w:hyperlink>
      <w:r>
        <w:rPr>
          <w:lang w:val="de-DE"/>
        </w:rPr>
        <w:t>.</w:t>
      </w:r>
    </w:p>
  </w:footnote>
  <w:footnote w:id="75">
    <w:p w:rsidR="00E201F7" w:rsidRDefault="00E24EFF">
      <w:pPr>
        <w:pStyle w:val="FootnoteText"/>
        <w:rPr>
          <w:lang w:val="de-DE"/>
        </w:rPr>
      </w:pPr>
      <w:r>
        <w:rPr>
          <w:rStyle w:val="FootnoteReference"/>
        </w:rPr>
        <w:footnoteRef/>
      </w:r>
      <w:r>
        <w:rPr>
          <w:lang w:val="de-DE"/>
        </w:rPr>
        <w:t xml:space="preserve"> </w:t>
      </w:r>
      <w:r>
        <w:rPr>
          <w:lang w:val="de-DE"/>
        </w:rPr>
        <w:tab/>
        <w:t xml:space="preserve">Directive </w:t>
      </w:r>
      <w:hyperlink r:id="rId93" w:history="1">
        <w:r>
          <w:rPr>
            <w:rStyle w:val="Hyperlink"/>
            <w:lang w:val="de-DE"/>
          </w:rPr>
          <w:t>2007/60/EC</w:t>
        </w:r>
      </w:hyperlink>
      <w:r>
        <w:rPr>
          <w:lang w:val="de-DE"/>
        </w:rPr>
        <w:t>.</w:t>
      </w:r>
    </w:p>
  </w:footnote>
  <w:footnote w:id="76">
    <w:p w:rsidR="00E201F7" w:rsidRDefault="00E24EFF">
      <w:pPr>
        <w:pStyle w:val="FootnoteText"/>
        <w:rPr>
          <w:lang w:val="de-DE"/>
        </w:rPr>
      </w:pPr>
      <w:r>
        <w:rPr>
          <w:rStyle w:val="FootnoteReference"/>
        </w:rPr>
        <w:footnoteRef/>
      </w:r>
      <w:r>
        <w:rPr>
          <w:lang w:val="de-DE"/>
        </w:rPr>
        <w:t xml:space="preserve"> </w:t>
      </w:r>
      <w:r>
        <w:rPr>
          <w:lang w:val="de-DE"/>
        </w:rPr>
        <w:tab/>
        <w:t xml:space="preserve">Directive </w:t>
      </w:r>
      <w:hyperlink r:id="rId94" w:history="1">
        <w:r>
          <w:rPr>
            <w:rStyle w:val="Hyperlink"/>
            <w:lang w:val="de-DE"/>
          </w:rPr>
          <w:t>2000/60/EC</w:t>
        </w:r>
      </w:hyperlink>
      <w:r>
        <w:rPr>
          <w:lang w:val="de-DE"/>
        </w:rPr>
        <w:t>.</w:t>
      </w:r>
    </w:p>
  </w:footnote>
  <w:footnote w:id="77">
    <w:p w:rsidR="00E201F7" w:rsidRDefault="00E24EFF">
      <w:pPr>
        <w:pStyle w:val="FootnoteText"/>
        <w:rPr>
          <w:lang w:val="de-DE"/>
        </w:rPr>
      </w:pPr>
      <w:r>
        <w:rPr>
          <w:rStyle w:val="FootnoteReference"/>
        </w:rPr>
        <w:footnoteRef/>
      </w:r>
      <w:r>
        <w:rPr>
          <w:lang w:val="de-DE"/>
        </w:rPr>
        <w:t xml:space="preserve"> </w:t>
      </w:r>
      <w:r>
        <w:rPr>
          <w:lang w:val="de-DE"/>
        </w:rPr>
        <w:tab/>
        <w:t xml:space="preserve">Directive </w:t>
      </w:r>
      <w:hyperlink r:id="rId95" w:history="1">
        <w:r>
          <w:rPr>
            <w:rStyle w:val="Hyperlink"/>
            <w:lang w:val="de-DE"/>
          </w:rPr>
          <w:t>2008/56/EC</w:t>
        </w:r>
      </w:hyperlink>
      <w:r>
        <w:rPr>
          <w:lang w:val="de-DE"/>
        </w:rPr>
        <w:t>.</w:t>
      </w:r>
    </w:p>
  </w:footnote>
  <w:footnote w:id="78">
    <w:p w:rsidR="00E201F7" w:rsidRDefault="00E24EFF">
      <w:pPr>
        <w:pStyle w:val="FootnoteText"/>
        <w:rPr>
          <w:lang w:val="de-DE"/>
        </w:rPr>
      </w:pPr>
      <w:r>
        <w:rPr>
          <w:rStyle w:val="FootnoteReference"/>
        </w:rPr>
        <w:footnoteRef/>
      </w:r>
      <w:r>
        <w:rPr>
          <w:lang w:val="de-DE"/>
        </w:rPr>
        <w:t xml:space="preserve"> </w:t>
      </w:r>
      <w:r>
        <w:rPr>
          <w:lang w:val="de-DE"/>
        </w:rPr>
        <w:tab/>
        <w:t xml:space="preserve">Directive </w:t>
      </w:r>
      <w:hyperlink r:id="rId96" w:history="1">
        <w:r>
          <w:rPr>
            <w:rStyle w:val="Hyperlink"/>
            <w:lang w:val="de-DE"/>
          </w:rPr>
          <w:t>2008/50/EC</w:t>
        </w:r>
      </w:hyperlink>
      <w:r>
        <w:rPr>
          <w:lang w:val="de-DE"/>
        </w:rPr>
        <w:t>.</w:t>
      </w:r>
    </w:p>
  </w:footnote>
  <w:footnote w:id="79">
    <w:p w:rsidR="00E201F7" w:rsidRDefault="00E24EFF">
      <w:pPr>
        <w:pStyle w:val="FootnoteText"/>
        <w:rPr>
          <w:lang w:val="de-DE"/>
        </w:rPr>
      </w:pPr>
      <w:r>
        <w:rPr>
          <w:rStyle w:val="FootnoteReference"/>
        </w:rPr>
        <w:footnoteRef/>
      </w:r>
      <w:r>
        <w:rPr>
          <w:lang w:val="de-DE"/>
        </w:rPr>
        <w:t xml:space="preserve"> </w:t>
      </w:r>
      <w:r>
        <w:rPr>
          <w:lang w:val="de-DE"/>
        </w:rPr>
        <w:tab/>
        <w:t xml:space="preserve">Directive </w:t>
      </w:r>
      <w:hyperlink r:id="rId97" w:history="1">
        <w:r>
          <w:rPr>
            <w:rStyle w:val="Hyperlink"/>
            <w:lang w:val="de-DE"/>
          </w:rPr>
          <w:t>2010/75/EU</w:t>
        </w:r>
      </w:hyperlink>
      <w:r>
        <w:rPr>
          <w:lang w:val="de-DE"/>
        </w:rPr>
        <w:t>.</w:t>
      </w:r>
    </w:p>
  </w:footnote>
  <w:footnote w:id="80">
    <w:p w:rsidR="00E201F7" w:rsidRDefault="00E24EFF">
      <w:pPr>
        <w:pStyle w:val="FootnoteText"/>
        <w:rPr>
          <w:lang w:val="de-DE"/>
        </w:rPr>
      </w:pPr>
      <w:r>
        <w:rPr>
          <w:rStyle w:val="FootnoteReference"/>
        </w:rPr>
        <w:footnoteRef/>
      </w:r>
      <w:r>
        <w:rPr>
          <w:lang w:val="de-DE"/>
        </w:rPr>
        <w:t xml:space="preserve"> </w:t>
      </w:r>
      <w:r>
        <w:rPr>
          <w:lang w:val="de-DE"/>
        </w:rPr>
        <w:tab/>
      </w:r>
      <w:hyperlink r:id="rId98" w:history="1">
        <w:r>
          <w:rPr>
            <w:rStyle w:val="Hyperlink"/>
            <w:lang w:val="de-DE"/>
          </w:rPr>
          <w:t>MEMO/17/234</w:t>
        </w:r>
      </w:hyperlink>
      <w:r>
        <w:rPr>
          <w:lang w:val="de-DE"/>
        </w:rPr>
        <w:t>.</w:t>
      </w:r>
    </w:p>
  </w:footnote>
  <w:footnote w:id="81">
    <w:p w:rsidR="00E201F7" w:rsidRDefault="00E24EFF">
      <w:pPr>
        <w:pStyle w:val="FootnoteText"/>
        <w:rPr>
          <w:lang w:val="de-DE"/>
        </w:rPr>
      </w:pPr>
      <w:r>
        <w:rPr>
          <w:rStyle w:val="FootnoteReference"/>
        </w:rPr>
        <w:footnoteRef/>
      </w:r>
      <w:r>
        <w:rPr>
          <w:lang w:val="de-DE"/>
        </w:rPr>
        <w:t xml:space="preserve"> </w:t>
      </w:r>
      <w:r>
        <w:rPr>
          <w:lang w:val="de-DE"/>
        </w:rPr>
        <w:tab/>
      </w:r>
      <w:hyperlink r:id="rId99" w:history="1">
        <w:r>
          <w:rPr>
            <w:rStyle w:val="Hyperlink"/>
            <w:lang w:val="de-DE"/>
          </w:rPr>
          <w:t>MEMO/17/1935</w:t>
        </w:r>
      </w:hyperlink>
      <w:r>
        <w:rPr>
          <w:lang w:val="de-DE"/>
        </w:rPr>
        <w:t>.</w:t>
      </w:r>
    </w:p>
  </w:footnote>
  <w:footnote w:id="82">
    <w:p w:rsidR="00E201F7" w:rsidRDefault="00E24EFF">
      <w:pPr>
        <w:pStyle w:val="FootnoteText"/>
        <w:rPr>
          <w:lang w:val="de-DE"/>
        </w:rPr>
      </w:pPr>
      <w:r>
        <w:rPr>
          <w:rStyle w:val="FootnoteReference"/>
        </w:rPr>
        <w:footnoteRef/>
      </w:r>
      <w:r>
        <w:rPr>
          <w:lang w:val="de-DE"/>
        </w:rPr>
        <w:t xml:space="preserve"> </w:t>
      </w:r>
      <w:r>
        <w:rPr>
          <w:lang w:val="de-DE"/>
        </w:rPr>
        <w:tab/>
      </w:r>
      <w:hyperlink r:id="rId100" w:history="1">
        <w:r>
          <w:rPr>
            <w:rStyle w:val="Hyperlink"/>
            <w:lang w:val="de-DE"/>
          </w:rPr>
          <w:t>MEMO/17/234</w:t>
        </w:r>
      </w:hyperlink>
      <w:r>
        <w:rPr>
          <w:lang w:val="de-DE"/>
        </w:rPr>
        <w:t>.</w:t>
      </w:r>
    </w:p>
  </w:footnote>
  <w:footnote w:id="83">
    <w:p w:rsidR="00E201F7" w:rsidRDefault="00E24EFF">
      <w:pPr>
        <w:pStyle w:val="FootnoteText"/>
        <w:rPr>
          <w:lang w:val="de-DE"/>
        </w:rPr>
      </w:pPr>
      <w:r>
        <w:rPr>
          <w:rStyle w:val="FootnoteReference"/>
        </w:rPr>
        <w:footnoteRef/>
      </w:r>
      <w:r>
        <w:rPr>
          <w:lang w:val="de-DE"/>
        </w:rPr>
        <w:t xml:space="preserve"> </w:t>
      </w:r>
      <w:r>
        <w:rPr>
          <w:lang w:val="de-DE"/>
        </w:rPr>
        <w:tab/>
      </w:r>
      <w:r>
        <w:rPr>
          <w:lang w:val="de-DE"/>
        </w:rPr>
        <w:t xml:space="preserve">Directive </w:t>
      </w:r>
      <w:hyperlink r:id="rId101" w:history="1">
        <w:r>
          <w:rPr>
            <w:rStyle w:val="Hyperlink"/>
            <w:lang w:val="de-DE"/>
          </w:rPr>
          <w:t>2008/98/EC</w:t>
        </w:r>
      </w:hyperlink>
      <w:r>
        <w:rPr>
          <w:lang w:val="de-DE"/>
        </w:rPr>
        <w:t>.</w:t>
      </w:r>
    </w:p>
  </w:footnote>
  <w:footnote w:id="84">
    <w:p w:rsidR="00E201F7" w:rsidRDefault="00E24EFF">
      <w:pPr>
        <w:pStyle w:val="FootnoteText"/>
        <w:rPr>
          <w:lang w:val="de-DE"/>
        </w:rPr>
      </w:pPr>
      <w:r>
        <w:rPr>
          <w:rStyle w:val="FootnoteReference"/>
        </w:rPr>
        <w:footnoteRef/>
      </w:r>
      <w:r>
        <w:rPr>
          <w:lang w:val="de-DE"/>
        </w:rPr>
        <w:t xml:space="preserve"> </w:t>
      </w:r>
      <w:r>
        <w:rPr>
          <w:lang w:val="de-DE"/>
        </w:rPr>
        <w:tab/>
      </w:r>
      <w:hyperlink r:id="rId102" w:history="1">
        <w:r>
          <w:rPr>
            <w:rStyle w:val="Hyperlink"/>
            <w:lang w:val="de-DE"/>
          </w:rPr>
          <w:t>MEMO/17/1577</w:t>
        </w:r>
      </w:hyperlink>
      <w:r>
        <w:rPr>
          <w:lang w:val="de-DE"/>
        </w:rPr>
        <w:t>.</w:t>
      </w:r>
    </w:p>
  </w:footnote>
  <w:footnote w:id="85">
    <w:p w:rsidR="00E201F7" w:rsidRDefault="00E24EFF">
      <w:pPr>
        <w:pStyle w:val="FootnoteText"/>
        <w:rPr>
          <w:lang w:val="de-DE"/>
        </w:rPr>
      </w:pPr>
      <w:r>
        <w:rPr>
          <w:rStyle w:val="FootnoteReference"/>
        </w:rPr>
        <w:footnoteRef/>
      </w:r>
      <w:r>
        <w:rPr>
          <w:lang w:val="de-DE"/>
        </w:rPr>
        <w:t xml:space="preserve"> </w:t>
      </w:r>
      <w:r>
        <w:rPr>
          <w:lang w:val="de-DE"/>
        </w:rPr>
        <w:tab/>
      </w:r>
      <w:hyperlink r:id="rId103" w:history="1">
        <w:r>
          <w:rPr>
            <w:rStyle w:val="Hyperlink"/>
            <w:lang w:val="de-DE"/>
          </w:rPr>
          <w:t>MEMO/17/3494</w:t>
        </w:r>
      </w:hyperlink>
      <w:r>
        <w:rPr>
          <w:lang w:val="de-DE"/>
        </w:rPr>
        <w:t>.</w:t>
      </w:r>
    </w:p>
  </w:footnote>
  <w:footnote w:id="86">
    <w:p w:rsidR="00E201F7" w:rsidRDefault="00E24EFF">
      <w:pPr>
        <w:pStyle w:val="FootnoteText"/>
        <w:rPr>
          <w:lang w:val="de-DE"/>
        </w:rPr>
      </w:pPr>
      <w:r>
        <w:rPr>
          <w:rStyle w:val="FootnoteReference"/>
        </w:rPr>
        <w:footnoteRef/>
      </w:r>
      <w:r>
        <w:rPr>
          <w:lang w:val="de-DE"/>
        </w:rPr>
        <w:t xml:space="preserve"> </w:t>
      </w:r>
      <w:r>
        <w:rPr>
          <w:lang w:val="de-DE"/>
        </w:rPr>
        <w:tab/>
      </w:r>
      <w:hyperlink r:id="rId104" w:history="1">
        <w:r>
          <w:rPr>
            <w:rStyle w:val="Hyperlink"/>
            <w:lang w:val="de-DE"/>
          </w:rPr>
          <w:t>MEMO/17/4767</w:t>
        </w:r>
      </w:hyperlink>
      <w:r>
        <w:rPr>
          <w:lang w:val="de-DE"/>
        </w:rPr>
        <w:t>.</w:t>
      </w:r>
    </w:p>
  </w:footnote>
  <w:footnote w:id="87">
    <w:p w:rsidR="00E201F7" w:rsidRDefault="00E24EFF">
      <w:pPr>
        <w:pStyle w:val="FootnoteText"/>
        <w:rPr>
          <w:lang w:val="de-DE"/>
        </w:rPr>
      </w:pPr>
      <w:r>
        <w:rPr>
          <w:rStyle w:val="FootnoteReference"/>
        </w:rPr>
        <w:footnoteRef/>
      </w:r>
      <w:r>
        <w:rPr>
          <w:lang w:val="de-DE"/>
        </w:rPr>
        <w:t xml:space="preserve"> </w:t>
      </w:r>
      <w:r>
        <w:rPr>
          <w:lang w:val="de-DE"/>
        </w:rPr>
        <w:tab/>
      </w:r>
      <w:hyperlink r:id="rId105" w:history="1">
        <w:r>
          <w:rPr>
            <w:rStyle w:val="Hyperlink"/>
            <w:lang w:val="de-DE"/>
          </w:rPr>
          <w:t>MEMO/17/4767</w:t>
        </w:r>
      </w:hyperlink>
      <w:r>
        <w:rPr>
          <w:lang w:val="de-DE"/>
        </w:rPr>
        <w:t>.</w:t>
      </w:r>
    </w:p>
  </w:footnote>
  <w:footnote w:id="88">
    <w:p w:rsidR="00E201F7" w:rsidRDefault="00E24EFF">
      <w:pPr>
        <w:pStyle w:val="FootnoteText"/>
        <w:rPr>
          <w:lang w:val="de-DE"/>
        </w:rPr>
      </w:pPr>
      <w:r>
        <w:rPr>
          <w:rStyle w:val="FootnoteReference"/>
        </w:rPr>
        <w:footnoteRef/>
      </w:r>
      <w:r>
        <w:rPr>
          <w:lang w:val="de-DE"/>
        </w:rPr>
        <w:t xml:space="preserve"> </w:t>
      </w:r>
      <w:r>
        <w:rPr>
          <w:lang w:val="de-DE"/>
        </w:rPr>
        <w:tab/>
      </w:r>
      <w:hyperlink r:id="rId106" w:history="1">
        <w:r>
          <w:rPr>
            <w:rStyle w:val="Hyperlink"/>
            <w:lang w:val="de-DE"/>
          </w:rPr>
          <w:t>MEMO/17/3494</w:t>
        </w:r>
      </w:hyperlink>
      <w:r>
        <w:rPr>
          <w:lang w:val="de-DE"/>
        </w:rPr>
        <w:t>.</w:t>
      </w:r>
    </w:p>
  </w:footnote>
  <w:footnote w:id="89">
    <w:p w:rsidR="00E201F7" w:rsidRDefault="00E24EFF">
      <w:pPr>
        <w:pStyle w:val="FootnoteText"/>
        <w:rPr>
          <w:lang w:val="de-DE"/>
        </w:rPr>
      </w:pPr>
      <w:r>
        <w:rPr>
          <w:rStyle w:val="FootnoteReference"/>
        </w:rPr>
        <w:footnoteRef/>
      </w:r>
      <w:r>
        <w:rPr>
          <w:lang w:val="de-DE"/>
        </w:rPr>
        <w:t xml:space="preserve"> </w:t>
      </w:r>
      <w:r>
        <w:rPr>
          <w:lang w:val="de-DE"/>
        </w:rPr>
        <w:tab/>
      </w:r>
      <w:hyperlink r:id="rId107" w:history="1">
        <w:r>
          <w:rPr>
            <w:rStyle w:val="Hyperlink"/>
            <w:lang w:val="de-DE"/>
          </w:rPr>
          <w:t>MEMO/17/234</w:t>
        </w:r>
      </w:hyperlink>
      <w:r>
        <w:rPr>
          <w:lang w:val="de-DE"/>
        </w:rPr>
        <w:t>.</w:t>
      </w:r>
    </w:p>
  </w:footnote>
  <w:footnote w:id="90">
    <w:p w:rsidR="00E201F7" w:rsidRDefault="00E24EFF">
      <w:pPr>
        <w:pStyle w:val="FootnoteText"/>
        <w:rPr>
          <w:lang w:val="de-DE"/>
        </w:rPr>
      </w:pPr>
      <w:r>
        <w:rPr>
          <w:rStyle w:val="FootnoteReference"/>
        </w:rPr>
        <w:footnoteRef/>
      </w:r>
      <w:r>
        <w:rPr>
          <w:lang w:val="de-DE"/>
        </w:rPr>
        <w:t xml:space="preserve"> </w:t>
      </w:r>
      <w:r>
        <w:rPr>
          <w:lang w:val="de-DE"/>
        </w:rPr>
        <w:tab/>
      </w:r>
      <w:hyperlink r:id="rId108" w:history="1">
        <w:r>
          <w:rPr>
            <w:rStyle w:val="Hyperlink"/>
            <w:lang w:val="de-DE"/>
          </w:rPr>
          <w:t>MEMO/17/1281</w:t>
        </w:r>
      </w:hyperlink>
      <w:r>
        <w:rPr>
          <w:lang w:val="de-DE"/>
        </w:rPr>
        <w:t>.</w:t>
      </w:r>
    </w:p>
  </w:footnote>
  <w:footnote w:id="91">
    <w:p w:rsidR="00E201F7" w:rsidRDefault="00E24EFF">
      <w:pPr>
        <w:pStyle w:val="FootnoteText"/>
        <w:rPr>
          <w:lang w:val="de-DE"/>
        </w:rPr>
      </w:pPr>
      <w:r>
        <w:rPr>
          <w:rStyle w:val="FootnoteReference"/>
        </w:rPr>
        <w:footnoteRef/>
      </w:r>
      <w:r>
        <w:rPr>
          <w:lang w:val="de-DE"/>
        </w:rPr>
        <w:t xml:space="preserve"> </w:t>
      </w:r>
      <w:r>
        <w:rPr>
          <w:lang w:val="de-DE"/>
        </w:rPr>
        <w:tab/>
      </w:r>
      <w:hyperlink r:id="rId109" w:history="1">
        <w:r>
          <w:rPr>
            <w:rStyle w:val="Hyperlink"/>
            <w:lang w:val="de-DE"/>
          </w:rPr>
          <w:t>MEMO/17/1281</w:t>
        </w:r>
      </w:hyperlink>
      <w:r>
        <w:rPr>
          <w:lang w:val="de-DE"/>
        </w:rPr>
        <w:t>.</w:t>
      </w:r>
    </w:p>
  </w:footnote>
  <w:footnote w:id="92">
    <w:p w:rsidR="00E201F7" w:rsidRDefault="00E24EFF">
      <w:pPr>
        <w:pStyle w:val="FootnoteText"/>
        <w:rPr>
          <w:lang w:val="de-DE"/>
        </w:rPr>
      </w:pPr>
      <w:r>
        <w:rPr>
          <w:rStyle w:val="FootnoteReference"/>
        </w:rPr>
        <w:footnoteRef/>
      </w:r>
      <w:r>
        <w:rPr>
          <w:lang w:val="de-DE"/>
        </w:rPr>
        <w:t xml:space="preserve"> </w:t>
      </w:r>
      <w:r>
        <w:rPr>
          <w:lang w:val="de-DE"/>
        </w:rPr>
        <w:tab/>
      </w:r>
      <w:hyperlink r:id="rId110" w:history="1">
        <w:r>
          <w:rPr>
            <w:rStyle w:val="Hyperlink"/>
            <w:lang w:val="de-DE"/>
          </w:rPr>
          <w:t>MEMO/17/3494</w:t>
        </w:r>
      </w:hyperlink>
      <w:r>
        <w:rPr>
          <w:lang w:val="de-DE"/>
        </w:rPr>
        <w:t>.</w:t>
      </w:r>
    </w:p>
  </w:footnote>
  <w:footnote w:id="93">
    <w:p w:rsidR="00E201F7" w:rsidRDefault="00E24EFF">
      <w:pPr>
        <w:pStyle w:val="FootnoteText"/>
        <w:rPr>
          <w:lang w:val="de-DE"/>
        </w:rPr>
      </w:pPr>
      <w:r>
        <w:rPr>
          <w:rStyle w:val="FootnoteReference"/>
        </w:rPr>
        <w:footnoteRef/>
      </w:r>
      <w:r>
        <w:rPr>
          <w:lang w:val="de-DE"/>
        </w:rPr>
        <w:t xml:space="preserve"> </w:t>
      </w:r>
      <w:r>
        <w:rPr>
          <w:lang w:val="de-DE"/>
        </w:rPr>
        <w:tab/>
      </w:r>
      <w:hyperlink r:id="rId111" w:history="1">
        <w:r>
          <w:rPr>
            <w:rStyle w:val="Hyperlink"/>
            <w:lang w:val="de-DE"/>
          </w:rPr>
          <w:t>MEMO/17/3494</w:t>
        </w:r>
      </w:hyperlink>
      <w:r>
        <w:rPr>
          <w:lang w:val="de-DE"/>
        </w:rPr>
        <w:t>.</w:t>
      </w:r>
    </w:p>
  </w:footnote>
  <w:footnote w:id="94">
    <w:p w:rsidR="00E201F7" w:rsidRDefault="00E24EFF">
      <w:pPr>
        <w:pStyle w:val="FootnoteText"/>
        <w:rPr>
          <w:lang w:val="de-DE"/>
        </w:rPr>
      </w:pPr>
      <w:r>
        <w:rPr>
          <w:rStyle w:val="FootnoteReference"/>
        </w:rPr>
        <w:footnoteRef/>
      </w:r>
      <w:r>
        <w:rPr>
          <w:lang w:val="de-DE"/>
        </w:rPr>
        <w:t xml:space="preserve"> </w:t>
      </w:r>
      <w:r>
        <w:rPr>
          <w:lang w:val="de-DE"/>
        </w:rPr>
        <w:tab/>
      </w:r>
      <w:hyperlink r:id="rId112" w:history="1">
        <w:r>
          <w:rPr>
            <w:rStyle w:val="Hyperlink"/>
            <w:lang w:val="de-DE"/>
          </w:rPr>
          <w:t>MEMO/17/1577</w:t>
        </w:r>
      </w:hyperlink>
      <w:r>
        <w:rPr>
          <w:lang w:val="de-DE"/>
        </w:rPr>
        <w:t>.</w:t>
      </w:r>
    </w:p>
  </w:footnote>
  <w:footnote w:id="95">
    <w:p w:rsidR="00E201F7" w:rsidRDefault="00E24EFF">
      <w:pPr>
        <w:pStyle w:val="FootnoteText"/>
        <w:rPr>
          <w:lang w:val="de-DE"/>
        </w:rPr>
      </w:pPr>
      <w:r>
        <w:rPr>
          <w:rStyle w:val="FootnoteReference"/>
        </w:rPr>
        <w:footnoteRef/>
      </w:r>
      <w:r>
        <w:rPr>
          <w:lang w:val="de-DE"/>
        </w:rPr>
        <w:t xml:space="preserve"> </w:t>
      </w:r>
      <w:r>
        <w:rPr>
          <w:lang w:val="de-DE"/>
        </w:rPr>
        <w:tab/>
        <w:t xml:space="preserve">Directive </w:t>
      </w:r>
      <w:hyperlink r:id="rId113" w:history="1">
        <w:r>
          <w:rPr>
            <w:rStyle w:val="Hyperlink"/>
            <w:lang w:val="de-DE"/>
          </w:rPr>
          <w:t>2002/49/EC</w:t>
        </w:r>
      </w:hyperlink>
      <w:r>
        <w:rPr>
          <w:lang w:val="de-DE"/>
        </w:rPr>
        <w:t>.</w:t>
      </w:r>
    </w:p>
  </w:footnote>
  <w:footnote w:id="96">
    <w:p w:rsidR="00E201F7" w:rsidRDefault="00E24EFF">
      <w:pPr>
        <w:pStyle w:val="FootnoteText"/>
        <w:rPr>
          <w:lang w:val="de-DE"/>
        </w:rPr>
      </w:pPr>
      <w:r>
        <w:rPr>
          <w:rStyle w:val="FootnoteReference"/>
        </w:rPr>
        <w:footnoteRef/>
      </w:r>
      <w:r>
        <w:rPr>
          <w:lang w:val="de-DE"/>
        </w:rPr>
        <w:t xml:space="preserve"> </w:t>
      </w:r>
      <w:r>
        <w:rPr>
          <w:lang w:val="de-DE"/>
        </w:rPr>
        <w:tab/>
        <w:t xml:space="preserve">Directive </w:t>
      </w:r>
      <w:hyperlink r:id="rId114" w:history="1">
        <w:r>
          <w:rPr>
            <w:rStyle w:val="Hyperlink"/>
            <w:lang w:val="de-DE"/>
          </w:rPr>
          <w:t>2006/21/EC</w:t>
        </w:r>
      </w:hyperlink>
      <w:r>
        <w:rPr>
          <w:lang w:val="de-DE"/>
        </w:rPr>
        <w:t>.</w:t>
      </w:r>
    </w:p>
  </w:footnote>
  <w:footnote w:id="97">
    <w:p w:rsidR="00E201F7" w:rsidRDefault="00E24EFF">
      <w:pPr>
        <w:pStyle w:val="FootnoteText"/>
        <w:rPr>
          <w:lang w:val="de-DE"/>
        </w:rPr>
      </w:pPr>
      <w:r>
        <w:rPr>
          <w:rStyle w:val="FootnoteReference"/>
        </w:rPr>
        <w:footnoteRef/>
      </w:r>
      <w:r>
        <w:rPr>
          <w:lang w:val="de-DE"/>
        </w:rPr>
        <w:t xml:space="preserve"> </w:t>
      </w:r>
      <w:r>
        <w:rPr>
          <w:lang w:val="de-DE"/>
        </w:rPr>
        <w:tab/>
      </w:r>
      <w:hyperlink r:id="rId115" w:history="1">
        <w:r>
          <w:rPr>
            <w:rStyle w:val="Hyperlink"/>
            <w:lang w:val="de-DE"/>
          </w:rPr>
          <w:t>MEMO/17/1936</w:t>
        </w:r>
      </w:hyperlink>
      <w:r>
        <w:rPr>
          <w:lang w:val="de-DE"/>
        </w:rPr>
        <w:t>.</w:t>
      </w:r>
    </w:p>
  </w:footnote>
  <w:footnote w:id="98">
    <w:p w:rsidR="00E201F7" w:rsidRDefault="00E24EFF">
      <w:pPr>
        <w:pStyle w:val="FootnoteText"/>
        <w:rPr>
          <w:lang w:val="de-DE"/>
        </w:rPr>
      </w:pPr>
      <w:r>
        <w:rPr>
          <w:rStyle w:val="FootnoteReference"/>
        </w:rPr>
        <w:footnoteRef/>
      </w:r>
      <w:r>
        <w:rPr>
          <w:lang w:val="de-DE"/>
        </w:rPr>
        <w:tab/>
      </w:r>
      <w:hyperlink r:id="rId116" w:history="1">
        <w:r>
          <w:rPr>
            <w:rStyle w:val="Hyperlink"/>
            <w:lang w:val="de-DE"/>
          </w:rPr>
          <w:t>ME</w:t>
        </w:r>
        <w:r>
          <w:rPr>
            <w:rStyle w:val="Hyperlink"/>
            <w:lang w:val="de-DE"/>
          </w:rPr>
          <w:t>MO/17/3494</w:t>
        </w:r>
      </w:hyperlink>
      <w:r>
        <w:rPr>
          <w:lang w:val="de-DE"/>
        </w:rPr>
        <w:t>.</w:t>
      </w:r>
    </w:p>
  </w:footnote>
  <w:footnote w:id="99">
    <w:p w:rsidR="00E201F7" w:rsidRDefault="00E24EFF">
      <w:pPr>
        <w:pStyle w:val="FootnoteText"/>
        <w:rPr>
          <w:lang w:val="de-DE"/>
        </w:rPr>
      </w:pPr>
      <w:r>
        <w:rPr>
          <w:rStyle w:val="FootnoteReference"/>
        </w:rPr>
        <w:footnoteRef/>
      </w:r>
      <w:r>
        <w:rPr>
          <w:lang w:val="de-DE"/>
        </w:rPr>
        <w:t xml:space="preserve"> </w:t>
      </w:r>
      <w:r>
        <w:rPr>
          <w:lang w:val="de-DE"/>
        </w:rPr>
        <w:tab/>
      </w:r>
      <w:hyperlink r:id="rId117" w:history="1">
        <w:r>
          <w:rPr>
            <w:rStyle w:val="Hyperlink"/>
            <w:lang w:val="de-DE"/>
          </w:rPr>
          <w:t>MEMO/17/3494</w:t>
        </w:r>
      </w:hyperlink>
      <w:r>
        <w:rPr>
          <w:lang w:val="de-DE"/>
        </w:rPr>
        <w:t>.</w:t>
      </w:r>
    </w:p>
  </w:footnote>
  <w:footnote w:id="100">
    <w:p w:rsidR="00E201F7" w:rsidRDefault="00E24EFF">
      <w:pPr>
        <w:pStyle w:val="FootnoteText"/>
        <w:rPr>
          <w:lang w:val="de-DE"/>
        </w:rPr>
      </w:pPr>
      <w:r>
        <w:rPr>
          <w:rStyle w:val="FootnoteReference"/>
        </w:rPr>
        <w:footnoteRef/>
      </w:r>
      <w:r>
        <w:rPr>
          <w:lang w:val="de-DE"/>
        </w:rPr>
        <w:t xml:space="preserve"> </w:t>
      </w:r>
      <w:r>
        <w:rPr>
          <w:lang w:val="de-DE"/>
        </w:rPr>
        <w:tab/>
      </w:r>
      <w:hyperlink r:id="rId118" w:history="1">
        <w:r>
          <w:rPr>
            <w:rStyle w:val="Hyperlink"/>
            <w:lang w:val="de-DE"/>
          </w:rPr>
          <w:t>MEMO/17/1280</w:t>
        </w:r>
      </w:hyperlink>
      <w:r>
        <w:rPr>
          <w:lang w:val="de-DE"/>
        </w:rPr>
        <w:t>.</w:t>
      </w:r>
    </w:p>
  </w:footnote>
  <w:footnote w:id="101">
    <w:p w:rsidR="00E201F7" w:rsidRDefault="00E24EFF">
      <w:pPr>
        <w:pStyle w:val="FootnoteText"/>
        <w:rPr>
          <w:lang w:val="de-DE"/>
        </w:rPr>
      </w:pPr>
      <w:r>
        <w:rPr>
          <w:rStyle w:val="FootnoteReference"/>
        </w:rPr>
        <w:footnoteRef/>
      </w:r>
      <w:r>
        <w:rPr>
          <w:lang w:val="de-DE"/>
        </w:rPr>
        <w:t xml:space="preserve"> </w:t>
      </w:r>
      <w:r>
        <w:rPr>
          <w:lang w:val="de-DE"/>
        </w:rPr>
        <w:tab/>
      </w:r>
      <w:hyperlink r:id="rId119" w:history="1">
        <w:r>
          <w:rPr>
            <w:rStyle w:val="Hyperlink"/>
            <w:lang w:val="de-DE"/>
          </w:rPr>
          <w:t>MEMO/17/1936</w:t>
        </w:r>
      </w:hyperlink>
      <w:r>
        <w:rPr>
          <w:lang w:val="de-DE"/>
        </w:rPr>
        <w:t>.</w:t>
      </w:r>
    </w:p>
  </w:footnote>
  <w:footnote w:id="102">
    <w:p w:rsidR="00E201F7" w:rsidRDefault="00E24EFF">
      <w:pPr>
        <w:pStyle w:val="FootnoteText"/>
        <w:rPr>
          <w:lang w:val="de-DE"/>
        </w:rPr>
      </w:pPr>
      <w:r>
        <w:rPr>
          <w:rStyle w:val="FootnoteReference"/>
        </w:rPr>
        <w:footnoteRef/>
      </w:r>
      <w:r>
        <w:rPr>
          <w:lang w:val="de-DE"/>
        </w:rPr>
        <w:t xml:space="preserve"> </w:t>
      </w:r>
      <w:r>
        <w:rPr>
          <w:lang w:val="de-DE"/>
        </w:rPr>
        <w:tab/>
      </w:r>
      <w:hyperlink r:id="rId120" w:history="1">
        <w:r>
          <w:rPr>
            <w:rStyle w:val="Hyperlink"/>
            <w:lang w:val="de-DE"/>
          </w:rPr>
          <w:t>MEMO/17/4767</w:t>
        </w:r>
      </w:hyperlink>
      <w:r>
        <w:rPr>
          <w:lang w:val="de-DE"/>
        </w:rPr>
        <w:t>.</w:t>
      </w:r>
    </w:p>
  </w:footnote>
  <w:footnote w:id="103">
    <w:p w:rsidR="00E201F7" w:rsidRDefault="00E24EFF">
      <w:pPr>
        <w:pStyle w:val="FootnoteText"/>
        <w:rPr>
          <w:lang w:val="de-DE"/>
        </w:rPr>
      </w:pPr>
      <w:r>
        <w:rPr>
          <w:rStyle w:val="FootnoteReference"/>
        </w:rPr>
        <w:footnoteRef/>
      </w:r>
      <w:r>
        <w:rPr>
          <w:lang w:val="de-DE"/>
        </w:rPr>
        <w:t xml:space="preserve"> </w:t>
      </w:r>
      <w:r>
        <w:rPr>
          <w:lang w:val="de-DE"/>
        </w:rPr>
        <w:tab/>
      </w:r>
      <w:hyperlink r:id="rId121" w:history="1">
        <w:r>
          <w:rPr>
            <w:rStyle w:val="Hyperlink"/>
            <w:lang w:val="de-DE"/>
          </w:rPr>
          <w:t>MEMO/17/3494</w:t>
        </w:r>
      </w:hyperlink>
      <w:r>
        <w:rPr>
          <w:lang w:val="de-DE"/>
        </w:rPr>
        <w:t>.</w:t>
      </w:r>
    </w:p>
  </w:footnote>
  <w:footnote w:id="104">
    <w:p w:rsidR="00E201F7" w:rsidRDefault="00E24EFF">
      <w:pPr>
        <w:pStyle w:val="FootnoteText"/>
        <w:rPr>
          <w:lang w:val="de-DE"/>
        </w:rPr>
      </w:pPr>
      <w:r>
        <w:rPr>
          <w:rStyle w:val="FootnoteReference"/>
        </w:rPr>
        <w:footnoteRef/>
      </w:r>
      <w:r>
        <w:rPr>
          <w:lang w:val="de-DE"/>
        </w:rPr>
        <w:t xml:space="preserve"> </w:t>
      </w:r>
      <w:r>
        <w:rPr>
          <w:lang w:val="de-DE"/>
        </w:rPr>
        <w:tab/>
      </w:r>
      <w:hyperlink r:id="rId122" w:history="1">
        <w:r>
          <w:rPr>
            <w:rStyle w:val="Hyperlink"/>
            <w:lang w:val="de-DE"/>
          </w:rPr>
          <w:t>MEMO/17/1281</w:t>
        </w:r>
      </w:hyperlink>
      <w:r>
        <w:rPr>
          <w:lang w:val="de-DE"/>
        </w:rPr>
        <w:t xml:space="preserve"> and </w:t>
      </w:r>
      <w:hyperlink r:id="rId123" w:history="1">
        <w:r>
          <w:rPr>
            <w:rStyle w:val="Hyperlink"/>
            <w:lang w:val="de-DE"/>
          </w:rPr>
          <w:t>MEMO/17/1577</w:t>
        </w:r>
      </w:hyperlink>
      <w:r>
        <w:rPr>
          <w:lang w:val="de-DE"/>
        </w:rPr>
        <w:t>.</w:t>
      </w:r>
    </w:p>
  </w:footnote>
  <w:footnote w:id="105">
    <w:p w:rsidR="00E201F7" w:rsidRDefault="00E24EFF">
      <w:pPr>
        <w:pStyle w:val="FootnoteText"/>
        <w:rPr>
          <w:lang w:val="de-DE"/>
        </w:rPr>
      </w:pPr>
      <w:r>
        <w:rPr>
          <w:rStyle w:val="FootnoteReference"/>
        </w:rPr>
        <w:footnoteRef/>
      </w:r>
      <w:r>
        <w:rPr>
          <w:lang w:val="de-DE"/>
        </w:rPr>
        <w:t xml:space="preserve"> </w:t>
      </w:r>
      <w:r>
        <w:rPr>
          <w:lang w:val="de-DE"/>
        </w:rPr>
        <w:tab/>
        <w:t xml:space="preserve">Directive </w:t>
      </w:r>
      <w:hyperlink r:id="rId124" w:history="1">
        <w:r>
          <w:rPr>
            <w:rStyle w:val="Hyperlink"/>
            <w:lang w:val="de-DE"/>
          </w:rPr>
          <w:t>2008/56/EC</w:t>
        </w:r>
      </w:hyperlink>
      <w:r>
        <w:rPr>
          <w:lang w:val="de-DE"/>
        </w:rPr>
        <w:t>.</w:t>
      </w:r>
    </w:p>
  </w:footnote>
  <w:footnote w:id="106">
    <w:p w:rsidR="00E201F7" w:rsidRDefault="00E24EFF">
      <w:pPr>
        <w:pStyle w:val="FootnoteText"/>
        <w:rPr>
          <w:lang w:val="de-DE"/>
        </w:rPr>
      </w:pPr>
      <w:r>
        <w:rPr>
          <w:rStyle w:val="FootnoteReference"/>
        </w:rPr>
        <w:footnoteRef/>
      </w:r>
      <w:r>
        <w:rPr>
          <w:lang w:val="de-DE"/>
        </w:rPr>
        <w:t xml:space="preserve"> </w:t>
      </w:r>
      <w:r>
        <w:rPr>
          <w:lang w:val="de-DE"/>
        </w:rPr>
        <w:tab/>
        <w:t>Nitrogen dioxide.</w:t>
      </w:r>
    </w:p>
  </w:footnote>
  <w:footnote w:id="107">
    <w:p w:rsidR="00E201F7" w:rsidRDefault="00E24EFF">
      <w:pPr>
        <w:pStyle w:val="FootnoteText"/>
        <w:rPr>
          <w:lang w:val="de-DE"/>
        </w:rPr>
      </w:pPr>
      <w:r>
        <w:rPr>
          <w:rStyle w:val="FootnoteReference"/>
        </w:rPr>
        <w:footnoteRef/>
      </w:r>
      <w:r>
        <w:rPr>
          <w:lang w:val="de-DE"/>
        </w:rPr>
        <w:t xml:space="preserve"> </w:t>
      </w:r>
      <w:r>
        <w:rPr>
          <w:lang w:val="de-DE"/>
        </w:rPr>
        <w:tab/>
        <w:t xml:space="preserve">Directive </w:t>
      </w:r>
      <w:hyperlink r:id="rId125" w:history="1">
        <w:r>
          <w:rPr>
            <w:rStyle w:val="Hyperlink"/>
            <w:lang w:val="de-DE"/>
          </w:rPr>
          <w:t>2008/50/EC</w:t>
        </w:r>
      </w:hyperlink>
      <w:r>
        <w:rPr>
          <w:lang w:val="de-DE"/>
        </w:rPr>
        <w:t xml:space="preserve">, </w:t>
      </w:r>
      <w:hyperlink r:id="rId126" w:history="1">
        <w:r>
          <w:rPr>
            <w:rStyle w:val="Hyperlink"/>
            <w:lang w:val="de-DE"/>
          </w:rPr>
          <w:t>IP/17/238</w:t>
        </w:r>
      </w:hyperlink>
      <w:r>
        <w:rPr>
          <w:lang w:val="de-DE"/>
        </w:rPr>
        <w:t>.</w:t>
      </w:r>
    </w:p>
  </w:footnote>
  <w:footnote w:id="108">
    <w:p w:rsidR="00E201F7" w:rsidRDefault="00E24EFF">
      <w:pPr>
        <w:pStyle w:val="FootnoteText"/>
        <w:rPr>
          <w:lang w:val="de-DE"/>
        </w:rPr>
      </w:pPr>
      <w:r>
        <w:rPr>
          <w:rStyle w:val="FootnoteReference"/>
        </w:rPr>
        <w:footnoteRef/>
      </w:r>
      <w:r>
        <w:rPr>
          <w:lang w:val="de-DE"/>
        </w:rPr>
        <w:t xml:space="preserve"> </w:t>
      </w:r>
      <w:r>
        <w:rPr>
          <w:lang w:val="de-DE"/>
        </w:rPr>
        <w:tab/>
      </w:r>
      <w:hyperlink r:id="rId127" w:history="1">
        <w:r>
          <w:rPr>
            <w:rStyle w:val="Hyperlink"/>
            <w:lang w:val="de-DE"/>
          </w:rPr>
          <w:t>MEMO/17/3494</w:t>
        </w:r>
      </w:hyperlink>
      <w:r>
        <w:rPr>
          <w:lang w:val="de-DE"/>
        </w:rPr>
        <w:t>.</w:t>
      </w:r>
    </w:p>
  </w:footnote>
  <w:footnote w:id="109">
    <w:p w:rsidR="00E201F7" w:rsidRDefault="00E24EFF">
      <w:pPr>
        <w:pStyle w:val="FootnoteText"/>
        <w:rPr>
          <w:lang w:val="de-DE"/>
        </w:rPr>
      </w:pPr>
      <w:r>
        <w:rPr>
          <w:rStyle w:val="FootnoteReference"/>
        </w:rPr>
        <w:footnoteRef/>
      </w:r>
      <w:r>
        <w:rPr>
          <w:lang w:val="de-DE"/>
        </w:rPr>
        <w:t xml:space="preserve"> </w:t>
      </w:r>
      <w:r>
        <w:rPr>
          <w:lang w:val="de-DE"/>
        </w:rPr>
        <w:tab/>
        <w:t xml:space="preserve">Directive </w:t>
      </w:r>
      <w:hyperlink r:id="rId128" w:history="1">
        <w:r>
          <w:rPr>
            <w:rStyle w:val="Hyperlink"/>
            <w:lang w:val="de-DE"/>
          </w:rPr>
          <w:t>2000/60/EC</w:t>
        </w:r>
      </w:hyperlink>
      <w:r>
        <w:rPr>
          <w:lang w:val="de-DE"/>
        </w:rPr>
        <w:t>.</w:t>
      </w:r>
    </w:p>
  </w:footnote>
  <w:footnote w:id="110">
    <w:p w:rsidR="00E201F7" w:rsidRDefault="00E24EFF">
      <w:pPr>
        <w:pStyle w:val="FootnoteText"/>
      </w:pPr>
      <w:r>
        <w:rPr>
          <w:rStyle w:val="FootnoteReference"/>
        </w:rPr>
        <w:footnoteRef/>
      </w:r>
      <w:r>
        <w:t xml:space="preserve"> </w:t>
      </w:r>
      <w:r>
        <w:tab/>
        <w:t xml:space="preserve">Directive </w:t>
      </w:r>
      <w:hyperlink r:id="rId129" w:history="1">
        <w:r>
          <w:rPr>
            <w:rStyle w:val="Hyperlink"/>
          </w:rPr>
          <w:t>2007/60/EC</w:t>
        </w:r>
      </w:hyperlink>
      <w:r>
        <w:t>.</w:t>
      </w:r>
    </w:p>
  </w:footnote>
  <w:footnote w:id="111">
    <w:p w:rsidR="00E201F7" w:rsidRDefault="00E24EFF">
      <w:pPr>
        <w:pStyle w:val="FootnoteText"/>
      </w:pPr>
      <w:r>
        <w:rPr>
          <w:rStyle w:val="FootnoteReference"/>
        </w:rPr>
        <w:footnoteRef/>
      </w:r>
      <w:r>
        <w:t xml:space="preserve"> </w:t>
      </w:r>
      <w:r>
        <w:tab/>
      </w:r>
      <w:hyperlink r:id="rId130" w:history="1">
        <w:r>
          <w:rPr>
            <w:rStyle w:val="Hyperlink"/>
          </w:rPr>
          <w:t>MEMO/17/1045</w:t>
        </w:r>
      </w:hyperlink>
      <w:r>
        <w:t>.</w:t>
      </w:r>
    </w:p>
  </w:footnote>
  <w:footnote w:id="112">
    <w:p w:rsidR="00E201F7" w:rsidRDefault="00E24EFF">
      <w:pPr>
        <w:pStyle w:val="FootnoteText"/>
      </w:pPr>
      <w:r>
        <w:rPr>
          <w:rStyle w:val="FootnoteReference"/>
        </w:rPr>
        <w:footnoteRef/>
      </w:r>
      <w:r>
        <w:t xml:space="preserve"> </w:t>
      </w:r>
      <w:r>
        <w:tab/>
      </w:r>
      <w:hyperlink r:id="rId131" w:history="1">
        <w:r>
          <w:rPr>
            <w:rStyle w:val="Hyperlink"/>
          </w:rPr>
          <w:t>MEMO/17/3494</w:t>
        </w:r>
      </w:hyperlink>
      <w:r>
        <w:t>.</w:t>
      </w:r>
    </w:p>
  </w:footnote>
  <w:footnote w:id="113">
    <w:p w:rsidR="00E201F7" w:rsidRDefault="00E24EFF">
      <w:pPr>
        <w:pStyle w:val="FootnoteText"/>
      </w:pPr>
      <w:r>
        <w:rPr>
          <w:rStyle w:val="FootnoteReference"/>
        </w:rPr>
        <w:footnoteRef/>
      </w:r>
      <w:r>
        <w:t xml:space="preserve"> </w:t>
      </w:r>
      <w:r>
        <w:tab/>
        <w:t xml:space="preserve">Directive </w:t>
      </w:r>
      <w:hyperlink r:id="rId132" w:history="1">
        <w:r>
          <w:rPr>
            <w:rStyle w:val="Hyperlink"/>
          </w:rPr>
          <w:t>2009/147/EC</w:t>
        </w:r>
      </w:hyperlink>
      <w:r>
        <w:t xml:space="preserve"> and Directive </w:t>
      </w:r>
      <w:hyperlink r:id="rId133" w:history="1">
        <w:r>
          <w:rPr>
            <w:rStyle w:val="Hyperlink"/>
          </w:rPr>
          <w:t>92/43/EEC</w:t>
        </w:r>
      </w:hyperlink>
      <w:r>
        <w:t>.</w:t>
      </w:r>
    </w:p>
  </w:footnote>
  <w:footnote w:id="114">
    <w:p w:rsidR="00E201F7" w:rsidRDefault="00E24EFF">
      <w:pPr>
        <w:pStyle w:val="FootnoteText"/>
      </w:pPr>
      <w:r>
        <w:rPr>
          <w:rStyle w:val="FootnoteReference"/>
        </w:rPr>
        <w:footnoteRef/>
      </w:r>
      <w:r>
        <w:t xml:space="preserve"> </w:t>
      </w:r>
      <w:r>
        <w:tab/>
        <w:t>PM</w:t>
      </w:r>
      <w:r>
        <w:rPr>
          <w:vertAlign w:val="subscript"/>
        </w:rPr>
        <w:t>10</w:t>
      </w:r>
      <w:r>
        <w:t xml:space="preserve"> is an air pollutant consisting of small particles with an aerodynamic diameter less than or equal to a nominal 10 micrometres. The parti</w:t>
      </w:r>
      <w:r>
        <w:t>cles’ small size allows them to penetrate deep into the lungs where they may be deposited and cause adverse health effects. (Source: European Environment Agency).</w:t>
      </w:r>
    </w:p>
  </w:footnote>
  <w:footnote w:id="115">
    <w:p w:rsidR="00E201F7" w:rsidRDefault="00E24EFF">
      <w:pPr>
        <w:pStyle w:val="FootnoteText"/>
      </w:pPr>
      <w:r>
        <w:rPr>
          <w:rStyle w:val="FootnoteReference"/>
        </w:rPr>
        <w:footnoteRef/>
      </w:r>
      <w:r>
        <w:t xml:space="preserve"> </w:t>
      </w:r>
      <w:r>
        <w:tab/>
        <w:t xml:space="preserve">Directive </w:t>
      </w:r>
      <w:hyperlink r:id="rId134" w:history="1">
        <w:r>
          <w:rPr>
            <w:rStyle w:val="Hyperlink"/>
          </w:rPr>
          <w:t>2008/50/EC</w:t>
        </w:r>
      </w:hyperlink>
      <w:r>
        <w:t>.</w:t>
      </w:r>
    </w:p>
  </w:footnote>
  <w:footnote w:id="116">
    <w:p w:rsidR="00E201F7" w:rsidRDefault="00E24EFF">
      <w:pPr>
        <w:pStyle w:val="FootnoteText"/>
      </w:pPr>
      <w:r>
        <w:rPr>
          <w:rStyle w:val="FootnoteReference"/>
        </w:rPr>
        <w:footnoteRef/>
      </w:r>
      <w:r>
        <w:t xml:space="preserve"> </w:t>
      </w:r>
      <w:r>
        <w:tab/>
      </w:r>
      <w:hyperlink r:id="rId135" w:history="1">
        <w:r>
          <w:rPr>
            <w:rStyle w:val="Hyperlink"/>
          </w:rPr>
          <w:t>MEMO/17/3494</w:t>
        </w:r>
      </w:hyperlink>
      <w:r>
        <w:t>.</w:t>
      </w:r>
    </w:p>
  </w:footnote>
  <w:footnote w:id="117">
    <w:p w:rsidR="00E201F7" w:rsidRDefault="00E24EFF">
      <w:pPr>
        <w:pStyle w:val="FootnoteText"/>
      </w:pPr>
      <w:r>
        <w:rPr>
          <w:rStyle w:val="FootnoteReference"/>
        </w:rPr>
        <w:footnoteRef/>
      </w:r>
      <w:r>
        <w:t xml:space="preserve"> </w:t>
      </w:r>
      <w:r>
        <w:tab/>
      </w:r>
      <w:hyperlink r:id="rId136" w:history="1">
        <w:r>
          <w:rPr>
            <w:rStyle w:val="Hyperlink"/>
          </w:rPr>
          <w:t>MEMO/17/1577</w:t>
        </w:r>
      </w:hyperlink>
      <w:r>
        <w:t>.</w:t>
      </w:r>
    </w:p>
  </w:footnote>
  <w:footnote w:id="118">
    <w:p w:rsidR="00E201F7" w:rsidRDefault="00E24EFF">
      <w:pPr>
        <w:pStyle w:val="FootnoteText"/>
      </w:pPr>
      <w:r>
        <w:rPr>
          <w:rStyle w:val="FootnoteReference"/>
        </w:rPr>
        <w:footnoteRef/>
      </w:r>
      <w:r>
        <w:t xml:space="preserve"> </w:t>
      </w:r>
      <w:r>
        <w:tab/>
      </w:r>
      <w:hyperlink r:id="rId137" w:history="1">
        <w:r>
          <w:rPr>
            <w:rStyle w:val="Hyperlink"/>
          </w:rPr>
          <w:t>MEMO/17/3494</w:t>
        </w:r>
      </w:hyperlink>
      <w:r>
        <w:t>.</w:t>
      </w:r>
    </w:p>
  </w:footnote>
  <w:footnote w:id="119">
    <w:p w:rsidR="00E201F7" w:rsidRDefault="00E24EFF">
      <w:pPr>
        <w:pStyle w:val="FootnoteText"/>
      </w:pPr>
      <w:r>
        <w:rPr>
          <w:rStyle w:val="FootnoteReference"/>
        </w:rPr>
        <w:footnoteRef/>
      </w:r>
      <w:r>
        <w:t xml:space="preserve"> </w:t>
      </w:r>
      <w:r>
        <w:tab/>
        <w:t xml:space="preserve">Directive </w:t>
      </w:r>
      <w:hyperlink r:id="rId138" w:history="1">
        <w:r>
          <w:rPr>
            <w:rStyle w:val="Hyperlink"/>
          </w:rPr>
          <w:t>2012/18/EU</w:t>
        </w:r>
      </w:hyperlink>
      <w:r>
        <w:t>.</w:t>
      </w:r>
    </w:p>
  </w:footnote>
  <w:footnote w:id="120">
    <w:p w:rsidR="00E201F7" w:rsidRDefault="00E24EFF">
      <w:pPr>
        <w:pStyle w:val="FootnoteText"/>
      </w:pPr>
      <w:r>
        <w:rPr>
          <w:rStyle w:val="FootnoteReference"/>
        </w:rPr>
        <w:footnoteRef/>
      </w:r>
      <w:r>
        <w:t xml:space="preserve"> </w:t>
      </w:r>
      <w:r>
        <w:tab/>
      </w:r>
      <w:hyperlink r:id="rId139" w:history="1">
        <w:r>
          <w:rPr>
            <w:rStyle w:val="Hyperlink"/>
          </w:rPr>
          <w:t>MEM</w:t>
        </w:r>
        <w:r>
          <w:rPr>
            <w:rStyle w:val="Hyperlink"/>
          </w:rPr>
          <w:t>O/17/1936</w:t>
        </w:r>
      </w:hyperlink>
      <w:r>
        <w:t>.</w:t>
      </w:r>
    </w:p>
  </w:footnote>
  <w:footnote w:id="121">
    <w:p w:rsidR="00E201F7" w:rsidRDefault="00E24EFF">
      <w:pPr>
        <w:pStyle w:val="FootnoteText"/>
      </w:pPr>
      <w:r>
        <w:rPr>
          <w:rStyle w:val="FootnoteReference"/>
        </w:rPr>
        <w:footnoteRef/>
      </w:r>
      <w:r>
        <w:t xml:space="preserve"> </w:t>
      </w:r>
      <w:r>
        <w:tab/>
        <w:t xml:space="preserve">Directive </w:t>
      </w:r>
      <w:hyperlink r:id="rId140" w:history="1">
        <w:r>
          <w:rPr>
            <w:rStyle w:val="Hyperlink"/>
          </w:rPr>
          <w:t>1979/409/EEC</w:t>
        </w:r>
      </w:hyperlink>
      <w:r>
        <w:t xml:space="preserve">, Commission v Bulgaria, </w:t>
      </w:r>
      <w:hyperlink r:id="rId141" w:history="1">
        <w:r>
          <w:rPr>
            <w:rStyle w:val="Hyperlink"/>
          </w:rPr>
          <w:t>C-97/17</w:t>
        </w:r>
      </w:hyperlink>
      <w:r>
        <w:t xml:space="preserve">; </w:t>
      </w:r>
      <w:hyperlink r:id="rId142" w:history="1">
        <w:r>
          <w:rPr>
            <w:rStyle w:val="Hyperlink"/>
          </w:rPr>
          <w:t>IP/16/2491</w:t>
        </w:r>
      </w:hyperlink>
      <w:r>
        <w:t>.</w:t>
      </w:r>
    </w:p>
  </w:footnote>
  <w:footnote w:id="122">
    <w:p w:rsidR="00E201F7" w:rsidRDefault="00E24EFF">
      <w:pPr>
        <w:pStyle w:val="FootnoteText"/>
      </w:pPr>
      <w:r>
        <w:rPr>
          <w:rStyle w:val="FootnoteReference"/>
        </w:rPr>
        <w:footnoteRef/>
      </w:r>
      <w:r>
        <w:t xml:space="preserve"> </w:t>
      </w:r>
      <w:r>
        <w:tab/>
        <w:t xml:space="preserve">Regulation </w:t>
      </w:r>
      <w:hyperlink r:id="rId143" w:history="1">
        <w:r>
          <w:rPr>
            <w:rStyle w:val="Hyperlink"/>
          </w:rPr>
          <w:t>(EC) No 1013/2006</w:t>
        </w:r>
      </w:hyperlink>
      <w:r>
        <w:t xml:space="preserve">, Commission v Czech Republic, </w:t>
      </w:r>
      <w:hyperlink r:id="rId144" w:history="1">
        <w:r>
          <w:rPr>
            <w:rStyle w:val="Hyperlink"/>
          </w:rPr>
          <w:t>C-399/17</w:t>
        </w:r>
      </w:hyperlink>
      <w:r>
        <w:t xml:space="preserve">; </w:t>
      </w:r>
      <w:hyperlink r:id="rId145" w:history="1">
        <w:r>
          <w:rPr>
            <w:rStyle w:val="Hyperlink"/>
          </w:rPr>
          <w:t>IP/16/2492</w:t>
        </w:r>
      </w:hyperlink>
      <w:r>
        <w:t>.</w:t>
      </w:r>
    </w:p>
  </w:footnote>
  <w:footnote w:id="123">
    <w:p w:rsidR="00E201F7" w:rsidRDefault="00E24EFF">
      <w:pPr>
        <w:pStyle w:val="FootnoteText"/>
        <w:rPr>
          <w:lang w:val="fr-FR"/>
        </w:rPr>
      </w:pPr>
      <w:r>
        <w:rPr>
          <w:rStyle w:val="FootnoteReference"/>
        </w:rPr>
        <w:footnoteRef/>
      </w:r>
      <w:r>
        <w:rPr>
          <w:lang w:val="fr-FR"/>
        </w:rPr>
        <w:t xml:space="preserve"> </w:t>
      </w:r>
      <w:r>
        <w:rPr>
          <w:lang w:val="fr-FR"/>
        </w:rPr>
        <w:tab/>
        <w:t xml:space="preserve">Directive </w:t>
      </w:r>
      <w:hyperlink r:id="rId146" w:history="1">
        <w:r>
          <w:rPr>
            <w:rStyle w:val="Hyperlink"/>
            <w:lang w:val="fr-FR"/>
          </w:rPr>
          <w:t>91/271/EEC</w:t>
        </w:r>
      </w:hyperlink>
      <w:r>
        <w:rPr>
          <w:lang w:val="fr-FR"/>
        </w:rPr>
        <w:t xml:space="preserve">, Commission v Ireland, </w:t>
      </w:r>
      <w:hyperlink r:id="rId147" w:history="1">
        <w:r>
          <w:rPr>
            <w:rStyle w:val="Hyperlink"/>
            <w:lang w:val="fr-FR"/>
          </w:rPr>
          <w:t>C-427/17</w:t>
        </w:r>
      </w:hyperlink>
      <w:r>
        <w:rPr>
          <w:lang w:val="fr-FR"/>
        </w:rPr>
        <w:t xml:space="preserve">; </w:t>
      </w:r>
      <w:hyperlink r:id="rId148" w:history="1">
        <w:r>
          <w:rPr>
            <w:rStyle w:val="Hyperlink"/>
            <w:lang w:val="fr-FR"/>
          </w:rPr>
          <w:t>IP/17/236</w:t>
        </w:r>
      </w:hyperlink>
      <w:r>
        <w:rPr>
          <w:lang w:val="fr-FR"/>
        </w:rPr>
        <w:t>.</w:t>
      </w:r>
    </w:p>
  </w:footnote>
  <w:footnote w:id="124">
    <w:p w:rsidR="00E201F7" w:rsidRDefault="00E24EFF">
      <w:pPr>
        <w:pStyle w:val="FootnoteText"/>
      </w:pPr>
      <w:r>
        <w:rPr>
          <w:rStyle w:val="FootnoteReference"/>
        </w:rPr>
        <w:footnoteRef/>
      </w:r>
      <w:r>
        <w:rPr>
          <w:lang w:val="fr-BE"/>
        </w:rPr>
        <w:t xml:space="preserve"> </w:t>
      </w:r>
      <w:r>
        <w:rPr>
          <w:lang w:val="fr-BE"/>
        </w:rPr>
        <w:tab/>
        <w:t xml:space="preserve">Directive </w:t>
      </w:r>
      <w:hyperlink r:id="rId149" w:history="1">
        <w:r>
          <w:rPr>
            <w:rStyle w:val="Hyperlink"/>
            <w:lang w:val="fr-BE"/>
          </w:rPr>
          <w:t>2009/147/CE</w:t>
        </w:r>
      </w:hyperlink>
      <w:r>
        <w:rPr>
          <w:lang w:val="fr-BE"/>
        </w:rPr>
        <w:t xml:space="preserve">, Commission v France, </w:t>
      </w:r>
      <w:hyperlink r:id="rId150" w:history="1">
        <w:r>
          <w:rPr>
            <w:rStyle w:val="Hyperlink"/>
            <w:lang w:val="fr-BE"/>
          </w:rPr>
          <w:t>C-420/17</w:t>
        </w:r>
      </w:hyperlink>
      <w:r>
        <w:rPr>
          <w:lang w:val="fr-BE"/>
        </w:rPr>
        <w:t xml:space="preserve">, </w:t>
      </w:r>
      <w:hyperlink r:id="rId151" w:history="1">
        <w:r>
          <w:rPr>
            <w:rStyle w:val="Hyperlink"/>
            <w:lang w:val="fr-BE"/>
          </w:rPr>
          <w:t>IP/16/4213</w:t>
        </w:r>
      </w:hyperlink>
      <w:r>
        <w:rPr>
          <w:lang w:val="fr-BE"/>
        </w:rPr>
        <w:t xml:space="preserve">. </w:t>
      </w:r>
      <w:smartTag w:uri="urn:schemas-microsoft-com:office:smarttags" w:element="country-region">
        <w:smartTag w:uri="urn:schemas-microsoft-com:office:smarttags" w:element="place">
          <w:r>
            <w:t>France</w:t>
          </w:r>
        </w:smartTag>
      </w:smartTag>
      <w:r>
        <w:t xml:space="preserve"> subsequently took the necessary measure to ensure compliance with EU law and the Commission has therefore withdrawn this case from the Court; </w:t>
      </w:r>
      <w:hyperlink r:id="rId152" w:history="1">
        <w:r>
          <w:rPr>
            <w:rStyle w:val="Hyperlink"/>
          </w:rPr>
          <w:t>MEX/17/4652</w:t>
        </w:r>
      </w:hyperlink>
      <w:r>
        <w:t>.</w:t>
      </w:r>
    </w:p>
  </w:footnote>
  <w:footnote w:id="125">
    <w:p w:rsidR="00E201F7" w:rsidRDefault="00E24EFF">
      <w:pPr>
        <w:pStyle w:val="FootnoteText"/>
      </w:pPr>
      <w:r>
        <w:rPr>
          <w:rStyle w:val="FootnoteReference"/>
        </w:rPr>
        <w:footnoteRef/>
      </w:r>
      <w:r>
        <w:t xml:space="preserve"> </w:t>
      </w:r>
      <w:r>
        <w:tab/>
        <w:t>Direc</w:t>
      </w:r>
      <w:r>
        <w:t xml:space="preserve">tive </w:t>
      </w:r>
      <w:hyperlink r:id="rId153" w:history="1">
        <w:r>
          <w:rPr>
            <w:rStyle w:val="Hyperlink"/>
          </w:rPr>
          <w:t>1999/31/EC</w:t>
        </w:r>
      </w:hyperlink>
      <w:r>
        <w:t xml:space="preserve">, Commission v Italy, </w:t>
      </w:r>
      <w:hyperlink r:id="rId154" w:history="1">
        <w:r>
          <w:rPr>
            <w:rStyle w:val="Hyperlink"/>
          </w:rPr>
          <w:t>C-498/17</w:t>
        </w:r>
      </w:hyperlink>
      <w:r>
        <w:t xml:space="preserve">; </w:t>
      </w:r>
      <w:hyperlink r:id="rId155" w:history="1">
        <w:r>
          <w:rPr>
            <w:rStyle w:val="Hyperlink"/>
          </w:rPr>
          <w:t>IP/17/1283</w:t>
        </w:r>
      </w:hyperlink>
      <w:r>
        <w:t xml:space="preserve">. </w:t>
      </w:r>
    </w:p>
  </w:footnote>
  <w:footnote w:id="126">
    <w:p w:rsidR="00E201F7" w:rsidRDefault="00E24EFF">
      <w:pPr>
        <w:pStyle w:val="FootnoteText"/>
      </w:pPr>
      <w:r>
        <w:rPr>
          <w:rStyle w:val="FootnoteReference"/>
        </w:rPr>
        <w:footnoteRef/>
      </w:r>
      <w:r>
        <w:t xml:space="preserve"> </w:t>
      </w:r>
      <w:r>
        <w:tab/>
        <w:t xml:space="preserve">Directives </w:t>
      </w:r>
      <w:hyperlink r:id="rId156" w:history="1">
        <w:r>
          <w:rPr>
            <w:rStyle w:val="Hyperlink"/>
          </w:rPr>
          <w:t>92/43/EEC</w:t>
        </w:r>
      </w:hyperlink>
      <w:r>
        <w:t xml:space="preserve"> and </w:t>
      </w:r>
      <w:hyperlink r:id="rId157" w:history="1">
        <w:r>
          <w:rPr>
            <w:rStyle w:val="Hyperlink"/>
          </w:rPr>
          <w:t>2009/147/EC</w:t>
        </w:r>
      </w:hyperlink>
      <w:r>
        <w:t>,</w:t>
      </w:r>
      <w:r>
        <w:rPr>
          <w:rFonts w:ascii="Verdana" w:hAnsi="Verdana"/>
          <w:color w:val="18399C"/>
        </w:rPr>
        <w:t xml:space="preserve"> </w:t>
      </w:r>
      <w:r>
        <w:t xml:space="preserve">Commission v Poland, </w:t>
      </w:r>
      <w:hyperlink r:id="rId158" w:history="1">
        <w:r>
          <w:rPr>
            <w:rStyle w:val="Hyperlink"/>
          </w:rPr>
          <w:t>C-441/17</w:t>
        </w:r>
      </w:hyperlink>
      <w:r>
        <w:t xml:space="preserve">; </w:t>
      </w:r>
      <w:hyperlink r:id="rId159" w:history="1">
        <w:r>
          <w:rPr>
            <w:rStyle w:val="Hyperlink"/>
          </w:rPr>
          <w:t>IP/17/1948</w:t>
        </w:r>
      </w:hyperlink>
      <w:r>
        <w:t xml:space="preserve">. The Commission also requested interim measures compelling Poland to cease operations immediately, </w:t>
      </w:r>
      <w:hyperlink r:id="rId160" w:history="1">
        <w:r>
          <w:rPr>
            <w:rStyle w:val="Hyperlink"/>
          </w:rPr>
          <w:t>C-441/17 R</w:t>
        </w:r>
      </w:hyperlink>
      <w:r>
        <w:t xml:space="preserve">. The Court granted the Commission’s request for interim measures and confirmed that Poland could face financial penalties if it did not respect the Court decision; Court press release </w:t>
      </w:r>
      <w:hyperlink r:id="rId161" w:history="1">
        <w:r>
          <w:rPr>
            <w:rStyle w:val="Hyperlink"/>
          </w:rPr>
          <w:t>No 122/17</w:t>
        </w:r>
      </w:hyperlink>
      <w:r>
        <w:rPr>
          <w:rStyle w:val="Hyperlink"/>
        </w:rPr>
        <w:t>.</w:t>
      </w:r>
    </w:p>
  </w:footnote>
  <w:footnote w:id="127">
    <w:p w:rsidR="00E201F7" w:rsidRDefault="00E24EFF">
      <w:pPr>
        <w:pStyle w:val="FootnoteText"/>
      </w:pPr>
      <w:r>
        <w:rPr>
          <w:rStyle w:val="FootnoteReference"/>
        </w:rPr>
        <w:footnoteRef/>
      </w:r>
      <w:r>
        <w:t xml:space="preserve"> </w:t>
      </w:r>
      <w:r>
        <w:tab/>
        <w:t xml:space="preserve">Directive </w:t>
      </w:r>
      <w:hyperlink r:id="rId162" w:history="1">
        <w:r>
          <w:rPr>
            <w:rStyle w:val="Hyperlink"/>
          </w:rPr>
          <w:t>1999/31/EC</w:t>
        </w:r>
      </w:hyperlink>
      <w:r>
        <w:t xml:space="preserve">, Commission v Romania, </w:t>
      </w:r>
      <w:hyperlink r:id="rId163" w:history="1">
        <w:r>
          <w:rPr>
            <w:rStyle w:val="Hyperlink"/>
          </w:rPr>
          <w:t>C-301/17</w:t>
        </w:r>
      </w:hyperlink>
      <w:r>
        <w:t xml:space="preserve">; </w:t>
      </w:r>
      <w:hyperlink r:id="rId164" w:history="1">
        <w:r>
          <w:rPr>
            <w:rStyle w:val="Hyperlink"/>
          </w:rPr>
          <w:t>IP/17/237</w:t>
        </w:r>
      </w:hyperlink>
      <w:r>
        <w:t>.</w:t>
      </w:r>
    </w:p>
  </w:footnote>
  <w:footnote w:id="128">
    <w:p w:rsidR="00E201F7" w:rsidRDefault="00E24EFF">
      <w:pPr>
        <w:pStyle w:val="FootnoteText"/>
      </w:pPr>
      <w:r>
        <w:rPr>
          <w:rStyle w:val="FootnoteReference"/>
        </w:rPr>
        <w:footnoteRef/>
      </w:r>
      <w:r>
        <w:t xml:space="preserve"> </w:t>
      </w:r>
      <w:r>
        <w:tab/>
        <w:t xml:space="preserve">Directive </w:t>
      </w:r>
      <w:hyperlink r:id="rId165" w:history="1">
        <w:r>
          <w:rPr>
            <w:rStyle w:val="Hyperlink"/>
          </w:rPr>
          <w:t>1999/31/EC</w:t>
        </w:r>
      </w:hyperlink>
      <w:r>
        <w:t xml:space="preserve">, Commission v Slovenia, </w:t>
      </w:r>
      <w:hyperlink r:id="rId166" w:history="1">
        <w:r>
          <w:rPr>
            <w:rStyle w:val="Hyperlink"/>
          </w:rPr>
          <w:t>C-506/17</w:t>
        </w:r>
      </w:hyperlink>
      <w:r>
        <w:t xml:space="preserve">; </w:t>
      </w:r>
      <w:hyperlink r:id="rId167" w:history="1">
        <w:r>
          <w:rPr>
            <w:rStyle w:val="Hyperlink"/>
          </w:rPr>
          <w:t>IP/17/1048</w:t>
        </w:r>
      </w:hyperlink>
      <w:r>
        <w:t>.</w:t>
      </w:r>
    </w:p>
  </w:footnote>
  <w:footnote w:id="129">
    <w:p w:rsidR="00E201F7" w:rsidRDefault="00E24EFF">
      <w:pPr>
        <w:pStyle w:val="FootnoteText"/>
      </w:pPr>
      <w:r>
        <w:rPr>
          <w:rStyle w:val="FootnoteReference"/>
        </w:rPr>
        <w:footnoteRef/>
      </w:r>
      <w:r>
        <w:t xml:space="preserve"> </w:t>
      </w:r>
      <w:r>
        <w:tab/>
        <w:t xml:space="preserve">Directive </w:t>
      </w:r>
      <w:hyperlink r:id="rId168" w:history="1">
        <w:r>
          <w:rPr>
            <w:rStyle w:val="Hyperlink"/>
          </w:rPr>
          <w:t>92/43/CEE</w:t>
        </w:r>
      </w:hyperlink>
      <w:r>
        <w:t xml:space="preserve">, Commission v United Kingdom, </w:t>
      </w:r>
      <w:hyperlink r:id="rId169" w:history="1">
        <w:r>
          <w:rPr>
            <w:rStyle w:val="Hyperlink"/>
          </w:rPr>
          <w:t>C-669/16</w:t>
        </w:r>
      </w:hyperlink>
      <w:r>
        <w:t xml:space="preserve">; </w:t>
      </w:r>
      <w:hyperlink r:id="rId170" w:history="1">
        <w:r>
          <w:rPr>
            <w:rStyle w:val="Hyperlink"/>
          </w:rPr>
          <w:t>IP/16/3128</w:t>
        </w:r>
      </w:hyperlink>
      <w:r>
        <w:t>.</w:t>
      </w:r>
    </w:p>
  </w:footnote>
  <w:footnote w:id="130">
    <w:p w:rsidR="00E201F7" w:rsidRDefault="00E24EFF">
      <w:pPr>
        <w:pStyle w:val="FootnoteText"/>
      </w:pPr>
      <w:r>
        <w:rPr>
          <w:rStyle w:val="FootnoteReference"/>
        </w:rPr>
        <w:footnoteRef/>
      </w:r>
      <w:r>
        <w:t xml:space="preserve"> </w:t>
      </w:r>
      <w:r>
        <w:tab/>
        <w:t xml:space="preserve">Directive </w:t>
      </w:r>
      <w:hyperlink r:id="rId171" w:history="1">
        <w:r>
          <w:rPr>
            <w:rStyle w:val="Hyperlink"/>
          </w:rPr>
          <w:t>91/271/EEC</w:t>
        </w:r>
      </w:hyperlink>
      <w:r>
        <w:t xml:space="preserve">, Commission v Spain, </w:t>
      </w:r>
      <w:hyperlink r:id="rId172" w:history="1">
        <w:r>
          <w:rPr>
            <w:rStyle w:val="Hyperlink"/>
          </w:rPr>
          <w:t>C-205/17</w:t>
        </w:r>
      </w:hyperlink>
      <w:r>
        <w:t xml:space="preserve">; </w:t>
      </w:r>
      <w:hyperlink r:id="rId173" w:history="1">
        <w:r>
          <w:rPr>
            <w:rStyle w:val="Hyperlink"/>
          </w:rPr>
          <w:t>MEMO/16/3644</w:t>
        </w:r>
      </w:hyperlink>
      <w:r>
        <w:t xml:space="preserve">; </w:t>
      </w:r>
      <w:hyperlink r:id="rId174" w:history="1">
        <w:r>
          <w:rPr>
            <w:rStyle w:val="Hyperlink"/>
          </w:rPr>
          <w:t>IP/16/3645</w:t>
        </w:r>
      </w:hyperlink>
      <w:r>
        <w:t>.</w:t>
      </w:r>
    </w:p>
  </w:footnote>
  <w:footnote w:id="131">
    <w:p w:rsidR="00E201F7" w:rsidRDefault="00E24EFF">
      <w:pPr>
        <w:pStyle w:val="FootnoteText"/>
        <w:rPr>
          <w:lang w:val="fr-FR"/>
        </w:rPr>
      </w:pPr>
      <w:r>
        <w:rPr>
          <w:rStyle w:val="FootnoteReference"/>
        </w:rPr>
        <w:footnoteRef/>
      </w:r>
      <w:r>
        <w:rPr>
          <w:lang w:val="fr-FR"/>
        </w:rPr>
        <w:t xml:space="preserve"> </w:t>
      </w:r>
      <w:r>
        <w:rPr>
          <w:lang w:val="fr-FR"/>
        </w:rPr>
        <w:tab/>
      </w:r>
      <w:r>
        <w:rPr>
          <w:lang w:val="fr-FR"/>
        </w:rPr>
        <w:t xml:space="preserve">Directive </w:t>
      </w:r>
      <w:hyperlink r:id="rId175" w:history="1">
        <w:r>
          <w:rPr>
            <w:rStyle w:val="Hyperlink"/>
            <w:lang w:val="fr-FR"/>
          </w:rPr>
          <w:t>91/271/EEC</w:t>
        </w:r>
      </w:hyperlink>
      <w:r>
        <w:rPr>
          <w:lang w:val="fr-FR"/>
        </w:rPr>
        <w:t xml:space="preserve">, Commission v Italy, </w:t>
      </w:r>
      <w:hyperlink r:id="rId176" w:history="1">
        <w:r>
          <w:rPr>
            <w:rStyle w:val="Hyperlink"/>
            <w:lang w:val="fr-FR"/>
          </w:rPr>
          <w:t>C-251/17</w:t>
        </w:r>
      </w:hyperlink>
      <w:r>
        <w:rPr>
          <w:lang w:val="fr-FR"/>
        </w:rPr>
        <w:t xml:space="preserve">; </w:t>
      </w:r>
      <w:hyperlink r:id="rId177" w:history="1">
        <w:r>
          <w:rPr>
            <w:rStyle w:val="Hyperlink"/>
            <w:lang w:val="fr-FR"/>
          </w:rPr>
          <w:t>IP/16/4212</w:t>
        </w:r>
      </w:hyperlink>
      <w:r>
        <w:rPr>
          <w:lang w:val="fr-FR"/>
        </w:rPr>
        <w:t>.</w:t>
      </w:r>
    </w:p>
  </w:footnote>
  <w:footnote w:id="132">
    <w:p w:rsidR="00E201F7" w:rsidRDefault="00E24EFF">
      <w:pPr>
        <w:pStyle w:val="FootnoteText"/>
        <w:rPr>
          <w:lang w:val="fr-FR"/>
        </w:rPr>
      </w:pPr>
      <w:r>
        <w:rPr>
          <w:rStyle w:val="FootnoteReference"/>
        </w:rPr>
        <w:footnoteRef/>
      </w:r>
      <w:r>
        <w:rPr>
          <w:lang w:val="fr-FR"/>
        </w:rPr>
        <w:t xml:space="preserve"> </w:t>
      </w:r>
      <w:r>
        <w:rPr>
          <w:lang w:val="fr-FR"/>
        </w:rPr>
        <w:tab/>
        <w:t xml:space="preserve">Directive </w:t>
      </w:r>
      <w:hyperlink r:id="rId178" w:history="1">
        <w:r>
          <w:rPr>
            <w:rStyle w:val="Hyperlink"/>
            <w:lang w:val="fr-FR"/>
          </w:rPr>
          <w:t>2014/52/EU</w:t>
        </w:r>
      </w:hyperlink>
      <w:r>
        <w:rPr>
          <w:lang w:val="fr-FR"/>
        </w:rPr>
        <w:t>.</w:t>
      </w:r>
    </w:p>
  </w:footnote>
  <w:footnote w:id="133">
    <w:p w:rsidR="00E201F7" w:rsidRDefault="00E24EFF">
      <w:pPr>
        <w:pStyle w:val="FootnoteText"/>
        <w:rPr>
          <w:lang w:val="fr-FR"/>
        </w:rPr>
      </w:pPr>
      <w:r>
        <w:rPr>
          <w:rStyle w:val="FootnoteReference"/>
        </w:rPr>
        <w:footnoteRef/>
      </w:r>
      <w:r>
        <w:rPr>
          <w:lang w:val="fr-FR"/>
        </w:rPr>
        <w:t xml:space="preserve"> </w:t>
      </w:r>
      <w:r>
        <w:rPr>
          <w:lang w:val="fr-FR"/>
        </w:rPr>
        <w:tab/>
        <w:t xml:space="preserve">Directive </w:t>
      </w:r>
      <w:hyperlink r:id="rId179" w:history="1">
        <w:r>
          <w:rPr>
            <w:rStyle w:val="Hyperlink"/>
            <w:lang w:val="fr-FR"/>
          </w:rPr>
          <w:t>2011/92/EU</w:t>
        </w:r>
      </w:hyperlink>
      <w:r>
        <w:rPr>
          <w:lang w:val="fr-FR"/>
        </w:rPr>
        <w:t>.</w:t>
      </w:r>
    </w:p>
  </w:footnote>
  <w:footnote w:id="134">
    <w:p w:rsidR="00E201F7" w:rsidRDefault="00E24EFF">
      <w:pPr>
        <w:pStyle w:val="FootnoteText"/>
        <w:rPr>
          <w:lang w:val="fr-FR"/>
        </w:rPr>
      </w:pPr>
      <w:r>
        <w:rPr>
          <w:rStyle w:val="FootnoteReference"/>
        </w:rPr>
        <w:footnoteRef/>
      </w:r>
      <w:r>
        <w:rPr>
          <w:lang w:val="fr-FR"/>
        </w:rPr>
        <w:t xml:space="preserve"> </w:t>
      </w:r>
      <w:r>
        <w:rPr>
          <w:lang w:val="fr-FR"/>
        </w:rPr>
        <w:tab/>
        <w:t xml:space="preserve">Directive </w:t>
      </w:r>
      <w:hyperlink r:id="rId180" w:history="1">
        <w:r>
          <w:rPr>
            <w:rStyle w:val="Hyperlink"/>
            <w:lang w:val="fr-FR"/>
          </w:rPr>
          <w:t>(EU) 2015/1480</w:t>
        </w:r>
      </w:hyperlink>
      <w:r>
        <w:rPr>
          <w:lang w:val="fr-FR"/>
        </w:rPr>
        <w:t>.</w:t>
      </w:r>
    </w:p>
  </w:footnote>
  <w:footnote w:id="135">
    <w:p w:rsidR="00E201F7" w:rsidRDefault="00E24EFF">
      <w:pPr>
        <w:pStyle w:val="FootnoteText"/>
        <w:rPr>
          <w:lang w:val="fr-FR"/>
        </w:rPr>
      </w:pPr>
      <w:r>
        <w:rPr>
          <w:rStyle w:val="FootnoteReference"/>
        </w:rPr>
        <w:footnoteRef/>
      </w:r>
      <w:r>
        <w:rPr>
          <w:lang w:val="fr-FR"/>
        </w:rPr>
        <w:t xml:space="preserve"> </w:t>
      </w:r>
      <w:r>
        <w:rPr>
          <w:lang w:val="fr-FR"/>
        </w:rPr>
        <w:tab/>
        <w:t xml:space="preserve">Directive </w:t>
      </w:r>
      <w:hyperlink r:id="rId181" w:history="1">
        <w:r>
          <w:rPr>
            <w:rStyle w:val="Hyperlink"/>
            <w:lang w:val="fr-FR"/>
          </w:rPr>
          <w:t>(EU) 2016/2284</w:t>
        </w:r>
      </w:hyperlink>
      <w:r>
        <w:rPr>
          <w:lang w:val="fr-FR"/>
        </w:rPr>
        <w:t>.</w:t>
      </w:r>
    </w:p>
  </w:footnote>
  <w:footnote w:id="136">
    <w:p w:rsidR="00E201F7" w:rsidRDefault="00E24EFF">
      <w:pPr>
        <w:pStyle w:val="FootnoteText"/>
        <w:rPr>
          <w:lang w:val="fr-FR"/>
        </w:rPr>
      </w:pPr>
      <w:r>
        <w:rPr>
          <w:rStyle w:val="FootnoteReference"/>
        </w:rPr>
        <w:footnoteRef/>
      </w:r>
      <w:r>
        <w:rPr>
          <w:lang w:val="fr-FR"/>
        </w:rPr>
        <w:t xml:space="preserve"> </w:t>
      </w:r>
      <w:r>
        <w:rPr>
          <w:lang w:val="fr-FR"/>
        </w:rPr>
        <w:tab/>
        <w:t xml:space="preserve">Directive </w:t>
      </w:r>
      <w:hyperlink r:id="rId182" w:history="1">
        <w:r>
          <w:rPr>
            <w:rStyle w:val="Hyperlink"/>
            <w:lang w:val="fr-FR"/>
          </w:rPr>
          <w:t>(EU) 2015/720</w:t>
        </w:r>
      </w:hyperlink>
      <w:r>
        <w:rPr>
          <w:lang w:val="fr-FR"/>
        </w:rPr>
        <w:t>.</w:t>
      </w:r>
    </w:p>
  </w:footnote>
  <w:footnote w:id="137">
    <w:p w:rsidR="00E201F7" w:rsidRDefault="00E24EFF">
      <w:pPr>
        <w:pStyle w:val="FootnoteText"/>
        <w:rPr>
          <w:lang w:val="fr-FR"/>
        </w:rPr>
      </w:pPr>
      <w:r>
        <w:rPr>
          <w:rStyle w:val="FootnoteReference"/>
        </w:rPr>
        <w:footnoteRef/>
      </w:r>
      <w:r>
        <w:rPr>
          <w:lang w:val="fr-FR"/>
        </w:rPr>
        <w:t xml:space="preserve"> </w:t>
      </w:r>
      <w:r>
        <w:rPr>
          <w:lang w:val="fr-FR"/>
        </w:rPr>
        <w:tab/>
        <w:t xml:space="preserve">Directive </w:t>
      </w:r>
      <w:hyperlink r:id="rId183" w:history="1">
        <w:r>
          <w:rPr>
            <w:rStyle w:val="Hyperlink"/>
            <w:lang w:val="fr-FR"/>
          </w:rPr>
          <w:t>94/62/EC</w:t>
        </w:r>
      </w:hyperlink>
      <w:r>
        <w:rPr>
          <w:lang w:val="fr-FR"/>
        </w:rPr>
        <w:t>.</w:t>
      </w:r>
    </w:p>
  </w:footnote>
  <w:footnote w:id="138">
    <w:p w:rsidR="00E201F7" w:rsidRDefault="00E24EFF">
      <w:pPr>
        <w:pStyle w:val="FootnoteText"/>
        <w:rPr>
          <w:lang w:val="fr-FR"/>
        </w:rPr>
      </w:pPr>
      <w:r>
        <w:rPr>
          <w:rStyle w:val="FootnoteReference"/>
        </w:rPr>
        <w:footnoteRef/>
      </w:r>
      <w:r>
        <w:rPr>
          <w:lang w:val="fr-FR"/>
        </w:rPr>
        <w:t xml:space="preserve"> </w:t>
      </w:r>
      <w:r>
        <w:rPr>
          <w:lang w:val="fr-FR"/>
        </w:rPr>
        <w:tab/>
        <w:t xml:space="preserve">Directive </w:t>
      </w:r>
      <w:hyperlink r:id="rId184" w:history="1">
        <w:r>
          <w:rPr>
            <w:rStyle w:val="Hyperlink"/>
            <w:lang w:val="fr-FR"/>
          </w:rPr>
          <w:t>(EU) 2016/774</w:t>
        </w:r>
      </w:hyperlink>
      <w:r>
        <w:rPr>
          <w:lang w:val="fr-FR"/>
        </w:rPr>
        <w:t>.</w:t>
      </w:r>
    </w:p>
  </w:footnote>
  <w:footnote w:id="139">
    <w:p w:rsidR="00E201F7" w:rsidRDefault="00E24EFF">
      <w:pPr>
        <w:pStyle w:val="FootnoteText"/>
        <w:rPr>
          <w:lang w:val="fr-BE"/>
        </w:rPr>
      </w:pPr>
      <w:r>
        <w:rPr>
          <w:rStyle w:val="FootnoteReference"/>
        </w:rPr>
        <w:footnoteRef/>
      </w:r>
      <w:r>
        <w:rPr>
          <w:lang w:val="fr-BE"/>
        </w:rPr>
        <w:t xml:space="preserve"> </w:t>
      </w:r>
      <w:r>
        <w:rPr>
          <w:lang w:val="fr-BE"/>
        </w:rPr>
        <w:tab/>
        <w:t xml:space="preserve">Directive </w:t>
      </w:r>
      <w:hyperlink r:id="rId185" w:history="1">
        <w:r>
          <w:rPr>
            <w:rStyle w:val="Hyperlink"/>
            <w:lang w:val="fr-BE"/>
          </w:rPr>
          <w:t>2000/53/EC</w:t>
        </w:r>
      </w:hyperlink>
      <w:r>
        <w:rPr>
          <w:lang w:val="fr-BE"/>
        </w:rPr>
        <w:t>.</w:t>
      </w:r>
    </w:p>
  </w:footnote>
  <w:footnote w:id="140">
    <w:p w:rsidR="00E201F7" w:rsidRDefault="00E24EFF">
      <w:pPr>
        <w:pStyle w:val="FootnoteText"/>
        <w:rPr>
          <w:lang w:val="fr-BE"/>
        </w:rPr>
      </w:pPr>
      <w:r>
        <w:rPr>
          <w:rStyle w:val="FootnoteReference"/>
        </w:rPr>
        <w:footnoteRef/>
      </w:r>
      <w:r>
        <w:rPr>
          <w:lang w:val="fr-BE"/>
        </w:rPr>
        <w:t xml:space="preserve"> </w:t>
      </w:r>
      <w:r>
        <w:rPr>
          <w:lang w:val="fr-BE"/>
        </w:rPr>
        <w:tab/>
        <w:t xml:space="preserve">Directive </w:t>
      </w:r>
      <w:hyperlink r:id="rId186" w:history="1">
        <w:r>
          <w:rPr>
            <w:rStyle w:val="Hyperlink"/>
            <w:lang w:val="fr-BE"/>
          </w:rPr>
          <w:t>2004/35/CE</w:t>
        </w:r>
      </w:hyperlink>
      <w:r>
        <w:rPr>
          <w:lang w:val="fr-BE"/>
        </w:rPr>
        <w:t>.</w:t>
      </w:r>
    </w:p>
  </w:footnote>
  <w:footnote w:id="141">
    <w:p w:rsidR="00E201F7" w:rsidRDefault="00E24EFF">
      <w:pPr>
        <w:pStyle w:val="FootnoteText"/>
        <w:rPr>
          <w:lang w:val="fr-BE"/>
        </w:rPr>
      </w:pPr>
      <w:r>
        <w:rPr>
          <w:rStyle w:val="FootnoteReference"/>
        </w:rPr>
        <w:footnoteRef/>
      </w:r>
      <w:r>
        <w:rPr>
          <w:lang w:val="fr-BE"/>
        </w:rPr>
        <w:t xml:space="preserve"> </w:t>
      </w:r>
      <w:r>
        <w:rPr>
          <w:lang w:val="fr-BE"/>
        </w:rPr>
        <w:tab/>
        <w:t xml:space="preserve">Directive </w:t>
      </w:r>
      <w:hyperlink r:id="rId187" w:history="1">
        <w:r>
          <w:rPr>
            <w:rStyle w:val="Hyperlink"/>
            <w:lang w:val="fr-BE"/>
          </w:rPr>
          <w:t>2014/80/UE</w:t>
        </w:r>
      </w:hyperlink>
      <w:r>
        <w:rPr>
          <w:lang w:val="fr-BE"/>
        </w:rPr>
        <w:t>.</w:t>
      </w:r>
    </w:p>
  </w:footnote>
  <w:footnote w:id="142">
    <w:p w:rsidR="00E201F7" w:rsidRDefault="00E24EFF">
      <w:pPr>
        <w:pStyle w:val="FootnoteText"/>
        <w:rPr>
          <w:lang w:val="fr-BE"/>
        </w:rPr>
      </w:pPr>
      <w:r>
        <w:rPr>
          <w:rStyle w:val="FootnoteReference"/>
        </w:rPr>
        <w:footnoteRef/>
      </w:r>
      <w:r>
        <w:rPr>
          <w:lang w:val="fr-BE"/>
        </w:rPr>
        <w:t xml:space="preserve"> </w:t>
      </w:r>
      <w:r>
        <w:rPr>
          <w:lang w:val="fr-BE"/>
        </w:rPr>
        <w:tab/>
        <w:t xml:space="preserve">Directive </w:t>
      </w:r>
      <w:hyperlink r:id="rId188" w:history="1">
        <w:r>
          <w:rPr>
            <w:rStyle w:val="Hyperlink"/>
            <w:lang w:val="fr-BE"/>
          </w:rPr>
          <w:t>2006/118/EC</w:t>
        </w:r>
      </w:hyperlink>
      <w:r>
        <w:rPr>
          <w:lang w:val="fr-BE"/>
        </w:rPr>
        <w:t>.</w:t>
      </w:r>
    </w:p>
  </w:footnote>
  <w:footnote w:id="143">
    <w:p w:rsidR="00E201F7" w:rsidRDefault="00E24EFF">
      <w:pPr>
        <w:pStyle w:val="FootnoteText"/>
        <w:rPr>
          <w:lang w:val="fr-FR"/>
        </w:rPr>
      </w:pPr>
      <w:r>
        <w:rPr>
          <w:rStyle w:val="FootnoteReference"/>
        </w:rPr>
        <w:footnoteRef/>
      </w:r>
      <w:r>
        <w:rPr>
          <w:lang w:val="fr-FR"/>
        </w:rPr>
        <w:t xml:space="preserve"> </w:t>
      </w:r>
      <w:r>
        <w:rPr>
          <w:lang w:val="fr-FR"/>
        </w:rPr>
        <w:tab/>
        <w:t xml:space="preserve">Directive </w:t>
      </w:r>
      <w:hyperlink r:id="rId189" w:history="1">
        <w:r>
          <w:rPr>
            <w:rStyle w:val="Hyperlink"/>
            <w:lang w:val="fr-FR"/>
          </w:rPr>
          <w:t>2008/56/EC</w:t>
        </w:r>
      </w:hyperlink>
      <w:r>
        <w:rPr>
          <w:lang w:val="fr-FR"/>
        </w:rPr>
        <w:t>.</w:t>
      </w:r>
    </w:p>
  </w:footnote>
  <w:footnote w:id="144">
    <w:p w:rsidR="00E201F7" w:rsidRDefault="00E24EFF">
      <w:pPr>
        <w:pStyle w:val="FootnoteText"/>
      </w:pPr>
      <w:r>
        <w:rPr>
          <w:rStyle w:val="FootnoteReference"/>
        </w:rPr>
        <w:footnoteRef/>
      </w:r>
      <w:r>
        <w:t xml:space="preserve"> </w:t>
      </w:r>
      <w:r>
        <w:tab/>
        <w:t xml:space="preserve">Directive </w:t>
      </w:r>
      <w:hyperlink r:id="rId190" w:history="1">
        <w:r>
          <w:rPr>
            <w:rStyle w:val="Hyperlink"/>
          </w:rPr>
          <w:t>2008/98/EC</w:t>
        </w:r>
      </w:hyperlink>
      <w:r>
        <w:t>.</w:t>
      </w:r>
    </w:p>
  </w:footnote>
  <w:footnote w:id="145">
    <w:p w:rsidR="00E201F7" w:rsidRDefault="00E24EFF">
      <w:pPr>
        <w:pStyle w:val="FootnoteText"/>
      </w:pPr>
      <w:r>
        <w:rPr>
          <w:rStyle w:val="FootnoteReference"/>
        </w:rPr>
        <w:footnoteRef/>
      </w:r>
      <w:r>
        <w:t xml:space="preserve"> </w:t>
      </w:r>
      <w:r>
        <w:tab/>
        <w:t xml:space="preserve">Directive </w:t>
      </w:r>
      <w:hyperlink r:id="rId191" w:history="1">
        <w:r>
          <w:rPr>
            <w:rStyle w:val="Hyperlink"/>
          </w:rPr>
          <w:t>2008/56/EC</w:t>
        </w:r>
      </w:hyperlink>
      <w:r>
        <w:t>.</w:t>
      </w:r>
    </w:p>
  </w:footnote>
  <w:footnote w:id="146">
    <w:p w:rsidR="00E201F7" w:rsidRDefault="00E24EFF">
      <w:pPr>
        <w:pStyle w:val="FootnoteText"/>
      </w:pPr>
      <w:r>
        <w:rPr>
          <w:rStyle w:val="FootnoteReference"/>
        </w:rPr>
        <w:footnoteRef/>
      </w:r>
      <w:r>
        <w:t xml:space="preserve"> </w:t>
      </w:r>
      <w:r>
        <w:tab/>
        <w:t xml:space="preserve">Directive </w:t>
      </w:r>
      <w:hyperlink r:id="rId192" w:history="1">
        <w:r>
          <w:rPr>
            <w:rStyle w:val="Hyperlink"/>
          </w:rPr>
          <w:t>2012/18/EU</w:t>
        </w:r>
      </w:hyperlink>
      <w:r>
        <w:t>.</w:t>
      </w:r>
    </w:p>
  </w:footnote>
  <w:footnote w:id="147">
    <w:p w:rsidR="00E201F7" w:rsidRDefault="00E24EFF">
      <w:pPr>
        <w:pStyle w:val="FootnoteText"/>
      </w:pPr>
      <w:r>
        <w:rPr>
          <w:rStyle w:val="FootnoteReference"/>
        </w:rPr>
        <w:footnoteRef/>
      </w:r>
      <w:r>
        <w:t xml:space="preserve"> </w:t>
      </w:r>
      <w:r>
        <w:tab/>
        <w:t xml:space="preserve">Directive </w:t>
      </w:r>
      <w:hyperlink r:id="rId193" w:history="1">
        <w:r>
          <w:rPr>
            <w:rStyle w:val="Hyperlink"/>
          </w:rPr>
          <w:t>2007/60/EC</w:t>
        </w:r>
      </w:hyperlink>
      <w:r>
        <w:t>.</w:t>
      </w:r>
    </w:p>
  </w:footnote>
  <w:footnote w:id="148">
    <w:p w:rsidR="00E201F7" w:rsidRDefault="00E24EFF">
      <w:pPr>
        <w:pStyle w:val="FootnoteText"/>
      </w:pPr>
      <w:r>
        <w:rPr>
          <w:rStyle w:val="FootnoteReference"/>
        </w:rPr>
        <w:footnoteRef/>
      </w:r>
      <w:r>
        <w:t xml:space="preserve"> </w:t>
      </w:r>
      <w:r>
        <w:tab/>
        <w:t xml:space="preserve">Directive </w:t>
      </w:r>
      <w:hyperlink r:id="rId194" w:history="1">
        <w:r>
          <w:rPr>
            <w:rStyle w:val="Hyperlink"/>
          </w:rPr>
          <w:t>2011/92/EU</w:t>
        </w:r>
      </w:hyperlink>
      <w:r>
        <w:t>.</w:t>
      </w:r>
    </w:p>
  </w:footnote>
  <w:footnote w:id="149">
    <w:p w:rsidR="00E201F7" w:rsidRDefault="00E24EFF">
      <w:pPr>
        <w:pStyle w:val="FootnoteText"/>
      </w:pPr>
      <w:r>
        <w:rPr>
          <w:rStyle w:val="FootnoteReference"/>
        </w:rPr>
        <w:footnoteRef/>
      </w:r>
      <w:r>
        <w:t xml:space="preserve"> </w:t>
      </w:r>
      <w:r>
        <w:tab/>
        <w:t>These rulin</w:t>
      </w:r>
      <w:r>
        <w:t>gs are almost exclusively handed down on infringement procedures.</w:t>
      </w:r>
    </w:p>
  </w:footnote>
  <w:footnote w:id="150">
    <w:p w:rsidR="00E201F7" w:rsidRDefault="00E24EFF">
      <w:pPr>
        <w:pStyle w:val="FootnoteText"/>
      </w:pPr>
      <w:r>
        <w:rPr>
          <w:rStyle w:val="FootnoteReference"/>
        </w:rPr>
        <w:footnoteRef/>
      </w:r>
      <w:r>
        <w:t xml:space="preserve"> </w:t>
      </w:r>
      <w:r>
        <w:tab/>
        <w:t>PM</w:t>
      </w:r>
      <w:r>
        <w:rPr>
          <w:vertAlign w:val="subscript"/>
        </w:rPr>
        <w:t>10</w:t>
      </w:r>
      <w:r>
        <w:t xml:space="preserve"> is an air pollutant consisting of small particles with an aerodynamic diameter less than or equal to a nominal 10 micrometres. The particles’ small size allows them to penetrate deep into the lungs where they may be deposited and cause adverse health effe</w:t>
      </w:r>
      <w:r>
        <w:t>cts. (Source: European Environment Agency).</w:t>
      </w:r>
    </w:p>
  </w:footnote>
  <w:footnote w:id="151">
    <w:p w:rsidR="00E201F7" w:rsidRDefault="00E24EFF">
      <w:pPr>
        <w:pStyle w:val="FootnoteText"/>
      </w:pPr>
      <w:r>
        <w:rPr>
          <w:rStyle w:val="FootnoteReference"/>
        </w:rPr>
        <w:footnoteRef/>
      </w:r>
      <w:r>
        <w:t xml:space="preserve"> </w:t>
      </w:r>
      <w:r>
        <w:tab/>
        <w:t xml:space="preserve">Directive </w:t>
      </w:r>
      <w:hyperlink r:id="rId195" w:history="1">
        <w:r>
          <w:rPr>
            <w:rStyle w:val="Hyperlink"/>
          </w:rPr>
          <w:t>2008/50/EC</w:t>
        </w:r>
      </w:hyperlink>
      <w:r>
        <w:t xml:space="preserve">, Commission v </w:t>
      </w:r>
      <w:smartTag w:uri="urn:schemas-microsoft-com:office:smarttags" w:element="country-region">
        <w:smartTag w:uri="urn:schemas-microsoft-com:office:smarttags" w:element="place">
          <w:r>
            <w:t>Bulgaria</w:t>
          </w:r>
        </w:smartTag>
      </w:smartTag>
      <w:r>
        <w:t>,</w:t>
      </w:r>
      <w:hyperlink r:id="rId196" w:history="1">
        <w:r>
          <w:rPr>
            <w:rStyle w:val="Hyperlink"/>
          </w:rPr>
          <w:t>C-488/15</w:t>
        </w:r>
      </w:hyperlink>
      <w:r>
        <w:t>.</w:t>
      </w:r>
    </w:p>
  </w:footnote>
  <w:footnote w:id="152">
    <w:p w:rsidR="00E201F7" w:rsidRDefault="00E24EFF">
      <w:pPr>
        <w:pStyle w:val="FootnoteText"/>
      </w:pPr>
      <w:r>
        <w:rPr>
          <w:rStyle w:val="FootnoteReference"/>
        </w:rPr>
        <w:footnoteRef/>
      </w:r>
      <w:r>
        <w:t xml:space="preserve"> </w:t>
      </w:r>
      <w:r>
        <w:tab/>
        <w:t xml:space="preserve">Directive </w:t>
      </w:r>
      <w:hyperlink r:id="rId197" w:history="1">
        <w:r>
          <w:rPr>
            <w:rStyle w:val="Hyperlink"/>
          </w:rPr>
          <w:t>92/43/EEC</w:t>
        </w:r>
      </w:hyperlink>
      <w:r>
        <w:t xml:space="preserve">, Commission v Germany, </w:t>
      </w:r>
      <w:hyperlink r:id="rId198" w:history="1">
        <w:r>
          <w:rPr>
            <w:rStyle w:val="Hyperlink"/>
          </w:rPr>
          <w:t>C-142/16</w:t>
        </w:r>
      </w:hyperlink>
      <w:r>
        <w:t>.</w:t>
      </w:r>
    </w:p>
  </w:footnote>
  <w:footnote w:id="153">
    <w:p w:rsidR="00E201F7" w:rsidRDefault="00E24EFF">
      <w:pPr>
        <w:pStyle w:val="FootnoteText"/>
      </w:pPr>
      <w:r>
        <w:rPr>
          <w:rStyle w:val="FootnoteReference"/>
        </w:rPr>
        <w:footnoteRef/>
      </w:r>
      <w:r>
        <w:t xml:space="preserve"> </w:t>
      </w:r>
      <w:r>
        <w:tab/>
        <w:t xml:space="preserve">Directives </w:t>
      </w:r>
      <w:hyperlink r:id="rId199" w:history="1">
        <w:r>
          <w:rPr>
            <w:rStyle w:val="Hyperlink"/>
          </w:rPr>
          <w:t>2008/98/EC</w:t>
        </w:r>
      </w:hyperlink>
      <w:r>
        <w:t xml:space="preserve"> and </w:t>
      </w:r>
      <w:hyperlink r:id="rId200" w:history="1">
        <w:r>
          <w:rPr>
            <w:rStyle w:val="Hyperlink"/>
          </w:rPr>
          <w:t>1999/31/EC</w:t>
        </w:r>
      </w:hyperlink>
      <w:r>
        <w:t xml:space="preserve">, Commission v </w:t>
      </w:r>
      <w:smartTag w:uri="urn:schemas-microsoft-com:office:smarttags" w:element="country-region">
        <w:smartTag w:uri="urn:schemas-microsoft-com:office:smarttags" w:element="place">
          <w:r>
            <w:t>Greece</w:t>
          </w:r>
        </w:smartTag>
      </w:smartTag>
      <w:r>
        <w:t xml:space="preserve">, </w:t>
      </w:r>
      <w:hyperlink r:id="rId201" w:history="1">
        <w:r>
          <w:rPr>
            <w:rStyle w:val="Hyperlink"/>
          </w:rPr>
          <w:t>C-202/16</w:t>
        </w:r>
      </w:hyperlink>
      <w:r>
        <w:t>.</w:t>
      </w:r>
    </w:p>
  </w:footnote>
  <w:footnote w:id="154">
    <w:p w:rsidR="00E201F7" w:rsidRDefault="00E24EFF">
      <w:pPr>
        <w:pStyle w:val="FootnoteText"/>
      </w:pPr>
      <w:r>
        <w:rPr>
          <w:rStyle w:val="FootnoteReference"/>
        </w:rPr>
        <w:footnoteRef/>
      </w:r>
      <w:r>
        <w:t xml:space="preserve"> </w:t>
      </w:r>
      <w:r>
        <w:tab/>
        <w:t xml:space="preserve">Directive </w:t>
      </w:r>
      <w:hyperlink r:id="rId202" w:history="1">
        <w:r>
          <w:rPr>
            <w:rStyle w:val="Hyperlink"/>
          </w:rPr>
          <w:t>91/271/EEC</w:t>
        </w:r>
      </w:hyperlink>
      <w:r>
        <w:t xml:space="preserve">, Commission v Greece, </w:t>
      </w:r>
      <w:hyperlink r:id="rId203" w:history="1">
        <w:r>
          <w:rPr>
            <w:rStyle w:val="Hyperlink"/>
          </w:rPr>
          <w:t>C-320/15</w:t>
        </w:r>
      </w:hyperlink>
      <w:r>
        <w:t>.</w:t>
      </w:r>
    </w:p>
  </w:footnote>
  <w:footnote w:id="155">
    <w:p w:rsidR="00E201F7" w:rsidRDefault="00E24EFF">
      <w:pPr>
        <w:pStyle w:val="FootnoteText"/>
      </w:pPr>
      <w:r>
        <w:rPr>
          <w:rStyle w:val="FootnoteReference"/>
        </w:rPr>
        <w:footnoteRef/>
      </w:r>
      <w:r>
        <w:t xml:space="preserve"> </w:t>
      </w:r>
      <w:r>
        <w:tab/>
        <w:t xml:space="preserve">Directive </w:t>
      </w:r>
      <w:hyperlink r:id="rId204" w:history="1">
        <w:r>
          <w:rPr>
            <w:rStyle w:val="Hyperlink"/>
          </w:rPr>
          <w:t>2008/98/EC</w:t>
        </w:r>
      </w:hyperlink>
      <w:r>
        <w:t xml:space="preserve">, Commission v Spain, </w:t>
      </w:r>
      <w:hyperlink r:id="rId205" w:history="1">
        <w:r>
          <w:rPr>
            <w:rStyle w:val="Hyperlink"/>
          </w:rPr>
          <w:t>C-563/15</w:t>
        </w:r>
      </w:hyperlink>
      <w:r>
        <w:t>.</w:t>
      </w:r>
    </w:p>
  </w:footnote>
  <w:footnote w:id="156">
    <w:p w:rsidR="00E201F7" w:rsidRDefault="00E24EFF">
      <w:pPr>
        <w:pStyle w:val="FootnoteText"/>
      </w:pPr>
      <w:r>
        <w:rPr>
          <w:rStyle w:val="FootnoteReference"/>
        </w:rPr>
        <w:footnoteRef/>
      </w:r>
      <w:r>
        <w:t xml:space="preserve"> </w:t>
      </w:r>
      <w:r>
        <w:tab/>
      </w:r>
      <w:r>
        <w:rPr>
          <w:iCs/>
        </w:rPr>
        <w:t xml:space="preserve">Commission v Poland (Forêt de </w:t>
      </w:r>
      <w:r>
        <w:rPr>
          <w:iCs/>
        </w:rPr>
        <w:t>Białowieża)</w:t>
      </w:r>
      <w:r>
        <w:t xml:space="preserve">, </w:t>
      </w:r>
      <w:hyperlink r:id="rId206" w:history="1">
        <w:r>
          <w:rPr>
            <w:rStyle w:val="Hyperlink"/>
          </w:rPr>
          <w:t>C-441/17 R</w:t>
        </w:r>
      </w:hyperlink>
      <w:r>
        <w:t xml:space="preserve"> and Court press release </w:t>
      </w:r>
      <w:hyperlink r:id="rId207" w:history="1">
        <w:r>
          <w:rPr>
            <w:rStyle w:val="Hyperlink"/>
          </w:rPr>
          <w:t>No 122/17</w:t>
        </w:r>
      </w:hyperlink>
      <w:r>
        <w:t>.</w:t>
      </w:r>
    </w:p>
  </w:footnote>
  <w:footnote w:id="157">
    <w:p w:rsidR="00E201F7" w:rsidRDefault="00E24EFF">
      <w:pPr>
        <w:pStyle w:val="FootnoteText"/>
      </w:pPr>
      <w:r>
        <w:rPr>
          <w:rStyle w:val="FootnoteReference"/>
        </w:rPr>
        <w:footnoteRef/>
      </w:r>
      <w:r>
        <w:t xml:space="preserve"> </w:t>
      </w:r>
      <w:r>
        <w:tab/>
        <w:t xml:space="preserve">Directives </w:t>
      </w:r>
      <w:hyperlink r:id="rId208" w:history="1">
        <w:r>
          <w:rPr>
            <w:rStyle w:val="Hyperlink"/>
          </w:rPr>
          <w:t>1999/31/EC</w:t>
        </w:r>
      </w:hyperlink>
      <w:r>
        <w:t xml:space="preserve"> and </w:t>
      </w:r>
      <w:hyperlink r:id="rId209" w:history="1">
        <w:r>
          <w:rPr>
            <w:rStyle w:val="Hyperlink"/>
          </w:rPr>
          <w:t>2008/98/CE</w:t>
        </w:r>
      </w:hyperlink>
      <w:r>
        <w:t>,</w:t>
      </w:r>
      <w:r>
        <w:rPr>
          <w:rFonts w:ascii="Verdana" w:hAnsi="Verdana"/>
          <w:color w:val="18399C"/>
        </w:rPr>
        <w:t xml:space="preserve"> </w:t>
      </w:r>
      <w:r>
        <w:t xml:space="preserve">Commission v </w:t>
      </w:r>
      <w:smartTag w:uri="urn:schemas-microsoft-com:office:smarttags" w:element="country-region">
        <w:smartTag w:uri="urn:schemas-microsoft-com:office:smarttags" w:element="place">
          <w:r>
            <w:t>Slovenia</w:t>
          </w:r>
        </w:smartTag>
      </w:smartTag>
      <w:r>
        <w:t xml:space="preserve">, </w:t>
      </w:r>
      <w:hyperlink r:id="rId210" w:history="1">
        <w:r>
          <w:rPr>
            <w:rStyle w:val="Hyperlink"/>
          </w:rPr>
          <w:t>C-153/16</w:t>
        </w:r>
      </w:hyperlink>
      <w:r>
        <w:t>.</w:t>
      </w:r>
    </w:p>
  </w:footnote>
  <w:footnote w:id="158">
    <w:p w:rsidR="00E201F7" w:rsidRDefault="00E24EFF">
      <w:pPr>
        <w:pStyle w:val="FootnoteText"/>
      </w:pPr>
      <w:r>
        <w:rPr>
          <w:rStyle w:val="FootnoteReference"/>
        </w:rPr>
        <w:footnoteRef/>
      </w:r>
      <w:r>
        <w:t xml:space="preserve"> </w:t>
      </w:r>
      <w:r>
        <w:tab/>
        <w:t xml:space="preserve">Regulation </w:t>
      </w:r>
      <w:hyperlink r:id="rId211" w:history="1">
        <w:r>
          <w:rPr>
            <w:rStyle w:val="Hyperlink"/>
          </w:rPr>
          <w:t>(EC) No 1</w:t>
        </w:r>
        <w:r>
          <w:rPr>
            <w:rStyle w:val="Hyperlink"/>
          </w:rPr>
          <w:t>049/2001</w:t>
        </w:r>
      </w:hyperlink>
      <w:r>
        <w:t xml:space="preserve">, </w:t>
      </w:r>
      <w:smartTag w:uri="urn:schemas-microsoft-com:office:smarttags" w:element="country-region">
        <w:smartTag w:uri="urn:schemas-microsoft-com:office:smarttags" w:element="place">
          <w:r>
            <w:t>Sweden</w:t>
          </w:r>
        </w:smartTag>
      </w:smartTag>
      <w:r>
        <w:t xml:space="preserve"> v Commission, </w:t>
      </w:r>
      <w:hyperlink r:id="rId212" w:history="1">
        <w:r>
          <w:rPr>
            <w:rStyle w:val="Hyperlink"/>
          </w:rPr>
          <w:t>C-562/14 P</w:t>
        </w:r>
      </w:hyperlink>
      <w:r>
        <w:t xml:space="preserve"> — appeal against judgment Spirlea v Commission, </w:t>
      </w:r>
      <w:hyperlink r:id="rId213" w:history="1">
        <w:r>
          <w:rPr>
            <w:rStyle w:val="Hyperlink"/>
          </w:rPr>
          <w:t>T</w:t>
        </w:r>
        <w:r>
          <w:rPr>
            <w:rStyle w:val="Hyperlink"/>
            <w:rFonts w:ascii="Cambria Math" w:hAnsi="Cambria Math" w:cs="Cambria Math"/>
          </w:rPr>
          <w:t>-</w:t>
        </w:r>
        <w:r>
          <w:rPr>
            <w:rStyle w:val="Hyperlink"/>
          </w:rPr>
          <w:t>306/12</w:t>
        </w:r>
      </w:hyperlink>
      <w:r>
        <w:t>.</w:t>
      </w:r>
    </w:p>
  </w:footnote>
  <w:footnote w:id="159">
    <w:p w:rsidR="00E201F7" w:rsidRDefault="00E24EFF">
      <w:pPr>
        <w:pStyle w:val="FootnoteText"/>
      </w:pPr>
      <w:r>
        <w:rPr>
          <w:rStyle w:val="FootnoteReference"/>
        </w:rPr>
        <w:footnoteRef/>
      </w:r>
      <w:r>
        <w:t xml:space="preserve"> </w:t>
      </w:r>
      <w:r>
        <w:tab/>
        <w:t xml:space="preserve">Directive </w:t>
      </w:r>
      <w:hyperlink r:id="rId214" w:history="1">
        <w:r>
          <w:rPr>
            <w:rStyle w:val="Hyperlink"/>
          </w:rPr>
          <w:t>91/271/EEC</w:t>
        </w:r>
      </w:hyperlink>
      <w:r>
        <w:t xml:space="preserve">, Commission v United Kingdom, </w:t>
      </w:r>
      <w:hyperlink r:id="rId215" w:history="1">
        <w:r>
          <w:rPr>
            <w:rStyle w:val="Hyperlink"/>
          </w:rPr>
          <w:t>C-502/15</w:t>
        </w:r>
      </w:hyperlink>
      <w:r>
        <w:t>.</w:t>
      </w:r>
    </w:p>
  </w:footnote>
  <w:footnote w:id="160">
    <w:p w:rsidR="00E201F7" w:rsidRDefault="00E24EFF">
      <w:pPr>
        <w:pStyle w:val="FootnoteText"/>
      </w:pPr>
      <w:r>
        <w:rPr>
          <w:rStyle w:val="FootnoteReference"/>
        </w:rPr>
        <w:footnoteRef/>
      </w:r>
      <w:r>
        <w:t xml:space="preserve"> </w:t>
      </w:r>
      <w:r>
        <w:tab/>
        <w:t xml:space="preserve">Regulation </w:t>
      </w:r>
      <w:hyperlink r:id="rId216" w:history="1">
        <w:r>
          <w:rPr>
            <w:rStyle w:val="Hyperlink"/>
          </w:rPr>
          <w:t>(EC) No 1907/2006</w:t>
        </w:r>
      </w:hyperlink>
      <w:r>
        <w:t xml:space="preserve">, Pinckernelle, </w:t>
      </w:r>
      <w:hyperlink r:id="rId217" w:history="1">
        <w:r>
          <w:rPr>
            <w:rStyle w:val="Hyperlink"/>
          </w:rPr>
          <w:t>C-535/15</w:t>
        </w:r>
      </w:hyperlink>
      <w:r>
        <w:t>.</w:t>
      </w:r>
    </w:p>
  </w:footnote>
  <w:footnote w:id="161">
    <w:p w:rsidR="00E201F7" w:rsidRDefault="00E24EFF">
      <w:pPr>
        <w:pStyle w:val="FootnoteText"/>
      </w:pPr>
      <w:r>
        <w:rPr>
          <w:rStyle w:val="FootnoteReference"/>
        </w:rPr>
        <w:footnoteRef/>
      </w:r>
      <w:r>
        <w:t xml:space="preserve"> </w:t>
      </w:r>
      <w:r>
        <w:tab/>
        <w:t xml:space="preserve">Directive </w:t>
      </w:r>
      <w:hyperlink r:id="rId218" w:history="1">
        <w:r>
          <w:rPr>
            <w:rStyle w:val="Hyperlink"/>
          </w:rPr>
          <w:t>2008/98/EC</w:t>
        </w:r>
      </w:hyperlink>
      <w:r>
        <w:t xml:space="preserve">, VG Čistoća, </w:t>
      </w:r>
      <w:hyperlink r:id="rId219" w:history="1">
        <w:r>
          <w:rPr>
            <w:rStyle w:val="Hyperlink"/>
          </w:rPr>
          <w:t>C-335/16</w:t>
        </w:r>
      </w:hyperlink>
      <w:r>
        <w:t>.</w:t>
      </w:r>
    </w:p>
  </w:footnote>
  <w:footnote w:id="162">
    <w:p w:rsidR="00E201F7" w:rsidRDefault="00E24EFF">
      <w:pPr>
        <w:pStyle w:val="FootnoteText"/>
      </w:pPr>
      <w:r>
        <w:rPr>
          <w:rStyle w:val="FootnoteReference"/>
        </w:rPr>
        <w:footnoteRef/>
      </w:r>
      <w:r>
        <w:t xml:space="preserve"> </w:t>
      </w:r>
      <w:r>
        <w:tab/>
        <w:t xml:space="preserve">Comune di Corridonia, joined cases </w:t>
      </w:r>
      <w:hyperlink r:id="rId220" w:history="1">
        <w:r>
          <w:rPr>
            <w:rStyle w:val="Hyperlink"/>
          </w:rPr>
          <w:t>C</w:t>
        </w:r>
        <w:r>
          <w:rPr>
            <w:rStyle w:val="Hyperlink"/>
            <w:rFonts w:ascii="Cambria Math" w:hAnsi="Cambria Math" w:cs="Cambria Math"/>
          </w:rPr>
          <w:t>-</w:t>
        </w:r>
        <w:r>
          <w:rPr>
            <w:rStyle w:val="Hyperlink"/>
          </w:rPr>
          <w:t>196/16</w:t>
        </w:r>
      </w:hyperlink>
      <w:r>
        <w:t xml:space="preserve"> and </w:t>
      </w:r>
      <w:hyperlink r:id="rId221" w:history="1">
        <w:r>
          <w:rPr>
            <w:rStyle w:val="Hyperlink"/>
          </w:rPr>
          <w:t>C-197/16</w:t>
        </w:r>
      </w:hyperlink>
      <w:r>
        <w:t>.</w:t>
      </w:r>
    </w:p>
  </w:footnote>
  <w:footnote w:id="163">
    <w:p w:rsidR="00E201F7" w:rsidRDefault="00E24EFF">
      <w:pPr>
        <w:pStyle w:val="FootnoteText"/>
      </w:pPr>
      <w:r>
        <w:rPr>
          <w:rStyle w:val="FootnoteReference"/>
        </w:rPr>
        <w:footnoteRef/>
      </w:r>
      <w:r>
        <w:t xml:space="preserve"> </w:t>
      </w:r>
      <w:r>
        <w:tab/>
        <w:t xml:space="preserve">Túrkevei Tejtermelő Kft., </w:t>
      </w:r>
      <w:hyperlink r:id="rId222" w:history="1">
        <w:r>
          <w:rPr>
            <w:rStyle w:val="Hyperlink"/>
          </w:rPr>
          <w:t>C-129/16</w:t>
        </w:r>
      </w:hyperlink>
      <w:r>
        <w:t>.</w:t>
      </w:r>
    </w:p>
  </w:footnote>
  <w:footnote w:id="164">
    <w:p w:rsidR="00E201F7" w:rsidRDefault="00E24EFF">
      <w:pPr>
        <w:pStyle w:val="FootnoteText"/>
      </w:pPr>
      <w:r>
        <w:rPr>
          <w:rStyle w:val="FootnoteReference"/>
        </w:rPr>
        <w:footnoteRef/>
      </w:r>
      <w:r>
        <w:t xml:space="preserve"> </w:t>
      </w:r>
      <w:r>
        <w:tab/>
        <w:t xml:space="preserve">Decision </w:t>
      </w:r>
      <w:hyperlink r:id="rId223" w:history="1">
        <w:r>
          <w:rPr>
            <w:rStyle w:val="Hyperlink"/>
          </w:rPr>
          <w:t>(EU) 2015/720</w:t>
        </w:r>
      </w:hyperlink>
      <w:r>
        <w:t xml:space="preserve">, Vereniging Hoekschewaards Landschap, </w:t>
      </w:r>
      <w:hyperlink r:id="rId224" w:history="1">
        <w:r>
          <w:rPr>
            <w:rStyle w:val="Hyperlink"/>
          </w:rPr>
          <w:t>C-281/1</w:t>
        </w:r>
        <w:r>
          <w:rPr>
            <w:rStyle w:val="Hyperlink"/>
          </w:rPr>
          <w:t>6</w:t>
        </w:r>
      </w:hyperlink>
      <w:r>
        <w:t>.</w:t>
      </w:r>
    </w:p>
  </w:footnote>
  <w:footnote w:id="165">
    <w:p w:rsidR="00E201F7" w:rsidRDefault="00E24EFF">
      <w:pPr>
        <w:pStyle w:val="FootnoteText"/>
        <w:rPr>
          <w:lang w:val="de-DE"/>
        </w:rPr>
      </w:pPr>
      <w:r>
        <w:rPr>
          <w:rStyle w:val="FootnoteReference"/>
        </w:rPr>
        <w:footnoteRef/>
      </w:r>
      <w:r>
        <w:rPr>
          <w:lang w:val="de-DE"/>
        </w:rPr>
        <w:t xml:space="preserve"> </w:t>
      </w:r>
      <w:r>
        <w:rPr>
          <w:lang w:val="de-DE"/>
        </w:rPr>
        <w:tab/>
        <w:t xml:space="preserve">Protect Natur-, Arten- und Landschaftschutz Umweltorganisation, </w:t>
      </w:r>
      <w:hyperlink r:id="rId225" w:history="1">
        <w:r>
          <w:rPr>
            <w:rStyle w:val="Hyperlink"/>
            <w:lang w:val="de-DE"/>
          </w:rPr>
          <w:t>C-664/15</w:t>
        </w:r>
      </w:hyperlink>
      <w:r>
        <w:rPr>
          <w:lang w:val="de-DE"/>
        </w:rPr>
        <w:t>.</w:t>
      </w:r>
    </w:p>
  </w:footnote>
  <w:footnote w:id="166">
    <w:p w:rsidR="00E201F7" w:rsidRDefault="00E24EFF">
      <w:pPr>
        <w:pStyle w:val="FootnoteText"/>
        <w:rPr>
          <w:lang w:val="de-DE"/>
        </w:rPr>
      </w:pPr>
      <w:r>
        <w:rPr>
          <w:rStyle w:val="FootnoteReference"/>
        </w:rPr>
        <w:footnoteRef/>
      </w:r>
      <w:r>
        <w:rPr>
          <w:lang w:val="de-DE"/>
        </w:rPr>
        <w:t xml:space="preserve"> </w:t>
      </w:r>
      <w:r>
        <w:rPr>
          <w:lang w:val="de-DE"/>
        </w:rPr>
        <w:tab/>
        <w:t xml:space="preserve">Directive </w:t>
      </w:r>
      <w:hyperlink r:id="rId226" w:history="1">
        <w:r>
          <w:rPr>
            <w:rStyle w:val="Hyperlink"/>
            <w:lang w:val="de-DE"/>
          </w:rPr>
          <w:t>2004/35/EC</w:t>
        </w:r>
      </w:hyperlink>
      <w:r>
        <w:rPr>
          <w:lang w:val="de-DE"/>
        </w:rPr>
        <w:t xml:space="preserve">, Folk, </w:t>
      </w:r>
      <w:hyperlink r:id="rId227" w:history="1">
        <w:r>
          <w:rPr>
            <w:rStyle w:val="Hyperlink"/>
            <w:lang w:val="de-DE"/>
          </w:rPr>
          <w:t>C-529/15</w:t>
        </w:r>
      </w:hyperlink>
      <w:r>
        <w:rPr>
          <w:lang w:val="de-DE"/>
        </w:rPr>
        <w:t>.</w:t>
      </w:r>
    </w:p>
  </w:footnote>
  <w:footnote w:id="167">
    <w:p w:rsidR="00E201F7" w:rsidRDefault="00E24EFF">
      <w:pPr>
        <w:pStyle w:val="FootnoteText"/>
        <w:rPr>
          <w:lang w:val="de-DE"/>
        </w:rPr>
      </w:pPr>
      <w:r>
        <w:rPr>
          <w:rStyle w:val="FootnoteReference"/>
        </w:rPr>
        <w:footnoteRef/>
      </w:r>
      <w:r>
        <w:rPr>
          <w:lang w:val="de-DE"/>
        </w:rPr>
        <w:t xml:space="preserve"> </w:t>
      </w:r>
      <w:r>
        <w:rPr>
          <w:lang w:val="de-DE"/>
        </w:rPr>
        <w:tab/>
        <w:t xml:space="preserve">Directive </w:t>
      </w:r>
      <w:hyperlink r:id="rId228" w:history="1">
        <w:r>
          <w:rPr>
            <w:rStyle w:val="Hyperlink"/>
            <w:lang w:val="de-DE"/>
          </w:rPr>
          <w:t>2001/42/EC</w:t>
        </w:r>
      </w:hyperlink>
      <w:r>
        <w:rPr>
          <w:lang w:val="de-DE"/>
        </w:rPr>
        <w:t>.</w:t>
      </w:r>
    </w:p>
  </w:footnote>
  <w:footnote w:id="168">
    <w:p w:rsidR="00E201F7" w:rsidRDefault="00E24EFF">
      <w:pPr>
        <w:pStyle w:val="FootnoteText"/>
        <w:rPr>
          <w:lang w:val="de-DE"/>
        </w:rPr>
      </w:pPr>
      <w:r>
        <w:rPr>
          <w:rStyle w:val="FootnoteReference"/>
        </w:rPr>
        <w:footnoteRef/>
      </w:r>
      <w:r>
        <w:rPr>
          <w:lang w:val="de-DE"/>
        </w:rPr>
        <w:t xml:space="preserve"> </w:t>
      </w:r>
      <w:r>
        <w:rPr>
          <w:lang w:val="de-DE"/>
        </w:rPr>
        <w:tab/>
        <w:t xml:space="preserve">Directive </w:t>
      </w:r>
      <w:hyperlink r:id="rId229" w:history="1">
        <w:r>
          <w:rPr>
            <w:rStyle w:val="Hyperlink"/>
            <w:lang w:val="de-DE"/>
          </w:rPr>
          <w:t>(EU) 2015/720</w:t>
        </w:r>
      </w:hyperlink>
      <w:r>
        <w:rPr>
          <w:lang w:val="de-DE"/>
        </w:rPr>
        <w:t xml:space="preserve"> amending Directive </w:t>
      </w:r>
      <w:hyperlink r:id="rId230" w:history="1">
        <w:r>
          <w:rPr>
            <w:rStyle w:val="Hyperlink"/>
            <w:lang w:val="de-DE"/>
          </w:rPr>
          <w:t>94/62/EC</w:t>
        </w:r>
      </w:hyperlink>
      <w:r>
        <w:rPr>
          <w:lang w:val="de-DE"/>
        </w:rPr>
        <w:t>.</w:t>
      </w:r>
    </w:p>
  </w:footnote>
  <w:footnote w:id="169">
    <w:p w:rsidR="00E201F7" w:rsidRDefault="00E24EFF">
      <w:pPr>
        <w:pStyle w:val="FootnoteText"/>
        <w:rPr>
          <w:lang w:val="de-DE"/>
        </w:rPr>
      </w:pPr>
      <w:r>
        <w:rPr>
          <w:rStyle w:val="FootnoteReference"/>
        </w:rPr>
        <w:footnoteRef/>
      </w:r>
      <w:r>
        <w:rPr>
          <w:lang w:val="de-DE"/>
        </w:rPr>
        <w:t xml:space="preserve"> </w:t>
      </w:r>
      <w:r>
        <w:rPr>
          <w:lang w:val="de-DE"/>
        </w:rPr>
        <w:tab/>
        <w:t xml:space="preserve">Directive </w:t>
      </w:r>
      <w:hyperlink r:id="rId231" w:history="1">
        <w:r>
          <w:rPr>
            <w:rStyle w:val="Hyperlink"/>
            <w:lang w:val="de-DE"/>
          </w:rPr>
          <w:t>2014/52/EU</w:t>
        </w:r>
      </w:hyperlink>
      <w:r>
        <w:rPr>
          <w:lang w:val="de-DE"/>
        </w:rPr>
        <w:t>.</w:t>
      </w:r>
    </w:p>
  </w:footnote>
  <w:footnote w:id="170">
    <w:p w:rsidR="00E201F7" w:rsidRDefault="00E24EFF">
      <w:pPr>
        <w:pStyle w:val="FootnoteText"/>
        <w:rPr>
          <w:lang w:val="de-DE"/>
        </w:rPr>
      </w:pPr>
      <w:r>
        <w:rPr>
          <w:rStyle w:val="FootnoteReference"/>
        </w:rPr>
        <w:footnoteRef/>
      </w:r>
      <w:r>
        <w:rPr>
          <w:lang w:val="de-DE"/>
        </w:rPr>
        <w:t xml:space="preserve"> </w:t>
      </w:r>
      <w:r>
        <w:rPr>
          <w:lang w:val="de-DE"/>
        </w:rPr>
        <w:tab/>
        <w:t xml:space="preserve">Directive </w:t>
      </w:r>
      <w:hyperlink r:id="rId232" w:history="1">
        <w:r>
          <w:rPr>
            <w:rStyle w:val="Hyperlink"/>
            <w:lang w:val="de-DE"/>
          </w:rPr>
          <w:t>2011/92/EU</w:t>
        </w:r>
      </w:hyperlink>
      <w:r>
        <w:rPr>
          <w:lang w:val="de-DE"/>
        </w:rPr>
        <w:t>.</w:t>
      </w:r>
    </w:p>
  </w:footnote>
  <w:footnote w:id="171">
    <w:p w:rsidR="00E201F7" w:rsidRDefault="00E24EFF">
      <w:pPr>
        <w:pStyle w:val="FootnoteText"/>
        <w:rPr>
          <w:lang w:val="de-DE"/>
        </w:rPr>
      </w:pPr>
      <w:r>
        <w:rPr>
          <w:rStyle w:val="FootnoteReference"/>
        </w:rPr>
        <w:footnoteRef/>
      </w:r>
      <w:r>
        <w:rPr>
          <w:lang w:val="de-DE"/>
        </w:rPr>
        <w:t xml:space="preserve"> </w:t>
      </w:r>
      <w:r>
        <w:rPr>
          <w:lang w:val="de-DE"/>
        </w:rPr>
        <w:tab/>
        <w:t xml:space="preserve">Directive </w:t>
      </w:r>
      <w:hyperlink r:id="rId233" w:history="1">
        <w:r>
          <w:rPr>
            <w:rStyle w:val="Hyperlink"/>
            <w:lang w:val="de-DE"/>
          </w:rPr>
          <w:t>2012/18/EU</w:t>
        </w:r>
      </w:hyperlink>
      <w:r>
        <w:rPr>
          <w:lang w:val="de-DE"/>
        </w:rPr>
        <w:t>.</w:t>
      </w:r>
    </w:p>
  </w:footnote>
  <w:footnote w:id="172">
    <w:p w:rsidR="00E201F7" w:rsidRDefault="00E24EFF">
      <w:pPr>
        <w:pStyle w:val="FootnoteText"/>
        <w:rPr>
          <w:lang w:val="de-DE"/>
        </w:rPr>
      </w:pPr>
      <w:r>
        <w:rPr>
          <w:rStyle w:val="FootnoteReference"/>
        </w:rPr>
        <w:footnoteRef/>
      </w:r>
      <w:r>
        <w:rPr>
          <w:lang w:val="de-DE"/>
        </w:rPr>
        <w:t xml:space="preserve"> </w:t>
      </w:r>
      <w:r>
        <w:rPr>
          <w:lang w:val="de-DE"/>
        </w:rPr>
        <w:tab/>
        <w:t xml:space="preserve">Directive </w:t>
      </w:r>
      <w:hyperlink r:id="rId234" w:history="1">
        <w:r>
          <w:rPr>
            <w:rStyle w:val="Hyperlink"/>
            <w:lang w:val="de-DE"/>
          </w:rPr>
          <w:t>(EU) 2015/2193</w:t>
        </w:r>
      </w:hyperlink>
      <w:r>
        <w:rPr>
          <w:lang w:val="de-DE"/>
        </w:rPr>
        <w:t>.</w:t>
      </w:r>
    </w:p>
  </w:footnote>
  <w:footnote w:id="173">
    <w:p w:rsidR="00E201F7" w:rsidRDefault="00E24EFF">
      <w:pPr>
        <w:pStyle w:val="FootnoteText"/>
        <w:rPr>
          <w:lang w:val="de-DE"/>
        </w:rPr>
      </w:pPr>
      <w:r>
        <w:rPr>
          <w:rStyle w:val="FootnoteReference"/>
        </w:rPr>
        <w:footnoteRef/>
      </w:r>
      <w:r>
        <w:rPr>
          <w:lang w:val="de-DE"/>
        </w:rPr>
        <w:t xml:space="preserve"> </w:t>
      </w:r>
      <w:r>
        <w:rPr>
          <w:lang w:val="de-DE"/>
        </w:rPr>
        <w:tab/>
        <w:t xml:space="preserve">Directive </w:t>
      </w:r>
      <w:hyperlink r:id="rId235" w:history="1">
        <w:r>
          <w:rPr>
            <w:rStyle w:val="Hyperlink"/>
            <w:lang w:val="de-DE"/>
          </w:rPr>
          <w:t>2010/75/EU</w:t>
        </w:r>
      </w:hyperlink>
      <w:r>
        <w:rPr>
          <w:lang w:val="de-DE"/>
        </w:rPr>
        <w:t>.</w:t>
      </w:r>
    </w:p>
  </w:footnote>
  <w:footnote w:id="174">
    <w:p w:rsidR="00E201F7" w:rsidRDefault="00E24EFF">
      <w:pPr>
        <w:pStyle w:val="FootnoteText"/>
        <w:rPr>
          <w:lang w:val="fr-BE"/>
        </w:rPr>
      </w:pPr>
      <w:r>
        <w:rPr>
          <w:rStyle w:val="FootnoteReference"/>
        </w:rPr>
        <w:footnoteRef/>
      </w:r>
      <w:r>
        <w:rPr>
          <w:lang w:val="fr-BE"/>
        </w:rPr>
        <w:t xml:space="preserve"> </w:t>
      </w:r>
      <w:r>
        <w:rPr>
          <w:lang w:val="fr-BE"/>
        </w:rPr>
        <w:tab/>
        <w:t xml:space="preserve">Directive </w:t>
      </w:r>
      <w:hyperlink r:id="rId236" w:history="1">
        <w:r>
          <w:rPr>
            <w:rStyle w:val="Hyperlink"/>
            <w:lang w:val="fr-BE"/>
          </w:rPr>
          <w:t>2013/39/EU</w:t>
        </w:r>
      </w:hyperlink>
      <w:r>
        <w:rPr>
          <w:lang w:val="fr-BE"/>
        </w:rPr>
        <w:t>.</w:t>
      </w:r>
    </w:p>
  </w:footnote>
  <w:footnote w:id="175">
    <w:p w:rsidR="00E201F7" w:rsidRDefault="00E24EFF">
      <w:pPr>
        <w:pStyle w:val="FootnoteText"/>
        <w:rPr>
          <w:lang w:val="fr-BE"/>
        </w:rPr>
      </w:pPr>
      <w:r>
        <w:rPr>
          <w:rStyle w:val="FootnoteReference"/>
        </w:rPr>
        <w:footnoteRef/>
      </w:r>
      <w:r>
        <w:rPr>
          <w:lang w:val="fr-BE"/>
        </w:rPr>
        <w:t xml:space="preserve"> </w:t>
      </w:r>
      <w:r>
        <w:rPr>
          <w:lang w:val="fr-BE"/>
        </w:rPr>
        <w:tab/>
        <w:t xml:space="preserve">Directive </w:t>
      </w:r>
      <w:hyperlink r:id="rId237" w:history="1">
        <w:r>
          <w:rPr>
            <w:rStyle w:val="Hyperlink"/>
            <w:lang w:val="fr-BE"/>
          </w:rPr>
          <w:t>1999/31/EC</w:t>
        </w:r>
      </w:hyperlink>
      <w:r>
        <w:rPr>
          <w:lang w:val="fr-BE"/>
        </w:rPr>
        <w:t>, Commission v Ita</w:t>
      </w:r>
      <w:r>
        <w:rPr>
          <w:lang w:val="fr-BE"/>
        </w:rPr>
        <w:t xml:space="preserve">ly, </w:t>
      </w:r>
      <w:hyperlink r:id="rId238" w:history="1">
        <w:r>
          <w:rPr>
            <w:rStyle w:val="Hyperlink"/>
            <w:lang w:val="fr-BE"/>
          </w:rPr>
          <w:t>C-323/13</w:t>
        </w:r>
      </w:hyperlink>
      <w:r>
        <w:rPr>
          <w:lang w:val="fr-BE"/>
        </w:rPr>
        <w:t>.</w:t>
      </w:r>
    </w:p>
  </w:footnote>
  <w:footnote w:id="176">
    <w:p w:rsidR="00E201F7" w:rsidRDefault="00E24EFF">
      <w:pPr>
        <w:pStyle w:val="FootnoteText"/>
      </w:pPr>
      <w:r>
        <w:rPr>
          <w:rStyle w:val="FootnoteReference"/>
        </w:rPr>
        <w:footnoteRef/>
      </w:r>
      <w:r>
        <w:t xml:space="preserve"> </w:t>
      </w:r>
      <w:r>
        <w:tab/>
        <w:t xml:space="preserve">Directives </w:t>
      </w:r>
      <w:hyperlink r:id="rId239" w:history="1">
        <w:r>
          <w:rPr>
            <w:rStyle w:val="Hyperlink"/>
          </w:rPr>
          <w:t>92/43/EEC</w:t>
        </w:r>
      </w:hyperlink>
      <w:r>
        <w:t xml:space="preserve"> and </w:t>
      </w:r>
      <w:hyperlink r:id="rId240" w:history="1">
        <w:r>
          <w:rPr>
            <w:rStyle w:val="Hyperlink"/>
          </w:rPr>
          <w:t>2009/147/EC</w:t>
        </w:r>
      </w:hyperlink>
      <w:r>
        <w:t>.</w:t>
      </w:r>
    </w:p>
  </w:footnote>
  <w:footnote w:id="177">
    <w:p w:rsidR="00E201F7" w:rsidRDefault="00E24EFF">
      <w:pPr>
        <w:pStyle w:val="FootnoteText"/>
      </w:pPr>
      <w:r>
        <w:rPr>
          <w:rStyle w:val="FootnoteReference"/>
        </w:rPr>
        <w:footnoteRef/>
      </w:r>
      <w:r>
        <w:t xml:space="preserve"> </w:t>
      </w:r>
      <w:r>
        <w:tab/>
        <w:t xml:space="preserve">Directive </w:t>
      </w:r>
      <w:hyperlink r:id="rId241" w:history="1">
        <w:r>
          <w:rPr>
            <w:rStyle w:val="Hyperlink"/>
          </w:rPr>
          <w:t>2011/92/EU</w:t>
        </w:r>
      </w:hyperlink>
      <w:r>
        <w:t xml:space="preserve">. In 2017 </w:t>
      </w:r>
      <w:smartTag w:uri="urn:schemas-microsoft-com:office:smarttags" w:element="country-region">
        <w:r>
          <w:t>Spain</w:t>
        </w:r>
      </w:smartTag>
      <w:r>
        <w:t xml:space="preserve"> and </w:t>
      </w:r>
      <w:smartTag w:uri="urn:schemas-microsoft-com:office:smarttags" w:element="country-region">
        <w:smartTag w:uri="urn:schemas-microsoft-com:office:smarttags" w:element="place">
          <w:r>
            <w:t>Greece</w:t>
          </w:r>
        </w:smartTag>
      </w:smartTag>
      <w:r>
        <w:t xml:space="preserve"> s</w:t>
      </w:r>
      <w:r>
        <w:t>ubmitted in total three notifications concerning exemptions of projects aimed at responding to civil emergencies resulting from natural disasters. All three met the conditions for exemptions under the Directive.</w:t>
      </w:r>
    </w:p>
  </w:footnote>
  <w:footnote w:id="178">
    <w:p w:rsidR="00E201F7" w:rsidRDefault="00E24EFF">
      <w:pPr>
        <w:pStyle w:val="FootnoteText"/>
        <w:rPr>
          <w:lang w:val="fr-BE"/>
        </w:rPr>
      </w:pPr>
      <w:r>
        <w:rPr>
          <w:rStyle w:val="FootnoteReference"/>
        </w:rPr>
        <w:footnoteRef/>
      </w:r>
      <w:r>
        <w:rPr>
          <w:lang w:val="fr-BE"/>
        </w:rPr>
        <w:t xml:space="preserve"> </w:t>
      </w:r>
      <w:r>
        <w:rPr>
          <w:lang w:val="fr-BE"/>
        </w:rPr>
        <w:tab/>
        <w:t xml:space="preserve">Directive </w:t>
      </w:r>
      <w:hyperlink r:id="rId242" w:history="1">
        <w:r>
          <w:rPr>
            <w:rStyle w:val="Hyperlink"/>
            <w:lang w:val="fr-BE"/>
          </w:rPr>
          <w:t>2000/60/EC</w:t>
        </w:r>
      </w:hyperlink>
      <w:r>
        <w:rPr>
          <w:lang w:val="fr-BE"/>
        </w:rPr>
        <w:t>.</w:t>
      </w:r>
    </w:p>
  </w:footnote>
  <w:footnote w:id="179">
    <w:p w:rsidR="00E201F7" w:rsidRDefault="00E24EFF">
      <w:pPr>
        <w:pStyle w:val="FootnoteText"/>
        <w:rPr>
          <w:lang w:val="fr-BE"/>
        </w:rPr>
      </w:pPr>
      <w:r>
        <w:rPr>
          <w:rStyle w:val="FootnoteReference"/>
        </w:rPr>
        <w:footnoteRef/>
      </w:r>
      <w:r>
        <w:rPr>
          <w:lang w:val="fr-BE"/>
        </w:rPr>
        <w:t xml:space="preserve"> </w:t>
      </w:r>
      <w:r>
        <w:rPr>
          <w:lang w:val="fr-BE"/>
        </w:rPr>
        <w:tab/>
        <w:t xml:space="preserve">Directive </w:t>
      </w:r>
      <w:hyperlink r:id="rId243" w:history="1">
        <w:r>
          <w:rPr>
            <w:rStyle w:val="Hyperlink"/>
            <w:lang w:val="fr-BE"/>
          </w:rPr>
          <w:t>2008/56/EC</w:t>
        </w:r>
      </w:hyperlink>
      <w:r>
        <w:rPr>
          <w:lang w:val="fr-BE"/>
        </w:rPr>
        <w:t>.</w:t>
      </w:r>
    </w:p>
  </w:footnote>
  <w:footnote w:id="180">
    <w:p w:rsidR="00E201F7" w:rsidRDefault="00E24EFF">
      <w:pPr>
        <w:pStyle w:val="FootnoteText"/>
        <w:rPr>
          <w:lang w:val="fr-BE"/>
        </w:rPr>
      </w:pPr>
      <w:r>
        <w:rPr>
          <w:rStyle w:val="FootnoteReference"/>
        </w:rPr>
        <w:footnoteRef/>
      </w:r>
      <w:r>
        <w:rPr>
          <w:lang w:val="fr-BE"/>
        </w:rPr>
        <w:t xml:space="preserve"> </w:t>
      </w:r>
      <w:r>
        <w:rPr>
          <w:lang w:val="fr-BE"/>
        </w:rPr>
        <w:tab/>
        <w:t xml:space="preserve">Directive </w:t>
      </w:r>
      <w:hyperlink r:id="rId244" w:history="1">
        <w:r>
          <w:rPr>
            <w:rStyle w:val="Hyperlink"/>
            <w:lang w:val="fr-BE"/>
          </w:rPr>
          <w:t>2014/65/EU.</w:t>
        </w:r>
      </w:hyperlink>
    </w:p>
  </w:footnote>
  <w:footnote w:id="181">
    <w:p w:rsidR="00E201F7" w:rsidRDefault="00E24EFF">
      <w:pPr>
        <w:pStyle w:val="FootnoteText"/>
        <w:rPr>
          <w:lang w:val="fr-BE"/>
        </w:rPr>
      </w:pPr>
      <w:r>
        <w:rPr>
          <w:rStyle w:val="FootnoteReference"/>
        </w:rPr>
        <w:footnoteRef/>
      </w:r>
      <w:r>
        <w:rPr>
          <w:lang w:val="fr-BE"/>
        </w:rPr>
        <w:t xml:space="preserve"> </w:t>
      </w:r>
      <w:r>
        <w:rPr>
          <w:lang w:val="fr-BE"/>
        </w:rPr>
        <w:tab/>
        <w:t xml:space="preserve">Directive </w:t>
      </w:r>
      <w:hyperlink r:id="rId245" w:history="1">
        <w:r>
          <w:rPr>
            <w:rStyle w:val="Hyperlink"/>
            <w:lang w:val="fr-BE"/>
          </w:rPr>
          <w:t>2014/92/EU</w:t>
        </w:r>
      </w:hyperlink>
      <w:r>
        <w:rPr>
          <w:lang w:val="fr-BE"/>
        </w:rPr>
        <w:t>.</w:t>
      </w:r>
    </w:p>
  </w:footnote>
  <w:footnote w:id="182">
    <w:p w:rsidR="00E201F7" w:rsidRDefault="00E24EFF">
      <w:pPr>
        <w:pStyle w:val="FootnoteText"/>
        <w:rPr>
          <w:lang w:val="fr-BE"/>
        </w:rPr>
      </w:pPr>
      <w:r>
        <w:rPr>
          <w:rStyle w:val="FootnoteReference"/>
        </w:rPr>
        <w:footnoteRef/>
      </w:r>
      <w:r>
        <w:rPr>
          <w:lang w:val="fr-BE"/>
        </w:rPr>
        <w:t xml:space="preserve"> </w:t>
      </w:r>
      <w:r>
        <w:rPr>
          <w:lang w:val="fr-BE"/>
        </w:rPr>
        <w:tab/>
        <w:t xml:space="preserve">Directive </w:t>
      </w:r>
      <w:hyperlink r:id="rId246" w:history="1">
        <w:r>
          <w:rPr>
            <w:rStyle w:val="Hyperlink"/>
            <w:lang w:val="fr-BE"/>
          </w:rPr>
          <w:t>2014/56/EU</w:t>
        </w:r>
      </w:hyperlink>
      <w:r>
        <w:rPr>
          <w:lang w:val="fr-BE"/>
        </w:rPr>
        <w:t>.</w:t>
      </w:r>
    </w:p>
  </w:footnote>
  <w:footnote w:id="183">
    <w:p w:rsidR="00E201F7" w:rsidRDefault="00E24EFF">
      <w:pPr>
        <w:pStyle w:val="FootnoteText"/>
        <w:rPr>
          <w:lang w:val="fr-BE"/>
        </w:rPr>
      </w:pPr>
      <w:r>
        <w:rPr>
          <w:rStyle w:val="FootnoteReference"/>
        </w:rPr>
        <w:footnoteRef/>
      </w:r>
      <w:r>
        <w:rPr>
          <w:lang w:val="fr-BE"/>
        </w:rPr>
        <w:t xml:space="preserve"> </w:t>
      </w:r>
      <w:r>
        <w:rPr>
          <w:lang w:val="fr-BE"/>
        </w:rPr>
        <w:tab/>
        <w:t xml:space="preserve">Directive </w:t>
      </w:r>
      <w:hyperlink r:id="rId247" w:history="1">
        <w:r>
          <w:rPr>
            <w:rStyle w:val="Hyperlink"/>
            <w:lang w:val="fr-BE"/>
          </w:rPr>
          <w:t>2014/95/EU</w:t>
        </w:r>
      </w:hyperlink>
      <w:r>
        <w:rPr>
          <w:lang w:val="fr-BE"/>
        </w:rPr>
        <w:t>.</w:t>
      </w:r>
    </w:p>
  </w:footnote>
  <w:footnote w:id="184">
    <w:p w:rsidR="00E201F7" w:rsidRDefault="00E24EFF">
      <w:pPr>
        <w:pStyle w:val="FootnoteText"/>
        <w:rPr>
          <w:lang w:val="fr-BE"/>
        </w:rPr>
      </w:pPr>
      <w:r>
        <w:rPr>
          <w:rStyle w:val="FootnoteReference"/>
        </w:rPr>
        <w:footnoteRef/>
      </w:r>
      <w:r>
        <w:rPr>
          <w:lang w:val="fr-BE"/>
        </w:rPr>
        <w:t xml:space="preserve"> </w:t>
      </w:r>
      <w:r>
        <w:rPr>
          <w:lang w:val="fr-BE"/>
        </w:rPr>
        <w:tab/>
        <w:t xml:space="preserve">Directive </w:t>
      </w:r>
      <w:hyperlink r:id="rId248" w:history="1">
        <w:r>
          <w:rPr>
            <w:rStyle w:val="Hyperlink"/>
            <w:lang w:val="fr-BE"/>
          </w:rPr>
          <w:t>2015/2392</w:t>
        </w:r>
      </w:hyperlink>
      <w:r>
        <w:rPr>
          <w:rStyle w:val="Hyperlink"/>
          <w:lang w:val="fr-BE"/>
        </w:rPr>
        <w:t>/EU</w:t>
      </w:r>
      <w:r>
        <w:rPr>
          <w:lang w:val="fr-BE"/>
        </w:rPr>
        <w:t xml:space="preserve">, Commission v Spain, </w:t>
      </w:r>
      <w:hyperlink r:id="rId249" w:history="1">
        <w:r>
          <w:rPr>
            <w:rStyle w:val="Hyperlink"/>
            <w:lang w:val="fr-BE"/>
          </w:rPr>
          <w:t>C-599/17</w:t>
        </w:r>
      </w:hyperlink>
      <w:r>
        <w:rPr>
          <w:lang w:val="fr-BE"/>
        </w:rPr>
        <w:t xml:space="preserve">, </w:t>
      </w:r>
      <w:hyperlink r:id="rId250" w:history="1">
        <w:r>
          <w:rPr>
            <w:rStyle w:val="Hyperlink"/>
            <w:lang w:val="fr-BE"/>
          </w:rPr>
          <w:t>IP/17/1950</w:t>
        </w:r>
      </w:hyperlink>
      <w:r>
        <w:rPr>
          <w:lang w:val="fr-BE"/>
        </w:rPr>
        <w:t>.</w:t>
      </w:r>
    </w:p>
  </w:footnote>
  <w:footnote w:id="185">
    <w:p w:rsidR="00E201F7" w:rsidRDefault="00E24EFF">
      <w:pPr>
        <w:pStyle w:val="FootnoteText"/>
        <w:rPr>
          <w:lang w:val="fr-BE"/>
        </w:rPr>
      </w:pPr>
      <w:r>
        <w:rPr>
          <w:rStyle w:val="FootnoteReference"/>
        </w:rPr>
        <w:footnoteRef/>
      </w:r>
      <w:r>
        <w:rPr>
          <w:lang w:val="fr-BE"/>
        </w:rPr>
        <w:t xml:space="preserve"> </w:t>
      </w:r>
      <w:r>
        <w:rPr>
          <w:lang w:val="fr-BE"/>
        </w:rPr>
        <w:tab/>
        <w:t xml:space="preserve">Commission v Hungary, </w:t>
      </w:r>
      <w:hyperlink r:id="rId251" w:history="1">
        <w:r>
          <w:rPr>
            <w:rStyle w:val="Hyperlink"/>
            <w:lang w:val="fr-BE"/>
          </w:rPr>
          <w:t>C-235/17</w:t>
        </w:r>
      </w:hyperlink>
      <w:r>
        <w:rPr>
          <w:lang w:val="fr-BE"/>
        </w:rPr>
        <w:t xml:space="preserve">, </w:t>
      </w:r>
      <w:hyperlink r:id="rId252" w:history="1">
        <w:r>
          <w:rPr>
            <w:rStyle w:val="Hyperlink"/>
            <w:lang w:val="fr-BE"/>
          </w:rPr>
          <w:t>IP/16/2102</w:t>
        </w:r>
      </w:hyperlink>
      <w:r>
        <w:rPr>
          <w:lang w:val="fr-BE"/>
        </w:rPr>
        <w:t>.</w:t>
      </w:r>
    </w:p>
  </w:footnote>
  <w:footnote w:id="186">
    <w:p w:rsidR="00E201F7" w:rsidRDefault="00E24EFF">
      <w:pPr>
        <w:pStyle w:val="FootnoteText"/>
        <w:rPr>
          <w:lang w:val="fr-BE"/>
        </w:rPr>
      </w:pPr>
      <w:r>
        <w:rPr>
          <w:rStyle w:val="FootnoteReference"/>
        </w:rPr>
        <w:footnoteRef/>
      </w:r>
      <w:r>
        <w:rPr>
          <w:lang w:val="fr-BE"/>
        </w:rPr>
        <w:t xml:space="preserve"> </w:t>
      </w:r>
      <w:r>
        <w:rPr>
          <w:lang w:val="fr-BE"/>
        </w:rPr>
        <w:tab/>
        <w:t xml:space="preserve">Directive </w:t>
      </w:r>
      <w:hyperlink r:id="rId253" w:history="1">
        <w:r>
          <w:rPr>
            <w:rStyle w:val="Hyperlink"/>
            <w:lang w:val="fr-BE"/>
          </w:rPr>
          <w:t>2014/65/EU</w:t>
        </w:r>
      </w:hyperlink>
      <w:r>
        <w:rPr>
          <w:lang w:val="fr-BE"/>
        </w:rPr>
        <w:t>.</w:t>
      </w:r>
    </w:p>
  </w:footnote>
  <w:footnote w:id="187">
    <w:p w:rsidR="00E201F7" w:rsidRDefault="00E24EFF">
      <w:pPr>
        <w:pStyle w:val="FootnoteText"/>
        <w:rPr>
          <w:lang w:val="fr-BE"/>
        </w:rPr>
      </w:pPr>
      <w:r>
        <w:rPr>
          <w:rStyle w:val="FootnoteReference"/>
        </w:rPr>
        <w:footnoteRef/>
      </w:r>
      <w:r>
        <w:rPr>
          <w:lang w:val="fr-BE"/>
        </w:rPr>
        <w:t xml:space="preserve"> </w:t>
      </w:r>
      <w:r>
        <w:rPr>
          <w:lang w:val="fr-BE"/>
        </w:rPr>
        <w:tab/>
        <w:t xml:space="preserve">Directive </w:t>
      </w:r>
      <w:hyperlink r:id="rId254" w:history="1">
        <w:r>
          <w:rPr>
            <w:rStyle w:val="Hyperlink"/>
            <w:lang w:val="fr-BE"/>
          </w:rPr>
          <w:t>2014/65/EU</w:t>
        </w:r>
      </w:hyperlink>
      <w:r>
        <w:rPr>
          <w:lang w:val="fr-BE"/>
        </w:rPr>
        <w:t>.</w:t>
      </w:r>
    </w:p>
  </w:footnote>
  <w:footnote w:id="188">
    <w:p w:rsidR="00E201F7" w:rsidRDefault="00E24EFF">
      <w:pPr>
        <w:pStyle w:val="FootnoteText"/>
        <w:rPr>
          <w:lang w:val="fr-BE"/>
        </w:rPr>
      </w:pPr>
      <w:r>
        <w:rPr>
          <w:rStyle w:val="FootnoteReference"/>
        </w:rPr>
        <w:footnoteRef/>
      </w:r>
      <w:r>
        <w:rPr>
          <w:lang w:val="fr-BE"/>
        </w:rPr>
        <w:t xml:space="preserve"> </w:t>
      </w:r>
      <w:r>
        <w:rPr>
          <w:lang w:val="fr-BE"/>
        </w:rPr>
        <w:tab/>
        <w:t xml:space="preserve">Directive </w:t>
      </w:r>
      <w:hyperlink r:id="rId255" w:history="1">
        <w:r>
          <w:rPr>
            <w:rStyle w:val="Hyperlink"/>
            <w:lang w:val="fr-BE"/>
          </w:rPr>
          <w:t>2017/593/EU</w:t>
        </w:r>
      </w:hyperlink>
      <w:r>
        <w:rPr>
          <w:lang w:val="fr-BE"/>
        </w:rPr>
        <w:t>.</w:t>
      </w:r>
    </w:p>
  </w:footnote>
  <w:footnote w:id="189">
    <w:p w:rsidR="00E201F7" w:rsidRDefault="00E24EFF">
      <w:pPr>
        <w:pStyle w:val="FootnoteText"/>
        <w:rPr>
          <w:lang w:val="fr-BE"/>
        </w:rPr>
      </w:pPr>
      <w:r>
        <w:rPr>
          <w:rStyle w:val="FootnoteReference"/>
        </w:rPr>
        <w:footnoteRef/>
      </w:r>
      <w:r>
        <w:rPr>
          <w:lang w:val="fr-BE"/>
        </w:rPr>
        <w:t xml:space="preserve"> </w:t>
      </w:r>
      <w:r>
        <w:rPr>
          <w:lang w:val="fr-BE"/>
        </w:rPr>
        <w:tab/>
        <w:t xml:space="preserve">Directive </w:t>
      </w:r>
      <w:hyperlink r:id="rId256" w:history="1">
        <w:r>
          <w:rPr>
            <w:rStyle w:val="Hyperlink"/>
            <w:lang w:val="fr-BE"/>
          </w:rPr>
          <w:t>2014/17/EU</w:t>
        </w:r>
      </w:hyperlink>
      <w:r>
        <w:rPr>
          <w:lang w:val="fr-BE"/>
        </w:rPr>
        <w:t xml:space="preserve">, Commission v Spain, </w:t>
      </w:r>
      <w:hyperlink r:id="rId257" w:history="1">
        <w:r>
          <w:rPr>
            <w:rStyle w:val="Hyperlink"/>
            <w:lang w:val="fr-BE"/>
          </w:rPr>
          <w:t>C-569/17</w:t>
        </w:r>
      </w:hyperlink>
      <w:r>
        <w:rPr>
          <w:lang w:val="fr-BE"/>
        </w:rPr>
        <w:t xml:space="preserve">, </w:t>
      </w:r>
      <w:hyperlink r:id="rId258" w:history="1">
        <w:r>
          <w:rPr>
            <w:rStyle w:val="Hyperlink"/>
            <w:lang w:val="fr-BE"/>
          </w:rPr>
          <w:t>IP/17/1049</w:t>
        </w:r>
      </w:hyperlink>
      <w:r>
        <w:rPr>
          <w:lang w:val="fr-BE"/>
        </w:rPr>
        <w:t>.</w:t>
      </w:r>
    </w:p>
  </w:footnote>
  <w:footnote w:id="190">
    <w:p w:rsidR="00E201F7" w:rsidRDefault="00E24EFF">
      <w:pPr>
        <w:pStyle w:val="FootnoteText"/>
        <w:rPr>
          <w:lang w:val="fr-BE"/>
        </w:rPr>
      </w:pPr>
      <w:r>
        <w:rPr>
          <w:rStyle w:val="FootnoteReference"/>
        </w:rPr>
        <w:footnoteRef/>
      </w:r>
      <w:r>
        <w:rPr>
          <w:lang w:val="fr-BE"/>
        </w:rPr>
        <w:t xml:space="preserve"> </w:t>
      </w:r>
      <w:r>
        <w:rPr>
          <w:lang w:val="fr-BE"/>
        </w:rPr>
        <w:tab/>
        <w:t xml:space="preserve">Directive </w:t>
      </w:r>
      <w:hyperlink r:id="rId259" w:history="1">
        <w:r>
          <w:rPr>
            <w:rStyle w:val="Hyperlink"/>
            <w:lang w:val="fr-BE"/>
          </w:rPr>
          <w:t>2014/17/EU</w:t>
        </w:r>
      </w:hyperlink>
      <w:r>
        <w:rPr>
          <w:lang w:val="fr-BE"/>
        </w:rPr>
        <w:t xml:space="preserve">, Commission v Croatia, </w:t>
      </w:r>
      <w:hyperlink r:id="rId260" w:history="1">
        <w:r>
          <w:rPr>
            <w:rStyle w:val="Hyperlink"/>
            <w:lang w:val="fr-BE"/>
          </w:rPr>
          <w:t>C-381/17</w:t>
        </w:r>
      </w:hyperlink>
      <w:r>
        <w:rPr>
          <w:lang w:val="fr-BE"/>
        </w:rPr>
        <w:t xml:space="preserve">, </w:t>
      </w:r>
      <w:hyperlink r:id="rId261" w:history="1">
        <w:r>
          <w:rPr>
            <w:rStyle w:val="Hyperlink"/>
            <w:lang w:val="fr-BE"/>
          </w:rPr>
          <w:t>IP/17/1049</w:t>
        </w:r>
      </w:hyperlink>
      <w:r>
        <w:rPr>
          <w:lang w:val="fr-BE"/>
        </w:rPr>
        <w:t>.</w:t>
      </w:r>
    </w:p>
  </w:footnote>
  <w:footnote w:id="191">
    <w:p w:rsidR="00E201F7" w:rsidRDefault="00E24EFF">
      <w:pPr>
        <w:pStyle w:val="FootnoteText"/>
        <w:rPr>
          <w:lang w:val="fr-BE"/>
        </w:rPr>
      </w:pPr>
      <w:r>
        <w:rPr>
          <w:rStyle w:val="FootnoteReference"/>
        </w:rPr>
        <w:footnoteRef/>
      </w:r>
      <w:r>
        <w:rPr>
          <w:lang w:val="fr-BE"/>
        </w:rPr>
        <w:t xml:space="preserve"> </w:t>
      </w:r>
      <w:r>
        <w:rPr>
          <w:lang w:val="fr-BE"/>
        </w:rPr>
        <w:tab/>
        <w:t xml:space="preserve">Directive </w:t>
      </w:r>
      <w:hyperlink r:id="rId262" w:history="1">
        <w:r>
          <w:rPr>
            <w:rStyle w:val="Hyperlink"/>
            <w:lang w:val="fr-BE"/>
          </w:rPr>
          <w:t>2014/56/EU</w:t>
        </w:r>
      </w:hyperlink>
      <w:r>
        <w:rPr>
          <w:lang w:val="fr-BE"/>
        </w:rPr>
        <w:t xml:space="preserve">, Commission v Croatia, </w:t>
      </w:r>
      <w:hyperlink r:id="rId263" w:history="1">
        <w:r>
          <w:rPr>
            <w:rStyle w:val="Hyperlink"/>
            <w:lang w:val="fr-BE"/>
          </w:rPr>
          <w:t>C-415/17</w:t>
        </w:r>
      </w:hyperlink>
      <w:r>
        <w:rPr>
          <w:lang w:val="fr-BE"/>
        </w:rPr>
        <w:t xml:space="preserve">, </w:t>
      </w:r>
      <w:hyperlink r:id="rId264" w:history="1">
        <w:r>
          <w:rPr>
            <w:rStyle w:val="Hyperlink"/>
            <w:lang w:val="fr-BE"/>
          </w:rPr>
          <w:t>IP/17/1579</w:t>
        </w:r>
      </w:hyperlink>
      <w:r>
        <w:rPr>
          <w:lang w:val="fr-BE"/>
        </w:rPr>
        <w:t>.</w:t>
      </w:r>
    </w:p>
  </w:footnote>
  <w:footnote w:id="192">
    <w:p w:rsidR="00E201F7" w:rsidRDefault="00E24EFF">
      <w:pPr>
        <w:pStyle w:val="FootnoteText"/>
        <w:rPr>
          <w:lang w:val="fr-BE"/>
        </w:rPr>
      </w:pPr>
      <w:r>
        <w:rPr>
          <w:rStyle w:val="FootnoteReference"/>
        </w:rPr>
        <w:footnoteRef/>
      </w:r>
      <w:r>
        <w:rPr>
          <w:lang w:val="fr-BE"/>
        </w:rPr>
        <w:t xml:space="preserve"> </w:t>
      </w:r>
      <w:r>
        <w:rPr>
          <w:lang w:val="fr-BE"/>
        </w:rPr>
        <w:tab/>
        <w:t xml:space="preserve">Directive </w:t>
      </w:r>
      <w:hyperlink r:id="rId265" w:history="1">
        <w:r>
          <w:rPr>
            <w:rStyle w:val="Hyperlink"/>
            <w:lang w:val="fr-BE"/>
          </w:rPr>
          <w:t>2009/138/EC</w:t>
        </w:r>
      </w:hyperlink>
      <w:r>
        <w:rPr>
          <w:lang w:val="fr-BE"/>
        </w:rPr>
        <w:t>.</w:t>
      </w:r>
    </w:p>
  </w:footnote>
  <w:footnote w:id="193">
    <w:p w:rsidR="00E201F7" w:rsidRDefault="00E24EFF">
      <w:pPr>
        <w:pStyle w:val="FootnoteText"/>
        <w:rPr>
          <w:lang w:val="fr-BE"/>
        </w:rPr>
      </w:pPr>
      <w:r>
        <w:rPr>
          <w:rStyle w:val="FootnoteReference"/>
        </w:rPr>
        <w:footnoteRef/>
      </w:r>
      <w:r>
        <w:rPr>
          <w:lang w:val="fr-BE"/>
        </w:rPr>
        <w:t xml:space="preserve"> </w:t>
      </w:r>
      <w:r>
        <w:rPr>
          <w:lang w:val="fr-BE"/>
        </w:rPr>
        <w:tab/>
        <w:t xml:space="preserve">Directive </w:t>
      </w:r>
      <w:hyperlink r:id="rId266" w:history="1">
        <w:r>
          <w:rPr>
            <w:rStyle w:val="Hyperlink"/>
            <w:lang w:val="fr-BE"/>
          </w:rPr>
          <w:t>2014/51/EU</w:t>
        </w:r>
      </w:hyperlink>
      <w:r>
        <w:rPr>
          <w:lang w:val="fr-BE"/>
        </w:rPr>
        <w:t>.</w:t>
      </w:r>
    </w:p>
  </w:footnote>
  <w:footnote w:id="194">
    <w:p w:rsidR="00E201F7" w:rsidRDefault="00E24EFF">
      <w:pPr>
        <w:pStyle w:val="FootnoteText"/>
        <w:rPr>
          <w:lang w:val="fr-BE"/>
        </w:rPr>
      </w:pPr>
      <w:r>
        <w:rPr>
          <w:rStyle w:val="FootnoteReference"/>
        </w:rPr>
        <w:footnoteRef/>
      </w:r>
      <w:r>
        <w:rPr>
          <w:lang w:val="fr-BE"/>
        </w:rPr>
        <w:t xml:space="preserve"> </w:t>
      </w:r>
      <w:r>
        <w:rPr>
          <w:lang w:val="fr-BE"/>
        </w:rPr>
        <w:tab/>
        <w:t xml:space="preserve">Directive </w:t>
      </w:r>
      <w:hyperlink r:id="rId267" w:history="1">
        <w:r>
          <w:rPr>
            <w:rStyle w:val="Hyperlink"/>
            <w:lang w:val="fr-BE"/>
          </w:rPr>
          <w:t>2013/34/EU</w:t>
        </w:r>
      </w:hyperlink>
      <w:r>
        <w:rPr>
          <w:lang w:val="fr-BE"/>
        </w:rPr>
        <w:t>.</w:t>
      </w:r>
    </w:p>
  </w:footnote>
  <w:footnote w:id="195">
    <w:p w:rsidR="00E201F7" w:rsidRDefault="00E24EFF">
      <w:pPr>
        <w:pStyle w:val="FootnoteText"/>
        <w:rPr>
          <w:lang w:val="fr-BE"/>
        </w:rPr>
      </w:pPr>
      <w:r>
        <w:rPr>
          <w:rStyle w:val="FootnoteReference"/>
        </w:rPr>
        <w:footnoteRef/>
      </w:r>
      <w:r>
        <w:rPr>
          <w:lang w:val="fr-BE"/>
        </w:rPr>
        <w:t xml:space="preserve"> </w:t>
      </w:r>
      <w:r>
        <w:rPr>
          <w:lang w:val="fr-BE"/>
        </w:rPr>
        <w:tab/>
        <w:t xml:space="preserve">Directive </w:t>
      </w:r>
      <w:hyperlink r:id="rId268" w:history="1">
        <w:r>
          <w:rPr>
            <w:rStyle w:val="Hyperlink"/>
            <w:lang w:val="fr-BE"/>
          </w:rPr>
          <w:t>2013/50/EU</w:t>
        </w:r>
      </w:hyperlink>
      <w:r>
        <w:rPr>
          <w:lang w:val="fr-BE"/>
        </w:rPr>
        <w:t>.</w:t>
      </w:r>
    </w:p>
  </w:footnote>
  <w:footnote w:id="196">
    <w:p w:rsidR="00E201F7" w:rsidRDefault="00E24EFF">
      <w:pPr>
        <w:pStyle w:val="FootnoteText"/>
        <w:rPr>
          <w:lang w:val="fr-BE"/>
        </w:rPr>
      </w:pPr>
      <w:r>
        <w:rPr>
          <w:rStyle w:val="FootnoteReference"/>
        </w:rPr>
        <w:footnoteRef/>
      </w:r>
      <w:r>
        <w:rPr>
          <w:lang w:val="fr-BE"/>
        </w:rPr>
        <w:t xml:space="preserve"> </w:t>
      </w:r>
      <w:r>
        <w:rPr>
          <w:lang w:val="fr-BE"/>
        </w:rPr>
        <w:tab/>
        <w:t xml:space="preserve">Directive </w:t>
      </w:r>
      <w:hyperlink r:id="rId269" w:history="1">
        <w:r>
          <w:rPr>
            <w:rStyle w:val="Hyperlink"/>
            <w:lang w:val="fr-BE"/>
          </w:rPr>
          <w:t>2007/64/EC</w:t>
        </w:r>
      </w:hyperlink>
      <w:r>
        <w:rPr>
          <w:lang w:val="fr-BE"/>
        </w:rPr>
        <w:t>.</w:t>
      </w:r>
    </w:p>
  </w:footnote>
  <w:footnote w:id="197">
    <w:p w:rsidR="00E201F7" w:rsidRDefault="00E24EFF">
      <w:pPr>
        <w:pStyle w:val="FootnoteText"/>
        <w:rPr>
          <w:lang w:val="fr-BE"/>
        </w:rPr>
      </w:pPr>
      <w:r>
        <w:rPr>
          <w:rStyle w:val="FootnoteReference"/>
        </w:rPr>
        <w:footnoteRef/>
      </w:r>
      <w:r>
        <w:rPr>
          <w:lang w:val="fr-BE"/>
        </w:rPr>
        <w:t xml:space="preserve"> </w:t>
      </w:r>
      <w:r>
        <w:rPr>
          <w:lang w:val="fr-BE"/>
        </w:rPr>
        <w:tab/>
        <w:t xml:space="preserve">BAWAG, </w:t>
      </w:r>
      <w:hyperlink r:id="rId270" w:history="1">
        <w:r>
          <w:rPr>
            <w:rStyle w:val="Hyperlink"/>
            <w:lang w:val="fr-BE"/>
          </w:rPr>
          <w:t>C-375/15</w:t>
        </w:r>
      </w:hyperlink>
      <w:r>
        <w:rPr>
          <w:lang w:val="fr-BE"/>
        </w:rPr>
        <w:t>.</w:t>
      </w:r>
    </w:p>
  </w:footnote>
  <w:footnote w:id="198">
    <w:p w:rsidR="00E201F7" w:rsidRDefault="00E24EFF">
      <w:pPr>
        <w:pStyle w:val="FootnoteText"/>
        <w:rPr>
          <w:lang w:val="fr-BE"/>
        </w:rPr>
      </w:pPr>
      <w:r>
        <w:rPr>
          <w:rStyle w:val="FootnoteReference"/>
        </w:rPr>
        <w:footnoteRef/>
      </w:r>
      <w:r>
        <w:rPr>
          <w:lang w:val="fr-BE"/>
        </w:rPr>
        <w:t xml:space="preserve"> </w:t>
      </w:r>
      <w:r>
        <w:rPr>
          <w:lang w:val="fr-BE"/>
        </w:rPr>
        <w:tab/>
        <w:t xml:space="preserve">Directive </w:t>
      </w:r>
      <w:hyperlink r:id="rId271" w:history="1">
        <w:r>
          <w:rPr>
            <w:rStyle w:val="Hyperlink"/>
            <w:lang w:val="fr-BE"/>
          </w:rPr>
          <w:t>2015/23</w:t>
        </w:r>
        <w:r>
          <w:rPr>
            <w:rStyle w:val="Hyperlink"/>
            <w:lang w:val="fr-BE"/>
          </w:rPr>
          <w:t>66/EU</w:t>
        </w:r>
      </w:hyperlink>
      <w:r>
        <w:rPr>
          <w:lang w:val="fr-BE"/>
        </w:rPr>
        <w:t>.</w:t>
      </w:r>
    </w:p>
  </w:footnote>
  <w:footnote w:id="199">
    <w:p w:rsidR="00E201F7" w:rsidRDefault="00E24EFF">
      <w:pPr>
        <w:pStyle w:val="FootnoteText"/>
        <w:rPr>
          <w:lang w:val="fr-BE"/>
        </w:rPr>
      </w:pPr>
      <w:r>
        <w:rPr>
          <w:rStyle w:val="FootnoteReference"/>
        </w:rPr>
        <w:footnoteRef/>
      </w:r>
      <w:r>
        <w:rPr>
          <w:lang w:val="fr-BE"/>
        </w:rPr>
        <w:t xml:space="preserve"> </w:t>
      </w:r>
      <w:r>
        <w:rPr>
          <w:lang w:val="fr-BE"/>
        </w:rPr>
        <w:tab/>
        <w:t xml:space="preserve">Directive </w:t>
      </w:r>
      <w:hyperlink r:id="rId272" w:history="1">
        <w:r>
          <w:rPr>
            <w:rStyle w:val="Hyperlink"/>
            <w:lang w:val="fr-BE"/>
          </w:rPr>
          <w:t>2016/97/EU</w:t>
        </w:r>
      </w:hyperlink>
      <w:r>
        <w:rPr>
          <w:lang w:val="fr-BE"/>
        </w:rPr>
        <w:t>.</w:t>
      </w:r>
    </w:p>
  </w:footnote>
  <w:footnote w:id="200">
    <w:p w:rsidR="00E201F7" w:rsidRDefault="00E24EFF">
      <w:pPr>
        <w:pStyle w:val="FootnoteText"/>
        <w:rPr>
          <w:lang w:val="fr-BE"/>
        </w:rPr>
      </w:pPr>
      <w:r>
        <w:rPr>
          <w:rStyle w:val="FootnoteReference"/>
        </w:rPr>
        <w:footnoteRef/>
      </w:r>
      <w:r>
        <w:rPr>
          <w:lang w:val="fr-BE"/>
        </w:rPr>
        <w:t xml:space="preserve"> </w:t>
      </w:r>
      <w:r>
        <w:rPr>
          <w:lang w:val="fr-BE"/>
        </w:rPr>
        <w:tab/>
        <w:t xml:space="preserve">Directives </w:t>
      </w:r>
      <w:hyperlink r:id="rId273" w:history="1">
        <w:r>
          <w:rPr>
            <w:rStyle w:val="Hyperlink"/>
            <w:lang w:val="fr-BE"/>
          </w:rPr>
          <w:t>2013/34/EU</w:t>
        </w:r>
      </w:hyperlink>
      <w:r>
        <w:rPr>
          <w:lang w:val="fr-BE"/>
        </w:rPr>
        <w:t xml:space="preserve"> and </w:t>
      </w:r>
      <w:hyperlink r:id="rId274" w:history="1">
        <w:r>
          <w:rPr>
            <w:rStyle w:val="Hyperlink"/>
            <w:lang w:val="fr-BE"/>
          </w:rPr>
          <w:t>2014/56/EU</w:t>
        </w:r>
      </w:hyperlink>
      <w:r>
        <w:rPr>
          <w:lang w:val="fr-BE"/>
        </w:rPr>
        <w:t>.</w:t>
      </w:r>
    </w:p>
  </w:footnote>
  <w:footnote w:id="201">
    <w:p w:rsidR="00E201F7" w:rsidRDefault="00E24EFF">
      <w:pPr>
        <w:pStyle w:val="FootnoteText"/>
        <w:rPr>
          <w:lang w:val="fr-BE"/>
        </w:rPr>
      </w:pPr>
      <w:r>
        <w:rPr>
          <w:rStyle w:val="FootnoteReference"/>
        </w:rPr>
        <w:footnoteRef/>
      </w:r>
      <w:r>
        <w:rPr>
          <w:lang w:val="fr-BE"/>
        </w:rPr>
        <w:t xml:space="preserve"> </w:t>
      </w:r>
      <w:r>
        <w:rPr>
          <w:lang w:val="fr-BE"/>
        </w:rPr>
        <w:tab/>
        <w:t xml:space="preserve">Directive </w:t>
      </w:r>
      <w:hyperlink r:id="rId275" w:history="1">
        <w:r>
          <w:rPr>
            <w:rStyle w:val="Hyperlink"/>
            <w:lang w:val="fr-BE"/>
          </w:rPr>
          <w:t>2013/50/EU</w:t>
        </w:r>
      </w:hyperlink>
      <w:r>
        <w:rPr>
          <w:lang w:val="fr-BE"/>
        </w:rPr>
        <w:t>.</w:t>
      </w:r>
    </w:p>
  </w:footnote>
  <w:footnote w:id="202">
    <w:p w:rsidR="00E201F7" w:rsidRDefault="00E24EFF">
      <w:pPr>
        <w:pStyle w:val="FootnoteText"/>
        <w:rPr>
          <w:lang w:val="fr-BE"/>
        </w:rPr>
      </w:pPr>
      <w:r>
        <w:rPr>
          <w:rStyle w:val="FootnoteReference"/>
        </w:rPr>
        <w:footnoteRef/>
      </w:r>
      <w:r>
        <w:rPr>
          <w:lang w:val="fr-BE"/>
        </w:rPr>
        <w:t xml:space="preserve"> </w:t>
      </w:r>
      <w:r>
        <w:rPr>
          <w:lang w:val="fr-BE"/>
        </w:rPr>
        <w:tab/>
        <w:t xml:space="preserve">Directive </w:t>
      </w:r>
      <w:hyperlink r:id="rId276" w:history="1">
        <w:r>
          <w:rPr>
            <w:rStyle w:val="Hyperlink"/>
            <w:lang w:val="fr-BE"/>
          </w:rPr>
          <w:t>2014/17/EU</w:t>
        </w:r>
      </w:hyperlink>
      <w:r>
        <w:rPr>
          <w:lang w:val="fr-BE"/>
        </w:rPr>
        <w:t>.</w:t>
      </w:r>
    </w:p>
  </w:footnote>
  <w:footnote w:id="203">
    <w:p w:rsidR="00E201F7" w:rsidRDefault="00E24EFF">
      <w:pPr>
        <w:pStyle w:val="FootnoteText"/>
        <w:rPr>
          <w:lang w:val="fr-BE"/>
        </w:rPr>
      </w:pPr>
      <w:r>
        <w:rPr>
          <w:rStyle w:val="FootnoteReference"/>
        </w:rPr>
        <w:footnoteRef/>
      </w:r>
      <w:r>
        <w:rPr>
          <w:lang w:val="fr-BE"/>
        </w:rPr>
        <w:t xml:space="preserve"> </w:t>
      </w:r>
      <w:r>
        <w:rPr>
          <w:lang w:val="fr-BE"/>
        </w:rPr>
        <w:tab/>
        <w:t xml:space="preserve">Directive </w:t>
      </w:r>
      <w:hyperlink r:id="rId277" w:history="1">
        <w:r>
          <w:rPr>
            <w:rStyle w:val="Hyperlink"/>
            <w:lang w:val="fr-BE"/>
          </w:rPr>
          <w:t>2014/92/EU</w:t>
        </w:r>
      </w:hyperlink>
      <w:r>
        <w:rPr>
          <w:lang w:val="fr-BE"/>
        </w:rPr>
        <w:t>.</w:t>
      </w:r>
    </w:p>
  </w:footnote>
  <w:footnote w:id="204">
    <w:p w:rsidR="00E201F7" w:rsidRDefault="00E24EFF">
      <w:pPr>
        <w:pStyle w:val="FootnoteText"/>
        <w:rPr>
          <w:lang w:val="fr-BE"/>
        </w:rPr>
      </w:pPr>
      <w:r>
        <w:rPr>
          <w:rStyle w:val="FootnoteReference"/>
        </w:rPr>
        <w:footnoteRef/>
      </w:r>
      <w:r>
        <w:rPr>
          <w:lang w:val="fr-BE"/>
        </w:rPr>
        <w:t xml:space="preserve"> </w:t>
      </w:r>
      <w:r>
        <w:rPr>
          <w:lang w:val="fr-BE"/>
        </w:rPr>
        <w:tab/>
        <w:t xml:space="preserve">Directive </w:t>
      </w:r>
      <w:hyperlink r:id="rId278" w:history="1">
        <w:r>
          <w:rPr>
            <w:rStyle w:val="Hyperlink"/>
            <w:lang w:val="fr-BE"/>
          </w:rPr>
          <w:t>2014/95/EU</w:t>
        </w:r>
      </w:hyperlink>
      <w:r>
        <w:rPr>
          <w:lang w:val="fr-BE"/>
        </w:rPr>
        <w:t>.</w:t>
      </w:r>
    </w:p>
  </w:footnote>
  <w:footnote w:id="205">
    <w:p w:rsidR="00E201F7" w:rsidRDefault="00E24EFF">
      <w:pPr>
        <w:pStyle w:val="FootnoteText"/>
        <w:rPr>
          <w:lang w:val="fr-BE"/>
        </w:rPr>
      </w:pPr>
      <w:r>
        <w:rPr>
          <w:rStyle w:val="FootnoteReference"/>
        </w:rPr>
        <w:footnoteRef/>
      </w:r>
      <w:r>
        <w:rPr>
          <w:lang w:val="fr-BE"/>
        </w:rPr>
        <w:t xml:space="preserve"> </w:t>
      </w:r>
      <w:r>
        <w:rPr>
          <w:lang w:val="fr-BE"/>
        </w:rPr>
        <w:tab/>
        <w:t xml:space="preserve">Achmea, </w:t>
      </w:r>
      <w:hyperlink r:id="rId279" w:history="1">
        <w:r>
          <w:rPr>
            <w:rStyle w:val="Hyperlink"/>
            <w:lang w:val="fr-BE"/>
          </w:rPr>
          <w:t>C-284/16</w:t>
        </w:r>
      </w:hyperlink>
      <w:r>
        <w:rPr>
          <w:lang w:val="fr-BE"/>
        </w:rPr>
        <w:t>.</w:t>
      </w:r>
    </w:p>
  </w:footnote>
  <w:footnote w:id="206">
    <w:p w:rsidR="00E201F7" w:rsidRDefault="00E24EFF">
      <w:pPr>
        <w:pStyle w:val="FootnoteText"/>
        <w:rPr>
          <w:lang w:val="fr-BE"/>
        </w:rPr>
      </w:pPr>
      <w:r>
        <w:rPr>
          <w:rStyle w:val="FootnoteReference"/>
        </w:rPr>
        <w:footnoteRef/>
      </w:r>
      <w:r>
        <w:rPr>
          <w:lang w:val="fr-BE"/>
        </w:rPr>
        <w:t xml:space="preserve"> </w:t>
      </w:r>
      <w:r>
        <w:rPr>
          <w:lang w:val="fr-BE"/>
        </w:rPr>
        <w:tab/>
        <w:t xml:space="preserve">Directives </w:t>
      </w:r>
      <w:hyperlink r:id="rId280" w:history="1">
        <w:r>
          <w:rPr>
            <w:rStyle w:val="Hyperlink"/>
            <w:lang w:val="fr-BE"/>
          </w:rPr>
          <w:t>2014/96/EU</w:t>
        </w:r>
      </w:hyperlink>
      <w:r>
        <w:rPr>
          <w:lang w:val="fr-BE"/>
        </w:rPr>
        <w:t xml:space="preserve">, </w:t>
      </w:r>
      <w:hyperlink r:id="rId281" w:history="1">
        <w:r>
          <w:rPr>
            <w:rStyle w:val="Hyperlink"/>
            <w:lang w:val="fr-BE"/>
          </w:rPr>
          <w:t>2014/97/EU</w:t>
        </w:r>
      </w:hyperlink>
      <w:r>
        <w:rPr>
          <w:lang w:val="fr-BE"/>
        </w:rPr>
        <w:t xml:space="preserve"> and Directive </w:t>
      </w:r>
      <w:hyperlink r:id="rId282" w:history="1">
        <w:r>
          <w:rPr>
            <w:rStyle w:val="Hyperlink"/>
            <w:lang w:val="fr-BE"/>
          </w:rPr>
          <w:t>2014/98/EU</w:t>
        </w:r>
      </w:hyperlink>
      <w:r>
        <w:rPr>
          <w:lang w:val="fr-BE"/>
        </w:rPr>
        <w:t>.</w:t>
      </w:r>
    </w:p>
  </w:footnote>
  <w:footnote w:id="207">
    <w:p w:rsidR="00E201F7" w:rsidRDefault="00E24EFF">
      <w:pPr>
        <w:pStyle w:val="FootnoteText"/>
        <w:rPr>
          <w:lang w:val="fr-BE"/>
        </w:rPr>
      </w:pPr>
      <w:r>
        <w:rPr>
          <w:rStyle w:val="FootnoteReference"/>
        </w:rPr>
        <w:footnoteRef/>
      </w:r>
      <w:r>
        <w:rPr>
          <w:lang w:val="fr-BE"/>
        </w:rPr>
        <w:t xml:space="preserve"> </w:t>
      </w:r>
      <w:r>
        <w:rPr>
          <w:lang w:val="fr-BE"/>
        </w:rPr>
        <w:tab/>
        <w:t xml:space="preserve">Commission Implementing Decision </w:t>
      </w:r>
      <w:hyperlink r:id="rId283" w:history="1">
        <w:r>
          <w:rPr>
            <w:rStyle w:val="Hyperlink"/>
            <w:lang w:val="fr-BE"/>
          </w:rPr>
          <w:t>(EU)2015/789</w:t>
        </w:r>
      </w:hyperlink>
      <w:r>
        <w:rPr>
          <w:lang w:val="fr-BE"/>
        </w:rPr>
        <w:t xml:space="preserve">; </w:t>
      </w:r>
      <w:hyperlink r:id="rId284" w:history="1">
        <w:r>
          <w:rPr>
            <w:rStyle w:val="Hyperlink"/>
            <w:lang w:val="fr-BE"/>
          </w:rPr>
          <w:t>MEMO/17/1935</w:t>
        </w:r>
      </w:hyperlink>
      <w:r>
        <w:rPr>
          <w:lang w:val="fr-BE"/>
        </w:rPr>
        <w:t>.</w:t>
      </w:r>
    </w:p>
  </w:footnote>
  <w:footnote w:id="208">
    <w:p w:rsidR="00E201F7" w:rsidRDefault="00E24EFF">
      <w:pPr>
        <w:pStyle w:val="FootnoteText"/>
        <w:rPr>
          <w:lang w:val="fr-BE"/>
        </w:rPr>
      </w:pPr>
      <w:r>
        <w:rPr>
          <w:rStyle w:val="FootnoteReference"/>
        </w:rPr>
        <w:footnoteRef/>
      </w:r>
      <w:r>
        <w:rPr>
          <w:lang w:val="fr-BE"/>
        </w:rPr>
        <w:t xml:space="preserve"> </w:t>
      </w:r>
      <w:r>
        <w:rPr>
          <w:lang w:val="fr-BE"/>
        </w:rPr>
        <w:tab/>
        <w:t xml:space="preserve">Directive </w:t>
      </w:r>
      <w:hyperlink r:id="rId285" w:history="1">
        <w:r>
          <w:rPr>
            <w:rStyle w:val="Hyperlink"/>
            <w:lang w:val="fr-BE"/>
          </w:rPr>
          <w:t>2014/96/EU</w:t>
        </w:r>
      </w:hyperlink>
      <w:r>
        <w:rPr>
          <w:lang w:val="fr-BE"/>
        </w:rPr>
        <w:t>.</w:t>
      </w:r>
    </w:p>
  </w:footnote>
  <w:footnote w:id="209">
    <w:p w:rsidR="00E201F7" w:rsidRDefault="00E24EFF">
      <w:pPr>
        <w:pStyle w:val="FootnoteText"/>
        <w:rPr>
          <w:lang w:val="fr-BE"/>
        </w:rPr>
      </w:pPr>
      <w:r>
        <w:rPr>
          <w:rStyle w:val="FootnoteReference"/>
        </w:rPr>
        <w:footnoteRef/>
      </w:r>
      <w:r>
        <w:rPr>
          <w:lang w:val="fr-BE"/>
        </w:rPr>
        <w:t xml:space="preserve"> </w:t>
      </w:r>
      <w:r>
        <w:rPr>
          <w:lang w:val="fr-BE"/>
        </w:rPr>
        <w:tab/>
        <w:t xml:space="preserve">Directive </w:t>
      </w:r>
      <w:hyperlink r:id="rId286" w:history="1">
        <w:r>
          <w:rPr>
            <w:rStyle w:val="Hyperlink"/>
            <w:lang w:val="fr-BE"/>
          </w:rPr>
          <w:t>2014/97/EU</w:t>
        </w:r>
      </w:hyperlink>
      <w:r>
        <w:rPr>
          <w:lang w:val="fr-BE"/>
        </w:rPr>
        <w:t>.</w:t>
      </w:r>
    </w:p>
  </w:footnote>
  <w:footnote w:id="210">
    <w:p w:rsidR="00E201F7" w:rsidRDefault="00E24EFF">
      <w:pPr>
        <w:pStyle w:val="FootnoteText"/>
        <w:rPr>
          <w:lang w:val="fr-BE"/>
        </w:rPr>
      </w:pPr>
      <w:r>
        <w:rPr>
          <w:rStyle w:val="FootnoteReference"/>
        </w:rPr>
        <w:footnoteRef/>
      </w:r>
      <w:r>
        <w:rPr>
          <w:lang w:val="fr-BE"/>
        </w:rPr>
        <w:t xml:space="preserve"> </w:t>
      </w:r>
      <w:r>
        <w:rPr>
          <w:lang w:val="fr-BE"/>
        </w:rPr>
        <w:tab/>
        <w:t xml:space="preserve">Directive </w:t>
      </w:r>
      <w:hyperlink r:id="rId287" w:history="1">
        <w:r>
          <w:rPr>
            <w:rStyle w:val="Hyperlink"/>
            <w:lang w:val="fr-BE"/>
          </w:rPr>
          <w:t>2014/98/EU</w:t>
        </w:r>
      </w:hyperlink>
      <w:r>
        <w:rPr>
          <w:lang w:val="fr-BE"/>
        </w:rPr>
        <w:t>.</w:t>
      </w:r>
    </w:p>
  </w:footnote>
  <w:footnote w:id="211">
    <w:p w:rsidR="00E201F7" w:rsidRDefault="00E24EFF">
      <w:pPr>
        <w:pStyle w:val="FootnoteText"/>
        <w:rPr>
          <w:lang w:val="fr-BE"/>
        </w:rPr>
      </w:pPr>
      <w:r>
        <w:rPr>
          <w:rStyle w:val="FootnoteReference"/>
        </w:rPr>
        <w:footnoteRef/>
      </w:r>
      <w:r>
        <w:rPr>
          <w:lang w:val="fr-BE"/>
        </w:rPr>
        <w:t xml:space="preserve"> </w:t>
      </w:r>
      <w:r>
        <w:rPr>
          <w:lang w:val="fr-BE"/>
        </w:rPr>
        <w:tab/>
        <w:t xml:space="preserve">Directive </w:t>
      </w:r>
      <w:hyperlink r:id="rId288" w:history="1">
        <w:r>
          <w:rPr>
            <w:rStyle w:val="Hyperlink"/>
            <w:lang w:val="fr-BE"/>
          </w:rPr>
          <w:t>2008/120/EC</w:t>
        </w:r>
      </w:hyperlink>
      <w:r>
        <w:rPr>
          <w:lang w:val="fr-BE"/>
        </w:rPr>
        <w:t>.</w:t>
      </w:r>
    </w:p>
  </w:footnote>
  <w:footnote w:id="212">
    <w:p w:rsidR="00E201F7" w:rsidRDefault="00E24EFF">
      <w:pPr>
        <w:pStyle w:val="FootnoteText"/>
        <w:rPr>
          <w:lang w:val="fr-BE"/>
        </w:rPr>
      </w:pPr>
      <w:r>
        <w:rPr>
          <w:rStyle w:val="FootnoteReference"/>
        </w:rPr>
        <w:footnoteRef/>
      </w:r>
      <w:r>
        <w:rPr>
          <w:lang w:val="fr-BE"/>
        </w:rPr>
        <w:t xml:space="preserve"> </w:t>
      </w:r>
      <w:r>
        <w:rPr>
          <w:lang w:val="fr-BE"/>
        </w:rPr>
        <w:tab/>
        <w:t xml:space="preserve">Regulation </w:t>
      </w:r>
      <w:hyperlink r:id="rId289" w:history="1">
        <w:r>
          <w:rPr>
            <w:rStyle w:val="Hyperlink"/>
            <w:lang w:val="fr-BE"/>
          </w:rPr>
          <w:t>(EC) No 1107/2009</w:t>
        </w:r>
      </w:hyperlink>
      <w:r>
        <w:rPr>
          <w:lang w:val="fr-BE"/>
        </w:rPr>
        <w:t>.</w:t>
      </w:r>
    </w:p>
  </w:footnote>
  <w:footnote w:id="213">
    <w:p w:rsidR="00E201F7" w:rsidRDefault="00E24EFF">
      <w:pPr>
        <w:pStyle w:val="FootnoteText"/>
        <w:rPr>
          <w:lang w:val="fr-BE"/>
        </w:rPr>
      </w:pPr>
      <w:r>
        <w:rPr>
          <w:rStyle w:val="FootnoteReference"/>
        </w:rPr>
        <w:footnoteRef/>
      </w:r>
      <w:r>
        <w:rPr>
          <w:lang w:val="fr-BE"/>
        </w:rPr>
        <w:t xml:space="preserve"> </w:t>
      </w:r>
      <w:r>
        <w:rPr>
          <w:lang w:val="fr-BE"/>
        </w:rPr>
        <w:tab/>
        <w:t>Directi</w:t>
      </w:r>
      <w:r>
        <w:rPr>
          <w:lang w:val="fr-BE"/>
        </w:rPr>
        <w:t xml:space="preserve">ve </w:t>
      </w:r>
      <w:hyperlink r:id="rId290" w:history="1">
        <w:r>
          <w:rPr>
            <w:rStyle w:val="Hyperlink"/>
            <w:lang w:val="fr-BE"/>
          </w:rPr>
          <w:t>2014/40/EU</w:t>
        </w:r>
      </w:hyperlink>
      <w:r>
        <w:rPr>
          <w:lang w:val="fr-BE"/>
        </w:rPr>
        <w:t>.</w:t>
      </w:r>
    </w:p>
  </w:footnote>
  <w:footnote w:id="214">
    <w:p w:rsidR="00E201F7" w:rsidRDefault="00E24EFF">
      <w:pPr>
        <w:pStyle w:val="FootnoteText"/>
        <w:rPr>
          <w:lang w:val="fr-BE"/>
        </w:rPr>
      </w:pPr>
      <w:r>
        <w:rPr>
          <w:rStyle w:val="FootnoteReference"/>
        </w:rPr>
        <w:footnoteRef/>
      </w:r>
      <w:r>
        <w:rPr>
          <w:lang w:val="fr-BE"/>
        </w:rPr>
        <w:t xml:space="preserve"> </w:t>
      </w:r>
      <w:r>
        <w:rPr>
          <w:lang w:val="fr-BE"/>
        </w:rPr>
        <w:tab/>
        <w:t xml:space="preserve">Directive </w:t>
      </w:r>
      <w:hyperlink r:id="rId291" w:history="1">
        <w:r>
          <w:rPr>
            <w:rStyle w:val="Hyperlink"/>
            <w:lang w:val="fr-BE"/>
          </w:rPr>
          <w:t>2011/7/EU</w:t>
        </w:r>
      </w:hyperlink>
      <w:r>
        <w:rPr>
          <w:lang w:val="fr-BE"/>
        </w:rPr>
        <w:t>.</w:t>
      </w:r>
    </w:p>
  </w:footnote>
  <w:footnote w:id="215">
    <w:p w:rsidR="00E201F7" w:rsidRDefault="00E24EFF">
      <w:pPr>
        <w:pStyle w:val="FootnoteText"/>
        <w:rPr>
          <w:lang w:val="fr-BE"/>
        </w:rPr>
      </w:pPr>
      <w:r>
        <w:rPr>
          <w:rStyle w:val="FootnoteReference"/>
        </w:rPr>
        <w:footnoteRef/>
      </w:r>
      <w:r>
        <w:rPr>
          <w:lang w:val="fr-BE"/>
        </w:rPr>
        <w:t xml:space="preserve"> </w:t>
      </w:r>
      <w:r>
        <w:rPr>
          <w:lang w:val="fr-BE"/>
        </w:rPr>
        <w:tab/>
        <w:t xml:space="preserve">Directive </w:t>
      </w:r>
      <w:hyperlink r:id="rId292" w:history="1">
        <w:r>
          <w:rPr>
            <w:rStyle w:val="Hyperlink"/>
            <w:lang w:val="fr-BE"/>
          </w:rPr>
          <w:t>2013/55/EU</w:t>
        </w:r>
      </w:hyperlink>
      <w:r>
        <w:rPr>
          <w:lang w:val="fr-BE"/>
        </w:rPr>
        <w:t>.</w:t>
      </w:r>
    </w:p>
  </w:footnote>
  <w:footnote w:id="216">
    <w:p w:rsidR="00E201F7" w:rsidRDefault="00E24EFF">
      <w:pPr>
        <w:pStyle w:val="FootnoteText"/>
        <w:rPr>
          <w:lang w:val="fr-BE"/>
        </w:rPr>
      </w:pPr>
      <w:r>
        <w:rPr>
          <w:rStyle w:val="FootnoteReference"/>
        </w:rPr>
        <w:footnoteRef/>
      </w:r>
      <w:r>
        <w:rPr>
          <w:lang w:val="fr-BE"/>
        </w:rPr>
        <w:t xml:space="preserve"> </w:t>
      </w:r>
      <w:r>
        <w:rPr>
          <w:lang w:val="fr-BE"/>
        </w:rPr>
        <w:tab/>
        <w:t xml:space="preserve">Directive </w:t>
      </w:r>
      <w:hyperlink r:id="rId293" w:history="1">
        <w:r>
          <w:rPr>
            <w:rStyle w:val="Hyperlink"/>
            <w:lang w:val="fr-BE"/>
          </w:rPr>
          <w:t>2005/36/EC</w:t>
        </w:r>
      </w:hyperlink>
      <w:r>
        <w:rPr>
          <w:lang w:val="fr-BE"/>
        </w:rPr>
        <w:t xml:space="preserve">; </w:t>
      </w:r>
      <w:hyperlink r:id="rId294" w:history="1">
        <w:r>
          <w:rPr>
            <w:rStyle w:val="Hyperlink"/>
            <w:lang w:val="fr-BE"/>
          </w:rPr>
          <w:t>IP/17/4773</w:t>
        </w:r>
      </w:hyperlink>
      <w:r>
        <w:rPr>
          <w:lang w:val="fr-BE"/>
        </w:rPr>
        <w:t>.</w:t>
      </w:r>
    </w:p>
  </w:footnote>
  <w:footnote w:id="217">
    <w:p w:rsidR="00E201F7" w:rsidRDefault="00E24EFF">
      <w:pPr>
        <w:pStyle w:val="FootnoteText"/>
      </w:pPr>
      <w:r>
        <w:rPr>
          <w:rStyle w:val="FootnoteReference"/>
        </w:rPr>
        <w:footnoteRef/>
      </w:r>
      <w:r>
        <w:t xml:space="preserve"> </w:t>
      </w:r>
      <w:r>
        <w:tab/>
      </w:r>
      <w:hyperlink r:id="rId295" w:history="1">
        <w:r>
          <w:rPr>
            <w:rStyle w:val="Hyperlink"/>
          </w:rPr>
          <w:t>IP/17/5004</w:t>
        </w:r>
      </w:hyperlink>
      <w:r>
        <w:t>.</w:t>
      </w:r>
    </w:p>
  </w:footnote>
  <w:footnote w:id="218">
    <w:p w:rsidR="00E201F7" w:rsidRDefault="00E24EFF">
      <w:pPr>
        <w:pStyle w:val="FootnoteText"/>
      </w:pPr>
      <w:r>
        <w:rPr>
          <w:rStyle w:val="FootnoteReference"/>
        </w:rPr>
        <w:footnoteRef/>
      </w:r>
      <w:r>
        <w:t xml:space="preserve"> </w:t>
      </w:r>
      <w:r>
        <w:tab/>
        <w:t xml:space="preserve">Directive </w:t>
      </w:r>
      <w:hyperlink r:id="rId296" w:history="1">
        <w:r>
          <w:rPr>
            <w:rStyle w:val="Hyperlink"/>
          </w:rPr>
          <w:t>2006/40/EC</w:t>
        </w:r>
      </w:hyperlink>
      <w:r>
        <w:t xml:space="preserve">, Commission v Germany, </w:t>
      </w:r>
      <w:hyperlink r:id="rId297" w:history="1">
        <w:r>
          <w:rPr>
            <w:rStyle w:val="Hyperlink"/>
          </w:rPr>
          <w:t>C-668/16</w:t>
        </w:r>
      </w:hyperlink>
      <w:r>
        <w:t xml:space="preserve">, </w:t>
      </w:r>
      <w:hyperlink r:id="rId298" w:history="1">
        <w:r>
          <w:rPr>
            <w:rStyle w:val="Hyperlink"/>
          </w:rPr>
          <w:t>IP/15/6290</w:t>
        </w:r>
      </w:hyperlink>
      <w:r>
        <w:t>.</w:t>
      </w:r>
    </w:p>
  </w:footnote>
  <w:footnote w:id="219">
    <w:p w:rsidR="00E201F7" w:rsidRDefault="00E24EFF">
      <w:pPr>
        <w:pStyle w:val="FootnoteText"/>
      </w:pPr>
      <w:r>
        <w:rPr>
          <w:rStyle w:val="FootnoteReference"/>
        </w:rPr>
        <w:footnoteRef/>
      </w:r>
      <w:r>
        <w:t xml:space="preserve"> </w:t>
      </w:r>
      <w:r>
        <w:tab/>
        <w:t xml:space="preserve">Directive </w:t>
      </w:r>
      <w:hyperlink r:id="rId299" w:history="1">
        <w:r>
          <w:rPr>
            <w:rStyle w:val="Hyperlink"/>
          </w:rPr>
          <w:t>2006/123/EC</w:t>
        </w:r>
      </w:hyperlink>
      <w:r>
        <w:t xml:space="preserve">, Commission v Germany, </w:t>
      </w:r>
      <w:hyperlink r:id="rId300" w:history="1">
        <w:r>
          <w:rPr>
            <w:rStyle w:val="Hyperlink"/>
          </w:rPr>
          <w:t>C-377/17</w:t>
        </w:r>
      </w:hyperlink>
      <w:r>
        <w:t xml:space="preserve">, </w:t>
      </w:r>
      <w:hyperlink r:id="rId301" w:history="1">
        <w:r>
          <w:rPr>
            <w:rStyle w:val="Hyperlink"/>
          </w:rPr>
          <w:t>IP/16/3646</w:t>
        </w:r>
      </w:hyperlink>
      <w:r>
        <w:t xml:space="preserve">, </w:t>
      </w:r>
      <w:hyperlink r:id="rId302" w:history="1">
        <w:r>
          <w:rPr>
            <w:rStyle w:val="Hyperlink"/>
          </w:rPr>
          <w:t>MEMO/16/3644</w:t>
        </w:r>
      </w:hyperlink>
      <w:r>
        <w:t>.</w:t>
      </w:r>
    </w:p>
  </w:footnote>
  <w:footnote w:id="220">
    <w:p w:rsidR="00E201F7" w:rsidRDefault="00E24EFF">
      <w:pPr>
        <w:pStyle w:val="FootnoteText"/>
      </w:pPr>
      <w:r>
        <w:rPr>
          <w:rStyle w:val="FootnoteReference"/>
        </w:rPr>
        <w:footnoteRef/>
      </w:r>
      <w:r>
        <w:t xml:space="preserve"> </w:t>
      </w:r>
      <w:r>
        <w:tab/>
        <w:t xml:space="preserve">Directive </w:t>
      </w:r>
      <w:hyperlink r:id="rId303" w:history="1">
        <w:r>
          <w:rPr>
            <w:rStyle w:val="Hyperlink"/>
          </w:rPr>
          <w:t>2004/18/EC</w:t>
        </w:r>
      </w:hyperlink>
      <w:r>
        <w:t xml:space="preserve">, Commission v Italy, </w:t>
      </w:r>
      <w:hyperlink r:id="rId304" w:history="1">
        <w:r>
          <w:rPr>
            <w:rStyle w:val="Hyperlink"/>
          </w:rPr>
          <w:t>C-526/17</w:t>
        </w:r>
      </w:hyperlink>
      <w:r>
        <w:t xml:space="preserve">, </w:t>
      </w:r>
      <w:hyperlink r:id="rId305" w:history="1">
        <w:r>
          <w:rPr>
            <w:rStyle w:val="Hyperlink"/>
          </w:rPr>
          <w:t>IP</w:t>
        </w:r>
        <w:r>
          <w:rPr>
            <w:rStyle w:val="Hyperlink"/>
          </w:rPr>
          <w:t>/17/1284</w:t>
        </w:r>
      </w:hyperlink>
      <w:r>
        <w:t>.</w:t>
      </w:r>
    </w:p>
  </w:footnote>
  <w:footnote w:id="221">
    <w:p w:rsidR="00E201F7" w:rsidRDefault="00E24EFF">
      <w:pPr>
        <w:pStyle w:val="FootnoteText"/>
      </w:pPr>
      <w:r>
        <w:rPr>
          <w:rStyle w:val="FootnoteReference"/>
        </w:rPr>
        <w:footnoteRef/>
      </w:r>
      <w:r>
        <w:t xml:space="preserve"> </w:t>
      </w:r>
      <w:r>
        <w:tab/>
        <w:t xml:space="preserve">Directive </w:t>
      </w:r>
      <w:hyperlink r:id="rId306" w:history="1">
        <w:r>
          <w:rPr>
            <w:rStyle w:val="Hyperlink"/>
          </w:rPr>
          <w:t>2006/123/EC</w:t>
        </w:r>
      </w:hyperlink>
      <w:r>
        <w:t xml:space="preserve">; Commission v Hungary, </w:t>
      </w:r>
      <w:hyperlink r:id="rId307" w:history="1">
        <w:r>
          <w:rPr>
            <w:rStyle w:val="Hyperlink"/>
          </w:rPr>
          <w:t>C-171/17</w:t>
        </w:r>
      </w:hyperlink>
      <w:r>
        <w:t xml:space="preserve">; </w:t>
      </w:r>
      <w:hyperlink r:id="rId308" w:history="1">
        <w:r>
          <w:rPr>
            <w:rStyle w:val="Hyperlink"/>
          </w:rPr>
          <w:t>IP/16/3646</w:t>
        </w:r>
      </w:hyperlink>
      <w:r>
        <w:t>.</w:t>
      </w:r>
    </w:p>
  </w:footnote>
  <w:footnote w:id="222">
    <w:p w:rsidR="00E201F7" w:rsidRDefault="00E24EFF">
      <w:pPr>
        <w:pStyle w:val="FootnoteText"/>
      </w:pPr>
      <w:r>
        <w:rPr>
          <w:rStyle w:val="FootnoteReference"/>
        </w:rPr>
        <w:footnoteRef/>
      </w:r>
      <w:r>
        <w:t xml:space="preserve"> </w:t>
      </w:r>
      <w:r>
        <w:tab/>
        <w:t xml:space="preserve">Directive </w:t>
      </w:r>
      <w:hyperlink r:id="rId309" w:history="1">
        <w:r>
          <w:rPr>
            <w:rStyle w:val="Hyperlink"/>
          </w:rPr>
          <w:t>2017/433/EU</w:t>
        </w:r>
      </w:hyperlink>
      <w:r>
        <w:t>.</w:t>
      </w:r>
    </w:p>
  </w:footnote>
  <w:footnote w:id="223">
    <w:p w:rsidR="00E201F7" w:rsidRDefault="00E24EFF">
      <w:pPr>
        <w:pStyle w:val="FootnoteText"/>
      </w:pPr>
      <w:r>
        <w:rPr>
          <w:rStyle w:val="FootnoteReference"/>
        </w:rPr>
        <w:footnoteRef/>
      </w:r>
      <w:r>
        <w:t xml:space="preserve"> </w:t>
      </w:r>
      <w:r>
        <w:tab/>
      </w:r>
      <w:hyperlink r:id="rId310" w:history="1">
        <w:r>
          <w:rPr>
            <w:rStyle w:val="Hyperlink"/>
          </w:rPr>
          <w:t>IP/17/5109</w:t>
        </w:r>
      </w:hyperlink>
      <w:r>
        <w:t>.</w:t>
      </w:r>
    </w:p>
  </w:footnote>
  <w:footnote w:id="224">
    <w:p w:rsidR="00E201F7" w:rsidRDefault="00E24EFF">
      <w:pPr>
        <w:pStyle w:val="FootnoteText"/>
      </w:pPr>
      <w:r>
        <w:rPr>
          <w:rStyle w:val="FootnoteReference"/>
        </w:rPr>
        <w:footnoteRef/>
      </w:r>
      <w:r>
        <w:t xml:space="preserve"> </w:t>
      </w:r>
      <w:r>
        <w:tab/>
        <w:t xml:space="preserve">Directive </w:t>
      </w:r>
      <w:hyperlink r:id="rId311" w:history="1">
        <w:r>
          <w:rPr>
            <w:rStyle w:val="Hyperlink"/>
          </w:rPr>
          <w:t>2005/36/EC</w:t>
        </w:r>
      </w:hyperlink>
      <w:r>
        <w:t>.</w:t>
      </w:r>
    </w:p>
  </w:footnote>
  <w:footnote w:id="225">
    <w:p w:rsidR="00E201F7" w:rsidRDefault="00E24EFF">
      <w:pPr>
        <w:pStyle w:val="FootnoteText"/>
      </w:pPr>
      <w:r>
        <w:rPr>
          <w:rStyle w:val="FootnoteReference"/>
        </w:rPr>
        <w:footnoteRef/>
      </w:r>
      <w:r>
        <w:t xml:space="preserve"> </w:t>
      </w:r>
      <w:r>
        <w:tab/>
        <w:t xml:space="preserve">Directive </w:t>
      </w:r>
      <w:hyperlink r:id="rId312" w:history="1">
        <w:r>
          <w:rPr>
            <w:rStyle w:val="Hyperlink"/>
          </w:rPr>
          <w:t>2013/29/EU</w:t>
        </w:r>
      </w:hyperlink>
      <w:r>
        <w:t>.</w:t>
      </w:r>
    </w:p>
  </w:footnote>
  <w:footnote w:id="226">
    <w:p w:rsidR="00E201F7" w:rsidRDefault="00E24EFF">
      <w:pPr>
        <w:pStyle w:val="FootnoteText"/>
      </w:pPr>
      <w:r>
        <w:rPr>
          <w:rStyle w:val="FootnoteReference"/>
        </w:rPr>
        <w:footnoteRef/>
      </w:r>
      <w:r>
        <w:t xml:space="preserve"> </w:t>
      </w:r>
      <w:r>
        <w:tab/>
        <w:t xml:space="preserve">Directive </w:t>
      </w:r>
      <w:hyperlink r:id="rId313" w:history="1">
        <w:r>
          <w:rPr>
            <w:rStyle w:val="Hyperlink"/>
          </w:rPr>
          <w:t>2014/25/EU</w:t>
        </w:r>
      </w:hyperlink>
      <w:r>
        <w:t>.</w:t>
      </w:r>
    </w:p>
  </w:footnote>
  <w:footnote w:id="227">
    <w:p w:rsidR="00E201F7" w:rsidRDefault="00E24EFF">
      <w:pPr>
        <w:pStyle w:val="FootnoteText"/>
      </w:pPr>
      <w:r>
        <w:rPr>
          <w:rStyle w:val="FootnoteReference"/>
        </w:rPr>
        <w:footnoteRef/>
      </w:r>
      <w:r>
        <w:t xml:space="preserve"> </w:t>
      </w:r>
      <w:r>
        <w:tab/>
        <w:t xml:space="preserve">Directive </w:t>
      </w:r>
      <w:hyperlink r:id="rId314" w:history="1">
        <w:r>
          <w:rPr>
            <w:rStyle w:val="Hyperlink"/>
          </w:rPr>
          <w:t>2014/24/EU</w:t>
        </w:r>
      </w:hyperlink>
      <w:r>
        <w:t>.</w:t>
      </w:r>
    </w:p>
  </w:footnote>
  <w:footnote w:id="228">
    <w:p w:rsidR="00E201F7" w:rsidRDefault="00E24EFF">
      <w:pPr>
        <w:pStyle w:val="FootnoteText"/>
      </w:pPr>
      <w:r>
        <w:rPr>
          <w:rStyle w:val="FootnoteReference"/>
        </w:rPr>
        <w:footnoteRef/>
      </w:r>
      <w:r>
        <w:t xml:space="preserve"> </w:t>
      </w:r>
      <w:r>
        <w:tab/>
        <w:t xml:space="preserve">Directive </w:t>
      </w:r>
      <w:hyperlink r:id="rId315" w:history="1">
        <w:r>
          <w:rPr>
            <w:rStyle w:val="Hyperlink"/>
          </w:rPr>
          <w:t>2014/23/EU</w:t>
        </w:r>
      </w:hyperlink>
      <w:r>
        <w:t>.</w:t>
      </w:r>
    </w:p>
  </w:footnote>
  <w:footnote w:id="229">
    <w:p w:rsidR="00E201F7" w:rsidRDefault="00E24EFF">
      <w:pPr>
        <w:pStyle w:val="FootnoteText"/>
      </w:pPr>
      <w:r>
        <w:rPr>
          <w:rStyle w:val="FootnoteReference"/>
        </w:rPr>
        <w:footnoteRef/>
      </w:r>
      <w:r>
        <w:t xml:space="preserve"> </w:t>
      </w:r>
      <w:r>
        <w:tab/>
        <w:t>These ruling</w:t>
      </w:r>
      <w:r>
        <w:t>s are almost exclusively handed down on infringement procedures.</w:t>
      </w:r>
    </w:p>
  </w:footnote>
  <w:footnote w:id="230">
    <w:p w:rsidR="00E201F7" w:rsidRDefault="00E24EFF">
      <w:pPr>
        <w:pStyle w:val="FootnoteText"/>
      </w:pPr>
      <w:r>
        <w:rPr>
          <w:rStyle w:val="FootnoteReference"/>
        </w:rPr>
        <w:footnoteRef/>
      </w:r>
      <w:r>
        <w:t xml:space="preserve"> </w:t>
      </w:r>
      <w:r>
        <w:tab/>
        <w:t xml:space="preserve">Commission vs Hungary </w:t>
      </w:r>
      <w:hyperlink r:id="rId316" w:history="1">
        <w:r>
          <w:rPr>
            <w:rStyle w:val="Hyperlink"/>
          </w:rPr>
          <w:t>C-392/15</w:t>
        </w:r>
      </w:hyperlink>
      <w:r>
        <w:t>.</w:t>
      </w:r>
    </w:p>
  </w:footnote>
  <w:footnote w:id="231">
    <w:p w:rsidR="00E201F7" w:rsidRDefault="00E24EFF">
      <w:pPr>
        <w:pStyle w:val="FootnoteText"/>
      </w:pPr>
      <w:r>
        <w:rPr>
          <w:rStyle w:val="FootnoteReference"/>
        </w:rPr>
        <w:footnoteRef/>
      </w:r>
      <w:r>
        <w:t xml:space="preserve"> </w:t>
      </w:r>
      <w:r>
        <w:tab/>
        <w:t xml:space="preserve">Luc Vanderborght, </w:t>
      </w:r>
      <w:hyperlink r:id="rId317" w:history="1">
        <w:r>
          <w:rPr>
            <w:rStyle w:val="Hyperlink"/>
          </w:rPr>
          <w:t>C-339/15</w:t>
        </w:r>
      </w:hyperlink>
      <w:r>
        <w:t>.</w:t>
      </w:r>
    </w:p>
  </w:footnote>
  <w:footnote w:id="232">
    <w:p w:rsidR="00E201F7" w:rsidRDefault="00E24EFF">
      <w:pPr>
        <w:pStyle w:val="FootnoteText"/>
        <w:rPr>
          <w:lang w:val="fr-BE"/>
        </w:rPr>
      </w:pPr>
      <w:r>
        <w:rPr>
          <w:rStyle w:val="FootnoteReference"/>
        </w:rPr>
        <w:footnoteRef/>
      </w:r>
      <w:r>
        <w:rPr>
          <w:lang w:val="fr-BE"/>
        </w:rPr>
        <w:t xml:space="preserve"> </w:t>
      </w:r>
      <w:r>
        <w:rPr>
          <w:lang w:val="fr-BE"/>
        </w:rPr>
        <w:tab/>
        <w:t xml:space="preserve">Jean-Philippe Lahorgue, </w:t>
      </w:r>
      <w:hyperlink r:id="rId318" w:history="1">
        <w:r>
          <w:rPr>
            <w:rStyle w:val="Hyperlink"/>
            <w:lang w:val="fr-BE"/>
          </w:rPr>
          <w:t>C-99/16</w:t>
        </w:r>
      </w:hyperlink>
      <w:r>
        <w:rPr>
          <w:lang w:val="fr-BE"/>
        </w:rPr>
        <w:t>.</w:t>
      </w:r>
    </w:p>
  </w:footnote>
  <w:footnote w:id="233">
    <w:p w:rsidR="00E201F7" w:rsidRDefault="00E24EFF">
      <w:pPr>
        <w:pStyle w:val="FootnoteText"/>
        <w:rPr>
          <w:lang w:val="fr-BE"/>
        </w:rPr>
      </w:pPr>
      <w:r>
        <w:rPr>
          <w:rStyle w:val="FootnoteReference"/>
        </w:rPr>
        <w:footnoteRef/>
      </w:r>
      <w:r>
        <w:rPr>
          <w:lang w:val="fr-BE"/>
        </w:rPr>
        <w:t xml:space="preserve"> </w:t>
      </w:r>
      <w:r>
        <w:rPr>
          <w:lang w:val="fr-BE"/>
        </w:rPr>
        <w:tab/>
        <w:t xml:space="preserve">Global Starnet Ltd, </w:t>
      </w:r>
      <w:hyperlink r:id="rId319" w:history="1">
        <w:r>
          <w:rPr>
            <w:rStyle w:val="Hyperlink"/>
            <w:lang w:val="fr-BE"/>
          </w:rPr>
          <w:t>C-322/16</w:t>
        </w:r>
      </w:hyperlink>
      <w:r>
        <w:rPr>
          <w:lang w:val="fr-BE"/>
        </w:rPr>
        <w:t>.</w:t>
      </w:r>
    </w:p>
  </w:footnote>
  <w:footnote w:id="234">
    <w:p w:rsidR="00E201F7" w:rsidRDefault="00E24EFF">
      <w:pPr>
        <w:pStyle w:val="FootnoteText"/>
      </w:pPr>
      <w:r>
        <w:rPr>
          <w:rStyle w:val="FootnoteReference"/>
        </w:rPr>
        <w:footnoteRef/>
      </w:r>
      <w:r>
        <w:t xml:space="preserve"> </w:t>
      </w:r>
      <w:r>
        <w:tab/>
      </w:r>
      <w:r>
        <w:rPr>
          <w:rStyle w:val="affairetitle"/>
        </w:rPr>
        <w:t>Europa Way and Persidera</w:t>
      </w:r>
      <w:r>
        <w:t xml:space="preserve">, </w:t>
      </w:r>
      <w:hyperlink r:id="rId320" w:history="1">
        <w:r>
          <w:rPr>
            <w:rStyle w:val="Hyperlink"/>
          </w:rPr>
          <w:t>C-560/15</w:t>
        </w:r>
      </w:hyperlink>
      <w:r>
        <w:t xml:space="preserve"> and Persidera, </w:t>
      </w:r>
      <w:hyperlink r:id="rId321" w:history="1">
        <w:r>
          <w:rPr>
            <w:rStyle w:val="Hyperlink"/>
          </w:rPr>
          <w:t>C-112/16</w:t>
        </w:r>
      </w:hyperlink>
      <w:r>
        <w:t>.</w:t>
      </w:r>
    </w:p>
  </w:footnote>
  <w:footnote w:id="235">
    <w:p w:rsidR="00E201F7" w:rsidRDefault="00E24EFF">
      <w:pPr>
        <w:pStyle w:val="FootnoteText"/>
      </w:pPr>
      <w:r>
        <w:rPr>
          <w:rStyle w:val="FootnoteReference"/>
        </w:rPr>
        <w:footnoteRef/>
      </w:r>
      <w:r>
        <w:t xml:space="preserve"> </w:t>
      </w:r>
      <w:r>
        <w:tab/>
      </w:r>
      <w:r>
        <w:t xml:space="preserve">Unibet International Ltd v Nemzeti Adó, </w:t>
      </w:r>
      <w:hyperlink r:id="rId322" w:history="1">
        <w:r>
          <w:rPr>
            <w:rStyle w:val="Hyperlink"/>
          </w:rPr>
          <w:t>C-49/16</w:t>
        </w:r>
      </w:hyperlink>
      <w:r>
        <w:t>.</w:t>
      </w:r>
    </w:p>
  </w:footnote>
  <w:footnote w:id="236">
    <w:p w:rsidR="00E201F7" w:rsidRDefault="00E24EFF">
      <w:pPr>
        <w:pStyle w:val="FootnoteText"/>
      </w:pPr>
      <w:r>
        <w:rPr>
          <w:rStyle w:val="FootnoteReference"/>
        </w:rPr>
        <w:footnoteRef/>
      </w:r>
      <w:r>
        <w:t xml:space="preserve"> </w:t>
      </w:r>
      <w:r>
        <w:tab/>
        <w:t xml:space="preserve">Ilves Jakelu, </w:t>
      </w:r>
      <w:hyperlink r:id="rId323" w:history="1">
        <w:r>
          <w:rPr>
            <w:rStyle w:val="Hyperlink"/>
          </w:rPr>
          <w:t>C-368/15</w:t>
        </w:r>
      </w:hyperlink>
      <w:r>
        <w:t>.</w:t>
      </w:r>
    </w:p>
  </w:footnote>
  <w:footnote w:id="237">
    <w:p w:rsidR="00E201F7" w:rsidRDefault="00E24EFF">
      <w:pPr>
        <w:pStyle w:val="FootnoteText"/>
      </w:pPr>
      <w:r>
        <w:rPr>
          <w:rStyle w:val="FootnoteReference"/>
        </w:rPr>
        <w:footnoteRef/>
      </w:r>
      <w:r>
        <w:t xml:space="preserve"> </w:t>
      </w:r>
      <w:r>
        <w:tab/>
        <w:t xml:space="preserve">Trustees of the P Panayi Accumulation &amp; Maintenance Settlements, </w:t>
      </w:r>
      <w:hyperlink r:id="rId324" w:history="1">
        <w:r>
          <w:rPr>
            <w:rStyle w:val="Hyperlink"/>
          </w:rPr>
          <w:t>C-646/15</w:t>
        </w:r>
      </w:hyperlink>
      <w:r>
        <w:t>.</w:t>
      </w:r>
    </w:p>
  </w:footnote>
  <w:footnote w:id="238">
    <w:p w:rsidR="00E201F7" w:rsidRDefault="00E24EFF">
      <w:pPr>
        <w:pStyle w:val="FootnoteText"/>
      </w:pPr>
      <w:r>
        <w:rPr>
          <w:rStyle w:val="FootnoteReference"/>
        </w:rPr>
        <w:footnoteRef/>
      </w:r>
      <w:r>
        <w:t xml:space="preserve"> </w:t>
      </w:r>
      <w:r>
        <w:tab/>
      </w:r>
      <w:r>
        <w:t xml:space="preserve">The Gibraltar Betting and Gaming Association Limited and The Queen, </w:t>
      </w:r>
      <w:hyperlink r:id="rId325" w:history="1">
        <w:r>
          <w:rPr>
            <w:rStyle w:val="Hyperlink"/>
          </w:rPr>
          <w:t>C-591/15</w:t>
        </w:r>
      </w:hyperlink>
      <w:r>
        <w:t>.</w:t>
      </w:r>
    </w:p>
  </w:footnote>
  <w:footnote w:id="239">
    <w:p w:rsidR="00E201F7" w:rsidRDefault="00E24EFF">
      <w:pPr>
        <w:pStyle w:val="FootnoteText"/>
      </w:pPr>
      <w:r>
        <w:rPr>
          <w:rStyle w:val="FootnoteReference"/>
        </w:rPr>
        <w:footnoteRef/>
      </w:r>
      <w:r>
        <w:t xml:space="preserve"> </w:t>
      </w:r>
      <w:r>
        <w:tab/>
        <w:t xml:space="preserve">Directive </w:t>
      </w:r>
      <w:hyperlink r:id="rId326" w:history="1">
        <w:r>
          <w:rPr>
            <w:rStyle w:val="Hyperlink"/>
          </w:rPr>
          <w:t>2016/943/EU</w:t>
        </w:r>
      </w:hyperlink>
      <w:r>
        <w:t>.</w:t>
      </w:r>
    </w:p>
  </w:footnote>
  <w:footnote w:id="240">
    <w:p w:rsidR="00E201F7" w:rsidRDefault="00E24EFF">
      <w:pPr>
        <w:pStyle w:val="FootnoteText"/>
      </w:pPr>
      <w:r>
        <w:rPr>
          <w:rStyle w:val="FootnoteReference"/>
        </w:rPr>
        <w:footnoteRef/>
      </w:r>
      <w:r>
        <w:t xml:space="preserve"> </w:t>
      </w:r>
      <w:r>
        <w:tab/>
        <w:t xml:space="preserve">Directive </w:t>
      </w:r>
      <w:hyperlink r:id="rId327" w:history="1">
        <w:r>
          <w:rPr>
            <w:rStyle w:val="Hyperlink"/>
          </w:rPr>
          <w:t>2014/55/EU</w:t>
        </w:r>
      </w:hyperlink>
      <w:r>
        <w:t>.</w:t>
      </w:r>
    </w:p>
  </w:footnote>
  <w:footnote w:id="241">
    <w:p w:rsidR="00E201F7" w:rsidRDefault="00E24EFF">
      <w:pPr>
        <w:pStyle w:val="FootnoteText"/>
      </w:pPr>
      <w:r>
        <w:rPr>
          <w:rStyle w:val="FootnoteReference"/>
        </w:rPr>
        <w:footnoteRef/>
      </w:r>
      <w:r>
        <w:t xml:space="preserve"> </w:t>
      </w:r>
      <w:r>
        <w:tab/>
        <w:t xml:space="preserve">Directive </w:t>
      </w:r>
      <w:hyperlink r:id="rId328" w:history="1">
        <w:r>
          <w:rPr>
            <w:rStyle w:val="Hyperlink"/>
          </w:rPr>
          <w:t>2015/849</w:t>
        </w:r>
      </w:hyperlink>
      <w:r>
        <w:t>.</w:t>
      </w:r>
    </w:p>
  </w:footnote>
  <w:footnote w:id="242">
    <w:p w:rsidR="00E201F7" w:rsidRDefault="00E24EFF">
      <w:pPr>
        <w:pStyle w:val="FootnoteText"/>
      </w:pPr>
      <w:r>
        <w:rPr>
          <w:rStyle w:val="FootnoteReference"/>
        </w:rPr>
        <w:footnoteRef/>
      </w:r>
      <w:r>
        <w:t xml:space="preserve"> </w:t>
      </w:r>
      <w:r>
        <w:tab/>
      </w:r>
      <w:hyperlink r:id="rId329" w:history="1">
        <w:r>
          <w:rPr>
            <w:rStyle w:val="Hyperlink"/>
          </w:rPr>
          <w:t>IP/17/1982</w:t>
        </w:r>
      </w:hyperlink>
      <w:r>
        <w:t xml:space="preserve">; </w:t>
      </w:r>
      <w:hyperlink r:id="rId330" w:history="1">
        <w:r>
          <w:rPr>
            <w:rStyle w:val="Hyperlink"/>
          </w:rPr>
          <w:t>IP/17/3663</w:t>
        </w:r>
      </w:hyperlink>
      <w:r>
        <w:t xml:space="preserve"> and </w:t>
      </w:r>
      <w:hyperlink r:id="rId331" w:history="1">
        <w:r>
          <w:rPr>
            <w:rStyle w:val="Hyperlink"/>
          </w:rPr>
          <w:t>IP/17/5003</w:t>
        </w:r>
      </w:hyperlink>
      <w:r>
        <w:t>.</w:t>
      </w:r>
    </w:p>
  </w:footnote>
  <w:footnote w:id="243">
    <w:p w:rsidR="00E201F7" w:rsidRDefault="00E24EFF">
      <w:pPr>
        <w:pStyle w:val="FootnoteText"/>
      </w:pPr>
      <w:r>
        <w:rPr>
          <w:rStyle w:val="FootnoteReference"/>
        </w:rPr>
        <w:footnoteRef/>
      </w:r>
      <w:r>
        <w:t xml:space="preserve"> </w:t>
      </w:r>
      <w:r>
        <w:tab/>
      </w:r>
      <w:hyperlink r:id="rId332" w:history="1">
        <w:r>
          <w:rPr>
            <w:rStyle w:val="Hyperlink"/>
          </w:rPr>
          <w:t>IP/17/2205;</w:t>
        </w:r>
      </w:hyperlink>
      <w:r>
        <w:t xml:space="preserve"> </w:t>
      </w:r>
      <w:hyperlink r:id="rId333" w:history="1">
        <w:r>
          <w:rPr>
            <w:rStyle w:val="Hyperlink"/>
          </w:rPr>
          <w:t>IP/17/3186</w:t>
        </w:r>
      </w:hyperlink>
      <w:r>
        <w:t xml:space="preserve"> and </w:t>
      </w:r>
      <w:hyperlink r:id="rId334" w:history="1">
        <w:r>
          <w:rPr>
            <w:rStyle w:val="Hyperlink"/>
          </w:rPr>
          <w:t>IP/17/5367.</w:t>
        </w:r>
      </w:hyperlink>
    </w:p>
  </w:footnote>
  <w:footnote w:id="244">
    <w:p w:rsidR="00E201F7" w:rsidRDefault="00E24EFF">
      <w:pPr>
        <w:pStyle w:val="FootnoteText"/>
      </w:pPr>
      <w:r>
        <w:rPr>
          <w:rStyle w:val="FootnoteReference"/>
        </w:rPr>
        <w:footnoteRef/>
      </w:r>
      <w:r>
        <w:t xml:space="preserve"> </w:t>
      </w:r>
      <w:r>
        <w:tab/>
        <w:t xml:space="preserve">Directive </w:t>
      </w:r>
      <w:hyperlink r:id="rId335" w:history="1">
        <w:r>
          <w:rPr>
            <w:rStyle w:val="Hyperlink"/>
          </w:rPr>
          <w:t>2014/41/EU</w:t>
        </w:r>
      </w:hyperlink>
      <w:r>
        <w:t>.</w:t>
      </w:r>
    </w:p>
  </w:footnote>
  <w:footnote w:id="245">
    <w:p w:rsidR="00E201F7" w:rsidRDefault="00E24EFF">
      <w:pPr>
        <w:pStyle w:val="FootnoteText"/>
      </w:pPr>
      <w:r>
        <w:rPr>
          <w:rStyle w:val="FootnoteReference"/>
        </w:rPr>
        <w:footnoteRef/>
      </w:r>
      <w:r>
        <w:t xml:space="preserve"> </w:t>
      </w:r>
      <w:r>
        <w:tab/>
        <w:t xml:space="preserve">Directive </w:t>
      </w:r>
      <w:hyperlink r:id="rId336" w:history="1">
        <w:r>
          <w:rPr>
            <w:rStyle w:val="Hyperlink"/>
          </w:rPr>
          <w:t>2015/849/EU</w:t>
        </w:r>
      </w:hyperlink>
      <w:r>
        <w:t>.</w:t>
      </w:r>
    </w:p>
  </w:footnote>
  <w:footnote w:id="246">
    <w:p w:rsidR="00E201F7" w:rsidRDefault="00E24EFF">
      <w:pPr>
        <w:pStyle w:val="FootnoteText"/>
      </w:pPr>
      <w:r>
        <w:rPr>
          <w:rStyle w:val="FootnoteReference"/>
        </w:rPr>
        <w:footnoteRef/>
      </w:r>
      <w:r>
        <w:t xml:space="preserve"> </w:t>
      </w:r>
      <w:r>
        <w:tab/>
        <w:t xml:space="preserve">Directive </w:t>
      </w:r>
      <w:hyperlink r:id="rId337" w:history="1">
        <w:r>
          <w:rPr>
            <w:rStyle w:val="Hyperlink"/>
          </w:rPr>
          <w:t>2013/48/EU</w:t>
        </w:r>
      </w:hyperlink>
      <w:r>
        <w:t>.</w:t>
      </w:r>
    </w:p>
  </w:footnote>
  <w:footnote w:id="247">
    <w:p w:rsidR="00E201F7" w:rsidRDefault="00E24EFF">
      <w:pPr>
        <w:pStyle w:val="FootnoteText"/>
      </w:pPr>
      <w:r>
        <w:rPr>
          <w:rStyle w:val="FootnoteReference"/>
        </w:rPr>
        <w:footnoteRef/>
      </w:r>
      <w:r>
        <w:t xml:space="preserve"> </w:t>
      </w:r>
      <w:r>
        <w:tab/>
        <w:t xml:space="preserve">Directive </w:t>
      </w:r>
      <w:hyperlink r:id="rId338" w:history="1">
        <w:r>
          <w:rPr>
            <w:rStyle w:val="Hyperlink"/>
          </w:rPr>
          <w:t>2005/29/EC</w:t>
        </w:r>
      </w:hyperlink>
      <w:r>
        <w:t>.</w:t>
      </w:r>
    </w:p>
  </w:footnote>
  <w:footnote w:id="248">
    <w:p w:rsidR="00E201F7" w:rsidRDefault="00E24EFF">
      <w:pPr>
        <w:pStyle w:val="FootnoteText"/>
      </w:pPr>
      <w:r>
        <w:rPr>
          <w:rStyle w:val="FootnoteReference"/>
        </w:rPr>
        <w:footnoteRef/>
      </w:r>
      <w:r>
        <w:t xml:space="preserve"> </w:t>
      </w:r>
      <w:r>
        <w:tab/>
        <w:t xml:space="preserve">Council Directive </w:t>
      </w:r>
      <w:hyperlink r:id="rId339" w:history="1">
        <w:r>
          <w:rPr>
            <w:rStyle w:val="Hyperlink"/>
          </w:rPr>
          <w:t>90/314/EEC</w:t>
        </w:r>
      </w:hyperlink>
      <w:r>
        <w:t>.</w:t>
      </w:r>
    </w:p>
  </w:footnote>
  <w:footnote w:id="249">
    <w:p w:rsidR="00E201F7" w:rsidRDefault="00E24EFF">
      <w:pPr>
        <w:pStyle w:val="FootnoteText"/>
      </w:pPr>
      <w:r>
        <w:rPr>
          <w:rStyle w:val="FootnoteReference"/>
        </w:rPr>
        <w:footnoteRef/>
      </w:r>
      <w:r>
        <w:t xml:space="preserve"> </w:t>
      </w:r>
      <w:r>
        <w:tab/>
      </w:r>
      <w:hyperlink r:id="rId340" w:history="1">
        <w:r>
          <w:rPr>
            <w:rStyle w:val="Hyperlink"/>
          </w:rPr>
          <w:t>MEMO/17/4767</w:t>
        </w:r>
      </w:hyperlink>
      <w:r>
        <w:t>.</w:t>
      </w:r>
    </w:p>
  </w:footnote>
  <w:footnote w:id="250">
    <w:p w:rsidR="00E201F7" w:rsidRDefault="00E24EFF">
      <w:pPr>
        <w:pStyle w:val="FootnoteText"/>
      </w:pPr>
      <w:r>
        <w:rPr>
          <w:rStyle w:val="FootnoteReference"/>
        </w:rPr>
        <w:footnoteRef/>
      </w:r>
      <w:r>
        <w:t xml:space="preserve"> </w:t>
      </w:r>
      <w:r>
        <w:tab/>
      </w:r>
      <w:r>
        <w:rPr>
          <w:rStyle w:val="affairetitle"/>
        </w:rPr>
        <w:t xml:space="preserve">Moreno Osacar </w:t>
      </w:r>
      <w:hyperlink r:id="rId341" w:history="1">
        <w:r>
          <w:rPr>
            <w:rStyle w:val="Hyperlink"/>
          </w:rPr>
          <w:t>C-169/16</w:t>
        </w:r>
      </w:hyperlink>
      <w:r>
        <w:t>,</w:t>
      </w:r>
      <w:r>
        <w:rPr>
          <w:rStyle w:val="affairetitle"/>
        </w:rPr>
        <w:t xml:space="preserve"> </w:t>
      </w:r>
      <w:r>
        <w:t xml:space="preserve">Noguiera and Others  </w:t>
      </w:r>
      <w:hyperlink r:id="rId342" w:history="1">
        <w:r>
          <w:rPr>
            <w:rStyle w:val="Hyperlink"/>
          </w:rPr>
          <w:t>C-16</w:t>
        </w:r>
        <w:r>
          <w:rPr>
            <w:rStyle w:val="Hyperlink"/>
          </w:rPr>
          <w:t>8/16</w:t>
        </w:r>
      </w:hyperlink>
      <w:r>
        <w:t>.</w:t>
      </w:r>
    </w:p>
  </w:footnote>
  <w:footnote w:id="251">
    <w:p w:rsidR="00E201F7" w:rsidRDefault="00E24EFF">
      <w:pPr>
        <w:pStyle w:val="FootnoteText"/>
      </w:pPr>
      <w:r>
        <w:rPr>
          <w:rStyle w:val="FootnoteReference"/>
        </w:rPr>
        <w:footnoteRef/>
      </w:r>
      <w:r>
        <w:t xml:space="preserve"> </w:t>
      </w:r>
      <w:r>
        <w:tab/>
        <w:t xml:space="preserve">Jan Šalplachta, </w:t>
      </w:r>
      <w:hyperlink r:id="rId343" w:history="1">
        <w:r>
          <w:rPr>
            <w:rStyle w:val="Hyperlink"/>
          </w:rPr>
          <w:t>C-670/15</w:t>
        </w:r>
      </w:hyperlink>
      <w:r>
        <w:t>.</w:t>
      </w:r>
    </w:p>
  </w:footnote>
  <w:footnote w:id="252">
    <w:p w:rsidR="00E201F7" w:rsidRDefault="00E24EFF">
      <w:pPr>
        <w:pStyle w:val="FootnoteText"/>
      </w:pPr>
      <w:r>
        <w:rPr>
          <w:rStyle w:val="FootnoteReference"/>
        </w:rPr>
        <w:footnoteRef/>
      </w:r>
      <w:r>
        <w:t xml:space="preserve"> </w:t>
      </w:r>
      <w:r>
        <w:tab/>
        <w:t xml:space="preserve">Regulation </w:t>
      </w:r>
      <w:hyperlink r:id="rId344" w:history="1">
        <w:r>
          <w:rPr>
            <w:rStyle w:val="Hyperlink"/>
          </w:rPr>
          <w:t>(EU) No</w:t>
        </w:r>
        <w:r>
          <w:rPr>
            <w:rStyle w:val="Hyperlink"/>
          </w:rPr>
          <w:t xml:space="preserve"> 1259/2010</w:t>
        </w:r>
      </w:hyperlink>
      <w:r>
        <w:t>.</w:t>
      </w:r>
    </w:p>
  </w:footnote>
  <w:footnote w:id="253">
    <w:p w:rsidR="00E201F7" w:rsidRDefault="00E24EFF">
      <w:pPr>
        <w:pStyle w:val="FootnoteText"/>
      </w:pPr>
      <w:r>
        <w:rPr>
          <w:rStyle w:val="FootnoteReference"/>
        </w:rPr>
        <w:footnoteRef/>
      </w:r>
      <w:r>
        <w:t xml:space="preserve"> </w:t>
      </w:r>
      <w:r>
        <w:tab/>
        <w:t xml:space="preserve">Sahyouni, </w:t>
      </w:r>
      <w:hyperlink r:id="rId345" w:history="1">
        <w:r>
          <w:rPr>
            <w:rStyle w:val="Hyperlink"/>
          </w:rPr>
          <w:t>C-372/16</w:t>
        </w:r>
      </w:hyperlink>
      <w:r>
        <w:t xml:space="preserve"> and Court press release </w:t>
      </w:r>
      <w:hyperlink r:id="rId346" w:history="1">
        <w:r>
          <w:rPr>
            <w:rStyle w:val="Hyperlink"/>
          </w:rPr>
          <w:t>No 13</w:t>
        </w:r>
        <w:r>
          <w:rPr>
            <w:rStyle w:val="Hyperlink"/>
          </w:rPr>
          <w:t>7/17</w:t>
        </w:r>
      </w:hyperlink>
      <w:r>
        <w:t>.</w:t>
      </w:r>
    </w:p>
  </w:footnote>
  <w:footnote w:id="254">
    <w:p w:rsidR="00E201F7" w:rsidRDefault="00E24EFF">
      <w:pPr>
        <w:pStyle w:val="FootnoteText"/>
      </w:pPr>
      <w:r>
        <w:rPr>
          <w:rStyle w:val="FootnoteReference"/>
        </w:rPr>
        <w:footnoteRef/>
      </w:r>
      <w:r>
        <w:t xml:space="preserve"> </w:t>
      </w:r>
      <w:r>
        <w:tab/>
        <w:t xml:space="preserve">Directive </w:t>
      </w:r>
      <w:hyperlink r:id="rId347" w:history="1">
        <w:r>
          <w:rPr>
            <w:rStyle w:val="Hyperlink"/>
          </w:rPr>
          <w:t>2011/83/EU</w:t>
        </w:r>
      </w:hyperlink>
      <w:r>
        <w:t>.</w:t>
      </w:r>
    </w:p>
  </w:footnote>
  <w:footnote w:id="255">
    <w:p w:rsidR="00E201F7" w:rsidRDefault="00E24EFF">
      <w:pPr>
        <w:pStyle w:val="FootnoteText"/>
      </w:pPr>
      <w:r>
        <w:rPr>
          <w:rStyle w:val="FootnoteReference"/>
        </w:rPr>
        <w:footnoteRef/>
      </w:r>
      <w:r>
        <w:t xml:space="preserve"> </w:t>
      </w:r>
      <w:r>
        <w:tab/>
        <w:t xml:space="preserve">Zentrale zur Bekämpfung des unlauteren Wettbewerbs, </w:t>
      </w:r>
      <w:hyperlink r:id="rId348" w:history="1">
        <w:r>
          <w:rPr>
            <w:rStyle w:val="Hyperlink"/>
          </w:rPr>
          <w:t>C-568/15</w:t>
        </w:r>
      </w:hyperlink>
      <w:r>
        <w:t xml:space="preserve"> and Court press release </w:t>
      </w:r>
      <w:hyperlink r:id="rId349" w:history="1">
        <w:r>
          <w:rPr>
            <w:rStyle w:val="Hyperlink"/>
          </w:rPr>
          <w:t>No 21/17</w:t>
        </w:r>
      </w:hyperlink>
      <w:r>
        <w:t>.</w:t>
      </w:r>
    </w:p>
  </w:footnote>
  <w:footnote w:id="256">
    <w:p w:rsidR="00E201F7" w:rsidRDefault="00E24EFF">
      <w:pPr>
        <w:pStyle w:val="FootnoteText"/>
      </w:pPr>
      <w:r>
        <w:rPr>
          <w:rStyle w:val="FootnoteReference"/>
        </w:rPr>
        <w:footnoteRef/>
      </w:r>
      <w:r>
        <w:t xml:space="preserve"> </w:t>
      </w:r>
      <w:r>
        <w:tab/>
        <w:t xml:space="preserve">Gusa, </w:t>
      </w:r>
      <w:hyperlink r:id="rId350" w:history="1">
        <w:r>
          <w:rPr>
            <w:rStyle w:val="Hyperlink"/>
          </w:rPr>
          <w:t>C-442/16</w:t>
        </w:r>
      </w:hyperlink>
      <w:r>
        <w:t xml:space="preserve"> and Court press release </w:t>
      </w:r>
      <w:hyperlink r:id="rId351" w:history="1">
        <w:r>
          <w:rPr>
            <w:rStyle w:val="Hyperlink"/>
          </w:rPr>
          <w:t>No 144/17</w:t>
        </w:r>
      </w:hyperlink>
      <w:r>
        <w:t>.</w:t>
      </w:r>
    </w:p>
  </w:footnote>
  <w:footnote w:id="257">
    <w:p w:rsidR="00E201F7" w:rsidRDefault="00E24EFF">
      <w:pPr>
        <w:pStyle w:val="FootnoteText"/>
      </w:pPr>
      <w:r>
        <w:rPr>
          <w:rStyle w:val="FootnoteReference"/>
        </w:rPr>
        <w:footnoteRef/>
      </w:r>
      <w:r>
        <w:t xml:space="preserve"> </w:t>
      </w:r>
      <w:r>
        <w:tab/>
        <w:t xml:space="preserve">Kalliri, </w:t>
      </w:r>
      <w:hyperlink r:id="rId352" w:history="1">
        <w:r>
          <w:rPr>
            <w:rStyle w:val="Hyperlink"/>
          </w:rPr>
          <w:t>C-409/16</w:t>
        </w:r>
      </w:hyperlink>
      <w:r>
        <w:t xml:space="preserve"> and Court press release </w:t>
      </w:r>
      <w:hyperlink r:id="rId353" w:history="1">
        <w:r>
          <w:rPr>
            <w:rStyle w:val="Hyperlink"/>
          </w:rPr>
          <w:t>No 106/17</w:t>
        </w:r>
      </w:hyperlink>
      <w:r>
        <w:t>.</w:t>
      </w:r>
    </w:p>
  </w:footnote>
  <w:footnote w:id="258">
    <w:p w:rsidR="00E201F7" w:rsidRDefault="00E24EFF">
      <w:pPr>
        <w:pStyle w:val="FootnoteText"/>
        <w:rPr>
          <w:lang w:val="pt-PT"/>
        </w:rPr>
      </w:pPr>
      <w:r>
        <w:rPr>
          <w:rStyle w:val="FootnoteReference"/>
        </w:rPr>
        <w:footnoteRef/>
      </w:r>
      <w:r>
        <w:rPr>
          <w:lang w:val="pt-PT"/>
        </w:rPr>
        <w:t xml:space="preserve"> </w:t>
      </w:r>
      <w:r>
        <w:rPr>
          <w:lang w:val="pt-PT"/>
        </w:rPr>
        <w:tab/>
        <w:t xml:space="preserve">Directive </w:t>
      </w:r>
      <w:hyperlink r:id="rId354" w:history="1">
        <w:r>
          <w:rPr>
            <w:rStyle w:val="Hyperlink"/>
            <w:lang w:val="pt-PT"/>
          </w:rPr>
          <w:t>2004/38/EC</w:t>
        </w:r>
      </w:hyperlink>
      <w:r>
        <w:rPr>
          <w:lang w:val="pt-PT"/>
        </w:rPr>
        <w:t xml:space="preserve">, E, </w:t>
      </w:r>
      <w:hyperlink r:id="rId355" w:history="1">
        <w:r>
          <w:rPr>
            <w:rStyle w:val="Hyperlink"/>
            <w:lang w:val="pt-PT"/>
          </w:rPr>
          <w:t>C-193/16</w:t>
        </w:r>
      </w:hyperlink>
      <w:r>
        <w:rPr>
          <w:lang w:val="pt-PT"/>
        </w:rPr>
        <w:t>.</w:t>
      </w:r>
    </w:p>
  </w:footnote>
  <w:footnote w:id="259">
    <w:p w:rsidR="00E201F7" w:rsidRDefault="00E24EFF">
      <w:pPr>
        <w:pStyle w:val="FootnoteText"/>
        <w:rPr>
          <w:lang w:val="pt-PT"/>
        </w:rPr>
      </w:pPr>
      <w:r>
        <w:rPr>
          <w:rStyle w:val="FootnoteReference"/>
        </w:rPr>
        <w:footnoteRef/>
      </w:r>
      <w:r>
        <w:rPr>
          <w:lang w:val="pt-PT"/>
        </w:rPr>
        <w:t xml:space="preserve"> </w:t>
      </w:r>
      <w:r>
        <w:rPr>
          <w:lang w:val="pt-PT"/>
        </w:rPr>
        <w:tab/>
        <w:t xml:space="preserve">Regulations </w:t>
      </w:r>
      <w:hyperlink r:id="rId356" w:history="1">
        <w:r>
          <w:rPr>
            <w:rStyle w:val="Hyperlink"/>
            <w:lang w:val="pt-PT"/>
          </w:rPr>
          <w:t>(EC) No 805/2004</w:t>
        </w:r>
      </w:hyperlink>
      <w:r>
        <w:rPr>
          <w:lang w:val="pt-PT"/>
        </w:rPr>
        <w:t xml:space="preserve"> and </w:t>
      </w:r>
      <w:hyperlink r:id="rId357" w:history="1">
        <w:r>
          <w:rPr>
            <w:rStyle w:val="Hyperlink"/>
            <w:lang w:val="pt-PT"/>
          </w:rPr>
          <w:t>(EU) No 1215/2012</w:t>
        </w:r>
      </w:hyperlink>
      <w:r>
        <w:rPr>
          <w:lang w:val="pt-PT"/>
        </w:rPr>
        <w:t>.</w:t>
      </w:r>
    </w:p>
  </w:footnote>
  <w:footnote w:id="260">
    <w:p w:rsidR="00E201F7" w:rsidRDefault="00E24EFF">
      <w:pPr>
        <w:pStyle w:val="FootnoteText"/>
      </w:pPr>
      <w:r>
        <w:rPr>
          <w:rStyle w:val="FootnoteReference"/>
        </w:rPr>
        <w:footnoteRef/>
      </w:r>
      <w:r>
        <w:t xml:space="preserve"> </w:t>
      </w:r>
      <w:r>
        <w:tab/>
        <w:t xml:space="preserve">Pula Parking, </w:t>
      </w:r>
      <w:hyperlink r:id="rId358" w:history="1">
        <w:r>
          <w:rPr>
            <w:rStyle w:val="Hyperlink"/>
          </w:rPr>
          <w:t>C</w:t>
        </w:r>
        <w:r>
          <w:rPr>
            <w:rStyle w:val="Hyperlink"/>
            <w:rFonts w:ascii="Cambria Math" w:hAnsi="Cambria Math" w:cs="Cambria Math"/>
          </w:rPr>
          <w:t>‐</w:t>
        </w:r>
        <w:r>
          <w:rPr>
            <w:rStyle w:val="Hyperlink"/>
          </w:rPr>
          <w:t>551/15</w:t>
        </w:r>
      </w:hyperlink>
      <w:r>
        <w:t xml:space="preserve"> and Court press release </w:t>
      </w:r>
      <w:hyperlink r:id="rId359" w:history="1">
        <w:r>
          <w:rPr>
            <w:rStyle w:val="Hyperlink"/>
          </w:rPr>
          <w:t>No 25/17</w:t>
        </w:r>
      </w:hyperlink>
      <w:r>
        <w:t>.</w:t>
      </w:r>
    </w:p>
  </w:footnote>
  <w:footnote w:id="261">
    <w:p w:rsidR="00E201F7" w:rsidRDefault="00E24EFF">
      <w:pPr>
        <w:pStyle w:val="FootnoteText"/>
      </w:pPr>
      <w:r>
        <w:rPr>
          <w:rStyle w:val="FootnoteReference"/>
        </w:rPr>
        <w:footnoteRef/>
      </w:r>
      <w:r>
        <w:t xml:space="preserve"> </w:t>
      </w:r>
      <w:r>
        <w:tab/>
        <w:t xml:space="preserve">Chavez-Vilchez, </w:t>
      </w:r>
      <w:hyperlink r:id="rId360" w:history="1">
        <w:r>
          <w:rPr>
            <w:rStyle w:val="Hyperlink"/>
          </w:rPr>
          <w:t>C-133/15</w:t>
        </w:r>
      </w:hyperlink>
      <w:r>
        <w:t xml:space="preserve"> and Court press release </w:t>
      </w:r>
      <w:hyperlink r:id="rId361" w:history="1">
        <w:r>
          <w:rPr>
            <w:rStyle w:val="Hyperlink"/>
          </w:rPr>
          <w:t>No 48/17</w:t>
        </w:r>
      </w:hyperlink>
      <w:r>
        <w:t>.</w:t>
      </w:r>
    </w:p>
  </w:footnote>
  <w:footnote w:id="262">
    <w:p w:rsidR="00E201F7" w:rsidRDefault="00E24EFF">
      <w:pPr>
        <w:pStyle w:val="FootnoteText"/>
      </w:pPr>
      <w:r>
        <w:rPr>
          <w:rStyle w:val="FootnoteReference"/>
        </w:rPr>
        <w:footnoteRef/>
      </w:r>
      <w:r>
        <w:t xml:space="preserve"> </w:t>
      </w:r>
      <w:r>
        <w:tab/>
        <w:t>Polbud — Wykonawstw</w:t>
      </w:r>
      <w:r>
        <w:t xml:space="preserve">o, </w:t>
      </w:r>
      <w:hyperlink r:id="rId362" w:history="1">
        <w:r>
          <w:rPr>
            <w:rStyle w:val="Hyperlink"/>
          </w:rPr>
          <w:t>C -106/16</w:t>
        </w:r>
      </w:hyperlink>
      <w:r>
        <w:t xml:space="preserve"> and Court press release </w:t>
      </w:r>
      <w:hyperlink r:id="rId363" w:history="1">
        <w:r>
          <w:rPr>
            <w:rStyle w:val="Hyperlink"/>
          </w:rPr>
          <w:t>No 112/17</w:t>
        </w:r>
      </w:hyperlink>
      <w:r>
        <w:t>.</w:t>
      </w:r>
    </w:p>
  </w:footnote>
  <w:footnote w:id="263">
    <w:p w:rsidR="00E201F7" w:rsidRDefault="00E24EFF">
      <w:pPr>
        <w:pStyle w:val="FootnoteText"/>
      </w:pPr>
      <w:r>
        <w:rPr>
          <w:rStyle w:val="FootnoteReference"/>
        </w:rPr>
        <w:footnoteRef/>
      </w:r>
      <w:r>
        <w:t xml:space="preserve"> </w:t>
      </w:r>
      <w:r>
        <w:tab/>
        <w:t>Andriciuc an</w:t>
      </w:r>
      <w:r>
        <w:t xml:space="preserve">d Others, </w:t>
      </w:r>
      <w:hyperlink r:id="rId364" w:history="1">
        <w:r>
          <w:rPr>
            <w:rStyle w:val="Hyperlink"/>
          </w:rPr>
          <w:t>C-186/16</w:t>
        </w:r>
      </w:hyperlink>
      <w:r>
        <w:t xml:space="preserve"> and Court press release </w:t>
      </w:r>
      <w:hyperlink r:id="rId365" w:history="1">
        <w:r>
          <w:rPr>
            <w:rStyle w:val="Hyperlink"/>
          </w:rPr>
          <w:t>No 103/17</w:t>
        </w:r>
      </w:hyperlink>
      <w:r>
        <w:t>.</w:t>
      </w:r>
    </w:p>
  </w:footnote>
  <w:footnote w:id="264">
    <w:p w:rsidR="00E201F7" w:rsidRDefault="00E24EFF">
      <w:pPr>
        <w:pStyle w:val="FootnoteText"/>
      </w:pPr>
      <w:r>
        <w:rPr>
          <w:rStyle w:val="FootnoteReference"/>
        </w:rPr>
        <w:footnoteRef/>
      </w:r>
      <w:r>
        <w:t xml:space="preserve"> </w:t>
      </w:r>
      <w:r>
        <w:tab/>
        <w:t>Direct</w:t>
      </w:r>
      <w:r>
        <w:t xml:space="preserve">ive </w:t>
      </w:r>
      <w:hyperlink r:id="rId366" w:history="1">
        <w:r>
          <w:rPr>
            <w:rStyle w:val="Hyperlink"/>
          </w:rPr>
          <w:t>2004/38/EC</w:t>
        </w:r>
      </w:hyperlink>
      <w:r>
        <w:t>.</w:t>
      </w:r>
    </w:p>
  </w:footnote>
  <w:footnote w:id="265">
    <w:p w:rsidR="00E201F7" w:rsidRDefault="00E24EFF">
      <w:pPr>
        <w:pStyle w:val="FootnoteText"/>
      </w:pPr>
      <w:r>
        <w:rPr>
          <w:rStyle w:val="FootnoteReference"/>
        </w:rPr>
        <w:footnoteRef/>
      </w:r>
      <w:r>
        <w:t xml:space="preserve"> </w:t>
      </w:r>
      <w:r>
        <w:tab/>
        <w:t xml:space="preserve">Lounes, </w:t>
      </w:r>
      <w:hyperlink r:id="rId367" w:history="1">
        <w:r>
          <w:rPr>
            <w:rStyle w:val="Hyperlink"/>
          </w:rPr>
          <w:t>C-165/16</w:t>
        </w:r>
      </w:hyperlink>
      <w:r>
        <w:t xml:space="preserve"> and Court press rele</w:t>
      </w:r>
      <w:r>
        <w:t xml:space="preserve">ase </w:t>
      </w:r>
      <w:hyperlink r:id="rId368" w:history="1">
        <w:r>
          <w:rPr>
            <w:rStyle w:val="Hyperlink"/>
          </w:rPr>
          <w:t>No 121/17</w:t>
        </w:r>
      </w:hyperlink>
      <w:r>
        <w:t>.</w:t>
      </w:r>
    </w:p>
  </w:footnote>
  <w:footnote w:id="266">
    <w:p w:rsidR="00E201F7" w:rsidRDefault="00E24EFF">
      <w:pPr>
        <w:pStyle w:val="FootnoteText"/>
      </w:pPr>
      <w:r>
        <w:rPr>
          <w:rStyle w:val="FootnoteReference"/>
        </w:rPr>
        <w:footnoteRef/>
      </w:r>
      <w:r>
        <w:t xml:space="preserve"> </w:t>
      </w:r>
      <w:r>
        <w:tab/>
        <w:t xml:space="preserve">Regulation </w:t>
      </w:r>
      <w:hyperlink r:id="rId369" w:history="1">
        <w:r>
          <w:rPr>
            <w:rStyle w:val="Hyperlink"/>
          </w:rPr>
          <w:t>(EU) 2016/679</w:t>
        </w:r>
      </w:hyperlink>
      <w:r>
        <w:t>.</w:t>
      </w:r>
    </w:p>
  </w:footnote>
  <w:footnote w:id="267">
    <w:p w:rsidR="00E201F7" w:rsidRDefault="00E24EFF">
      <w:pPr>
        <w:pStyle w:val="FootnoteText"/>
      </w:pPr>
      <w:r>
        <w:rPr>
          <w:rStyle w:val="FootnoteReference"/>
        </w:rPr>
        <w:footnoteRef/>
      </w:r>
      <w:r>
        <w:t xml:space="preserve"> </w:t>
      </w:r>
      <w:r>
        <w:tab/>
      </w:r>
      <w:r>
        <w:t xml:space="preserve">Regulation </w:t>
      </w:r>
      <w:hyperlink r:id="rId370" w:history="1">
        <w:r>
          <w:rPr>
            <w:rStyle w:val="Hyperlink"/>
          </w:rPr>
          <w:t>(EU) No 2015/848</w:t>
        </w:r>
      </w:hyperlink>
      <w:r>
        <w:t>.</w:t>
      </w:r>
    </w:p>
  </w:footnote>
  <w:footnote w:id="268">
    <w:p w:rsidR="00E201F7" w:rsidRDefault="00E24EFF">
      <w:pPr>
        <w:pStyle w:val="FootnoteText"/>
      </w:pPr>
      <w:r>
        <w:rPr>
          <w:rStyle w:val="FootnoteReference"/>
        </w:rPr>
        <w:footnoteRef/>
      </w:r>
      <w:r>
        <w:t xml:space="preserve"> </w:t>
      </w:r>
      <w:r>
        <w:tab/>
        <w:t xml:space="preserve">Directive </w:t>
      </w:r>
      <w:hyperlink r:id="rId371" w:history="1">
        <w:r>
          <w:rPr>
            <w:rStyle w:val="Hyperlink"/>
          </w:rPr>
          <w:t>2016/680</w:t>
        </w:r>
        <w:r>
          <w:rPr>
            <w:rStyle w:val="Hyperlink"/>
          </w:rPr>
          <w:t>/EU</w:t>
        </w:r>
      </w:hyperlink>
      <w:r>
        <w:t>.</w:t>
      </w:r>
    </w:p>
  </w:footnote>
  <w:footnote w:id="269">
    <w:p w:rsidR="00E201F7" w:rsidRDefault="00E24EFF">
      <w:pPr>
        <w:pStyle w:val="FootnoteText"/>
      </w:pPr>
      <w:r>
        <w:rPr>
          <w:rStyle w:val="FootnoteReference"/>
        </w:rPr>
        <w:footnoteRef/>
      </w:r>
      <w:r>
        <w:t xml:space="preserve"> </w:t>
      </w:r>
      <w:r>
        <w:tab/>
        <w:t xml:space="preserve">Directive </w:t>
      </w:r>
      <w:hyperlink r:id="rId372" w:history="1">
        <w:r>
          <w:rPr>
            <w:rStyle w:val="Hyperlink"/>
          </w:rPr>
          <w:t>2016/343/EU</w:t>
        </w:r>
      </w:hyperlink>
      <w:r>
        <w:t>.</w:t>
      </w:r>
    </w:p>
  </w:footnote>
  <w:footnote w:id="270">
    <w:p w:rsidR="00E201F7" w:rsidRDefault="00E24EFF">
      <w:pPr>
        <w:pStyle w:val="FootnoteText"/>
      </w:pPr>
      <w:r>
        <w:rPr>
          <w:rStyle w:val="FootnoteReference"/>
        </w:rPr>
        <w:footnoteRef/>
      </w:r>
      <w:r>
        <w:t xml:space="preserve"> </w:t>
      </w:r>
      <w:r>
        <w:tab/>
        <w:t xml:space="preserve">Directive </w:t>
      </w:r>
      <w:hyperlink r:id="rId373" w:history="1">
        <w:r>
          <w:rPr>
            <w:rStyle w:val="Hyperlink"/>
          </w:rPr>
          <w:t>2015/2302/EU</w:t>
        </w:r>
      </w:hyperlink>
      <w:r>
        <w:t>.</w:t>
      </w:r>
    </w:p>
  </w:footnote>
  <w:footnote w:id="271">
    <w:p w:rsidR="00E201F7" w:rsidRDefault="00E24EFF">
      <w:pPr>
        <w:pStyle w:val="FootnoteText"/>
      </w:pPr>
      <w:r>
        <w:rPr>
          <w:rStyle w:val="FootnoteReference"/>
        </w:rPr>
        <w:footnoteRef/>
      </w:r>
      <w:r>
        <w:t xml:space="preserve"> </w:t>
      </w:r>
      <w:r>
        <w:tab/>
        <w:t xml:space="preserve">Directive </w:t>
      </w:r>
      <w:hyperlink r:id="rId374" w:history="1">
        <w:r>
          <w:rPr>
            <w:rStyle w:val="Hyperlink"/>
          </w:rPr>
          <w:t>2015/637/EU</w:t>
        </w:r>
      </w:hyperlink>
      <w:r>
        <w:t>.</w:t>
      </w:r>
    </w:p>
  </w:footnote>
  <w:footnote w:id="272">
    <w:p w:rsidR="00E201F7" w:rsidRDefault="00E24EFF">
      <w:pPr>
        <w:pStyle w:val="FootnoteText"/>
      </w:pPr>
      <w:r>
        <w:rPr>
          <w:rStyle w:val="FootnoteReference"/>
        </w:rPr>
        <w:footnoteRef/>
      </w:r>
      <w:r>
        <w:t xml:space="preserve"> </w:t>
      </w:r>
      <w:r>
        <w:tab/>
        <w:t xml:space="preserve">Directive </w:t>
      </w:r>
      <w:hyperlink r:id="rId375" w:history="1">
        <w:r>
          <w:rPr>
            <w:rStyle w:val="Hyperlink"/>
          </w:rPr>
          <w:t>2011/83/EU</w:t>
        </w:r>
      </w:hyperlink>
      <w:r>
        <w:t>.</w:t>
      </w:r>
    </w:p>
  </w:footnote>
  <w:footnote w:id="273">
    <w:p w:rsidR="00E201F7" w:rsidRDefault="00E24EFF">
      <w:pPr>
        <w:pStyle w:val="FootnoteText"/>
      </w:pPr>
      <w:r>
        <w:rPr>
          <w:rStyle w:val="FootnoteReference"/>
        </w:rPr>
        <w:footnoteRef/>
      </w:r>
      <w:r>
        <w:t xml:space="preserve"> </w:t>
      </w:r>
      <w:r>
        <w:tab/>
        <w:t xml:space="preserve">Directive </w:t>
      </w:r>
      <w:hyperlink r:id="rId376" w:history="1">
        <w:r>
          <w:rPr>
            <w:rStyle w:val="Hyperlink"/>
          </w:rPr>
          <w:t>2005/29/EC</w:t>
        </w:r>
      </w:hyperlink>
      <w:r>
        <w:t>.</w:t>
      </w:r>
    </w:p>
  </w:footnote>
  <w:footnote w:id="274">
    <w:p w:rsidR="00E201F7" w:rsidRDefault="00E24EFF">
      <w:pPr>
        <w:pStyle w:val="FootnoteText"/>
        <w:rPr>
          <w:rFonts w:ascii="Times New Roman" w:hAnsi="Times New Roman"/>
          <w:sz w:val="20"/>
        </w:rPr>
      </w:pPr>
      <w:r>
        <w:rPr>
          <w:rStyle w:val="FootnoteReference"/>
        </w:rPr>
        <w:footnoteRef/>
      </w:r>
      <w:r>
        <w:t xml:space="preserve"> </w:t>
      </w:r>
      <w:r>
        <w:tab/>
        <w:t xml:space="preserve">Directives </w:t>
      </w:r>
      <w:hyperlink r:id="rId377" w:history="1">
        <w:r>
          <w:rPr>
            <w:rStyle w:val="Hyperlink"/>
          </w:rPr>
          <w:t>2012/13/EU</w:t>
        </w:r>
      </w:hyperlink>
      <w:r>
        <w:t xml:space="preserve"> and </w:t>
      </w:r>
      <w:hyperlink r:id="rId378" w:history="1">
        <w:r>
          <w:rPr>
            <w:rStyle w:val="Hyperlink"/>
          </w:rPr>
          <w:t>2010/64/EU.</w:t>
        </w:r>
      </w:hyperlink>
    </w:p>
  </w:footnote>
  <w:footnote w:id="275">
    <w:p w:rsidR="00E201F7" w:rsidRDefault="00E24EFF">
      <w:pPr>
        <w:pStyle w:val="FootnoteText"/>
        <w:rPr>
          <w:lang w:val="fr-BE"/>
        </w:rPr>
      </w:pPr>
      <w:r>
        <w:rPr>
          <w:rStyle w:val="FootnoteReference"/>
        </w:rPr>
        <w:footnoteRef/>
      </w:r>
      <w:r>
        <w:rPr>
          <w:lang w:val="fr-BE"/>
        </w:rPr>
        <w:t xml:space="preserve"> </w:t>
      </w:r>
      <w:r>
        <w:rPr>
          <w:lang w:val="fr-BE"/>
        </w:rPr>
        <w:tab/>
        <w:t xml:space="preserve">Coman, </w:t>
      </w:r>
      <w:hyperlink r:id="rId379" w:history="1">
        <w:r>
          <w:rPr>
            <w:rStyle w:val="Hyperlink"/>
            <w:lang w:val="fr-BE"/>
          </w:rPr>
          <w:t>C-673/16</w:t>
        </w:r>
      </w:hyperlink>
      <w:r>
        <w:rPr>
          <w:lang w:val="fr-BE"/>
        </w:rPr>
        <w:t>.</w:t>
      </w:r>
    </w:p>
  </w:footnote>
  <w:footnote w:id="276">
    <w:p w:rsidR="00E201F7" w:rsidRDefault="00E24EFF">
      <w:pPr>
        <w:pStyle w:val="FootnoteText"/>
        <w:rPr>
          <w:lang w:val="fr-BE"/>
        </w:rPr>
      </w:pPr>
      <w:r>
        <w:rPr>
          <w:rStyle w:val="FootnoteReference"/>
        </w:rPr>
        <w:footnoteRef/>
      </w:r>
      <w:r>
        <w:rPr>
          <w:lang w:val="fr-BE"/>
        </w:rPr>
        <w:t xml:space="preserve"> </w:t>
      </w:r>
      <w:r>
        <w:rPr>
          <w:lang w:val="fr-BE"/>
        </w:rPr>
        <w:tab/>
        <w:t xml:space="preserve">Tjebbes, </w:t>
      </w:r>
      <w:hyperlink r:id="rId380" w:history="1">
        <w:r>
          <w:rPr>
            <w:rStyle w:val="Hyperlink"/>
            <w:lang w:val="fr-BE"/>
          </w:rPr>
          <w:t>C-221/17</w:t>
        </w:r>
      </w:hyperlink>
      <w:r>
        <w:rPr>
          <w:lang w:val="fr-BE"/>
        </w:rPr>
        <w:t>.</w:t>
      </w:r>
    </w:p>
  </w:footnote>
  <w:footnote w:id="277">
    <w:p w:rsidR="00E201F7" w:rsidRDefault="00E24EFF">
      <w:pPr>
        <w:pStyle w:val="FootnoteText"/>
        <w:rPr>
          <w:lang w:val="fr-BE"/>
        </w:rPr>
      </w:pPr>
      <w:r>
        <w:rPr>
          <w:rStyle w:val="FootnoteReference"/>
        </w:rPr>
        <w:footnoteRef/>
      </w:r>
      <w:r>
        <w:rPr>
          <w:lang w:val="fr-BE"/>
        </w:rPr>
        <w:t xml:space="preserve"> </w:t>
      </w:r>
      <w:r>
        <w:rPr>
          <w:lang w:val="fr-BE"/>
        </w:rPr>
        <w:tab/>
        <w:t xml:space="preserve">Google Spain, </w:t>
      </w:r>
      <w:hyperlink r:id="rId381" w:history="1">
        <w:r>
          <w:rPr>
            <w:rStyle w:val="Hyperlink"/>
            <w:lang w:val="fr-BE"/>
          </w:rPr>
          <w:t>C-131/12</w:t>
        </w:r>
      </w:hyperlink>
      <w:r>
        <w:rPr>
          <w:lang w:val="fr-BE"/>
        </w:rPr>
        <w:t>.</w:t>
      </w:r>
    </w:p>
  </w:footnote>
  <w:footnote w:id="278">
    <w:p w:rsidR="00E201F7" w:rsidRDefault="00E24EFF">
      <w:pPr>
        <w:pStyle w:val="FootnoteText"/>
        <w:rPr>
          <w:lang w:val="fr-BE"/>
        </w:rPr>
      </w:pPr>
      <w:r>
        <w:rPr>
          <w:rStyle w:val="FootnoteReference"/>
        </w:rPr>
        <w:footnoteRef/>
      </w:r>
      <w:r>
        <w:rPr>
          <w:lang w:val="fr-BE"/>
        </w:rPr>
        <w:t xml:space="preserve"> </w:t>
      </w:r>
      <w:r>
        <w:rPr>
          <w:lang w:val="fr-BE"/>
        </w:rPr>
        <w:tab/>
        <w:t xml:space="preserve">Directive </w:t>
      </w:r>
      <w:hyperlink r:id="rId382" w:history="1">
        <w:r>
          <w:rPr>
            <w:rStyle w:val="Hyperlink"/>
            <w:lang w:val="fr-BE"/>
          </w:rPr>
          <w:t>2014/89/EU</w:t>
        </w:r>
      </w:hyperlink>
      <w:r>
        <w:rPr>
          <w:lang w:val="fr-BE"/>
        </w:rPr>
        <w:t xml:space="preserve">; </w:t>
      </w:r>
      <w:hyperlink r:id="rId383" w:history="1">
        <w:r>
          <w:rPr>
            <w:rStyle w:val="Hyperlink"/>
            <w:lang w:val="fr-BE"/>
          </w:rPr>
          <w:t>MEMO/17/1935</w:t>
        </w:r>
      </w:hyperlink>
      <w:r>
        <w:rPr>
          <w:lang w:val="fr-BE"/>
        </w:rPr>
        <w:t>.</w:t>
      </w:r>
    </w:p>
  </w:footnote>
  <w:footnote w:id="279">
    <w:p w:rsidR="00E201F7" w:rsidRDefault="00E24EFF">
      <w:pPr>
        <w:pStyle w:val="FootnoteText"/>
        <w:rPr>
          <w:lang w:val="pt-PT"/>
        </w:rPr>
      </w:pPr>
      <w:r>
        <w:rPr>
          <w:rStyle w:val="FootnoteReference"/>
        </w:rPr>
        <w:footnoteRef/>
      </w:r>
      <w:r>
        <w:rPr>
          <w:lang w:val="pt-PT"/>
        </w:rPr>
        <w:t xml:space="preserve"> </w:t>
      </w:r>
      <w:r>
        <w:rPr>
          <w:lang w:val="pt-PT"/>
        </w:rPr>
        <w:tab/>
      </w:r>
      <w:hyperlink r:id="rId384" w:history="1">
        <w:r>
          <w:rPr>
            <w:rStyle w:val="Hyperlink"/>
            <w:lang w:val="pt-PT"/>
          </w:rPr>
          <w:t>MEMO/17/3494</w:t>
        </w:r>
      </w:hyperlink>
      <w:r>
        <w:rPr>
          <w:lang w:val="pt-PT"/>
        </w:rPr>
        <w:t>.</w:t>
      </w:r>
    </w:p>
  </w:footnote>
  <w:footnote w:id="280">
    <w:p w:rsidR="00E201F7" w:rsidRDefault="00E24EFF">
      <w:pPr>
        <w:pStyle w:val="FootnoteText"/>
        <w:rPr>
          <w:lang w:val="pt-PT"/>
        </w:rPr>
      </w:pPr>
      <w:r>
        <w:rPr>
          <w:rStyle w:val="FootnoteReference"/>
        </w:rPr>
        <w:footnoteRef/>
      </w:r>
      <w:r>
        <w:rPr>
          <w:lang w:val="pt-PT"/>
        </w:rPr>
        <w:t xml:space="preserve"> </w:t>
      </w:r>
      <w:r>
        <w:rPr>
          <w:lang w:val="pt-PT"/>
        </w:rPr>
        <w:tab/>
      </w:r>
      <w:hyperlink r:id="rId385" w:history="1">
        <w:r>
          <w:rPr>
            <w:rStyle w:val="Hyperlink"/>
            <w:lang w:val="pt-PT"/>
          </w:rPr>
          <w:t>MEMO/17/234</w:t>
        </w:r>
      </w:hyperlink>
      <w:r>
        <w:rPr>
          <w:lang w:val="pt-PT"/>
        </w:rPr>
        <w:t>.</w:t>
      </w:r>
    </w:p>
  </w:footnote>
  <w:footnote w:id="281">
    <w:p w:rsidR="00E201F7" w:rsidRDefault="00E24EFF">
      <w:pPr>
        <w:pStyle w:val="FootnoteText"/>
        <w:rPr>
          <w:lang w:val="pt-PT"/>
        </w:rPr>
      </w:pPr>
      <w:r>
        <w:rPr>
          <w:rStyle w:val="FootnoteReference"/>
        </w:rPr>
        <w:footnoteRef/>
      </w:r>
      <w:r>
        <w:rPr>
          <w:lang w:val="pt-PT"/>
        </w:rPr>
        <w:t xml:space="preserve"> </w:t>
      </w:r>
      <w:r>
        <w:rPr>
          <w:lang w:val="pt-PT"/>
        </w:rPr>
        <w:tab/>
        <w:t xml:space="preserve">Directive </w:t>
      </w:r>
      <w:hyperlink r:id="rId386" w:history="1">
        <w:r>
          <w:rPr>
            <w:rStyle w:val="Hyperlink"/>
            <w:lang w:val="pt-PT"/>
          </w:rPr>
          <w:t>2014/89/EU</w:t>
        </w:r>
      </w:hyperlink>
      <w:r>
        <w:rPr>
          <w:lang w:val="pt-PT"/>
        </w:rPr>
        <w:t>.</w:t>
      </w:r>
    </w:p>
  </w:footnote>
  <w:footnote w:id="282">
    <w:p w:rsidR="00E201F7" w:rsidRDefault="00E24EFF">
      <w:pPr>
        <w:pStyle w:val="FootnoteText"/>
        <w:rPr>
          <w:lang w:val="pt-PT"/>
        </w:rPr>
      </w:pPr>
      <w:r>
        <w:rPr>
          <w:rStyle w:val="FootnoteReference"/>
        </w:rPr>
        <w:footnoteRef/>
      </w:r>
      <w:r>
        <w:rPr>
          <w:lang w:val="pt-PT"/>
        </w:rPr>
        <w:t xml:space="preserve"> </w:t>
      </w:r>
      <w:r>
        <w:rPr>
          <w:lang w:val="pt-PT"/>
        </w:rPr>
        <w:tab/>
        <w:t xml:space="preserve">Regulation </w:t>
      </w:r>
      <w:hyperlink r:id="rId387" w:history="1">
        <w:r>
          <w:rPr>
            <w:rStyle w:val="Hyperlink"/>
            <w:lang w:val="pt-PT"/>
          </w:rPr>
          <w:t>(EC) No 1967/2006</w:t>
        </w:r>
      </w:hyperlink>
      <w:r>
        <w:rPr>
          <w:lang w:val="pt-PT"/>
        </w:rPr>
        <w:t>.</w:t>
      </w:r>
    </w:p>
  </w:footnote>
  <w:footnote w:id="283">
    <w:p w:rsidR="00E201F7" w:rsidRDefault="00E24EFF">
      <w:pPr>
        <w:pStyle w:val="FootnoteText"/>
        <w:rPr>
          <w:lang w:val="pt-PT"/>
        </w:rPr>
      </w:pPr>
      <w:r>
        <w:rPr>
          <w:rStyle w:val="FootnoteReference"/>
        </w:rPr>
        <w:footnoteRef/>
      </w:r>
      <w:r>
        <w:rPr>
          <w:lang w:val="pt-PT"/>
        </w:rPr>
        <w:t xml:space="preserve"> </w:t>
      </w:r>
      <w:r>
        <w:rPr>
          <w:lang w:val="pt-PT"/>
        </w:rPr>
        <w:tab/>
        <w:t xml:space="preserve">Directive </w:t>
      </w:r>
      <w:hyperlink r:id="rId388" w:history="1">
        <w:r>
          <w:rPr>
            <w:rStyle w:val="Hyperlink"/>
            <w:lang w:val="pt-PT"/>
          </w:rPr>
          <w:t>2014/89/EU</w:t>
        </w:r>
      </w:hyperlink>
      <w:r>
        <w:rPr>
          <w:lang w:val="pt-PT"/>
        </w:rPr>
        <w:t>.</w:t>
      </w:r>
    </w:p>
  </w:footnote>
  <w:footnote w:id="284">
    <w:p w:rsidR="00E201F7" w:rsidRDefault="00E24EFF">
      <w:pPr>
        <w:pStyle w:val="FootnoteText"/>
        <w:rPr>
          <w:lang w:val="pt-PT"/>
        </w:rPr>
      </w:pPr>
      <w:r>
        <w:rPr>
          <w:rStyle w:val="FootnoteReference"/>
        </w:rPr>
        <w:footnoteRef/>
      </w:r>
      <w:r>
        <w:rPr>
          <w:lang w:val="pt-PT"/>
        </w:rPr>
        <w:t xml:space="preserve"> </w:t>
      </w:r>
      <w:r>
        <w:rPr>
          <w:lang w:val="pt-PT"/>
        </w:rPr>
        <w:tab/>
        <w:t xml:space="preserve">Regulation </w:t>
      </w:r>
      <w:hyperlink r:id="rId389" w:history="1">
        <w:r>
          <w:rPr>
            <w:rStyle w:val="Hyperlink"/>
            <w:lang w:val="pt-PT"/>
          </w:rPr>
          <w:t>(EC) No 1224/2009</w:t>
        </w:r>
      </w:hyperlink>
      <w:r>
        <w:rPr>
          <w:lang w:val="pt-PT"/>
        </w:rPr>
        <w:t>.</w:t>
      </w:r>
    </w:p>
  </w:footnote>
  <w:footnote w:id="285">
    <w:p w:rsidR="00E201F7" w:rsidRDefault="00E24EFF">
      <w:pPr>
        <w:pStyle w:val="FootnoteText"/>
        <w:rPr>
          <w:lang w:val="pt-PT"/>
        </w:rPr>
      </w:pPr>
      <w:r>
        <w:rPr>
          <w:rStyle w:val="FootnoteReference"/>
        </w:rPr>
        <w:footnoteRef/>
      </w:r>
      <w:r>
        <w:rPr>
          <w:lang w:val="pt-PT"/>
        </w:rPr>
        <w:t xml:space="preserve"> </w:t>
      </w:r>
      <w:r>
        <w:rPr>
          <w:lang w:val="pt-PT"/>
        </w:rPr>
        <w:tab/>
        <w:t xml:space="preserve">Regulation </w:t>
      </w:r>
      <w:hyperlink r:id="rId390" w:history="1">
        <w:r>
          <w:rPr>
            <w:rStyle w:val="Hyperlink"/>
            <w:lang w:val="pt-PT"/>
          </w:rPr>
          <w:t>(EC) No 1224/2009</w:t>
        </w:r>
      </w:hyperlink>
      <w:r>
        <w:rPr>
          <w:lang w:val="pt-PT"/>
        </w:rPr>
        <w:t>.</w:t>
      </w:r>
    </w:p>
  </w:footnote>
  <w:footnote w:id="286">
    <w:p w:rsidR="00E201F7" w:rsidRDefault="00E24EFF">
      <w:pPr>
        <w:pStyle w:val="FootnoteText"/>
        <w:rPr>
          <w:lang w:val="pt-PT"/>
        </w:rPr>
      </w:pPr>
      <w:r>
        <w:rPr>
          <w:rStyle w:val="FootnoteReference"/>
        </w:rPr>
        <w:footnoteRef/>
      </w:r>
      <w:r>
        <w:rPr>
          <w:lang w:val="pt-PT"/>
        </w:rPr>
        <w:t xml:space="preserve"> </w:t>
      </w:r>
      <w:r>
        <w:rPr>
          <w:lang w:val="pt-PT"/>
        </w:rPr>
        <w:tab/>
        <w:t xml:space="preserve">Regulation </w:t>
      </w:r>
      <w:hyperlink r:id="rId391" w:history="1">
        <w:r>
          <w:rPr>
            <w:rStyle w:val="Hyperlink"/>
            <w:lang w:val="pt-PT"/>
          </w:rPr>
          <w:t>(EU) No 1380/2013</w:t>
        </w:r>
      </w:hyperlink>
      <w:r>
        <w:rPr>
          <w:lang w:val="pt-PT"/>
        </w:rPr>
        <w:t>.</w:t>
      </w:r>
    </w:p>
  </w:footnote>
  <w:footnote w:id="287">
    <w:p w:rsidR="00E201F7" w:rsidRDefault="00E24EFF">
      <w:pPr>
        <w:pStyle w:val="FootnoteText"/>
      </w:pPr>
      <w:r>
        <w:rPr>
          <w:rStyle w:val="FootnoteReference"/>
        </w:rPr>
        <w:footnoteRef/>
      </w:r>
      <w:r>
        <w:t xml:space="preserve"> </w:t>
      </w:r>
      <w:r>
        <w:tab/>
        <w:t xml:space="preserve">Commission Decisions </w:t>
      </w:r>
      <w:hyperlink r:id="rId392" w:history="1">
        <w:r>
          <w:rPr>
            <w:rStyle w:val="Hyperlink"/>
          </w:rPr>
          <w:t>C(2013) 6181</w:t>
        </w:r>
      </w:hyperlink>
      <w:r>
        <w:t xml:space="preserve"> and </w:t>
      </w:r>
      <w:hyperlink r:id="rId393" w:history="1">
        <w:r>
          <w:rPr>
            <w:rStyle w:val="Hyperlink"/>
          </w:rPr>
          <w:t>C (2013)6178</w:t>
        </w:r>
      </w:hyperlink>
      <w:r>
        <w:t>.</w:t>
      </w:r>
    </w:p>
  </w:footnote>
  <w:footnote w:id="288">
    <w:p w:rsidR="00E201F7" w:rsidRDefault="00E24EFF">
      <w:pPr>
        <w:pStyle w:val="FootnoteText"/>
      </w:pPr>
      <w:r>
        <w:rPr>
          <w:rStyle w:val="FootnoteReference"/>
        </w:rPr>
        <w:footnoteRef/>
      </w:r>
      <w:r>
        <w:t xml:space="preserve"> </w:t>
      </w:r>
      <w:r>
        <w:tab/>
        <w:t xml:space="preserve">Council Decisions </w:t>
      </w:r>
      <w:hyperlink r:id="rId394" w:history="1">
        <w:r>
          <w:rPr>
            <w:rStyle w:val="Hyperlink"/>
          </w:rPr>
          <w:t>(EU) 2015/1523</w:t>
        </w:r>
      </w:hyperlink>
      <w:r>
        <w:t xml:space="preserve"> and </w:t>
      </w:r>
      <w:hyperlink r:id="rId395" w:history="1">
        <w:r>
          <w:rPr>
            <w:rStyle w:val="Hyperlink"/>
          </w:rPr>
          <w:t>2015</w:t>
        </w:r>
        <w:r>
          <w:rPr>
            <w:rStyle w:val="Hyperlink"/>
          </w:rPr>
          <w:t>/1601</w:t>
        </w:r>
      </w:hyperlink>
      <w:r>
        <w:t xml:space="preserve">; </w:t>
      </w:r>
      <w:hyperlink r:id="rId396" w:history="1">
        <w:r>
          <w:rPr>
            <w:rStyle w:val="Hyperlink"/>
          </w:rPr>
          <w:t>IP/17/5002</w:t>
        </w:r>
      </w:hyperlink>
      <w:r>
        <w:t>.</w:t>
      </w:r>
    </w:p>
  </w:footnote>
  <w:footnote w:id="289">
    <w:p w:rsidR="00E201F7" w:rsidRDefault="00E24EFF">
      <w:pPr>
        <w:pStyle w:val="FootnoteText"/>
      </w:pPr>
      <w:r>
        <w:rPr>
          <w:rStyle w:val="FootnoteReference"/>
        </w:rPr>
        <w:footnoteRef/>
      </w:r>
      <w:r>
        <w:t xml:space="preserve"> </w:t>
      </w:r>
      <w:r>
        <w:tab/>
        <w:t xml:space="preserve">Council Decisions </w:t>
      </w:r>
      <w:hyperlink r:id="rId397" w:history="1">
        <w:r>
          <w:rPr>
            <w:rStyle w:val="Hyperlink"/>
          </w:rPr>
          <w:t>2008/615/JHA</w:t>
        </w:r>
      </w:hyperlink>
      <w:r>
        <w:t xml:space="preserve"> and </w:t>
      </w:r>
      <w:hyperlink r:id="rId398" w:history="1">
        <w:r>
          <w:rPr>
            <w:rStyle w:val="Hyperlink"/>
          </w:rPr>
          <w:t>2008/616/JHA</w:t>
        </w:r>
      </w:hyperlink>
      <w:r>
        <w:t>.</w:t>
      </w:r>
    </w:p>
  </w:footnote>
  <w:footnote w:id="290">
    <w:p w:rsidR="00E201F7" w:rsidRDefault="00E24EFF">
      <w:pPr>
        <w:pStyle w:val="FootnoteText"/>
      </w:pPr>
      <w:r>
        <w:rPr>
          <w:rStyle w:val="FootnoteReference"/>
        </w:rPr>
        <w:footnoteRef/>
      </w:r>
      <w:r>
        <w:t xml:space="preserve"> </w:t>
      </w:r>
      <w:r>
        <w:tab/>
        <w:t xml:space="preserve">Council Decision </w:t>
      </w:r>
      <w:hyperlink r:id="rId399" w:history="1">
        <w:r>
          <w:rPr>
            <w:rStyle w:val="Hyperlink"/>
          </w:rPr>
          <w:t>2002/192/EC</w:t>
        </w:r>
      </w:hyperlink>
      <w:r>
        <w:t>.</w:t>
      </w:r>
    </w:p>
  </w:footnote>
  <w:footnote w:id="291">
    <w:p w:rsidR="00E201F7" w:rsidRDefault="00E24EFF">
      <w:pPr>
        <w:pStyle w:val="FootnoteText"/>
      </w:pPr>
      <w:r>
        <w:rPr>
          <w:rStyle w:val="FootnoteReference"/>
        </w:rPr>
        <w:footnoteRef/>
      </w:r>
      <w:r>
        <w:t xml:space="preserve"> </w:t>
      </w:r>
      <w:r>
        <w:tab/>
      </w:r>
      <w:hyperlink r:id="rId400" w:history="1">
        <w:r>
          <w:rPr>
            <w:rStyle w:val="Hyperlink"/>
          </w:rPr>
          <w:t>MEMO/17/234</w:t>
        </w:r>
      </w:hyperlink>
      <w:r>
        <w:t>.</w:t>
      </w:r>
    </w:p>
  </w:footnote>
  <w:footnote w:id="292">
    <w:p w:rsidR="00E201F7" w:rsidRDefault="00E24EFF">
      <w:pPr>
        <w:pStyle w:val="FootnoteText"/>
      </w:pPr>
      <w:r>
        <w:rPr>
          <w:rStyle w:val="FootnoteReference"/>
        </w:rPr>
        <w:footnoteRef/>
      </w:r>
      <w:r>
        <w:t xml:space="preserve"> </w:t>
      </w:r>
      <w:r>
        <w:tab/>
      </w:r>
      <w:hyperlink r:id="rId401" w:history="1">
        <w:r>
          <w:rPr>
            <w:rStyle w:val="Hyperlink"/>
          </w:rPr>
          <w:t>MEMO/17/1577</w:t>
        </w:r>
      </w:hyperlink>
      <w:r>
        <w:t>.</w:t>
      </w:r>
    </w:p>
  </w:footnote>
  <w:footnote w:id="293">
    <w:p w:rsidR="00E201F7" w:rsidRDefault="00E24EFF">
      <w:pPr>
        <w:pStyle w:val="FootnoteText"/>
      </w:pPr>
      <w:r>
        <w:rPr>
          <w:rStyle w:val="FootnoteReference"/>
        </w:rPr>
        <w:footnoteRef/>
      </w:r>
      <w:r>
        <w:t xml:space="preserve"> </w:t>
      </w:r>
      <w:r>
        <w:tab/>
      </w:r>
      <w:hyperlink r:id="rId402" w:history="1">
        <w:r>
          <w:rPr>
            <w:rStyle w:val="Hyperlink"/>
          </w:rPr>
          <w:t>IP/17/5023</w:t>
        </w:r>
      </w:hyperlink>
      <w:r>
        <w:t>.</w:t>
      </w:r>
    </w:p>
  </w:footnote>
  <w:footnote w:id="294">
    <w:p w:rsidR="00E201F7" w:rsidRDefault="00E24EFF">
      <w:pPr>
        <w:pStyle w:val="FootnoteText"/>
      </w:pPr>
      <w:r>
        <w:rPr>
          <w:rStyle w:val="FootnoteReference"/>
        </w:rPr>
        <w:footnoteRef/>
      </w:r>
      <w:r>
        <w:t xml:space="preserve"> </w:t>
      </w:r>
      <w:r>
        <w:tab/>
        <w:t>Council Decisio</w:t>
      </w:r>
      <w:r>
        <w:t xml:space="preserve">n </w:t>
      </w:r>
      <w:hyperlink r:id="rId403" w:history="1">
        <w:r>
          <w:rPr>
            <w:rStyle w:val="Hyperlink"/>
          </w:rPr>
          <w:t>2006/960/JHA</w:t>
        </w:r>
      </w:hyperlink>
      <w:r>
        <w:t>.</w:t>
      </w:r>
    </w:p>
  </w:footnote>
  <w:footnote w:id="295">
    <w:p w:rsidR="00E201F7" w:rsidRDefault="00E24EFF">
      <w:pPr>
        <w:pStyle w:val="FootnoteText"/>
      </w:pPr>
      <w:r>
        <w:rPr>
          <w:rStyle w:val="FootnoteReference"/>
        </w:rPr>
        <w:footnoteRef/>
      </w:r>
      <w:r>
        <w:t xml:space="preserve"> </w:t>
      </w:r>
      <w:r>
        <w:tab/>
      </w:r>
      <w:hyperlink r:id="rId404" w:history="1">
        <w:r>
          <w:rPr>
            <w:rStyle w:val="Hyperlink"/>
          </w:rPr>
          <w:t>MEMO/17/3494</w:t>
        </w:r>
      </w:hyperlink>
      <w:r>
        <w:t>.</w:t>
      </w:r>
      <w:r>
        <w:tab/>
      </w:r>
    </w:p>
  </w:footnote>
  <w:footnote w:id="296">
    <w:p w:rsidR="00E201F7" w:rsidRDefault="00E24EFF">
      <w:pPr>
        <w:pStyle w:val="FootnoteText"/>
      </w:pPr>
      <w:r>
        <w:rPr>
          <w:rStyle w:val="FootnoteReference"/>
        </w:rPr>
        <w:footnoteRef/>
      </w:r>
      <w:r>
        <w:t xml:space="preserve"> </w:t>
      </w:r>
      <w:r>
        <w:tab/>
        <w:t xml:space="preserve">Council Decisions </w:t>
      </w:r>
      <w:hyperlink r:id="rId405" w:history="1">
        <w:r>
          <w:rPr>
            <w:rStyle w:val="Hyperlink"/>
          </w:rPr>
          <w:t>(EU) 2015/1523</w:t>
        </w:r>
      </w:hyperlink>
      <w:r>
        <w:t xml:space="preserve"> and </w:t>
      </w:r>
      <w:hyperlink r:id="rId406" w:history="1">
        <w:r>
          <w:rPr>
            <w:rStyle w:val="Hyperlink"/>
          </w:rPr>
          <w:t>2015/1601</w:t>
        </w:r>
      </w:hyperlink>
      <w:r>
        <w:t xml:space="preserve">, Commission v Poland, </w:t>
      </w:r>
      <w:hyperlink r:id="rId407" w:history="1">
        <w:r>
          <w:rPr>
            <w:rStyle w:val="Hyperlink"/>
          </w:rPr>
          <w:t>C-715/17</w:t>
        </w:r>
      </w:hyperlink>
      <w:r>
        <w:t xml:space="preserve">, </w:t>
      </w:r>
      <w:hyperlink r:id="rId408" w:history="1">
        <w:r>
          <w:rPr>
            <w:rStyle w:val="Hyperlink"/>
          </w:rPr>
          <w:t>IP/17/5002</w:t>
        </w:r>
      </w:hyperlink>
      <w:r>
        <w:t xml:space="preserve">, Commission v. Hungary, </w:t>
      </w:r>
      <w:hyperlink r:id="rId409" w:history="1">
        <w:r>
          <w:rPr>
            <w:rStyle w:val="Hyperlink"/>
          </w:rPr>
          <w:t>C-718/17</w:t>
        </w:r>
      </w:hyperlink>
      <w:r>
        <w:t xml:space="preserve">, </w:t>
      </w:r>
      <w:hyperlink r:id="rId410" w:history="1">
        <w:r>
          <w:rPr>
            <w:rStyle w:val="Hyperlink"/>
          </w:rPr>
          <w:t>IP/17/5002</w:t>
        </w:r>
      </w:hyperlink>
      <w:r>
        <w:rPr>
          <w:rStyle w:val="Hyperlink"/>
        </w:rPr>
        <w:t xml:space="preserve">, </w:t>
      </w:r>
      <w:r>
        <w:t xml:space="preserve">Commission v. Czech Republic, </w:t>
      </w:r>
      <w:hyperlink r:id="rId411" w:history="1">
        <w:r>
          <w:rPr>
            <w:rStyle w:val="Hyperlink"/>
          </w:rPr>
          <w:t>C-719/17</w:t>
        </w:r>
      </w:hyperlink>
      <w:r>
        <w:t xml:space="preserve">, </w:t>
      </w:r>
      <w:hyperlink r:id="rId412" w:history="1">
        <w:r>
          <w:rPr>
            <w:rStyle w:val="Hyperlink"/>
          </w:rPr>
          <w:t>IP/17/5002</w:t>
        </w:r>
      </w:hyperlink>
      <w:r>
        <w:t>.</w:t>
      </w:r>
    </w:p>
  </w:footnote>
  <w:footnote w:id="297">
    <w:p w:rsidR="00E201F7" w:rsidRDefault="00E24EFF">
      <w:pPr>
        <w:pStyle w:val="FootnoteText"/>
        <w:rPr>
          <w:lang w:val="fr-BE"/>
        </w:rPr>
      </w:pPr>
      <w:r>
        <w:rPr>
          <w:rStyle w:val="FootnoteReference"/>
        </w:rPr>
        <w:footnoteRef/>
      </w:r>
      <w:r>
        <w:rPr>
          <w:lang w:val="fr-BE"/>
        </w:rPr>
        <w:t xml:space="preserve"> </w:t>
      </w:r>
      <w:r>
        <w:rPr>
          <w:lang w:val="fr-BE"/>
        </w:rPr>
        <w:tab/>
        <w:t xml:space="preserve">Directive </w:t>
      </w:r>
      <w:hyperlink r:id="rId413" w:history="1">
        <w:r>
          <w:rPr>
            <w:rStyle w:val="Hyperlink"/>
            <w:lang w:val="fr-BE"/>
          </w:rPr>
          <w:t>2014/66/EU.</w:t>
        </w:r>
      </w:hyperlink>
    </w:p>
  </w:footnote>
  <w:footnote w:id="298">
    <w:p w:rsidR="00E201F7" w:rsidRDefault="00E24EFF">
      <w:pPr>
        <w:pStyle w:val="FootnoteText"/>
        <w:rPr>
          <w:lang w:val="fr-BE"/>
        </w:rPr>
      </w:pPr>
      <w:r>
        <w:rPr>
          <w:rStyle w:val="FootnoteReference"/>
        </w:rPr>
        <w:footnoteRef/>
      </w:r>
      <w:r>
        <w:rPr>
          <w:lang w:val="fr-BE"/>
        </w:rPr>
        <w:t xml:space="preserve"> </w:t>
      </w:r>
      <w:r>
        <w:rPr>
          <w:lang w:val="fr-BE"/>
        </w:rPr>
        <w:tab/>
        <w:t xml:space="preserve">Directive </w:t>
      </w:r>
      <w:hyperlink r:id="rId414" w:history="1">
        <w:r>
          <w:rPr>
            <w:rStyle w:val="Hyperlink"/>
            <w:lang w:val="fr-BE"/>
          </w:rPr>
          <w:t>2014/66/EU</w:t>
        </w:r>
      </w:hyperlink>
      <w:r>
        <w:rPr>
          <w:lang w:val="fr-BE"/>
        </w:rPr>
        <w:t>.</w:t>
      </w:r>
    </w:p>
  </w:footnote>
  <w:footnote w:id="299">
    <w:p w:rsidR="00E201F7" w:rsidRDefault="00E24EFF">
      <w:pPr>
        <w:pStyle w:val="FootnoteText"/>
        <w:rPr>
          <w:lang w:val="fr-BE"/>
        </w:rPr>
      </w:pPr>
      <w:r>
        <w:rPr>
          <w:rStyle w:val="FootnoteReference"/>
        </w:rPr>
        <w:footnoteRef/>
      </w:r>
      <w:r>
        <w:rPr>
          <w:lang w:val="fr-BE"/>
        </w:rPr>
        <w:t xml:space="preserve"> </w:t>
      </w:r>
      <w:r>
        <w:rPr>
          <w:lang w:val="fr-BE"/>
        </w:rPr>
        <w:tab/>
        <w:t xml:space="preserve">Directive </w:t>
      </w:r>
      <w:hyperlink r:id="rId415" w:history="1">
        <w:r>
          <w:rPr>
            <w:rStyle w:val="Hyperlink"/>
            <w:lang w:val="fr-BE"/>
          </w:rPr>
          <w:t>2011/98/EU</w:t>
        </w:r>
      </w:hyperlink>
      <w:r>
        <w:rPr>
          <w:lang w:val="fr-BE"/>
        </w:rPr>
        <w:t>, Commission v Be</w:t>
      </w:r>
      <w:r>
        <w:rPr>
          <w:lang w:val="fr-BE"/>
        </w:rPr>
        <w:t xml:space="preserve">lgium, </w:t>
      </w:r>
      <w:hyperlink r:id="rId416" w:history="1">
        <w:r>
          <w:rPr>
            <w:rStyle w:val="Hyperlink"/>
            <w:lang w:val="fr-BE"/>
          </w:rPr>
          <w:t>C-564/17</w:t>
        </w:r>
      </w:hyperlink>
      <w:r>
        <w:rPr>
          <w:lang w:val="fr-BE"/>
        </w:rPr>
        <w:t xml:space="preserve">, </w:t>
      </w:r>
      <w:hyperlink r:id="rId417" w:history="1">
        <w:r>
          <w:rPr>
            <w:rStyle w:val="Hyperlink"/>
            <w:lang w:val="fr-BE"/>
          </w:rPr>
          <w:t>IP/17/1953</w:t>
        </w:r>
      </w:hyperlink>
      <w:r>
        <w:rPr>
          <w:lang w:val="fr-BE"/>
        </w:rPr>
        <w:t>.</w:t>
      </w:r>
    </w:p>
  </w:footnote>
  <w:footnote w:id="300">
    <w:p w:rsidR="00E201F7" w:rsidRDefault="00E24EFF">
      <w:pPr>
        <w:pStyle w:val="FootnoteText"/>
        <w:rPr>
          <w:lang w:val="fr-BE"/>
        </w:rPr>
      </w:pPr>
      <w:r>
        <w:rPr>
          <w:rStyle w:val="FootnoteReference"/>
        </w:rPr>
        <w:footnoteRef/>
      </w:r>
      <w:r>
        <w:rPr>
          <w:lang w:val="fr-BE"/>
        </w:rPr>
        <w:t xml:space="preserve"> </w:t>
      </w:r>
      <w:r>
        <w:rPr>
          <w:lang w:val="fr-BE"/>
        </w:rPr>
        <w:tab/>
        <w:t xml:space="preserve">Regulation (EU) </w:t>
      </w:r>
      <w:hyperlink r:id="rId418" w:history="1">
        <w:r>
          <w:rPr>
            <w:rStyle w:val="Hyperlink"/>
            <w:lang w:val="fr-BE"/>
          </w:rPr>
          <w:t>2016/399.</w:t>
        </w:r>
      </w:hyperlink>
    </w:p>
  </w:footnote>
  <w:footnote w:id="301">
    <w:p w:rsidR="00E201F7" w:rsidRDefault="00E24EFF">
      <w:pPr>
        <w:pStyle w:val="FootnoteText"/>
        <w:rPr>
          <w:lang w:val="fr-BE"/>
        </w:rPr>
      </w:pPr>
      <w:r>
        <w:rPr>
          <w:rStyle w:val="FootnoteReference"/>
        </w:rPr>
        <w:footnoteRef/>
      </w:r>
      <w:r>
        <w:rPr>
          <w:lang w:val="fr-BE"/>
        </w:rPr>
        <w:t xml:space="preserve"> </w:t>
      </w:r>
      <w:r>
        <w:rPr>
          <w:lang w:val="fr-BE"/>
        </w:rPr>
        <w:tab/>
        <w:t xml:space="preserve">Directive </w:t>
      </w:r>
      <w:hyperlink r:id="rId419" w:history="1">
        <w:r>
          <w:rPr>
            <w:rStyle w:val="Hyperlink"/>
            <w:lang w:val="fr-BE"/>
          </w:rPr>
          <w:t>2011/36/EU</w:t>
        </w:r>
      </w:hyperlink>
      <w:r>
        <w:rPr>
          <w:lang w:val="fr-BE"/>
        </w:rPr>
        <w:t>.</w:t>
      </w:r>
      <w:r>
        <w:rPr>
          <w:lang w:val="fr-BE"/>
        </w:rPr>
        <w:tab/>
      </w:r>
    </w:p>
  </w:footnote>
  <w:footnote w:id="302">
    <w:p w:rsidR="00E201F7" w:rsidRDefault="00E24EFF">
      <w:pPr>
        <w:pStyle w:val="FootnoteText"/>
        <w:rPr>
          <w:lang w:val="fr-BE"/>
        </w:rPr>
      </w:pPr>
      <w:r>
        <w:rPr>
          <w:rStyle w:val="FootnoteReference"/>
        </w:rPr>
        <w:footnoteRef/>
      </w:r>
      <w:r>
        <w:rPr>
          <w:lang w:val="fr-BE"/>
        </w:rPr>
        <w:t xml:space="preserve"> </w:t>
      </w:r>
      <w:r>
        <w:rPr>
          <w:lang w:val="fr-BE"/>
        </w:rPr>
        <w:tab/>
        <w:t xml:space="preserve">Commission Decisions </w:t>
      </w:r>
      <w:hyperlink r:id="rId420" w:history="1">
        <w:r>
          <w:rPr>
            <w:rStyle w:val="Hyperlink"/>
            <w:lang w:val="fr-BE"/>
          </w:rPr>
          <w:t>C (2013) 6181</w:t>
        </w:r>
      </w:hyperlink>
      <w:r>
        <w:rPr>
          <w:lang w:val="fr-BE"/>
        </w:rPr>
        <w:t xml:space="preserve"> and </w:t>
      </w:r>
      <w:hyperlink r:id="rId421" w:history="1">
        <w:r>
          <w:rPr>
            <w:rStyle w:val="Hyperlink"/>
            <w:lang w:val="fr-BE"/>
          </w:rPr>
          <w:t>C (2013) 6178</w:t>
        </w:r>
      </w:hyperlink>
      <w:r>
        <w:rPr>
          <w:lang w:val="fr-BE"/>
        </w:rPr>
        <w:t>.</w:t>
      </w:r>
    </w:p>
  </w:footnote>
  <w:footnote w:id="303">
    <w:p w:rsidR="00E201F7" w:rsidRDefault="00E24EFF">
      <w:pPr>
        <w:pStyle w:val="FootnoteText"/>
        <w:rPr>
          <w:lang w:val="fr-BE"/>
        </w:rPr>
      </w:pPr>
      <w:r>
        <w:rPr>
          <w:rStyle w:val="FootnoteReference"/>
        </w:rPr>
        <w:footnoteRef/>
      </w:r>
      <w:r>
        <w:rPr>
          <w:lang w:val="fr-BE"/>
        </w:rPr>
        <w:t xml:space="preserve"> </w:t>
      </w:r>
      <w:r>
        <w:rPr>
          <w:lang w:val="fr-BE"/>
        </w:rPr>
        <w:tab/>
        <w:t xml:space="preserve">Directive </w:t>
      </w:r>
      <w:hyperlink r:id="rId422" w:history="1">
        <w:r>
          <w:rPr>
            <w:rStyle w:val="Hyperlink"/>
            <w:lang w:val="fr-BE"/>
          </w:rPr>
          <w:t>2014/36/EU</w:t>
        </w:r>
      </w:hyperlink>
      <w:r>
        <w:rPr>
          <w:lang w:val="fr-BE"/>
        </w:rPr>
        <w:t>.</w:t>
      </w:r>
    </w:p>
  </w:footnote>
  <w:footnote w:id="304">
    <w:p w:rsidR="00E201F7" w:rsidRDefault="00E24EFF">
      <w:pPr>
        <w:pStyle w:val="FootnoteText"/>
      </w:pPr>
      <w:r>
        <w:rPr>
          <w:rStyle w:val="FootnoteReference"/>
        </w:rPr>
        <w:footnoteRef/>
      </w:r>
      <w:r>
        <w:t xml:space="preserve"> </w:t>
      </w:r>
      <w:r>
        <w:tab/>
        <w:t xml:space="preserve">Directive </w:t>
      </w:r>
      <w:hyperlink r:id="rId423" w:history="1">
        <w:r>
          <w:rPr>
            <w:rStyle w:val="Hyperlink"/>
          </w:rPr>
          <w:t>2013/40/EU</w:t>
        </w:r>
      </w:hyperlink>
      <w:r>
        <w:t>.</w:t>
      </w:r>
    </w:p>
  </w:footnote>
  <w:footnote w:id="305">
    <w:p w:rsidR="00E201F7" w:rsidRDefault="00E24EFF">
      <w:pPr>
        <w:pStyle w:val="FootnoteText"/>
      </w:pPr>
      <w:r>
        <w:rPr>
          <w:rStyle w:val="FootnoteReference"/>
        </w:rPr>
        <w:footnoteRef/>
      </w:r>
      <w:r>
        <w:t xml:space="preserve"> </w:t>
      </w:r>
      <w:r>
        <w:tab/>
        <w:t xml:space="preserve">Directive </w:t>
      </w:r>
      <w:hyperlink r:id="rId424" w:history="1">
        <w:r>
          <w:rPr>
            <w:rStyle w:val="Hyperlink"/>
          </w:rPr>
          <w:t>2014/66/EU</w:t>
        </w:r>
      </w:hyperlink>
      <w:r>
        <w:t>.</w:t>
      </w:r>
    </w:p>
  </w:footnote>
  <w:footnote w:id="306">
    <w:p w:rsidR="00E201F7" w:rsidRDefault="00E24EFF">
      <w:pPr>
        <w:pStyle w:val="FootnoteText"/>
      </w:pPr>
      <w:r>
        <w:rPr>
          <w:rStyle w:val="FootnoteReference"/>
        </w:rPr>
        <w:footnoteRef/>
      </w:r>
      <w:r>
        <w:t xml:space="preserve"> </w:t>
      </w:r>
      <w:r>
        <w:tab/>
        <w:t xml:space="preserve">Directive </w:t>
      </w:r>
      <w:hyperlink r:id="rId425" w:history="1">
        <w:r>
          <w:rPr>
            <w:rStyle w:val="Hyperlink"/>
          </w:rPr>
          <w:t>2011/51/EU</w:t>
        </w:r>
      </w:hyperlink>
      <w:r>
        <w:t>.</w:t>
      </w:r>
    </w:p>
  </w:footnote>
  <w:footnote w:id="307">
    <w:p w:rsidR="00E201F7" w:rsidRDefault="00E24EFF">
      <w:pPr>
        <w:pStyle w:val="FootnoteText"/>
      </w:pPr>
      <w:r>
        <w:rPr>
          <w:rStyle w:val="FootnoteReference"/>
        </w:rPr>
        <w:footnoteRef/>
      </w:r>
      <w:r>
        <w:t xml:space="preserve"> </w:t>
      </w:r>
      <w:r>
        <w:tab/>
        <w:t xml:space="preserve">Directive </w:t>
      </w:r>
      <w:hyperlink r:id="rId426" w:history="1">
        <w:r>
          <w:rPr>
            <w:rStyle w:val="Hyperlink"/>
          </w:rPr>
          <w:t>2011/95/EU</w:t>
        </w:r>
      </w:hyperlink>
      <w:r>
        <w:t>.</w:t>
      </w:r>
    </w:p>
  </w:footnote>
  <w:footnote w:id="308">
    <w:p w:rsidR="00E201F7" w:rsidRDefault="00E24EFF">
      <w:pPr>
        <w:pStyle w:val="FootnoteText"/>
      </w:pPr>
      <w:r>
        <w:rPr>
          <w:rStyle w:val="FootnoteReference"/>
        </w:rPr>
        <w:footnoteRef/>
      </w:r>
      <w:r>
        <w:t xml:space="preserve"> </w:t>
      </w:r>
      <w:r>
        <w:tab/>
        <w:t xml:space="preserve">Regulation </w:t>
      </w:r>
      <w:hyperlink r:id="rId427" w:history="1">
        <w:r>
          <w:rPr>
            <w:rStyle w:val="Hyperlink"/>
          </w:rPr>
          <w:t>No 343/2003/EC</w:t>
        </w:r>
      </w:hyperlink>
      <w:r>
        <w:t xml:space="preserve"> and Directive </w:t>
      </w:r>
      <w:hyperlink r:id="rId428" w:history="1">
        <w:r>
          <w:rPr>
            <w:rStyle w:val="Hyperlink"/>
          </w:rPr>
          <w:t>2005/85/EC</w:t>
        </w:r>
      </w:hyperlink>
      <w:r>
        <w:t>.</w:t>
      </w:r>
    </w:p>
  </w:footnote>
  <w:footnote w:id="309">
    <w:p w:rsidR="00E201F7" w:rsidRDefault="00E24EFF">
      <w:pPr>
        <w:pStyle w:val="FootnoteText"/>
      </w:pPr>
      <w:r>
        <w:rPr>
          <w:rStyle w:val="FootnoteReference"/>
        </w:rPr>
        <w:footnoteRef/>
      </w:r>
      <w:r>
        <w:t xml:space="preserve"> </w:t>
      </w:r>
      <w:r>
        <w:tab/>
        <w:t>These r</w:t>
      </w:r>
      <w:r>
        <w:t>ulings are almost exclusively handed down on infringement procedures.</w:t>
      </w:r>
    </w:p>
  </w:footnote>
  <w:footnote w:id="310">
    <w:p w:rsidR="00E201F7" w:rsidRDefault="00E24EFF">
      <w:pPr>
        <w:pStyle w:val="FootnoteText"/>
      </w:pPr>
      <w:r>
        <w:rPr>
          <w:rStyle w:val="FootnoteReference"/>
        </w:rPr>
        <w:footnoteRef/>
      </w:r>
      <w:r>
        <w:t xml:space="preserve"> </w:t>
      </w:r>
      <w:r>
        <w:tab/>
        <w:t xml:space="preserve">Council Decisions </w:t>
      </w:r>
      <w:hyperlink r:id="rId429" w:history="1">
        <w:r>
          <w:rPr>
            <w:rStyle w:val="Hyperlink"/>
          </w:rPr>
          <w:t>(EU) 2015/1523</w:t>
        </w:r>
      </w:hyperlink>
      <w:r>
        <w:t xml:space="preserve"> and </w:t>
      </w:r>
      <w:hyperlink r:id="rId430" w:history="1">
        <w:r>
          <w:rPr>
            <w:rStyle w:val="Hyperlink"/>
          </w:rPr>
          <w:t>2015/1601</w:t>
        </w:r>
      </w:hyperlink>
      <w:r>
        <w:t xml:space="preserve">; </w:t>
      </w:r>
      <w:hyperlink r:id="rId431" w:history="1">
        <w:r>
          <w:rPr>
            <w:rStyle w:val="Hyperlink"/>
          </w:rPr>
          <w:t>IP/17/5002</w:t>
        </w:r>
      </w:hyperlink>
      <w:r>
        <w:t>.</w:t>
      </w:r>
    </w:p>
  </w:footnote>
  <w:footnote w:id="311">
    <w:p w:rsidR="00E201F7" w:rsidRDefault="00E24EFF">
      <w:pPr>
        <w:pStyle w:val="FootnoteText"/>
      </w:pPr>
      <w:r>
        <w:rPr>
          <w:rStyle w:val="FootnoteReference"/>
        </w:rPr>
        <w:footnoteRef/>
      </w:r>
      <w:r>
        <w:t xml:space="preserve"> </w:t>
      </w:r>
      <w:r>
        <w:tab/>
      </w:r>
      <w:smartTag w:uri="urn:schemas-microsoft-com:office:smarttags" w:element="country-region">
        <w:r>
          <w:t>Slovakia</w:t>
        </w:r>
      </w:smartTag>
      <w:r>
        <w:t xml:space="preserve"> v. Council, </w:t>
      </w:r>
      <w:hyperlink r:id="rId432" w:history="1">
        <w:r>
          <w:rPr>
            <w:rStyle w:val="Hyperlink"/>
          </w:rPr>
          <w:t>C-643/1</w:t>
        </w:r>
        <w:r>
          <w:rPr>
            <w:rStyle w:val="Hyperlink"/>
          </w:rPr>
          <w:t>5</w:t>
        </w:r>
      </w:hyperlink>
      <w:r>
        <w:t xml:space="preserve"> and </w:t>
      </w:r>
      <w:smartTag w:uri="urn:schemas-microsoft-com:office:smarttags" w:element="country-region">
        <w:smartTag w:uri="urn:schemas-microsoft-com:office:smarttags" w:element="place">
          <w:r>
            <w:t>Hungary</w:t>
          </w:r>
        </w:smartTag>
      </w:smartTag>
      <w:r>
        <w:t xml:space="preserve"> vs Council, </w:t>
      </w:r>
      <w:hyperlink r:id="rId433" w:history="1">
        <w:r>
          <w:rPr>
            <w:rStyle w:val="Hyperlink"/>
          </w:rPr>
          <w:t>C-647/15</w:t>
        </w:r>
      </w:hyperlink>
      <w:r>
        <w:t xml:space="preserve"> and Court press release </w:t>
      </w:r>
      <w:hyperlink r:id="rId434" w:history="1">
        <w:r>
          <w:rPr>
            <w:rStyle w:val="Hyperlink"/>
          </w:rPr>
          <w:t>No 9</w:t>
        </w:r>
        <w:r>
          <w:rPr>
            <w:rStyle w:val="Hyperlink"/>
          </w:rPr>
          <w:t>1/17</w:t>
        </w:r>
      </w:hyperlink>
      <w:r>
        <w:t>.</w:t>
      </w:r>
    </w:p>
  </w:footnote>
  <w:footnote w:id="312">
    <w:p w:rsidR="00E201F7" w:rsidRDefault="00E24EFF">
      <w:pPr>
        <w:pStyle w:val="FootnoteText"/>
      </w:pPr>
      <w:r>
        <w:rPr>
          <w:rStyle w:val="FootnoteReference"/>
        </w:rPr>
        <w:footnoteRef/>
      </w:r>
      <w:r>
        <w:t xml:space="preserve"> </w:t>
      </w:r>
      <w:r>
        <w:tab/>
        <w:t xml:space="preserve">Mostafa Lounani, </w:t>
      </w:r>
      <w:hyperlink r:id="rId435" w:history="1">
        <w:r>
          <w:rPr>
            <w:rStyle w:val="Hyperlink"/>
          </w:rPr>
          <w:t>C-573/14</w:t>
        </w:r>
      </w:hyperlink>
      <w:r>
        <w:t>.</w:t>
      </w:r>
    </w:p>
  </w:footnote>
  <w:footnote w:id="313">
    <w:p w:rsidR="00E201F7" w:rsidRDefault="00E24EFF">
      <w:pPr>
        <w:pStyle w:val="FootnoteText"/>
      </w:pPr>
      <w:r>
        <w:rPr>
          <w:rStyle w:val="FootnoteReference"/>
        </w:rPr>
        <w:footnoteRef/>
      </w:r>
      <w:r>
        <w:t xml:space="preserve"> </w:t>
      </w:r>
      <w:r>
        <w:tab/>
        <w:t xml:space="preserve">X and X, </w:t>
      </w:r>
      <w:hyperlink r:id="rId436" w:history="1">
        <w:r>
          <w:rPr>
            <w:rStyle w:val="Hyperlink"/>
          </w:rPr>
          <w:t>C-638/16</w:t>
        </w:r>
      </w:hyperlink>
      <w:r>
        <w:t xml:space="preserve"> and Court press release </w:t>
      </w:r>
      <w:hyperlink r:id="rId437" w:history="1">
        <w:r>
          <w:rPr>
            <w:rStyle w:val="Hyperlink"/>
          </w:rPr>
          <w:t>No 24/17</w:t>
        </w:r>
      </w:hyperlink>
      <w:r>
        <w:t>.</w:t>
      </w:r>
    </w:p>
  </w:footnote>
  <w:footnote w:id="314">
    <w:p w:rsidR="00E201F7" w:rsidRDefault="00E24EFF">
      <w:pPr>
        <w:pStyle w:val="FootnoteText"/>
      </w:pPr>
      <w:r>
        <w:rPr>
          <w:rStyle w:val="FootnoteReference"/>
        </w:rPr>
        <w:footnoteRef/>
      </w:r>
      <w:r>
        <w:t xml:space="preserve"> </w:t>
      </w:r>
      <w:r>
        <w:tab/>
        <w:t xml:space="preserve">Policie ČR, Krajské ředitelství policie Ústeckého kraje, odbor cizinecké policie v Salah Al Chodor and others, </w:t>
      </w:r>
      <w:hyperlink r:id="rId438" w:history="1">
        <w:r>
          <w:rPr>
            <w:rStyle w:val="Hyperlink"/>
          </w:rPr>
          <w:t>C-528/15</w:t>
        </w:r>
      </w:hyperlink>
      <w:r>
        <w:t>.</w:t>
      </w:r>
    </w:p>
  </w:footnote>
  <w:footnote w:id="315">
    <w:p w:rsidR="00E201F7" w:rsidRDefault="00E24EFF">
      <w:pPr>
        <w:pStyle w:val="FootnoteText"/>
        <w:rPr>
          <w:lang w:val="de-DE"/>
        </w:rPr>
      </w:pPr>
      <w:r>
        <w:rPr>
          <w:rStyle w:val="FootnoteReference"/>
        </w:rPr>
        <w:footnoteRef/>
      </w:r>
      <w:r>
        <w:rPr>
          <w:lang w:val="de-DE"/>
        </w:rPr>
        <w:t xml:space="preserve"> </w:t>
      </w:r>
      <w:r>
        <w:rPr>
          <w:lang w:val="de-DE"/>
        </w:rPr>
        <w:tab/>
        <w:t xml:space="preserve">Tekdemir v Kreis Bergstraße, </w:t>
      </w:r>
      <w:hyperlink r:id="rId439" w:history="1">
        <w:r>
          <w:rPr>
            <w:rStyle w:val="Hyperlink"/>
            <w:lang w:val="de-DE"/>
          </w:rPr>
          <w:t>C-652/15</w:t>
        </w:r>
      </w:hyperlink>
      <w:r>
        <w:rPr>
          <w:lang w:val="de-DE"/>
        </w:rPr>
        <w:t>.</w:t>
      </w:r>
    </w:p>
  </w:footnote>
  <w:footnote w:id="316">
    <w:p w:rsidR="00E201F7" w:rsidRDefault="00E24EFF">
      <w:pPr>
        <w:pStyle w:val="FootnoteText"/>
        <w:rPr>
          <w:lang w:val="de-DE"/>
        </w:rPr>
      </w:pPr>
      <w:r>
        <w:rPr>
          <w:rStyle w:val="FootnoteReference"/>
        </w:rPr>
        <w:footnoteRef/>
      </w:r>
      <w:r>
        <w:rPr>
          <w:lang w:val="de-DE"/>
        </w:rPr>
        <w:t xml:space="preserve"> </w:t>
      </w:r>
      <w:r>
        <w:rPr>
          <w:lang w:val="de-DE"/>
        </w:rPr>
        <w:tab/>
        <w:t xml:space="preserve">Fahimian, </w:t>
      </w:r>
      <w:hyperlink r:id="rId440" w:history="1">
        <w:r>
          <w:rPr>
            <w:rStyle w:val="Hyperlink"/>
            <w:lang w:val="de-DE"/>
          </w:rPr>
          <w:t>C-544/15</w:t>
        </w:r>
      </w:hyperlink>
      <w:r>
        <w:rPr>
          <w:lang w:val="de-DE"/>
        </w:rPr>
        <w:t>.</w:t>
      </w:r>
    </w:p>
  </w:footnote>
  <w:footnote w:id="317">
    <w:p w:rsidR="00E201F7" w:rsidRDefault="00E24EFF">
      <w:pPr>
        <w:pStyle w:val="FootnoteText"/>
        <w:rPr>
          <w:lang w:val="pt-PT"/>
        </w:rPr>
      </w:pPr>
      <w:r>
        <w:rPr>
          <w:rStyle w:val="FootnoteReference"/>
        </w:rPr>
        <w:footnoteRef/>
      </w:r>
      <w:r>
        <w:rPr>
          <w:lang w:val="pt-PT"/>
        </w:rPr>
        <w:t xml:space="preserve"> </w:t>
      </w:r>
      <w:r>
        <w:rPr>
          <w:lang w:val="pt-PT"/>
        </w:rPr>
        <w:tab/>
        <w:t xml:space="preserve">Petrea, </w:t>
      </w:r>
      <w:hyperlink r:id="rId441" w:history="1">
        <w:r>
          <w:rPr>
            <w:rStyle w:val="Hyperlink"/>
            <w:lang w:val="pt-PT"/>
          </w:rPr>
          <w:t>C-184/16.</w:t>
        </w:r>
      </w:hyperlink>
    </w:p>
  </w:footnote>
  <w:footnote w:id="318">
    <w:p w:rsidR="00E201F7" w:rsidRDefault="00E24EFF">
      <w:pPr>
        <w:pStyle w:val="FootnoteText"/>
        <w:rPr>
          <w:lang w:val="pt-PT"/>
        </w:rPr>
      </w:pPr>
      <w:r>
        <w:rPr>
          <w:rStyle w:val="FootnoteReference"/>
        </w:rPr>
        <w:footnoteRef/>
      </w:r>
      <w:r>
        <w:rPr>
          <w:lang w:val="pt-PT"/>
        </w:rPr>
        <w:t xml:space="preserve"> </w:t>
      </w:r>
      <w:r>
        <w:rPr>
          <w:lang w:val="pt-PT"/>
        </w:rPr>
        <w:tab/>
        <w:t xml:space="preserve">Lopez Pastuzano, </w:t>
      </w:r>
      <w:hyperlink r:id="rId442" w:history="1">
        <w:r>
          <w:rPr>
            <w:rStyle w:val="Hyperlink"/>
            <w:lang w:val="pt-PT"/>
          </w:rPr>
          <w:t>C-636/16</w:t>
        </w:r>
      </w:hyperlink>
      <w:r>
        <w:rPr>
          <w:lang w:val="pt-PT"/>
        </w:rPr>
        <w:t>.</w:t>
      </w:r>
    </w:p>
  </w:footnote>
  <w:footnote w:id="319">
    <w:p w:rsidR="00E201F7" w:rsidRDefault="00E24EFF">
      <w:pPr>
        <w:pStyle w:val="FootnoteText"/>
        <w:rPr>
          <w:lang w:val="pt-PT"/>
        </w:rPr>
      </w:pPr>
      <w:r>
        <w:rPr>
          <w:rStyle w:val="FootnoteReference"/>
        </w:rPr>
        <w:footnoteRef/>
      </w:r>
      <w:r>
        <w:rPr>
          <w:lang w:val="pt-PT"/>
        </w:rPr>
        <w:t xml:space="preserve"> </w:t>
      </w:r>
      <w:r>
        <w:rPr>
          <w:lang w:val="pt-PT"/>
        </w:rPr>
        <w:tab/>
        <w:t xml:space="preserve">Moussa Sacko, </w:t>
      </w:r>
      <w:hyperlink r:id="rId443" w:history="1">
        <w:r>
          <w:rPr>
            <w:rStyle w:val="Hyperlink"/>
            <w:lang w:val="pt-PT"/>
          </w:rPr>
          <w:t>C-348/16</w:t>
        </w:r>
      </w:hyperlink>
      <w:r>
        <w:rPr>
          <w:lang w:val="pt-PT"/>
        </w:rPr>
        <w:t>.</w:t>
      </w:r>
    </w:p>
  </w:footnote>
  <w:footnote w:id="320">
    <w:p w:rsidR="00E201F7" w:rsidRDefault="00E24EFF">
      <w:pPr>
        <w:pStyle w:val="FootnoteText"/>
        <w:rPr>
          <w:lang w:val="pt-PT"/>
        </w:rPr>
      </w:pPr>
      <w:r>
        <w:rPr>
          <w:rStyle w:val="FootnoteReference"/>
        </w:rPr>
        <w:footnoteRef/>
      </w:r>
      <w:r>
        <w:rPr>
          <w:lang w:val="pt-PT"/>
        </w:rPr>
        <w:t xml:space="preserve"> </w:t>
      </w:r>
      <w:r>
        <w:rPr>
          <w:lang w:val="pt-PT"/>
        </w:rPr>
        <w:tab/>
        <w:t xml:space="preserve">Martínez Silva, </w:t>
      </w:r>
      <w:hyperlink r:id="rId444" w:history="1">
        <w:r>
          <w:rPr>
            <w:rStyle w:val="Hyperlink"/>
            <w:lang w:val="pt-PT"/>
          </w:rPr>
          <w:t>C-449/16</w:t>
        </w:r>
      </w:hyperlink>
      <w:r>
        <w:rPr>
          <w:lang w:val="pt-PT"/>
        </w:rPr>
        <w:t>.</w:t>
      </w:r>
    </w:p>
  </w:footnote>
  <w:footnote w:id="321">
    <w:p w:rsidR="00E201F7" w:rsidRDefault="00E24EFF">
      <w:pPr>
        <w:pStyle w:val="FootnoteText"/>
        <w:rPr>
          <w:lang w:val="pt-PT"/>
        </w:rPr>
      </w:pPr>
      <w:r>
        <w:rPr>
          <w:rStyle w:val="FootnoteReference"/>
        </w:rPr>
        <w:footnoteRef/>
      </w:r>
      <w:r>
        <w:rPr>
          <w:lang w:val="pt-PT"/>
        </w:rPr>
        <w:t xml:space="preserve"> </w:t>
      </w:r>
      <w:r>
        <w:rPr>
          <w:lang w:val="pt-PT"/>
        </w:rPr>
        <w:tab/>
        <w:t xml:space="preserve">A, B, C, D, </w:t>
      </w:r>
      <w:hyperlink r:id="rId445" w:history="1">
        <w:r>
          <w:rPr>
            <w:rStyle w:val="Hyperlink"/>
            <w:lang w:val="pt-PT"/>
          </w:rPr>
          <w:t>C-158/14</w:t>
        </w:r>
      </w:hyperlink>
      <w:r>
        <w:rPr>
          <w:lang w:val="pt-PT"/>
        </w:rPr>
        <w:t>.</w:t>
      </w:r>
    </w:p>
  </w:footnote>
  <w:footnote w:id="322">
    <w:p w:rsidR="00E201F7" w:rsidRDefault="00E24EFF">
      <w:pPr>
        <w:pStyle w:val="FootnoteText"/>
        <w:rPr>
          <w:lang w:val="pt-PT"/>
        </w:rPr>
      </w:pPr>
      <w:r>
        <w:rPr>
          <w:rStyle w:val="FootnoteReference"/>
        </w:rPr>
        <w:footnoteRef/>
      </w:r>
      <w:r>
        <w:rPr>
          <w:lang w:val="pt-PT"/>
        </w:rPr>
        <w:t xml:space="preserve">  </w:t>
      </w:r>
      <w:r>
        <w:rPr>
          <w:lang w:val="pt-PT"/>
        </w:rPr>
        <w:tab/>
        <w:t xml:space="preserve">Mossa Ouhrami, </w:t>
      </w:r>
      <w:hyperlink r:id="rId446" w:history="1">
        <w:r>
          <w:rPr>
            <w:rStyle w:val="Hyperlink"/>
            <w:lang w:val="pt-PT"/>
          </w:rPr>
          <w:t>C-225/16</w:t>
        </w:r>
      </w:hyperlink>
      <w:r>
        <w:rPr>
          <w:lang w:val="pt-PT"/>
        </w:rPr>
        <w:t>.</w:t>
      </w:r>
    </w:p>
  </w:footnote>
  <w:footnote w:id="323">
    <w:p w:rsidR="00E201F7" w:rsidRDefault="00E24EFF">
      <w:pPr>
        <w:pStyle w:val="FootnoteText"/>
        <w:rPr>
          <w:lang w:val="pt-PT"/>
        </w:rPr>
      </w:pPr>
      <w:r>
        <w:rPr>
          <w:rStyle w:val="FootnoteReference"/>
        </w:rPr>
        <w:footnoteRef/>
      </w:r>
      <w:r>
        <w:rPr>
          <w:lang w:val="pt-PT"/>
        </w:rPr>
        <w:t xml:space="preserve"> </w:t>
      </w:r>
      <w:r>
        <w:rPr>
          <w:lang w:val="pt-PT"/>
        </w:rPr>
        <w:tab/>
        <w:t xml:space="preserve">Majid Shiri, </w:t>
      </w:r>
      <w:hyperlink r:id="rId447" w:history="1">
        <w:r>
          <w:rPr>
            <w:rStyle w:val="Hyperlink"/>
            <w:lang w:val="pt-PT"/>
          </w:rPr>
          <w:t>C-201/16</w:t>
        </w:r>
      </w:hyperlink>
      <w:r>
        <w:rPr>
          <w:lang w:val="pt-PT"/>
        </w:rPr>
        <w:t>.</w:t>
      </w:r>
    </w:p>
  </w:footnote>
  <w:footnote w:id="324">
    <w:p w:rsidR="00E201F7" w:rsidRDefault="00E24EFF">
      <w:pPr>
        <w:pStyle w:val="FootnoteText"/>
        <w:rPr>
          <w:lang w:val="pt-PT"/>
        </w:rPr>
      </w:pPr>
      <w:r>
        <w:rPr>
          <w:rStyle w:val="FootnoteReference"/>
        </w:rPr>
        <w:footnoteRef/>
      </w:r>
      <w:r>
        <w:rPr>
          <w:lang w:val="pt-PT"/>
        </w:rPr>
        <w:t xml:space="preserve"> </w:t>
      </w:r>
      <w:r>
        <w:rPr>
          <w:lang w:val="pt-PT"/>
        </w:rPr>
        <w:tab/>
        <w:t xml:space="preserve">Regulation </w:t>
      </w:r>
      <w:hyperlink r:id="rId448" w:history="1">
        <w:r>
          <w:rPr>
            <w:rStyle w:val="Hyperlink"/>
            <w:lang w:val="pt-PT"/>
          </w:rPr>
          <w:t>(EC) No 810/2009</w:t>
        </w:r>
      </w:hyperlink>
      <w:r>
        <w:rPr>
          <w:lang w:val="pt-PT"/>
        </w:rPr>
        <w:t>.</w:t>
      </w:r>
    </w:p>
  </w:footnote>
  <w:footnote w:id="325">
    <w:p w:rsidR="00E201F7" w:rsidRDefault="00E24EFF">
      <w:pPr>
        <w:pStyle w:val="FootnoteText"/>
        <w:rPr>
          <w:lang w:val="it-IT"/>
        </w:rPr>
      </w:pPr>
      <w:r>
        <w:rPr>
          <w:rStyle w:val="FootnoteReference"/>
        </w:rPr>
        <w:footnoteRef/>
      </w:r>
      <w:r>
        <w:rPr>
          <w:lang w:val="it-IT"/>
        </w:rPr>
        <w:t xml:space="preserve"> </w:t>
      </w:r>
      <w:r>
        <w:rPr>
          <w:lang w:val="it-IT"/>
        </w:rPr>
        <w:tab/>
        <w:t xml:space="preserve">Soufiane Hassani, </w:t>
      </w:r>
      <w:hyperlink r:id="rId449" w:history="1">
        <w:r>
          <w:rPr>
            <w:rStyle w:val="Hyperlink"/>
            <w:lang w:val="it-IT"/>
          </w:rPr>
          <w:t>C-403/16</w:t>
        </w:r>
      </w:hyperlink>
      <w:r>
        <w:rPr>
          <w:lang w:val="it-IT"/>
        </w:rPr>
        <w:t>.</w:t>
      </w:r>
    </w:p>
  </w:footnote>
  <w:footnote w:id="326">
    <w:p w:rsidR="00E201F7" w:rsidRDefault="00E24EFF">
      <w:pPr>
        <w:pStyle w:val="FootnoteText"/>
        <w:rPr>
          <w:lang w:val="it-IT"/>
        </w:rPr>
      </w:pPr>
      <w:r>
        <w:rPr>
          <w:rStyle w:val="FootnoteReference"/>
        </w:rPr>
        <w:footnoteRef/>
      </w:r>
      <w:r>
        <w:rPr>
          <w:lang w:val="it-IT"/>
        </w:rPr>
        <w:t xml:space="preserve"> </w:t>
      </w:r>
      <w:r>
        <w:rPr>
          <w:lang w:val="it-IT"/>
        </w:rPr>
        <w:tab/>
        <w:t xml:space="preserve">Regulation No </w:t>
      </w:r>
      <w:hyperlink r:id="rId450" w:history="1">
        <w:r>
          <w:rPr>
            <w:rStyle w:val="Hyperlink"/>
            <w:lang w:val="it-IT"/>
          </w:rPr>
          <w:t>810/2009</w:t>
        </w:r>
      </w:hyperlink>
      <w:r>
        <w:rPr>
          <w:lang w:val="it-IT"/>
        </w:rPr>
        <w:t>.</w:t>
      </w:r>
    </w:p>
  </w:footnote>
  <w:footnote w:id="327">
    <w:p w:rsidR="00E201F7" w:rsidRDefault="00E24EFF">
      <w:pPr>
        <w:pStyle w:val="FootnoteText"/>
        <w:rPr>
          <w:lang w:val="it-IT"/>
        </w:rPr>
      </w:pPr>
      <w:r>
        <w:rPr>
          <w:rStyle w:val="FootnoteReference"/>
        </w:rPr>
        <w:footnoteRef/>
      </w:r>
      <w:r>
        <w:rPr>
          <w:lang w:val="it-IT"/>
        </w:rPr>
        <w:t xml:space="preserve"> </w:t>
      </w:r>
      <w:r>
        <w:rPr>
          <w:lang w:val="it-IT"/>
        </w:rPr>
        <w:tab/>
        <w:t>Soufiane Hassani</w:t>
      </w:r>
      <w:hyperlink r:id="rId451" w:history="1">
        <w:r>
          <w:rPr>
            <w:rStyle w:val="Hyperlink"/>
            <w:lang w:val="it-IT"/>
          </w:rPr>
          <w:t>, C-403/16</w:t>
        </w:r>
      </w:hyperlink>
      <w:r>
        <w:rPr>
          <w:lang w:val="it-IT"/>
        </w:rPr>
        <w:t>.</w:t>
      </w:r>
    </w:p>
  </w:footnote>
  <w:footnote w:id="328">
    <w:p w:rsidR="00E201F7" w:rsidRDefault="00E24EFF">
      <w:pPr>
        <w:pStyle w:val="FootnoteText"/>
      </w:pPr>
      <w:r>
        <w:rPr>
          <w:rStyle w:val="FootnoteReference"/>
        </w:rPr>
        <w:footnoteRef/>
      </w:r>
      <w:r>
        <w:t xml:space="preserve"> </w:t>
      </w:r>
      <w:r>
        <w:tab/>
        <w:t xml:space="preserve">C. K., H. F., A. S., </w:t>
      </w:r>
      <w:hyperlink r:id="rId452" w:history="1">
        <w:r>
          <w:rPr>
            <w:rStyle w:val="Hyperlink"/>
          </w:rPr>
          <w:t>C-578/16</w:t>
        </w:r>
      </w:hyperlink>
      <w:r>
        <w:t>.</w:t>
      </w:r>
    </w:p>
  </w:footnote>
  <w:footnote w:id="329">
    <w:p w:rsidR="00E201F7" w:rsidRDefault="00E24EFF">
      <w:pPr>
        <w:pStyle w:val="FootnoteText"/>
      </w:pPr>
      <w:r>
        <w:rPr>
          <w:rStyle w:val="FootnoteReference"/>
        </w:rPr>
        <w:footnoteRef/>
      </w:r>
      <w:r>
        <w:t xml:space="preserve"> </w:t>
      </w:r>
      <w:r>
        <w:tab/>
        <w:t>Tele2 Sverige and Watson and Othe</w:t>
      </w:r>
      <w:r>
        <w:t xml:space="preserve">rs, </w:t>
      </w:r>
      <w:hyperlink r:id="rId453" w:history="1">
        <w:r>
          <w:rPr>
            <w:rStyle w:val="Hyperlink"/>
          </w:rPr>
          <w:t>C</w:t>
        </w:r>
        <w:r>
          <w:rPr>
            <w:rStyle w:val="Hyperlink"/>
            <w:rFonts w:ascii="MS Gothic" w:eastAsia="MS Gothic" w:hAnsi="MS Gothic" w:cs="MS Gothic" w:hint="eastAsia"/>
          </w:rPr>
          <w:t>‑</w:t>
        </w:r>
        <w:r>
          <w:rPr>
            <w:rStyle w:val="Hyperlink"/>
          </w:rPr>
          <w:t>203/15</w:t>
        </w:r>
      </w:hyperlink>
      <w:r>
        <w:t xml:space="preserve"> and </w:t>
      </w:r>
      <w:hyperlink r:id="rId454" w:history="1">
        <w:r>
          <w:rPr>
            <w:rStyle w:val="Hyperlink"/>
          </w:rPr>
          <w:t>C-698/15</w:t>
        </w:r>
      </w:hyperlink>
      <w:r>
        <w:t>.</w:t>
      </w:r>
    </w:p>
  </w:footnote>
  <w:footnote w:id="330">
    <w:p w:rsidR="00E201F7" w:rsidRDefault="00E24EFF">
      <w:pPr>
        <w:pStyle w:val="FootnoteText"/>
      </w:pPr>
      <w:r>
        <w:rPr>
          <w:rStyle w:val="FootnoteReference"/>
        </w:rPr>
        <w:footnoteRef/>
      </w:r>
      <w:r>
        <w:t xml:space="preserve"> </w:t>
      </w:r>
      <w:r>
        <w:tab/>
        <w:t xml:space="preserve">Directive </w:t>
      </w:r>
      <w:hyperlink r:id="rId455" w:history="1">
        <w:r>
          <w:rPr>
            <w:rStyle w:val="Hyperlink"/>
          </w:rPr>
          <w:t>2016/801/EU</w:t>
        </w:r>
      </w:hyperlink>
      <w:r>
        <w:t>.</w:t>
      </w:r>
    </w:p>
  </w:footnote>
  <w:footnote w:id="331">
    <w:p w:rsidR="00E201F7" w:rsidRDefault="00E24EFF">
      <w:pPr>
        <w:pStyle w:val="FootnoteText"/>
      </w:pPr>
      <w:r>
        <w:rPr>
          <w:rStyle w:val="FootnoteReference"/>
        </w:rPr>
        <w:footnoteRef/>
      </w:r>
      <w:r>
        <w:t xml:space="preserve"> </w:t>
      </w:r>
      <w:r>
        <w:tab/>
        <w:t xml:space="preserve">Directive </w:t>
      </w:r>
      <w:hyperlink r:id="rId456" w:history="1">
        <w:r>
          <w:rPr>
            <w:rStyle w:val="Hyperlink"/>
          </w:rPr>
          <w:t>2016/681/EU</w:t>
        </w:r>
      </w:hyperlink>
      <w:r>
        <w:t>.</w:t>
      </w:r>
    </w:p>
  </w:footnote>
  <w:footnote w:id="332">
    <w:p w:rsidR="00E201F7" w:rsidRDefault="00E24EFF">
      <w:pPr>
        <w:pStyle w:val="FootnoteText"/>
      </w:pPr>
      <w:r>
        <w:rPr>
          <w:rStyle w:val="FootnoteReference"/>
        </w:rPr>
        <w:footnoteRef/>
      </w:r>
      <w:r>
        <w:t xml:space="preserve"> </w:t>
      </w:r>
      <w:r>
        <w:tab/>
        <w:t xml:space="preserve">Directive </w:t>
      </w:r>
      <w:hyperlink r:id="rId457" w:history="1">
        <w:r>
          <w:rPr>
            <w:rStyle w:val="Hyperlink"/>
          </w:rPr>
          <w:t>2017/541/EU</w:t>
        </w:r>
      </w:hyperlink>
      <w:r>
        <w:t>.</w:t>
      </w:r>
    </w:p>
  </w:footnote>
  <w:footnote w:id="333">
    <w:p w:rsidR="00E201F7" w:rsidRDefault="00E24EFF">
      <w:pPr>
        <w:pStyle w:val="FootnoteText"/>
      </w:pPr>
      <w:r>
        <w:rPr>
          <w:rStyle w:val="FootnoteReference"/>
        </w:rPr>
        <w:footnoteRef/>
      </w:r>
      <w:r>
        <w:t xml:space="preserve"> </w:t>
      </w:r>
      <w:r>
        <w:tab/>
        <w:t xml:space="preserve">Directives </w:t>
      </w:r>
      <w:hyperlink r:id="rId458" w:history="1">
        <w:r>
          <w:rPr>
            <w:rStyle w:val="Hyperlink"/>
          </w:rPr>
          <w:t>2014/36/EU</w:t>
        </w:r>
      </w:hyperlink>
      <w:r>
        <w:t xml:space="preserve"> and </w:t>
      </w:r>
      <w:hyperlink r:id="rId459" w:history="1">
        <w:r>
          <w:rPr>
            <w:rStyle w:val="Hyperlink"/>
          </w:rPr>
          <w:t>2014/66/EU</w:t>
        </w:r>
      </w:hyperlink>
      <w:r>
        <w:t>.</w:t>
      </w:r>
    </w:p>
  </w:footnote>
  <w:footnote w:id="334">
    <w:p w:rsidR="00E201F7" w:rsidRDefault="00E24EFF">
      <w:pPr>
        <w:pStyle w:val="FootnoteText"/>
      </w:pPr>
      <w:r>
        <w:rPr>
          <w:rStyle w:val="FootnoteReference"/>
        </w:rPr>
        <w:footnoteRef/>
      </w:r>
      <w:r>
        <w:t xml:space="preserve"> </w:t>
      </w:r>
      <w:r>
        <w:tab/>
        <w:t xml:space="preserve">Directives </w:t>
      </w:r>
      <w:hyperlink r:id="rId460" w:history="1">
        <w:r>
          <w:rPr>
            <w:rStyle w:val="Hyperlink"/>
          </w:rPr>
          <w:t>2013/32/EU</w:t>
        </w:r>
      </w:hyperlink>
      <w:r>
        <w:t xml:space="preserve"> and </w:t>
      </w:r>
      <w:hyperlink r:id="rId461" w:history="1">
        <w:r>
          <w:rPr>
            <w:rStyle w:val="Hyperlink"/>
          </w:rPr>
          <w:t>2013/33/EU</w:t>
        </w:r>
      </w:hyperlink>
      <w:r>
        <w:t>.</w:t>
      </w:r>
    </w:p>
  </w:footnote>
  <w:footnote w:id="335">
    <w:p w:rsidR="00E201F7" w:rsidRDefault="00E24EFF">
      <w:pPr>
        <w:pStyle w:val="FootnoteText"/>
      </w:pPr>
      <w:r>
        <w:rPr>
          <w:rStyle w:val="FootnoteReference"/>
        </w:rPr>
        <w:footnoteRef/>
      </w:r>
      <w:r>
        <w:t xml:space="preserve"> </w:t>
      </w:r>
      <w:r>
        <w:tab/>
        <w:t xml:space="preserve">Directive </w:t>
      </w:r>
      <w:hyperlink r:id="rId462" w:history="1">
        <w:r>
          <w:rPr>
            <w:rStyle w:val="Hyperlink"/>
          </w:rPr>
          <w:t>2011/36/EU</w:t>
        </w:r>
      </w:hyperlink>
      <w:r>
        <w:t>.</w:t>
      </w:r>
    </w:p>
  </w:footnote>
  <w:footnote w:id="336">
    <w:p w:rsidR="00E201F7" w:rsidRDefault="00E24EFF">
      <w:pPr>
        <w:pStyle w:val="FootnoteText"/>
      </w:pPr>
      <w:r>
        <w:rPr>
          <w:rStyle w:val="FootnoteReference"/>
        </w:rPr>
        <w:footnoteRef/>
      </w:r>
      <w:r>
        <w:t xml:space="preserve"> </w:t>
      </w:r>
      <w:r>
        <w:tab/>
        <w:t xml:space="preserve">Directive </w:t>
      </w:r>
      <w:hyperlink r:id="rId463" w:history="1">
        <w:r>
          <w:rPr>
            <w:rStyle w:val="Hyperlink"/>
          </w:rPr>
          <w:t>2014/42/EU</w:t>
        </w:r>
      </w:hyperlink>
      <w:r>
        <w:t>.</w:t>
      </w:r>
    </w:p>
  </w:footnote>
  <w:footnote w:id="337">
    <w:p w:rsidR="00E201F7" w:rsidRDefault="00E24EFF">
      <w:pPr>
        <w:pStyle w:val="FootnoteText"/>
      </w:pPr>
      <w:r>
        <w:rPr>
          <w:rStyle w:val="FootnoteReference"/>
        </w:rPr>
        <w:footnoteRef/>
      </w:r>
      <w:r>
        <w:t xml:space="preserve"> </w:t>
      </w:r>
      <w:r>
        <w:tab/>
        <w:t xml:space="preserve">Directive </w:t>
      </w:r>
      <w:hyperlink r:id="rId464" w:history="1">
        <w:r>
          <w:rPr>
            <w:rStyle w:val="Hyperlink"/>
          </w:rPr>
          <w:t>2011/93/EU</w:t>
        </w:r>
      </w:hyperlink>
      <w:r>
        <w:t>.</w:t>
      </w:r>
    </w:p>
  </w:footnote>
  <w:footnote w:id="338">
    <w:p w:rsidR="00E201F7" w:rsidRDefault="00E24EFF">
      <w:pPr>
        <w:pStyle w:val="FootnoteText"/>
        <w:rPr>
          <w:lang w:val="fr-FR"/>
        </w:rPr>
      </w:pPr>
      <w:r>
        <w:rPr>
          <w:rStyle w:val="FootnoteReference"/>
        </w:rPr>
        <w:footnoteRef/>
      </w:r>
      <w:r>
        <w:rPr>
          <w:lang w:val="fr-FR"/>
        </w:rPr>
        <w:t xml:space="preserve"> </w:t>
      </w:r>
      <w:r>
        <w:rPr>
          <w:lang w:val="fr-FR"/>
        </w:rPr>
        <w:tab/>
        <w:t xml:space="preserve">Directive </w:t>
      </w:r>
      <w:hyperlink r:id="rId465" w:history="1">
        <w:r>
          <w:rPr>
            <w:rStyle w:val="Hyperlink"/>
            <w:lang w:val="fr-FR"/>
          </w:rPr>
          <w:t>2013/40/EU</w:t>
        </w:r>
      </w:hyperlink>
      <w:r>
        <w:rPr>
          <w:lang w:val="fr-FR"/>
        </w:rPr>
        <w:t>.</w:t>
      </w:r>
    </w:p>
  </w:footnote>
  <w:footnote w:id="339">
    <w:p w:rsidR="00E201F7" w:rsidRDefault="00E24EFF">
      <w:pPr>
        <w:pStyle w:val="FootnoteText"/>
        <w:rPr>
          <w:lang w:val="fr-FR"/>
        </w:rPr>
      </w:pPr>
      <w:r>
        <w:rPr>
          <w:rStyle w:val="FootnoteReference"/>
        </w:rPr>
        <w:footnoteRef/>
      </w:r>
      <w:r>
        <w:rPr>
          <w:lang w:val="fr-FR"/>
        </w:rPr>
        <w:t xml:space="preserve"> </w:t>
      </w:r>
      <w:r>
        <w:rPr>
          <w:lang w:val="fr-FR"/>
        </w:rPr>
        <w:tab/>
        <w:t xml:space="preserve">Privacy International, </w:t>
      </w:r>
      <w:hyperlink r:id="rId466" w:history="1">
        <w:r>
          <w:rPr>
            <w:rStyle w:val="Hyperlink"/>
            <w:lang w:val="fr-FR"/>
          </w:rPr>
          <w:t>C-623/17</w:t>
        </w:r>
      </w:hyperlink>
      <w:r>
        <w:rPr>
          <w:lang w:val="fr-FR"/>
        </w:rPr>
        <w:t>.</w:t>
      </w:r>
    </w:p>
  </w:footnote>
  <w:footnote w:id="340">
    <w:p w:rsidR="00E201F7" w:rsidRDefault="00E24EFF">
      <w:pPr>
        <w:pStyle w:val="FootnoteText"/>
        <w:rPr>
          <w:lang w:val="fr-FR"/>
        </w:rPr>
      </w:pPr>
      <w:r>
        <w:rPr>
          <w:rStyle w:val="FootnoteReference"/>
        </w:rPr>
        <w:footnoteRef/>
      </w:r>
      <w:r>
        <w:rPr>
          <w:lang w:val="fr-FR"/>
        </w:rPr>
        <w:t xml:space="preserve"> </w:t>
      </w:r>
      <w:r>
        <w:rPr>
          <w:lang w:val="fr-FR"/>
        </w:rPr>
        <w:tab/>
        <w:t xml:space="preserve">El Hassani, </w:t>
      </w:r>
      <w:hyperlink r:id="rId467" w:history="1">
        <w:r>
          <w:rPr>
            <w:rStyle w:val="Hyperlink"/>
            <w:lang w:val="fr-FR"/>
          </w:rPr>
          <w:t>C-403/16.</w:t>
        </w:r>
      </w:hyperlink>
    </w:p>
  </w:footnote>
  <w:footnote w:id="341">
    <w:p w:rsidR="00E201F7" w:rsidRDefault="00E24EFF">
      <w:pPr>
        <w:pStyle w:val="FootnoteText"/>
        <w:rPr>
          <w:lang w:val="fr-BE"/>
        </w:rPr>
      </w:pPr>
      <w:r>
        <w:rPr>
          <w:rStyle w:val="FootnoteReference"/>
        </w:rPr>
        <w:footnoteRef/>
      </w:r>
      <w:r>
        <w:rPr>
          <w:lang w:val="fr-BE"/>
        </w:rPr>
        <w:t xml:space="preserve"> </w:t>
      </w:r>
      <w:r>
        <w:rPr>
          <w:lang w:val="fr-BE"/>
        </w:rPr>
        <w:tab/>
        <w:t xml:space="preserve">Directive </w:t>
      </w:r>
      <w:hyperlink r:id="rId468" w:history="1">
        <w:r>
          <w:rPr>
            <w:rStyle w:val="Hyperlink"/>
            <w:lang w:val="fr-BE"/>
          </w:rPr>
          <w:t>2014/94/EU</w:t>
        </w:r>
      </w:hyperlink>
      <w:r>
        <w:rPr>
          <w:lang w:val="fr-BE"/>
        </w:rPr>
        <w:t>.</w:t>
      </w:r>
    </w:p>
  </w:footnote>
  <w:footnote w:id="342">
    <w:p w:rsidR="00E201F7" w:rsidRDefault="00E24EFF">
      <w:pPr>
        <w:pStyle w:val="FootnoteText"/>
        <w:rPr>
          <w:lang w:val="fr-FR"/>
        </w:rPr>
      </w:pPr>
      <w:r>
        <w:rPr>
          <w:rStyle w:val="FootnoteReference"/>
        </w:rPr>
        <w:footnoteRef/>
      </w:r>
      <w:r>
        <w:rPr>
          <w:lang w:val="fr-FR"/>
        </w:rPr>
        <w:t xml:space="preserve"> </w:t>
      </w:r>
      <w:r>
        <w:rPr>
          <w:lang w:val="fr-FR"/>
        </w:rPr>
        <w:tab/>
        <w:t xml:space="preserve">Directive </w:t>
      </w:r>
      <w:hyperlink r:id="rId469" w:history="1">
        <w:r>
          <w:rPr>
            <w:rStyle w:val="Hyperlink"/>
            <w:lang w:val="fr-FR"/>
          </w:rPr>
          <w:t>2008/106/EC</w:t>
        </w:r>
      </w:hyperlink>
      <w:r>
        <w:rPr>
          <w:lang w:val="fr-FR"/>
        </w:rPr>
        <w:t>.</w:t>
      </w:r>
    </w:p>
  </w:footnote>
  <w:footnote w:id="343">
    <w:p w:rsidR="00E201F7" w:rsidRDefault="00E24EFF">
      <w:pPr>
        <w:pStyle w:val="FootnoteText"/>
        <w:rPr>
          <w:lang w:val="fr-FR"/>
        </w:rPr>
      </w:pPr>
      <w:r>
        <w:rPr>
          <w:rStyle w:val="FootnoteReference"/>
        </w:rPr>
        <w:footnoteRef/>
      </w:r>
      <w:r>
        <w:rPr>
          <w:lang w:val="fr-FR"/>
        </w:rPr>
        <w:t xml:space="preserve"> </w:t>
      </w:r>
      <w:r>
        <w:rPr>
          <w:lang w:val="fr-FR"/>
        </w:rPr>
        <w:tab/>
        <w:t xml:space="preserve">Regulation </w:t>
      </w:r>
      <w:hyperlink r:id="rId470" w:history="1">
        <w:r>
          <w:rPr>
            <w:rStyle w:val="Hyperlink"/>
            <w:lang w:val="fr-FR"/>
          </w:rPr>
          <w:t>551/2004</w:t>
        </w:r>
      </w:hyperlink>
      <w:r>
        <w:rPr>
          <w:lang w:val="fr-FR"/>
        </w:rPr>
        <w:t xml:space="preserve"> and Regulation </w:t>
      </w:r>
      <w:hyperlink r:id="rId471" w:history="1">
        <w:r>
          <w:rPr>
            <w:rStyle w:val="Hyperlink"/>
            <w:lang w:val="fr-FR"/>
          </w:rPr>
          <w:t>2150/2005</w:t>
        </w:r>
      </w:hyperlink>
      <w:r>
        <w:rPr>
          <w:lang w:val="fr-FR"/>
        </w:rPr>
        <w:t>.</w:t>
      </w:r>
    </w:p>
  </w:footnote>
  <w:footnote w:id="344">
    <w:p w:rsidR="00E201F7" w:rsidRDefault="00E24EFF">
      <w:pPr>
        <w:pStyle w:val="FootnoteText"/>
        <w:rPr>
          <w:lang w:val="fr-FR"/>
        </w:rPr>
      </w:pPr>
      <w:r>
        <w:rPr>
          <w:rStyle w:val="FootnoteReference"/>
        </w:rPr>
        <w:footnoteRef/>
      </w:r>
      <w:r>
        <w:rPr>
          <w:lang w:val="fr-FR"/>
        </w:rPr>
        <w:t xml:space="preserve"> </w:t>
      </w:r>
      <w:r>
        <w:rPr>
          <w:lang w:val="fr-FR"/>
        </w:rPr>
        <w:tab/>
        <w:t xml:space="preserve">Directive </w:t>
      </w:r>
      <w:hyperlink r:id="rId472" w:history="1">
        <w:r>
          <w:rPr>
            <w:rStyle w:val="Hyperlink"/>
            <w:lang w:val="fr-FR"/>
          </w:rPr>
          <w:t>2009/18/EC</w:t>
        </w:r>
      </w:hyperlink>
      <w:r>
        <w:rPr>
          <w:lang w:val="fr-FR"/>
        </w:rPr>
        <w:t xml:space="preserve">, </w:t>
      </w:r>
      <w:hyperlink r:id="rId473" w:history="1">
        <w:r>
          <w:rPr>
            <w:rStyle w:val="Hyperlink"/>
            <w:lang w:val="fr-FR"/>
          </w:rPr>
          <w:t>MEMO/17/1045</w:t>
        </w:r>
      </w:hyperlink>
      <w:r>
        <w:rPr>
          <w:lang w:val="fr-FR"/>
        </w:rPr>
        <w:t>.</w:t>
      </w:r>
    </w:p>
  </w:footnote>
  <w:footnote w:id="345">
    <w:p w:rsidR="00E201F7" w:rsidRDefault="00E24EFF">
      <w:pPr>
        <w:pStyle w:val="FootnoteText"/>
        <w:rPr>
          <w:lang w:val="fr-FR"/>
        </w:rPr>
      </w:pPr>
      <w:r>
        <w:rPr>
          <w:rStyle w:val="FootnoteReference"/>
        </w:rPr>
        <w:footnoteRef/>
      </w:r>
      <w:r>
        <w:rPr>
          <w:lang w:val="fr-FR"/>
        </w:rPr>
        <w:t xml:space="preserve"> </w:t>
      </w:r>
      <w:r>
        <w:rPr>
          <w:lang w:val="fr-FR"/>
        </w:rPr>
        <w:tab/>
        <w:t xml:space="preserve">Directive </w:t>
      </w:r>
      <w:hyperlink r:id="rId474" w:history="1">
        <w:r>
          <w:rPr>
            <w:rStyle w:val="Hyperlink"/>
            <w:lang w:val="fr-FR"/>
          </w:rPr>
          <w:t>2009/12/EC</w:t>
        </w:r>
      </w:hyperlink>
      <w:r>
        <w:rPr>
          <w:lang w:val="fr-FR"/>
        </w:rPr>
        <w:t>.</w:t>
      </w:r>
    </w:p>
  </w:footnote>
  <w:footnote w:id="346">
    <w:p w:rsidR="00E201F7" w:rsidRDefault="00E24EFF">
      <w:pPr>
        <w:pStyle w:val="FootnoteText"/>
        <w:rPr>
          <w:lang w:val="fr-FR"/>
        </w:rPr>
      </w:pPr>
      <w:r>
        <w:rPr>
          <w:rStyle w:val="FootnoteReference"/>
        </w:rPr>
        <w:footnoteRef/>
      </w:r>
      <w:r>
        <w:rPr>
          <w:lang w:val="fr-FR"/>
        </w:rPr>
        <w:t xml:space="preserve"> </w:t>
      </w:r>
      <w:r>
        <w:rPr>
          <w:lang w:val="fr-FR"/>
        </w:rPr>
        <w:tab/>
        <w:t xml:space="preserve">Directive </w:t>
      </w:r>
      <w:hyperlink r:id="rId475" w:history="1">
        <w:r>
          <w:rPr>
            <w:rStyle w:val="Hyperlink"/>
            <w:lang w:val="fr-FR"/>
          </w:rPr>
          <w:t>2012/34/EU</w:t>
        </w:r>
      </w:hyperlink>
      <w:r>
        <w:rPr>
          <w:lang w:val="fr-FR"/>
        </w:rPr>
        <w:t>.</w:t>
      </w:r>
    </w:p>
  </w:footnote>
  <w:footnote w:id="347">
    <w:p w:rsidR="00E201F7" w:rsidRDefault="00E24EFF">
      <w:pPr>
        <w:pStyle w:val="FootnoteText"/>
        <w:rPr>
          <w:lang w:val="fr-FR"/>
        </w:rPr>
      </w:pPr>
      <w:r>
        <w:rPr>
          <w:rStyle w:val="FootnoteReference"/>
        </w:rPr>
        <w:footnoteRef/>
      </w:r>
      <w:r>
        <w:rPr>
          <w:lang w:val="fr-FR"/>
        </w:rPr>
        <w:t xml:space="preserve"> </w:t>
      </w:r>
      <w:r>
        <w:rPr>
          <w:lang w:val="fr-FR"/>
        </w:rPr>
        <w:tab/>
        <w:t xml:space="preserve">Directive </w:t>
      </w:r>
      <w:hyperlink r:id="rId476" w:history="1">
        <w:r>
          <w:rPr>
            <w:rStyle w:val="Hyperlink"/>
            <w:lang w:val="fr-FR"/>
          </w:rPr>
          <w:t>96/71/EC</w:t>
        </w:r>
      </w:hyperlink>
      <w:r>
        <w:rPr>
          <w:lang w:val="fr-FR"/>
        </w:rPr>
        <w:t xml:space="preserve">, </w:t>
      </w:r>
      <w:hyperlink r:id="rId477" w:history="1">
        <w:r>
          <w:rPr>
            <w:rStyle w:val="Hyperlink"/>
            <w:lang w:val="fr-FR"/>
          </w:rPr>
          <w:t>IP/17/1053</w:t>
        </w:r>
      </w:hyperlink>
      <w:r>
        <w:rPr>
          <w:lang w:val="fr-FR"/>
        </w:rPr>
        <w:t>.</w:t>
      </w:r>
    </w:p>
  </w:footnote>
  <w:footnote w:id="348">
    <w:p w:rsidR="00E201F7" w:rsidRDefault="00E24EFF">
      <w:pPr>
        <w:pStyle w:val="FootnoteText"/>
        <w:rPr>
          <w:lang w:val="fr-FR"/>
        </w:rPr>
      </w:pPr>
      <w:r>
        <w:rPr>
          <w:rStyle w:val="FootnoteReference"/>
        </w:rPr>
        <w:footnoteRef/>
      </w:r>
      <w:r>
        <w:rPr>
          <w:lang w:val="fr-FR"/>
        </w:rPr>
        <w:t xml:space="preserve"> </w:t>
      </w:r>
      <w:r>
        <w:rPr>
          <w:lang w:val="fr-FR"/>
        </w:rPr>
        <w:tab/>
        <w:t xml:space="preserve">Regulation </w:t>
      </w:r>
      <w:hyperlink r:id="rId478" w:history="1">
        <w:r>
          <w:rPr>
            <w:rStyle w:val="Hyperlink"/>
            <w:lang w:val="fr-FR"/>
          </w:rPr>
          <w:t>(EC) No 1071/2009</w:t>
        </w:r>
      </w:hyperlink>
      <w:r>
        <w:rPr>
          <w:lang w:val="fr-FR"/>
        </w:rPr>
        <w:t xml:space="preserve">, Commission v Spain, </w:t>
      </w:r>
      <w:hyperlink r:id="rId479" w:history="1">
        <w:r>
          <w:rPr>
            <w:rStyle w:val="Hyperlink"/>
            <w:lang w:val="fr-FR"/>
          </w:rPr>
          <w:t>C-181/2017</w:t>
        </w:r>
      </w:hyperlink>
      <w:r>
        <w:rPr>
          <w:lang w:val="fr-FR"/>
        </w:rPr>
        <w:t xml:space="preserve">, </w:t>
      </w:r>
      <w:hyperlink r:id="rId480" w:history="1">
        <w:r>
          <w:rPr>
            <w:rStyle w:val="Hyperlink"/>
            <w:lang w:val="fr-FR"/>
          </w:rPr>
          <w:t>IP/16/3651</w:t>
        </w:r>
      </w:hyperlink>
      <w:r>
        <w:rPr>
          <w:lang w:val="fr-FR"/>
        </w:rPr>
        <w:t xml:space="preserve">, </w:t>
      </w:r>
      <w:hyperlink r:id="rId481" w:history="1">
        <w:r>
          <w:rPr>
            <w:rStyle w:val="Hyperlink"/>
            <w:lang w:val="fr-FR"/>
          </w:rPr>
          <w:t>MEMO/16/3644</w:t>
        </w:r>
      </w:hyperlink>
      <w:r>
        <w:rPr>
          <w:lang w:val="fr-FR"/>
        </w:rPr>
        <w:t>.</w:t>
      </w:r>
    </w:p>
  </w:footnote>
  <w:footnote w:id="349">
    <w:p w:rsidR="00E201F7" w:rsidRDefault="00E24EFF">
      <w:pPr>
        <w:pStyle w:val="FootnoteText"/>
        <w:rPr>
          <w:lang w:val="fr-FR"/>
        </w:rPr>
      </w:pPr>
      <w:r>
        <w:rPr>
          <w:rStyle w:val="FootnoteReference"/>
        </w:rPr>
        <w:footnoteRef/>
      </w:r>
      <w:r>
        <w:rPr>
          <w:lang w:val="fr-FR"/>
        </w:rPr>
        <w:t xml:space="preserve"> </w:t>
      </w:r>
      <w:r>
        <w:rPr>
          <w:lang w:val="fr-FR"/>
        </w:rPr>
        <w:tab/>
        <w:t xml:space="preserve">Directive </w:t>
      </w:r>
      <w:hyperlink r:id="rId482" w:history="1">
        <w:r>
          <w:rPr>
            <w:rStyle w:val="Hyperlink"/>
            <w:lang w:val="fr-FR"/>
          </w:rPr>
          <w:t>96/53/EC</w:t>
        </w:r>
      </w:hyperlink>
      <w:r>
        <w:rPr>
          <w:lang w:val="fr-FR"/>
        </w:rPr>
        <w:t xml:space="preserve">, Commission v Poland, </w:t>
      </w:r>
      <w:hyperlink r:id="rId483" w:history="1">
        <w:r>
          <w:rPr>
            <w:rStyle w:val="Hyperlink"/>
            <w:lang w:val="fr-FR"/>
          </w:rPr>
          <w:t>C-127/17</w:t>
        </w:r>
      </w:hyperlink>
      <w:r>
        <w:rPr>
          <w:lang w:val="fr-FR"/>
        </w:rPr>
        <w:t xml:space="preserve">, </w:t>
      </w:r>
      <w:hyperlink r:id="rId484" w:history="1">
        <w:r>
          <w:rPr>
            <w:rStyle w:val="Hyperlink"/>
            <w:lang w:val="fr-FR"/>
          </w:rPr>
          <w:t>IP/16/3649</w:t>
        </w:r>
      </w:hyperlink>
      <w:r>
        <w:rPr>
          <w:lang w:val="fr-FR"/>
        </w:rPr>
        <w:t xml:space="preserve">, </w:t>
      </w:r>
      <w:hyperlink r:id="rId485" w:history="1">
        <w:r>
          <w:rPr>
            <w:rStyle w:val="Hyperlink"/>
            <w:lang w:val="fr-FR"/>
          </w:rPr>
          <w:t>MEMO/16/3644</w:t>
        </w:r>
      </w:hyperlink>
      <w:r>
        <w:rPr>
          <w:lang w:val="fr-FR"/>
        </w:rPr>
        <w:t>.</w:t>
      </w:r>
    </w:p>
  </w:footnote>
  <w:footnote w:id="350">
    <w:p w:rsidR="00E201F7" w:rsidRDefault="00E24EFF">
      <w:pPr>
        <w:pStyle w:val="FootnoteText"/>
        <w:rPr>
          <w:lang w:val="fr-FR"/>
        </w:rPr>
      </w:pPr>
      <w:r>
        <w:rPr>
          <w:rStyle w:val="FootnoteReference"/>
        </w:rPr>
        <w:footnoteRef/>
      </w:r>
      <w:r>
        <w:rPr>
          <w:lang w:val="fr-FR"/>
        </w:rPr>
        <w:t xml:space="preserve"> </w:t>
      </w:r>
      <w:r>
        <w:rPr>
          <w:lang w:val="fr-FR"/>
        </w:rPr>
        <w:tab/>
        <w:t xml:space="preserve">Directive </w:t>
      </w:r>
      <w:hyperlink r:id="rId486" w:history="1">
        <w:r>
          <w:rPr>
            <w:rStyle w:val="Hyperlink"/>
            <w:lang w:val="fr-FR"/>
          </w:rPr>
          <w:t>2006/126/EC</w:t>
        </w:r>
      </w:hyperlink>
      <w:r>
        <w:rPr>
          <w:lang w:val="fr-FR"/>
        </w:rPr>
        <w:t xml:space="preserve">,  Commission v Portugal, </w:t>
      </w:r>
      <w:hyperlink r:id="rId487" w:history="1">
        <w:r>
          <w:rPr>
            <w:rStyle w:val="Hyperlink"/>
            <w:lang w:val="fr-FR"/>
          </w:rPr>
          <w:t>C-170/17</w:t>
        </w:r>
      </w:hyperlink>
      <w:r>
        <w:rPr>
          <w:lang w:val="fr-FR"/>
        </w:rPr>
        <w:t xml:space="preserve">, </w:t>
      </w:r>
      <w:hyperlink r:id="rId488" w:history="1">
        <w:r>
          <w:rPr>
            <w:rStyle w:val="Hyperlink"/>
            <w:lang w:val="fr-FR"/>
          </w:rPr>
          <w:t>IP/17/241</w:t>
        </w:r>
      </w:hyperlink>
      <w:r>
        <w:rPr>
          <w:lang w:val="fr-FR"/>
        </w:rPr>
        <w:t>.</w:t>
      </w:r>
    </w:p>
  </w:footnote>
  <w:footnote w:id="351">
    <w:p w:rsidR="00E201F7" w:rsidRDefault="00E24EFF">
      <w:pPr>
        <w:pStyle w:val="FootnoteText"/>
        <w:rPr>
          <w:lang w:val="fr-BE"/>
        </w:rPr>
      </w:pPr>
      <w:r>
        <w:rPr>
          <w:rStyle w:val="FootnoteReference"/>
        </w:rPr>
        <w:footnoteRef/>
      </w:r>
      <w:r>
        <w:rPr>
          <w:lang w:val="fr-BE"/>
        </w:rPr>
        <w:t xml:space="preserve"> </w:t>
      </w:r>
      <w:r>
        <w:rPr>
          <w:lang w:val="fr-BE"/>
        </w:rPr>
        <w:tab/>
        <w:t xml:space="preserve">Directive </w:t>
      </w:r>
      <w:hyperlink r:id="rId489" w:history="1">
        <w:r>
          <w:rPr>
            <w:rStyle w:val="Hyperlink"/>
            <w:lang w:val="fr-BE"/>
          </w:rPr>
          <w:t>2009/15/EC</w:t>
        </w:r>
      </w:hyperlink>
      <w:r>
        <w:rPr>
          <w:lang w:val="fr-BE"/>
        </w:rPr>
        <w:t xml:space="preserve">, Commission v Portugal, </w:t>
      </w:r>
      <w:hyperlink r:id="rId490" w:history="1">
        <w:r>
          <w:rPr>
            <w:rStyle w:val="Hyperlink"/>
            <w:lang w:val="fr-BE"/>
          </w:rPr>
          <w:t>C-383/17</w:t>
        </w:r>
      </w:hyperlink>
      <w:r>
        <w:rPr>
          <w:lang w:val="fr-BE"/>
        </w:rPr>
        <w:t xml:space="preserve">, </w:t>
      </w:r>
      <w:hyperlink r:id="rId491" w:history="1">
        <w:r>
          <w:rPr>
            <w:rStyle w:val="Hyperlink"/>
            <w:lang w:val="fr-BE"/>
          </w:rPr>
          <w:t>IP/17/1052</w:t>
        </w:r>
      </w:hyperlink>
      <w:r>
        <w:rPr>
          <w:lang w:val="fr-BE"/>
        </w:rPr>
        <w:t>.</w:t>
      </w:r>
    </w:p>
  </w:footnote>
  <w:footnote w:id="352">
    <w:p w:rsidR="00E201F7" w:rsidRDefault="00E24EFF">
      <w:pPr>
        <w:pStyle w:val="FootnoteText"/>
        <w:rPr>
          <w:lang w:val="fr-BE"/>
        </w:rPr>
      </w:pPr>
      <w:r>
        <w:rPr>
          <w:rStyle w:val="FootnoteReference"/>
        </w:rPr>
        <w:footnoteRef/>
      </w:r>
      <w:r>
        <w:rPr>
          <w:lang w:val="fr-BE"/>
        </w:rPr>
        <w:t xml:space="preserve"> </w:t>
      </w:r>
      <w:r>
        <w:rPr>
          <w:lang w:val="fr-BE"/>
        </w:rPr>
        <w:tab/>
        <w:t xml:space="preserve">Directive </w:t>
      </w:r>
      <w:hyperlink r:id="rId492" w:history="1">
        <w:r>
          <w:rPr>
            <w:rStyle w:val="Hyperlink"/>
            <w:lang w:val="fr-BE"/>
          </w:rPr>
          <w:t>2009/21/EC</w:t>
        </w:r>
      </w:hyperlink>
      <w:r>
        <w:rPr>
          <w:lang w:val="fr-BE"/>
        </w:rPr>
        <w:t xml:space="preserve">, Commission v Portugal, </w:t>
      </w:r>
      <w:hyperlink r:id="rId493" w:history="1">
        <w:r>
          <w:rPr>
            <w:rStyle w:val="Hyperlink"/>
            <w:lang w:val="fr-BE"/>
          </w:rPr>
          <w:t>C-382/17</w:t>
        </w:r>
      </w:hyperlink>
      <w:r>
        <w:rPr>
          <w:lang w:val="fr-BE"/>
        </w:rPr>
        <w:t xml:space="preserve">, </w:t>
      </w:r>
      <w:hyperlink r:id="rId494" w:history="1">
        <w:r>
          <w:rPr>
            <w:rStyle w:val="Hyperlink"/>
            <w:lang w:val="fr-BE"/>
          </w:rPr>
          <w:t>IP/17/1052</w:t>
        </w:r>
      </w:hyperlink>
      <w:r>
        <w:rPr>
          <w:lang w:val="fr-BE"/>
        </w:rPr>
        <w:t>.</w:t>
      </w:r>
    </w:p>
  </w:footnote>
  <w:footnote w:id="353">
    <w:p w:rsidR="00E201F7" w:rsidRDefault="00E24EFF">
      <w:pPr>
        <w:pStyle w:val="FootnoteText"/>
        <w:rPr>
          <w:lang w:val="fr-BE"/>
        </w:rPr>
      </w:pPr>
      <w:r>
        <w:rPr>
          <w:rStyle w:val="FootnoteReference"/>
        </w:rPr>
        <w:footnoteRef/>
      </w:r>
      <w:r>
        <w:rPr>
          <w:lang w:val="fr-BE"/>
        </w:rPr>
        <w:t xml:space="preserve"> </w:t>
      </w:r>
      <w:r>
        <w:rPr>
          <w:lang w:val="fr-BE"/>
        </w:rPr>
        <w:tab/>
        <w:t xml:space="preserve">Directive </w:t>
      </w:r>
      <w:hyperlink r:id="rId495" w:history="1">
        <w:r>
          <w:rPr>
            <w:rStyle w:val="Hyperlink"/>
            <w:lang w:val="fr-BE"/>
          </w:rPr>
          <w:t>2014/45</w:t>
        </w:r>
      </w:hyperlink>
      <w:r>
        <w:rPr>
          <w:lang w:val="fr-BE"/>
        </w:rPr>
        <w:t xml:space="preserve">, Directive </w:t>
      </w:r>
      <w:hyperlink r:id="rId496" w:history="1">
        <w:r>
          <w:rPr>
            <w:rStyle w:val="Hyperlink"/>
            <w:lang w:val="fr-BE"/>
          </w:rPr>
          <w:t>2014/46</w:t>
        </w:r>
      </w:hyperlink>
      <w:r>
        <w:rPr>
          <w:lang w:val="fr-BE"/>
        </w:rPr>
        <w:t xml:space="preserve">, Directive </w:t>
      </w:r>
      <w:hyperlink r:id="rId497" w:history="1">
        <w:r>
          <w:rPr>
            <w:rStyle w:val="Hyperlink"/>
            <w:lang w:val="fr-BE"/>
          </w:rPr>
          <w:t>2014/47</w:t>
        </w:r>
      </w:hyperlink>
      <w:r>
        <w:rPr>
          <w:lang w:val="fr-BE"/>
        </w:rPr>
        <w:t>.</w:t>
      </w:r>
      <w:hyperlink r:id="rId498" w:history="1"/>
    </w:p>
  </w:footnote>
  <w:footnote w:id="354">
    <w:p w:rsidR="00E201F7" w:rsidRDefault="00E24EFF">
      <w:pPr>
        <w:pStyle w:val="FootnoteText"/>
        <w:rPr>
          <w:lang w:val="fr-BE"/>
        </w:rPr>
      </w:pPr>
      <w:r>
        <w:rPr>
          <w:rStyle w:val="FootnoteReference"/>
        </w:rPr>
        <w:footnoteRef/>
      </w:r>
      <w:r>
        <w:rPr>
          <w:lang w:val="fr-BE"/>
        </w:rPr>
        <w:t xml:space="preserve"> </w:t>
      </w:r>
      <w:r>
        <w:rPr>
          <w:lang w:val="fr-BE"/>
        </w:rPr>
        <w:tab/>
        <w:t xml:space="preserve">Directive </w:t>
      </w:r>
      <w:hyperlink r:id="rId499" w:history="1">
        <w:r>
          <w:rPr>
            <w:rStyle w:val="Hyperlink"/>
            <w:lang w:val="fr-BE"/>
          </w:rPr>
          <w:t>2014/94/EU</w:t>
        </w:r>
      </w:hyperlink>
      <w:r>
        <w:rPr>
          <w:lang w:val="fr-BE"/>
        </w:rPr>
        <w:t>.</w:t>
      </w:r>
    </w:p>
  </w:footnote>
  <w:footnote w:id="355">
    <w:p w:rsidR="00E201F7" w:rsidRDefault="00E24EFF">
      <w:pPr>
        <w:pStyle w:val="FootnoteText"/>
        <w:rPr>
          <w:lang w:val="fr-BE"/>
        </w:rPr>
      </w:pPr>
      <w:r>
        <w:rPr>
          <w:rStyle w:val="FootnoteReference"/>
        </w:rPr>
        <w:footnoteRef/>
      </w:r>
      <w:r>
        <w:rPr>
          <w:lang w:val="fr-BE"/>
        </w:rPr>
        <w:t xml:space="preserve"> </w:t>
      </w:r>
      <w:r>
        <w:rPr>
          <w:lang w:val="fr-BE"/>
        </w:rPr>
        <w:tab/>
        <w:t>Directive</w:t>
      </w:r>
      <w:r>
        <w:rPr>
          <w:rFonts w:eastAsia="Calibri"/>
          <w:kern w:val="20"/>
          <w:sz w:val="20"/>
          <w:szCs w:val="20"/>
          <w:lang w:val="fr-BE"/>
        </w:rPr>
        <w:t xml:space="preserve"> </w:t>
      </w:r>
      <w:hyperlink r:id="rId500" w:history="1">
        <w:r>
          <w:rPr>
            <w:rStyle w:val="Hyperlink"/>
            <w:lang w:val="fr-BE"/>
          </w:rPr>
          <w:t>2015/2087/EU</w:t>
        </w:r>
      </w:hyperlink>
      <w:r>
        <w:rPr>
          <w:lang w:val="fr-BE"/>
        </w:rPr>
        <w:t xml:space="preserve"> amending Directive </w:t>
      </w:r>
      <w:hyperlink r:id="rId501" w:history="1">
        <w:r>
          <w:rPr>
            <w:rStyle w:val="Hyperlink"/>
            <w:lang w:val="fr-BE"/>
          </w:rPr>
          <w:t>2000/59/EC</w:t>
        </w:r>
      </w:hyperlink>
      <w:r>
        <w:rPr>
          <w:lang w:val="fr-BE"/>
        </w:rPr>
        <w:t>.</w:t>
      </w:r>
      <w:hyperlink r:id="rId502" w:history="1"/>
    </w:p>
  </w:footnote>
  <w:footnote w:id="356">
    <w:p w:rsidR="00E201F7" w:rsidRDefault="00E24EFF">
      <w:pPr>
        <w:pStyle w:val="FootnoteText"/>
        <w:rPr>
          <w:lang w:val="fr-BE"/>
        </w:rPr>
      </w:pPr>
      <w:r>
        <w:rPr>
          <w:rStyle w:val="FootnoteReference"/>
        </w:rPr>
        <w:footnoteRef/>
      </w:r>
      <w:r>
        <w:rPr>
          <w:lang w:val="fr-BE"/>
        </w:rPr>
        <w:t xml:space="preserve"> </w:t>
      </w:r>
      <w:r>
        <w:rPr>
          <w:lang w:val="fr-BE"/>
        </w:rPr>
        <w:tab/>
        <w:t xml:space="preserve">Directive </w:t>
      </w:r>
      <w:hyperlink r:id="rId503" w:history="1">
        <w:r>
          <w:rPr>
            <w:rStyle w:val="Hyperlink"/>
            <w:lang w:val="fr-BE"/>
          </w:rPr>
          <w:t>2015/2087/EU</w:t>
        </w:r>
      </w:hyperlink>
      <w:r>
        <w:rPr>
          <w:lang w:val="fr-BE"/>
        </w:rPr>
        <w:t xml:space="preserve"> amending Directive </w:t>
      </w:r>
      <w:hyperlink r:id="rId504" w:history="1">
        <w:r>
          <w:rPr>
            <w:rStyle w:val="Hyperlink"/>
            <w:lang w:val="fr-BE"/>
          </w:rPr>
          <w:t>2000/59/EC</w:t>
        </w:r>
      </w:hyperlink>
      <w:r>
        <w:rPr>
          <w:lang w:val="fr-BE"/>
        </w:rPr>
        <w:t>.</w:t>
      </w:r>
    </w:p>
  </w:footnote>
  <w:footnote w:id="357">
    <w:p w:rsidR="00E201F7" w:rsidRDefault="00E24EFF">
      <w:pPr>
        <w:pStyle w:val="FootnoteText"/>
        <w:rPr>
          <w:lang w:val="fr-BE"/>
        </w:rPr>
      </w:pPr>
      <w:r>
        <w:rPr>
          <w:rStyle w:val="FootnoteReference"/>
        </w:rPr>
        <w:footnoteRef/>
      </w:r>
      <w:r>
        <w:rPr>
          <w:lang w:val="fr-BE"/>
        </w:rPr>
        <w:t xml:space="preserve"> </w:t>
      </w:r>
      <w:r>
        <w:rPr>
          <w:lang w:val="fr-BE"/>
        </w:rPr>
        <w:tab/>
        <w:t>Directive</w:t>
      </w:r>
      <w:r>
        <w:rPr>
          <w:color w:val="3D3D3D"/>
          <w:sz w:val="22"/>
          <w:szCs w:val="20"/>
          <w:lang w:val="fr-BE"/>
        </w:rPr>
        <w:t xml:space="preserve"> </w:t>
      </w:r>
      <w:hyperlink r:id="rId505" w:history="1">
        <w:r>
          <w:rPr>
            <w:rStyle w:val="Hyperlink"/>
            <w:lang w:val="fr-BE"/>
          </w:rPr>
          <w:t>2006/126/EC</w:t>
        </w:r>
      </w:hyperlink>
      <w:r>
        <w:rPr>
          <w:lang w:val="fr-BE"/>
        </w:rPr>
        <w:t>.</w:t>
      </w:r>
    </w:p>
  </w:footnote>
  <w:footnote w:id="358">
    <w:p w:rsidR="00E201F7" w:rsidRDefault="00E24EFF">
      <w:pPr>
        <w:pStyle w:val="FootnoteText"/>
        <w:rPr>
          <w:lang w:val="fr-BE"/>
        </w:rPr>
      </w:pPr>
      <w:r>
        <w:rPr>
          <w:rStyle w:val="FootnoteReference"/>
        </w:rPr>
        <w:footnoteRef/>
      </w:r>
      <w:r>
        <w:rPr>
          <w:lang w:val="fr-BE"/>
        </w:rPr>
        <w:t xml:space="preserve"> </w:t>
      </w:r>
      <w:r>
        <w:rPr>
          <w:lang w:val="fr-BE"/>
        </w:rPr>
        <w:tab/>
        <w:t xml:space="preserve">Directive </w:t>
      </w:r>
      <w:hyperlink r:id="rId506" w:history="1">
        <w:r>
          <w:rPr>
            <w:rStyle w:val="Hyperlink"/>
            <w:lang w:val="fr-BE"/>
          </w:rPr>
          <w:t>2014/90/EU</w:t>
        </w:r>
      </w:hyperlink>
      <w:r>
        <w:rPr>
          <w:lang w:val="fr-BE"/>
        </w:rPr>
        <w:t>.</w:t>
      </w:r>
    </w:p>
  </w:footnote>
  <w:footnote w:id="359">
    <w:p w:rsidR="00E201F7" w:rsidRDefault="00E24EFF">
      <w:pPr>
        <w:pStyle w:val="FootnoteText"/>
        <w:rPr>
          <w:lang w:val="fr-BE"/>
        </w:rPr>
      </w:pPr>
      <w:r>
        <w:rPr>
          <w:rStyle w:val="FootnoteReference"/>
        </w:rPr>
        <w:footnoteRef/>
      </w:r>
      <w:r>
        <w:rPr>
          <w:lang w:val="fr-BE"/>
        </w:rPr>
        <w:t xml:space="preserve"> </w:t>
      </w:r>
      <w:r>
        <w:rPr>
          <w:lang w:val="fr-BE"/>
        </w:rPr>
        <w:tab/>
        <w:t xml:space="preserve">Regulation </w:t>
      </w:r>
      <w:hyperlink r:id="rId507" w:history="1">
        <w:r>
          <w:rPr>
            <w:rStyle w:val="Hyperlink"/>
            <w:lang w:val="fr-BE"/>
          </w:rPr>
          <w:t>748/2012</w:t>
        </w:r>
      </w:hyperlink>
      <w:r>
        <w:rPr>
          <w:lang w:val="fr-BE"/>
        </w:rPr>
        <w:t xml:space="preserve">, Regulation </w:t>
      </w:r>
      <w:hyperlink r:id="rId508" w:history="1">
        <w:r>
          <w:rPr>
            <w:rStyle w:val="Hyperlink"/>
            <w:lang w:val="fr-BE"/>
          </w:rPr>
          <w:t>1321/2014</w:t>
        </w:r>
      </w:hyperlink>
      <w:r>
        <w:rPr>
          <w:lang w:val="fr-BE"/>
        </w:rPr>
        <w:t>.</w:t>
      </w:r>
    </w:p>
  </w:footnote>
  <w:footnote w:id="360">
    <w:p w:rsidR="00E201F7" w:rsidRDefault="00E24EFF">
      <w:pPr>
        <w:pStyle w:val="FootnoteText"/>
      </w:pPr>
      <w:r>
        <w:rPr>
          <w:rStyle w:val="FootnoteReference"/>
        </w:rPr>
        <w:footnoteRef/>
      </w:r>
      <w:r>
        <w:t xml:space="preserve"> </w:t>
      </w:r>
      <w:r>
        <w:tab/>
        <w:t xml:space="preserve">Directive </w:t>
      </w:r>
      <w:hyperlink r:id="rId509" w:history="1">
        <w:r>
          <w:rPr>
            <w:rStyle w:val="Hyperlink"/>
          </w:rPr>
          <w:t>2014/94/EU</w:t>
        </w:r>
      </w:hyperlink>
      <w:r>
        <w:t>.</w:t>
      </w:r>
    </w:p>
  </w:footnote>
  <w:footnote w:id="361">
    <w:p w:rsidR="00E201F7" w:rsidRDefault="00E24EFF">
      <w:pPr>
        <w:pStyle w:val="FootnoteText"/>
      </w:pPr>
      <w:r>
        <w:rPr>
          <w:rStyle w:val="FootnoteReference"/>
        </w:rPr>
        <w:footnoteRef/>
      </w:r>
      <w:r>
        <w:t xml:space="preserve"> </w:t>
      </w:r>
      <w:r>
        <w:tab/>
        <w:t xml:space="preserve">Directive </w:t>
      </w:r>
      <w:hyperlink r:id="rId510" w:history="1">
        <w:r>
          <w:rPr>
            <w:rStyle w:val="Hyperlink"/>
          </w:rPr>
          <w:t>2012/34/EU</w:t>
        </w:r>
      </w:hyperlink>
      <w:r>
        <w:t>.</w:t>
      </w:r>
    </w:p>
  </w:footnote>
  <w:footnote w:id="362">
    <w:p w:rsidR="00E201F7" w:rsidRDefault="00E24EFF">
      <w:pPr>
        <w:pStyle w:val="FootnoteText"/>
      </w:pPr>
      <w:r>
        <w:rPr>
          <w:rStyle w:val="FootnoteReference"/>
        </w:rPr>
        <w:footnoteRef/>
      </w:r>
      <w:r>
        <w:t xml:space="preserve"> </w:t>
      </w:r>
      <w:r>
        <w:tab/>
        <w:t xml:space="preserve">Directive </w:t>
      </w:r>
      <w:hyperlink r:id="rId511" w:history="1">
        <w:r>
          <w:rPr>
            <w:rStyle w:val="Hyperlink"/>
          </w:rPr>
          <w:t>2011/76/EU</w:t>
        </w:r>
      </w:hyperlink>
      <w:r>
        <w:t>.</w:t>
      </w:r>
    </w:p>
  </w:footnote>
  <w:footnote w:id="363">
    <w:p w:rsidR="00E201F7" w:rsidRDefault="00E24EFF">
      <w:pPr>
        <w:pStyle w:val="FootnoteText"/>
      </w:pPr>
      <w:r>
        <w:rPr>
          <w:rStyle w:val="FootnoteReference"/>
        </w:rPr>
        <w:footnoteRef/>
      </w:r>
      <w:r>
        <w:t xml:space="preserve"> </w:t>
      </w:r>
      <w:r>
        <w:tab/>
        <w:t xml:space="preserve">Directive </w:t>
      </w:r>
      <w:hyperlink r:id="rId512" w:history="1">
        <w:r>
          <w:rPr>
            <w:rStyle w:val="Hyperlink"/>
          </w:rPr>
          <w:t>2015/719/EU</w:t>
        </w:r>
      </w:hyperlink>
      <w:r>
        <w:rPr>
          <w:rFonts w:ascii="Lucida Sans Unicode" w:hAnsi="Lucida Sans Unicode"/>
          <w:b/>
          <w:color w:val="444444"/>
          <w:sz w:val="19"/>
        </w:rPr>
        <w:t xml:space="preserve"> </w:t>
      </w:r>
      <w:r>
        <w:t>amending Counci</w:t>
      </w:r>
      <w:r>
        <w:t xml:space="preserve">l Directive </w:t>
      </w:r>
      <w:hyperlink r:id="rId513" w:history="1">
        <w:r>
          <w:rPr>
            <w:rStyle w:val="Hyperlink"/>
          </w:rPr>
          <w:t>96/53/EC</w:t>
        </w:r>
      </w:hyperlink>
      <w:r>
        <w:t>.</w:t>
      </w:r>
    </w:p>
  </w:footnote>
  <w:footnote w:id="364">
    <w:p w:rsidR="00E201F7" w:rsidRDefault="00E24EFF">
      <w:pPr>
        <w:pStyle w:val="FootnoteText"/>
      </w:pPr>
      <w:r>
        <w:rPr>
          <w:rStyle w:val="FootnoteReference"/>
        </w:rPr>
        <w:footnoteRef/>
      </w:r>
      <w:r>
        <w:t xml:space="preserve"> </w:t>
      </w:r>
      <w:r>
        <w:tab/>
        <w:t>These rulings are almost exclusively handed down on infringement procedures.</w:t>
      </w:r>
    </w:p>
  </w:footnote>
  <w:footnote w:id="365">
    <w:p w:rsidR="00E201F7" w:rsidRDefault="00E24EFF">
      <w:pPr>
        <w:pStyle w:val="FootnoteText"/>
      </w:pPr>
      <w:r>
        <w:rPr>
          <w:rStyle w:val="FootnoteReference"/>
        </w:rPr>
        <w:footnoteRef/>
      </w:r>
      <w:r>
        <w:t xml:space="preserve"> </w:t>
      </w:r>
      <w:r>
        <w:tab/>
        <w:t xml:space="preserve">Commission v Spain, </w:t>
      </w:r>
      <w:hyperlink r:id="rId514" w:history="1">
        <w:r>
          <w:rPr>
            <w:rStyle w:val="Hyperlink"/>
          </w:rPr>
          <w:t>C</w:t>
        </w:r>
        <w:r>
          <w:rPr>
            <w:rStyle w:val="Hyperlink"/>
          </w:rPr>
          <w:noBreakHyphen/>
          <w:t>576/13</w:t>
        </w:r>
      </w:hyperlink>
      <w:r>
        <w:t>.</w:t>
      </w:r>
    </w:p>
  </w:footnote>
  <w:footnote w:id="366">
    <w:p w:rsidR="00E201F7" w:rsidRDefault="00E24EFF">
      <w:pPr>
        <w:pStyle w:val="FootnoteText"/>
      </w:pPr>
      <w:r>
        <w:rPr>
          <w:rStyle w:val="FootnoteReference"/>
        </w:rPr>
        <w:footnoteRef/>
      </w:r>
      <w:r>
        <w:t xml:space="preserve"> </w:t>
      </w:r>
      <w:r>
        <w:tab/>
        <w:t>Commission v Spain, </w:t>
      </w:r>
      <w:hyperlink r:id="rId515" w:history="1">
        <w:r>
          <w:rPr>
            <w:rStyle w:val="Hyperlink"/>
          </w:rPr>
          <w:t>C-388/16</w:t>
        </w:r>
      </w:hyperlink>
      <w:r>
        <w:t>.</w:t>
      </w:r>
    </w:p>
  </w:footnote>
  <w:footnote w:id="367">
    <w:p w:rsidR="00E201F7" w:rsidRDefault="00E24EFF">
      <w:pPr>
        <w:pStyle w:val="FootnoteText"/>
      </w:pPr>
      <w:r>
        <w:rPr>
          <w:rStyle w:val="FootnoteReference"/>
        </w:rPr>
        <w:footnoteRef/>
      </w:r>
      <w:r>
        <w:t xml:space="preserve"> </w:t>
      </w:r>
      <w:r>
        <w:tab/>
        <w:t xml:space="preserve">Directive </w:t>
      </w:r>
      <w:hyperlink r:id="rId516" w:history="1">
        <w:r>
          <w:rPr>
            <w:rStyle w:val="Hyperlink"/>
          </w:rPr>
          <w:t>91/440/EEC</w:t>
        </w:r>
      </w:hyperlink>
      <w:r>
        <w:t xml:space="preserve"> and Directive </w:t>
      </w:r>
      <w:hyperlink r:id="rId517" w:history="1">
        <w:r>
          <w:rPr>
            <w:rStyle w:val="Hyperlink"/>
          </w:rPr>
          <w:t>2001/14/EC</w:t>
        </w:r>
      </w:hyperlink>
      <w:r>
        <w:t xml:space="preserve">, Commission v Germany, </w:t>
      </w:r>
      <w:hyperlink r:id="rId518" w:history="1">
        <w:r>
          <w:rPr>
            <w:rStyle w:val="Hyperlink"/>
          </w:rPr>
          <w:t>C-482/14</w:t>
        </w:r>
      </w:hyperlink>
      <w:r>
        <w:t>.</w:t>
      </w:r>
    </w:p>
  </w:footnote>
  <w:footnote w:id="368">
    <w:p w:rsidR="00E201F7" w:rsidRDefault="00E24EFF">
      <w:pPr>
        <w:pStyle w:val="FootnoteText"/>
      </w:pPr>
      <w:r>
        <w:rPr>
          <w:rStyle w:val="FootnoteReference"/>
        </w:rPr>
        <w:footnoteRef/>
      </w:r>
      <w:r>
        <w:t xml:space="preserve"> </w:t>
      </w:r>
      <w:r>
        <w:tab/>
        <w:t xml:space="preserve">Directive </w:t>
      </w:r>
      <w:hyperlink r:id="rId519" w:history="1">
        <w:r>
          <w:rPr>
            <w:rStyle w:val="Hyperlink"/>
          </w:rPr>
          <w:t>2005/65/EC</w:t>
        </w:r>
      </w:hyperlink>
      <w:r>
        <w:t xml:space="preserve">, Commission v Germany, </w:t>
      </w:r>
      <w:hyperlink r:id="rId520" w:history="1">
        <w:r>
          <w:rPr>
            <w:rStyle w:val="Hyperlink"/>
          </w:rPr>
          <w:t>C-58/16</w:t>
        </w:r>
      </w:hyperlink>
      <w:r>
        <w:t>.</w:t>
      </w:r>
    </w:p>
  </w:footnote>
  <w:footnote w:id="369">
    <w:p w:rsidR="00E201F7" w:rsidRDefault="00E24EFF">
      <w:pPr>
        <w:pStyle w:val="FootnoteText"/>
      </w:pPr>
      <w:r>
        <w:rPr>
          <w:rStyle w:val="FootnoteReference"/>
        </w:rPr>
        <w:footnoteRef/>
      </w:r>
      <w:r>
        <w:t xml:space="preserve"> </w:t>
      </w:r>
      <w:r>
        <w:tab/>
        <w:t xml:space="preserve">Directive </w:t>
      </w:r>
      <w:hyperlink r:id="rId521" w:history="1">
        <w:r>
          <w:rPr>
            <w:rStyle w:val="Hyperlink"/>
          </w:rPr>
          <w:t>2006/126/EC</w:t>
        </w:r>
      </w:hyperlink>
      <w:r>
        <w:t xml:space="preserve">, Commission v Portugal, </w:t>
      </w:r>
      <w:hyperlink r:id="rId522" w:history="1">
        <w:r>
          <w:rPr>
            <w:rStyle w:val="Hyperlink"/>
          </w:rPr>
          <w:t>C-665/15</w:t>
        </w:r>
      </w:hyperlink>
      <w:r>
        <w:t>.</w:t>
      </w:r>
    </w:p>
  </w:footnote>
  <w:footnote w:id="370">
    <w:p w:rsidR="00E201F7" w:rsidRDefault="00E24EFF">
      <w:pPr>
        <w:pStyle w:val="FootnoteText"/>
      </w:pPr>
      <w:r>
        <w:rPr>
          <w:rStyle w:val="FootnoteReference"/>
        </w:rPr>
        <w:footnoteRef/>
      </w:r>
      <w:r>
        <w:t xml:space="preserve"> </w:t>
      </w:r>
      <w:r>
        <w:tab/>
        <w:t xml:space="preserve">Marcela Pešková and Jiří Peška, </w:t>
      </w:r>
      <w:hyperlink r:id="rId523" w:history="1">
        <w:r>
          <w:rPr>
            <w:rStyle w:val="Hyperlink"/>
          </w:rPr>
          <w:t>C-315/15</w:t>
        </w:r>
      </w:hyperlink>
      <w:r>
        <w:t>.</w:t>
      </w:r>
    </w:p>
  </w:footnote>
  <w:footnote w:id="371">
    <w:p w:rsidR="00E201F7" w:rsidRDefault="00E24EFF">
      <w:pPr>
        <w:pStyle w:val="FootnoteText"/>
      </w:pPr>
      <w:r>
        <w:rPr>
          <w:rStyle w:val="FootnoteReference"/>
        </w:rPr>
        <w:footnoteRef/>
      </w:r>
      <w:r>
        <w:t xml:space="preserve"> </w:t>
      </w:r>
      <w:r>
        <w:tab/>
        <w:t>CTL Lo</w:t>
      </w:r>
      <w:r>
        <w:t xml:space="preserve">gistics GmbH, </w:t>
      </w:r>
      <w:hyperlink r:id="rId524" w:history="1">
        <w:r>
          <w:rPr>
            <w:rStyle w:val="Hyperlink"/>
          </w:rPr>
          <w:t>C-489/15</w:t>
        </w:r>
      </w:hyperlink>
      <w:r>
        <w:t>.</w:t>
      </w:r>
    </w:p>
  </w:footnote>
  <w:footnote w:id="372">
    <w:p w:rsidR="00E201F7" w:rsidRDefault="00E24EFF">
      <w:pPr>
        <w:pStyle w:val="FootnoteText"/>
        <w:rPr>
          <w:lang w:val="es-ES"/>
        </w:rPr>
      </w:pPr>
      <w:r>
        <w:rPr>
          <w:rStyle w:val="FootnoteReference"/>
        </w:rPr>
        <w:footnoteRef/>
      </w:r>
      <w:r>
        <w:rPr>
          <w:lang w:val="es-ES"/>
        </w:rPr>
        <w:t xml:space="preserve"> </w:t>
      </w:r>
      <w:r>
        <w:rPr>
          <w:lang w:val="es-ES"/>
        </w:rPr>
        <w:tab/>
        <w:t xml:space="preserve">Asociación Profesional Elite Taxi, </w:t>
      </w:r>
      <w:hyperlink r:id="rId525" w:history="1">
        <w:r>
          <w:rPr>
            <w:rStyle w:val="Hyperlink"/>
            <w:lang w:val="es-ES"/>
          </w:rPr>
          <w:t>C-434/15</w:t>
        </w:r>
      </w:hyperlink>
      <w:r>
        <w:rPr>
          <w:lang w:val="es-ES"/>
        </w:rPr>
        <w:t>.</w:t>
      </w:r>
    </w:p>
  </w:footnote>
  <w:footnote w:id="373">
    <w:p w:rsidR="00E201F7" w:rsidRDefault="00E24EFF">
      <w:pPr>
        <w:pStyle w:val="FootnoteText"/>
        <w:rPr>
          <w:lang w:val="es-ES"/>
        </w:rPr>
      </w:pPr>
      <w:r>
        <w:rPr>
          <w:rStyle w:val="FootnoteReference"/>
        </w:rPr>
        <w:footnoteRef/>
      </w:r>
      <w:r>
        <w:rPr>
          <w:lang w:val="es-ES"/>
        </w:rPr>
        <w:t xml:space="preserve"> </w:t>
      </w:r>
      <w:r>
        <w:rPr>
          <w:lang w:val="es-ES"/>
        </w:rPr>
        <w:tab/>
        <w:t xml:space="preserve">Bas Jacob Adriaan Krijgsman, </w:t>
      </w:r>
      <w:hyperlink r:id="rId526" w:history="1">
        <w:r>
          <w:rPr>
            <w:rStyle w:val="Hyperlink"/>
            <w:lang w:val="es-ES"/>
          </w:rPr>
          <w:t>C-302/16</w:t>
        </w:r>
      </w:hyperlink>
      <w:r>
        <w:rPr>
          <w:lang w:val="es-ES"/>
        </w:rPr>
        <w:t>.</w:t>
      </w:r>
    </w:p>
  </w:footnote>
  <w:footnote w:id="374">
    <w:p w:rsidR="00E201F7" w:rsidRDefault="00E24EFF">
      <w:pPr>
        <w:pStyle w:val="FootnoteText"/>
        <w:rPr>
          <w:lang w:val="pt-PT"/>
        </w:rPr>
      </w:pPr>
      <w:r>
        <w:rPr>
          <w:rStyle w:val="FootnoteReference"/>
        </w:rPr>
        <w:footnoteRef/>
      </w:r>
      <w:r>
        <w:rPr>
          <w:lang w:val="pt-PT"/>
        </w:rPr>
        <w:t xml:space="preserve"> </w:t>
      </w:r>
      <w:r>
        <w:rPr>
          <w:lang w:val="pt-PT"/>
        </w:rPr>
        <w:tab/>
        <w:t xml:space="preserve">Costin Popescu, </w:t>
      </w:r>
      <w:hyperlink r:id="rId527" w:history="1">
        <w:r>
          <w:rPr>
            <w:rStyle w:val="Hyperlink"/>
            <w:lang w:val="pt-PT"/>
          </w:rPr>
          <w:t>C-632/15</w:t>
        </w:r>
      </w:hyperlink>
      <w:r>
        <w:rPr>
          <w:lang w:val="pt-PT"/>
        </w:rPr>
        <w:t>.</w:t>
      </w:r>
    </w:p>
  </w:footnote>
  <w:footnote w:id="375">
    <w:p w:rsidR="00E201F7" w:rsidRDefault="00E24EFF">
      <w:pPr>
        <w:pStyle w:val="FootnoteText"/>
        <w:rPr>
          <w:lang w:val="pt-PT"/>
        </w:rPr>
      </w:pPr>
      <w:r>
        <w:rPr>
          <w:rStyle w:val="FootnoteReference"/>
        </w:rPr>
        <w:footnoteRef/>
      </w:r>
      <w:r>
        <w:rPr>
          <w:lang w:val="pt-PT"/>
        </w:rPr>
        <w:t xml:space="preserve"> </w:t>
      </w:r>
      <w:r>
        <w:rPr>
          <w:lang w:val="pt-PT"/>
        </w:rPr>
        <w:tab/>
        <w:t xml:space="preserve">Directive </w:t>
      </w:r>
      <w:hyperlink r:id="rId528" w:history="1">
        <w:r>
          <w:rPr>
            <w:rStyle w:val="Hyperlink"/>
            <w:lang w:val="pt-PT"/>
          </w:rPr>
          <w:t>2014/45/EU</w:t>
        </w:r>
      </w:hyperlink>
      <w:r>
        <w:rPr>
          <w:lang w:val="pt-PT"/>
        </w:rPr>
        <w:t>.</w:t>
      </w:r>
    </w:p>
  </w:footnote>
  <w:footnote w:id="376">
    <w:p w:rsidR="00E201F7" w:rsidRDefault="00E24EFF">
      <w:pPr>
        <w:pStyle w:val="FootnoteText"/>
        <w:rPr>
          <w:lang w:val="pt-PT"/>
        </w:rPr>
      </w:pPr>
      <w:r>
        <w:rPr>
          <w:rStyle w:val="FootnoteReference"/>
        </w:rPr>
        <w:footnoteRef/>
      </w:r>
      <w:r>
        <w:rPr>
          <w:lang w:val="pt-PT"/>
        </w:rPr>
        <w:t xml:space="preserve"> </w:t>
      </w:r>
      <w:r>
        <w:rPr>
          <w:lang w:val="pt-PT"/>
        </w:rPr>
        <w:tab/>
        <w:t xml:space="preserve">Directive </w:t>
      </w:r>
      <w:hyperlink r:id="rId529" w:history="1">
        <w:r>
          <w:rPr>
            <w:rStyle w:val="Hyperlink"/>
            <w:lang w:val="pt-PT"/>
          </w:rPr>
          <w:t>2014/46/EU</w:t>
        </w:r>
      </w:hyperlink>
      <w:r>
        <w:rPr>
          <w:lang w:val="pt-PT"/>
        </w:rPr>
        <w:t>.</w:t>
      </w:r>
    </w:p>
  </w:footnote>
  <w:footnote w:id="377">
    <w:p w:rsidR="00E201F7" w:rsidRDefault="00E24EFF">
      <w:pPr>
        <w:pStyle w:val="FootnoteText"/>
        <w:rPr>
          <w:lang w:val="pt-PT"/>
        </w:rPr>
      </w:pPr>
      <w:r>
        <w:rPr>
          <w:rStyle w:val="FootnoteReference"/>
        </w:rPr>
        <w:footnoteRef/>
      </w:r>
      <w:r>
        <w:rPr>
          <w:lang w:val="pt-PT"/>
        </w:rPr>
        <w:t xml:space="preserve"> </w:t>
      </w:r>
      <w:r>
        <w:rPr>
          <w:lang w:val="pt-PT"/>
        </w:rPr>
        <w:tab/>
        <w:t xml:space="preserve">Directive </w:t>
      </w:r>
      <w:hyperlink r:id="rId530" w:history="1">
        <w:r>
          <w:rPr>
            <w:rStyle w:val="Hyperlink"/>
            <w:lang w:val="pt-PT"/>
          </w:rPr>
          <w:t>2014/47/EU</w:t>
        </w:r>
      </w:hyperlink>
      <w:r>
        <w:rPr>
          <w:lang w:val="pt-PT"/>
        </w:rPr>
        <w:t>.</w:t>
      </w:r>
    </w:p>
  </w:footnote>
  <w:footnote w:id="378">
    <w:p w:rsidR="00E201F7" w:rsidRDefault="00E24EFF">
      <w:pPr>
        <w:pStyle w:val="FootnoteText"/>
        <w:rPr>
          <w:lang w:val="pt-PT"/>
        </w:rPr>
      </w:pPr>
      <w:r>
        <w:rPr>
          <w:rStyle w:val="FootnoteReference"/>
        </w:rPr>
        <w:footnoteRef/>
      </w:r>
      <w:r>
        <w:rPr>
          <w:lang w:val="pt-PT"/>
        </w:rPr>
        <w:t xml:space="preserve"> </w:t>
      </w:r>
      <w:r>
        <w:rPr>
          <w:lang w:val="pt-PT"/>
        </w:rPr>
        <w:tab/>
        <w:t xml:space="preserve">Directive </w:t>
      </w:r>
      <w:hyperlink r:id="rId531" w:history="1">
        <w:r>
          <w:rPr>
            <w:rStyle w:val="Hyperlink"/>
            <w:lang w:val="pt-PT"/>
          </w:rPr>
          <w:t>2014/94/EU</w:t>
        </w:r>
      </w:hyperlink>
      <w:r>
        <w:rPr>
          <w:lang w:val="pt-PT"/>
        </w:rPr>
        <w:t>.</w:t>
      </w:r>
    </w:p>
  </w:footnote>
  <w:footnote w:id="379">
    <w:p w:rsidR="00E201F7" w:rsidRDefault="00E24EFF">
      <w:pPr>
        <w:pStyle w:val="FootnoteText"/>
        <w:rPr>
          <w:lang w:val="pt-PT"/>
        </w:rPr>
      </w:pPr>
      <w:r>
        <w:rPr>
          <w:rStyle w:val="FootnoteReference"/>
        </w:rPr>
        <w:footnoteRef/>
      </w:r>
      <w:r>
        <w:rPr>
          <w:lang w:val="pt-PT"/>
        </w:rPr>
        <w:t xml:space="preserve"> </w:t>
      </w:r>
      <w:r>
        <w:rPr>
          <w:lang w:val="pt-PT"/>
        </w:rPr>
        <w:tab/>
      </w:r>
      <w:hyperlink r:id="rId532" w:history="1">
        <w:r>
          <w:rPr>
            <w:rStyle w:val="Hyperlink"/>
            <w:lang w:val="pt-PT"/>
          </w:rPr>
          <w:t>MEMO/17/234</w:t>
        </w:r>
      </w:hyperlink>
      <w:r>
        <w:rPr>
          <w:lang w:val="pt-PT"/>
        </w:rPr>
        <w:t>.</w:t>
      </w:r>
    </w:p>
  </w:footnote>
  <w:footnote w:id="380">
    <w:p w:rsidR="00E201F7" w:rsidRDefault="00E24EFF">
      <w:pPr>
        <w:pStyle w:val="FootnoteText"/>
        <w:rPr>
          <w:lang w:val="pt-PT"/>
        </w:rPr>
      </w:pPr>
      <w:r>
        <w:rPr>
          <w:rStyle w:val="FootnoteReference"/>
        </w:rPr>
        <w:footnoteRef/>
      </w:r>
      <w:r>
        <w:rPr>
          <w:lang w:val="pt-PT"/>
        </w:rPr>
        <w:t xml:space="preserve"> </w:t>
      </w:r>
      <w:r>
        <w:rPr>
          <w:lang w:val="pt-PT"/>
        </w:rPr>
        <w:tab/>
        <w:t xml:space="preserve">Commission v Belgium, </w:t>
      </w:r>
      <w:hyperlink r:id="rId533" w:history="1">
        <w:r>
          <w:rPr>
            <w:rStyle w:val="Hyperlink"/>
            <w:lang w:val="pt-PT"/>
          </w:rPr>
          <w:t>C-110/17</w:t>
        </w:r>
      </w:hyperlink>
      <w:r>
        <w:rPr>
          <w:lang w:val="pt-PT"/>
        </w:rPr>
        <w:t>.</w:t>
      </w:r>
    </w:p>
  </w:footnote>
  <w:footnote w:id="381">
    <w:p w:rsidR="00E201F7" w:rsidRDefault="00E24EFF">
      <w:pPr>
        <w:pStyle w:val="FootnoteText"/>
        <w:rPr>
          <w:lang w:val="pt-PT"/>
        </w:rPr>
      </w:pPr>
      <w:r>
        <w:rPr>
          <w:rStyle w:val="FootnoteReference"/>
        </w:rPr>
        <w:footnoteRef/>
      </w:r>
      <w:r>
        <w:rPr>
          <w:lang w:val="pt-PT"/>
        </w:rPr>
        <w:t xml:space="preserve"> </w:t>
      </w:r>
      <w:r>
        <w:rPr>
          <w:lang w:val="pt-PT"/>
        </w:rPr>
        <w:tab/>
        <w:t xml:space="preserve">Directive </w:t>
      </w:r>
      <w:hyperlink r:id="rId534" w:history="1">
        <w:r>
          <w:rPr>
            <w:rStyle w:val="Hyperlink"/>
            <w:lang w:val="pt-PT"/>
          </w:rPr>
          <w:t>2003/96/EC</w:t>
        </w:r>
      </w:hyperlink>
      <w:r>
        <w:rPr>
          <w:lang w:val="pt-PT"/>
        </w:rPr>
        <w:t xml:space="preserve">, Directive </w:t>
      </w:r>
      <w:hyperlink r:id="rId535" w:history="1">
        <w:r>
          <w:rPr>
            <w:rStyle w:val="Hyperlink"/>
            <w:lang w:val="pt-PT"/>
          </w:rPr>
          <w:t>96/60/EC</w:t>
        </w:r>
      </w:hyperlink>
      <w:r>
        <w:rPr>
          <w:lang w:val="pt-PT"/>
        </w:rPr>
        <w:t>, Commission v Ireland</w:t>
      </w:r>
      <w:r>
        <w:rPr>
          <w:lang w:val="pt-PT"/>
        </w:rPr>
        <w:t xml:space="preserve">, </w:t>
      </w:r>
      <w:hyperlink r:id="rId536" w:history="1">
        <w:r>
          <w:rPr>
            <w:rStyle w:val="Hyperlink"/>
            <w:lang w:val="pt-PT"/>
          </w:rPr>
          <w:t>C-504/17</w:t>
        </w:r>
      </w:hyperlink>
      <w:r>
        <w:rPr>
          <w:lang w:val="pt-PT"/>
        </w:rPr>
        <w:t xml:space="preserve">, </w:t>
      </w:r>
      <w:hyperlink r:id="rId537" w:history="1">
        <w:r>
          <w:rPr>
            <w:rStyle w:val="Hyperlink"/>
            <w:lang w:val="pt-PT"/>
          </w:rPr>
          <w:t>IP/14/2138</w:t>
        </w:r>
      </w:hyperlink>
      <w:r>
        <w:rPr>
          <w:lang w:val="pt-PT"/>
        </w:rPr>
        <w:t xml:space="preserve">, </w:t>
      </w:r>
      <w:hyperlink r:id="rId538" w:history="1">
        <w:r>
          <w:rPr>
            <w:rStyle w:val="Hyperlink"/>
            <w:lang w:val="pt-PT"/>
          </w:rPr>
          <w:t>MEMO/14/2130</w:t>
        </w:r>
      </w:hyperlink>
      <w:r>
        <w:rPr>
          <w:lang w:val="pt-PT"/>
        </w:rPr>
        <w:t>.</w:t>
      </w:r>
    </w:p>
  </w:footnote>
  <w:footnote w:id="382">
    <w:p w:rsidR="00E201F7" w:rsidRDefault="00E24EFF">
      <w:pPr>
        <w:pStyle w:val="FootnoteText"/>
      </w:pPr>
      <w:r>
        <w:rPr>
          <w:rStyle w:val="FootnoteReference"/>
        </w:rPr>
        <w:footnoteRef/>
      </w:r>
      <w:r>
        <w:t xml:space="preserve"> </w:t>
      </w:r>
      <w:r>
        <w:tab/>
        <w:t>The fuel that may benefit from a reduced tax rate has to be marked by coloured dye.</w:t>
      </w:r>
    </w:p>
  </w:footnote>
  <w:footnote w:id="383">
    <w:p w:rsidR="00E201F7" w:rsidRDefault="00E24EFF">
      <w:pPr>
        <w:pStyle w:val="FootnoteText"/>
      </w:pPr>
      <w:r>
        <w:rPr>
          <w:rStyle w:val="FootnoteReference"/>
        </w:rPr>
        <w:footnoteRef/>
      </w:r>
      <w:r>
        <w:t xml:space="preserve"> </w:t>
      </w:r>
      <w:r>
        <w:tab/>
      </w:r>
      <w:r>
        <w:rPr>
          <w:rStyle w:val="affairetitle"/>
        </w:rPr>
        <w:t>Commission v France,</w:t>
      </w:r>
      <w:r>
        <w:t xml:space="preserve"> </w:t>
      </w:r>
      <w:hyperlink r:id="rId539" w:history="1">
        <w:r>
          <w:rPr>
            <w:rStyle w:val="Hyperlink"/>
          </w:rPr>
          <w:t>C-416/17</w:t>
        </w:r>
      </w:hyperlink>
      <w:r>
        <w:t xml:space="preserve">, </w:t>
      </w:r>
      <w:hyperlink r:id="rId540" w:history="1">
        <w:r>
          <w:rPr>
            <w:rStyle w:val="Hyperlink"/>
          </w:rPr>
          <w:t>IP/16/4216</w:t>
        </w:r>
      </w:hyperlink>
      <w:r>
        <w:t>.</w:t>
      </w:r>
    </w:p>
  </w:footnote>
  <w:footnote w:id="384">
    <w:p w:rsidR="00E201F7" w:rsidRDefault="00E24EFF">
      <w:pPr>
        <w:pStyle w:val="FootnoteText"/>
      </w:pPr>
      <w:r>
        <w:rPr>
          <w:rStyle w:val="FootnoteReference"/>
        </w:rPr>
        <w:footnoteRef/>
      </w:r>
      <w:r>
        <w:t xml:space="preserve"> </w:t>
      </w:r>
      <w:r>
        <w:tab/>
        <w:t xml:space="preserve">Accor SA, </w:t>
      </w:r>
      <w:hyperlink r:id="rId541" w:history="1">
        <w:r>
          <w:rPr>
            <w:rStyle w:val="Hyperlink"/>
          </w:rPr>
          <w:t>C-310/09</w:t>
        </w:r>
      </w:hyperlink>
      <w:r>
        <w:t>.</w:t>
      </w:r>
    </w:p>
  </w:footnote>
  <w:footnote w:id="385">
    <w:p w:rsidR="00E201F7" w:rsidRDefault="00E24EFF">
      <w:pPr>
        <w:pStyle w:val="FootnoteText"/>
      </w:pPr>
      <w:r>
        <w:rPr>
          <w:rStyle w:val="FootnoteReference"/>
        </w:rPr>
        <w:footnoteRef/>
      </w:r>
      <w:r>
        <w:t xml:space="preserve"> </w:t>
      </w:r>
      <w:r>
        <w:tab/>
      </w:r>
      <w:r>
        <w:rPr>
          <w:rStyle w:val="affairetitle"/>
        </w:rPr>
        <w:t>Commission v United Kingdom,</w:t>
      </w:r>
      <w:r>
        <w:t xml:space="preserve"> </w:t>
      </w:r>
      <w:hyperlink r:id="rId542" w:history="1">
        <w:r>
          <w:rPr>
            <w:rStyle w:val="Hyperlink"/>
          </w:rPr>
          <w:t>C-503/17</w:t>
        </w:r>
      </w:hyperlink>
      <w:r>
        <w:t xml:space="preserve">, </w:t>
      </w:r>
      <w:hyperlink r:id="rId543" w:history="1">
        <w:r>
          <w:rPr>
            <w:rStyle w:val="Hyperlink"/>
          </w:rPr>
          <w:t>IP/14/810</w:t>
        </w:r>
      </w:hyperlink>
      <w:r>
        <w:t>.</w:t>
      </w:r>
    </w:p>
  </w:footnote>
  <w:footnote w:id="386">
    <w:p w:rsidR="00E201F7" w:rsidRDefault="00E24EFF">
      <w:pPr>
        <w:pStyle w:val="FootnoteText"/>
      </w:pPr>
      <w:r>
        <w:rPr>
          <w:rStyle w:val="FootnoteReference"/>
        </w:rPr>
        <w:footnoteRef/>
      </w:r>
      <w:r>
        <w:t xml:space="preserve"> </w:t>
      </w:r>
      <w:r>
        <w:tab/>
        <w:t>The fuel that may benefit from a reduced tax rate has to be marked by coloured dye.</w:t>
      </w:r>
    </w:p>
  </w:footnote>
  <w:footnote w:id="387">
    <w:p w:rsidR="00E201F7" w:rsidRDefault="00E24EFF">
      <w:pPr>
        <w:pStyle w:val="FootnoteText"/>
        <w:rPr>
          <w:lang w:val="pt-PT"/>
        </w:rPr>
      </w:pPr>
      <w:r>
        <w:rPr>
          <w:rStyle w:val="FootnoteReference"/>
        </w:rPr>
        <w:footnoteRef/>
      </w:r>
      <w:r>
        <w:rPr>
          <w:lang w:val="pt-PT"/>
        </w:rPr>
        <w:t xml:space="preserve"> </w:t>
      </w:r>
      <w:r>
        <w:rPr>
          <w:lang w:val="pt-PT"/>
        </w:rPr>
        <w:tab/>
      </w:r>
      <w:r>
        <w:rPr>
          <w:lang w:val="pt-PT"/>
        </w:rPr>
        <w:t xml:space="preserve">Directive </w:t>
      </w:r>
      <w:hyperlink r:id="rId544" w:history="1">
        <w:r>
          <w:rPr>
            <w:rStyle w:val="Hyperlink"/>
            <w:lang w:val="pt-PT"/>
          </w:rPr>
          <w:t>2011/16/EU</w:t>
        </w:r>
      </w:hyperlink>
      <w:r>
        <w:rPr>
          <w:lang w:val="pt-PT"/>
        </w:rPr>
        <w:t>.</w:t>
      </w:r>
    </w:p>
  </w:footnote>
  <w:footnote w:id="388">
    <w:p w:rsidR="00E201F7" w:rsidRDefault="00E24EFF">
      <w:pPr>
        <w:pStyle w:val="FootnoteText"/>
        <w:rPr>
          <w:lang w:val="pt-PT"/>
        </w:rPr>
      </w:pPr>
      <w:r>
        <w:rPr>
          <w:rStyle w:val="FootnoteReference"/>
        </w:rPr>
        <w:footnoteRef/>
      </w:r>
      <w:r>
        <w:rPr>
          <w:lang w:val="pt-PT"/>
        </w:rPr>
        <w:t xml:space="preserve"> </w:t>
      </w:r>
      <w:r>
        <w:rPr>
          <w:lang w:val="pt-PT"/>
        </w:rPr>
        <w:tab/>
        <w:t xml:space="preserve">Council Directives </w:t>
      </w:r>
      <w:hyperlink r:id="rId545" w:history="1">
        <w:r>
          <w:rPr>
            <w:rStyle w:val="Hyperlink"/>
            <w:lang w:val="pt-PT"/>
          </w:rPr>
          <w:t>2015/2</w:t>
        </w:r>
        <w:r>
          <w:rPr>
            <w:rStyle w:val="Hyperlink"/>
            <w:lang w:val="pt-PT"/>
          </w:rPr>
          <w:t>376/EU</w:t>
        </w:r>
      </w:hyperlink>
      <w:r>
        <w:rPr>
          <w:lang w:val="pt-PT"/>
        </w:rPr>
        <w:t xml:space="preserve"> and </w:t>
      </w:r>
      <w:hyperlink r:id="rId546" w:history="1">
        <w:r>
          <w:rPr>
            <w:rStyle w:val="Hyperlink"/>
            <w:lang w:val="pt-PT"/>
          </w:rPr>
          <w:t>2016/881/EU</w:t>
        </w:r>
      </w:hyperlink>
      <w:r>
        <w:rPr>
          <w:lang w:val="pt-PT"/>
        </w:rPr>
        <w:t>.</w:t>
      </w:r>
    </w:p>
  </w:footnote>
  <w:footnote w:id="389">
    <w:p w:rsidR="00E201F7" w:rsidRDefault="00E24EFF">
      <w:pPr>
        <w:pStyle w:val="FootnoteText"/>
        <w:rPr>
          <w:lang w:val="pt-PT"/>
        </w:rPr>
      </w:pPr>
      <w:r>
        <w:rPr>
          <w:rStyle w:val="FootnoteReference"/>
        </w:rPr>
        <w:footnoteRef/>
      </w:r>
      <w:r>
        <w:rPr>
          <w:lang w:val="pt-PT"/>
        </w:rPr>
        <w:t xml:space="preserve"> </w:t>
      </w:r>
      <w:r>
        <w:rPr>
          <w:lang w:val="pt-PT"/>
        </w:rPr>
        <w:tab/>
        <w:t xml:space="preserve">Regulation </w:t>
      </w:r>
      <w:hyperlink r:id="rId547" w:history="1">
        <w:r>
          <w:rPr>
            <w:rStyle w:val="Hyperlink"/>
            <w:lang w:val="pt-PT"/>
          </w:rPr>
          <w:t>(EC) No 2286</w:t>
        </w:r>
        <w:r>
          <w:rPr>
            <w:rStyle w:val="Hyperlink"/>
            <w:lang w:val="pt-PT"/>
          </w:rPr>
          <w:t>/2003</w:t>
        </w:r>
      </w:hyperlink>
      <w:r>
        <w:rPr>
          <w:lang w:val="pt-PT"/>
        </w:rPr>
        <w:t>.</w:t>
      </w:r>
    </w:p>
  </w:footnote>
  <w:footnote w:id="390">
    <w:p w:rsidR="00E201F7" w:rsidRDefault="00E24EFF">
      <w:pPr>
        <w:pStyle w:val="FootnoteText"/>
        <w:rPr>
          <w:lang w:val="pt-PT"/>
        </w:rPr>
      </w:pPr>
      <w:r>
        <w:rPr>
          <w:rStyle w:val="FootnoteReference"/>
        </w:rPr>
        <w:footnoteRef/>
      </w:r>
      <w:r>
        <w:rPr>
          <w:lang w:val="pt-PT"/>
        </w:rPr>
        <w:t xml:space="preserve"> </w:t>
      </w:r>
      <w:r>
        <w:rPr>
          <w:lang w:val="pt-PT"/>
        </w:rPr>
        <w:tab/>
      </w:r>
      <w:hyperlink r:id="rId548" w:history="1">
        <w:r>
          <w:rPr>
            <w:rStyle w:val="Hyperlink"/>
            <w:lang w:val="pt-PT"/>
          </w:rPr>
          <w:t>MEMO/17/3494</w:t>
        </w:r>
      </w:hyperlink>
      <w:r>
        <w:rPr>
          <w:lang w:val="pt-PT"/>
        </w:rPr>
        <w:t>.</w:t>
      </w:r>
    </w:p>
  </w:footnote>
  <w:footnote w:id="391">
    <w:p w:rsidR="00E201F7" w:rsidRDefault="00E24EFF">
      <w:pPr>
        <w:pStyle w:val="FootnoteText"/>
      </w:pPr>
      <w:r>
        <w:rPr>
          <w:rStyle w:val="FootnoteReference"/>
        </w:rPr>
        <w:footnoteRef/>
      </w:r>
      <w:r>
        <w:t xml:space="preserve"> </w:t>
      </w:r>
      <w:r>
        <w:tab/>
        <w:t>Associations of taxpayers who come together to purchase services from third parties.</w:t>
      </w:r>
    </w:p>
  </w:footnote>
  <w:footnote w:id="392">
    <w:p w:rsidR="00E201F7" w:rsidRDefault="00E24EFF">
      <w:pPr>
        <w:pStyle w:val="FootnoteText"/>
      </w:pPr>
      <w:r>
        <w:rPr>
          <w:rStyle w:val="FootnoteReference"/>
        </w:rPr>
        <w:footnoteRef/>
      </w:r>
      <w:r>
        <w:t xml:space="preserve"> </w:t>
      </w:r>
      <w:r>
        <w:tab/>
        <w:t xml:space="preserve">Commission v Germany, </w:t>
      </w:r>
      <w:hyperlink r:id="rId549" w:history="1">
        <w:r>
          <w:rPr>
            <w:rStyle w:val="Hyperlink"/>
          </w:rPr>
          <w:t>C-616/15</w:t>
        </w:r>
      </w:hyperlink>
      <w:r>
        <w:t xml:space="preserve">, </w:t>
      </w:r>
      <w:hyperlink r:id="rId550" w:history="1">
        <w:r>
          <w:rPr>
            <w:rStyle w:val="Hyperlink"/>
          </w:rPr>
          <w:t>IP/15/4493</w:t>
        </w:r>
      </w:hyperlink>
      <w:r>
        <w:t>.</w:t>
      </w:r>
    </w:p>
  </w:footnote>
  <w:footnote w:id="393">
    <w:p w:rsidR="00E201F7" w:rsidRDefault="00E24EFF">
      <w:pPr>
        <w:pStyle w:val="FootnoteText"/>
      </w:pPr>
      <w:r>
        <w:rPr>
          <w:rStyle w:val="FootnoteReference"/>
        </w:rPr>
        <w:footnoteRef/>
      </w:r>
      <w:r>
        <w:t xml:space="preserve"> </w:t>
      </w:r>
      <w:r>
        <w:tab/>
        <w:t xml:space="preserve">Commission v Ireland, </w:t>
      </w:r>
      <w:hyperlink r:id="rId551" w:history="1">
        <w:r>
          <w:rPr>
            <w:rStyle w:val="Hyperlink"/>
          </w:rPr>
          <w:t>C-552/15</w:t>
        </w:r>
      </w:hyperlink>
      <w:r>
        <w:t xml:space="preserve">, </w:t>
      </w:r>
      <w:hyperlink r:id="rId552" w:history="1">
        <w:r>
          <w:rPr>
            <w:rStyle w:val="Hyperlink"/>
          </w:rPr>
          <w:t>IP/15/5355</w:t>
        </w:r>
      </w:hyperlink>
      <w:r>
        <w:t xml:space="preserve">, </w:t>
      </w:r>
      <w:hyperlink r:id="rId553" w:history="1">
        <w:r>
          <w:rPr>
            <w:rStyle w:val="Hyperlink"/>
          </w:rPr>
          <w:t>MEMO/15/5356</w:t>
        </w:r>
      </w:hyperlink>
      <w:r>
        <w:t>.</w:t>
      </w:r>
    </w:p>
  </w:footnote>
  <w:footnote w:id="394">
    <w:p w:rsidR="00E201F7" w:rsidRDefault="00E24EFF">
      <w:pPr>
        <w:pStyle w:val="FootnoteText"/>
      </w:pPr>
      <w:r>
        <w:rPr>
          <w:rStyle w:val="FootnoteReference"/>
        </w:rPr>
        <w:footnoteRef/>
      </w:r>
      <w:r>
        <w:t xml:space="preserve"> </w:t>
      </w:r>
      <w:r>
        <w:tab/>
        <w:t xml:space="preserve">Commission v Greece, </w:t>
      </w:r>
      <w:hyperlink r:id="rId554" w:history="1">
        <w:r>
          <w:rPr>
            <w:rStyle w:val="Hyperlink"/>
          </w:rPr>
          <w:t>C-98/16</w:t>
        </w:r>
      </w:hyperlink>
      <w:r>
        <w:t xml:space="preserve">, </w:t>
      </w:r>
      <w:hyperlink r:id="rId555" w:history="1">
        <w:r>
          <w:rPr>
            <w:rStyle w:val="Hyperlink"/>
          </w:rPr>
          <w:t>MEMO/17/3494</w:t>
        </w:r>
      </w:hyperlink>
      <w:r>
        <w:t>.</w:t>
      </w:r>
    </w:p>
  </w:footnote>
  <w:footnote w:id="395">
    <w:p w:rsidR="00E201F7" w:rsidRDefault="00E24EFF">
      <w:pPr>
        <w:pStyle w:val="FootnoteText"/>
      </w:pPr>
      <w:r>
        <w:rPr>
          <w:rStyle w:val="FootnoteReference"/>
        </w:rPr>
        <w:footnoteRef/>
      </w:r>
      <w:r>
        <w:t xml:space="preserve"> </w:t>
      </w:r>
      <w:r>
        <w:tab/>
        <w:t>Associations of taxpayers who come together to purchase services from third parties.</w:t>
      </w:r>
    </w:p>
  </w:footnote>
  <w:footnote w:id="396">
    <w:p w:rsidR="00E201F7" w:rsidRDefault="00E24EFF">
      <w:pPr>
        <w:pStyle w:val="FootnoteText"/>
      </w:pPr>
      <w:r>
        <w:rPr>
          <w:rStyle w:val="FootnoteReference"/>
        </w:rPr>
        <w:footnoteRef/>
      </w:r>
      <w:r>
        <w:t xml:space="preserve"> </w:t>
      </w:r>
      <w:r>
        <w:tab/>
      </w:r>
      <w:r>
        <w:t xml:space="preserve">Commission v Luxembourg, </w:t>
      </w:r>
      <w:hyperlink r:id="rId556" w:history="1">
        <w:r>
          <w:rPr>
            <w:rStyle w:val="Hyperlink"/>
          </w:rPr>
          <w:t>C-274/15</w:t>
        </w:r>
      </w:hyperlink>
      <w:r>
        <w:t xml:space="preserve">, </w:t>
      </w:r>
      <w:hyperlink r:id="rId557" w:history="1">
        <w:r>
          <w:rPr>
            <w:rStyle w:val="Hyperlink"/>
          </w:rPr>
          <w:t>IP/14/161</w:t>
        </w:r>
      </w:hyperlink>
      <w:r>
        <w:t xml:space="preserve">, </w:t>
      </w:r>
      <w:hyperlink r:id="rId558" w:history="1">
        <w:r>
          <w:rPr>
            <w:rStyle w:val="Hyperlink"/>
          </w:rPr>
          <w:t>MEMO/14/116</w:t>
        </w:r>
      </w:hyperlink>
      <w:r>
        <w:t>.</w:t>
      </w:r>
    </w:p>
  </w:footnote>
  <w:footnote w:id="397">
    <w:p w:rsidR="00E201F7" w:rsidRDefault="00E24EFF">
      <w:pPr>
        <w:pStyle w:val="FootnoteText"/>
      </w:pPr>
      <w:r>
        <w:rPr>
          <w:rStyle w:val="FootnoteReference"/>
        </w:rPr>
        <w:footnoteRef/>
      </w:r>
      <w:r>
        <w:t xml:space="preserve"> </w:t>
      </w:r>
      <w:r>
        <w:tab/>
        <w:t xml:space="preserve">Commission v Portugal, </w:t>
      </w:r>
      <w:hyperlink r:id="rId559" w:history="1">
        <w:r>
          <w:rPr>
            <w:rStyle w:val="Hyperlink"/>
          </w:rPr>
          <w:t>C-126/15</w:t>
        </w:r>
      </w:hyperlink>
      <w:r>
        <w:t xml:space="preserve">, </w:t>
      </w:r>
      <w:hyperlink r:id="rId560" w:history="1">
        <w:r>
          <w:rPr>
            <w:rStyle w:val="Hyperlink"/>
          </w:rPr>
          <w:t>IP/14/809</w:t>
        </w:r>
      </w:hyperlink>
      <w:r>
        <w:t xml:space="preserve">, </w:t>
      </w:r>
      <w:hyperlink r:id="rId561" w:history="1">
        <w:r>
          <w:rPr>
            <w:rStyle w:val="Hyperlink"/>
          </w:rPr>
          <w:t>MEMO/14/470</w:t>
        </w:r>
      </w:hyperlink>
      <w:r>
        <w:t>.</w:t>
      </w:r>
    </w:p>
  </w:footnote>
  <w:footnote w:id="398">
    <w:p w:rsidR="00E201F7" w:rsidRDefault="00E24EFF">
      <w:pPr>
        <w:pStyle w:val="FootnoteText"/>
      </w:pPr>
      <w:r>
        <w:rPr>
          <w:rStyle w:val="FootnoteReference"/>
        </w:rPr>
        <w:footnoteRef/>
      </w:r>
      <w:r>
        <w:t xml:space="preserve"> </w:t>
      </w:r>
      <w:r>
        <w:tab/>
        <w:t xml:space="preserve">Directive </w:t>
      </w:r>
      <w:hyperlink r:id="rId562" w:history="1">
        <w:r>
          <w:rPr>
            <w:rStyle w:val="Hyperlink"/>
          </w:rPr>
          <w:t>2008/118/EC</w:t>
        </w:r>
      </w:hyperlink>
      <w:r>
        <w:t>.</w:t>
      </w:r>
    </w:p>
  </w:footnote>
  <w:footnote w:id="399">
    <w:p w:rsidR="00E201F7" w:rsidRDefault="00E24EFF">
      <w:pPr>
        <w:pStyle w:val="FootnoteText"/>
      </w:pPr>
      <w:r>
        <w:rPr>
          <w:rStyle w:val="FootnoteReference"/>
        </w:rPr>
        <w:footnoteRef/>
      </w:r>
      <w:r>
        <w:t xml:space="preserve"> </w:t>
      </w:r>
      <w:r>
        <w:tab/>
        <w:t xml:space="preserve">Van der Weegen and Others, </w:t>
      </w:r>
      <w:hyperlink r:id="rId563" w:history="1">
        <w:r>
          <w:rPr>
            <w:rStyle w:val="Hyperlink"/>
          </w:rPr>
          <w:t>C-580/15</w:t>
        </w:r>
      </w:hyperlink>
      <w:r>
        <w:t>.</w:t>
      </w:r>
    </w:p>
  </w:footnote>
  <w:footnote w:id="400">
    <w:p w:rsidR="00E201F7" w:rsidRDefault="00E24EFF">
      <w:pPr>
        <w:pStyle w:val="FootnoteText"/>
      </w:pPr>
      <w:r>
        <w:rPr>
          <w:rStyle w:val="FootnoteReference"/>
        </w:rPr>
        <w:footnoteRef/>
      </w:r>
      <w:r>
        <w:t xml:space="preserve"> </w:t>
      </w:r>
      <w:r>
        <w:tab/>
        <w:t xml:space="preserve">Directive </w:t>
      </w:r>
      <w:hyperlink r:id="rId564" w:history="1">
        <w:r>
          <w:rPr>
            <w:rStyle w:val="Hyperlink"/>
          </w:rPr>
          <w:t>2011/96/EU</w:t>
        </w:r>
      </w:hyperlink>
      <w:r>
        <w:t>.</w:t>
      </w:r>
    </w:p>
  </w:footnote>
  <w:footnote w:id="401">
    <w:p w:rsidR="00E201F7" w:rsidRDefault="00E24EFF">
      <w:pPr>
        <w:pStyle w:val="FootnoteText"/>
      </w:pPr>
      <w:r>
        <w:rPr>
          <w:rStyle w:val="FootnoteReference"/>
        </w:rPr>
        <w:footnoteRef/>
      </w:r>
      <w:r>
        <w:t xml:space="preserve"> </w:t>
      </w:r>
      <w:r>
        <w:tab/>
        <w:t xml:space="preserve">X, </w:t>
      </w:r>
      <w:hyperlink r:id="rId565" w:history="1">
        <w:r>
          <w:rPr>
            <w:rStyle w:val="Hyperlink"/>
          </w:rPr>
          <w:t>C-68/15</w:t>
        </w:r>
      </w:hyperlink>
      <w:r>
        <w:t>.</w:t>
      </w:r>
    </w:p>
  </w:footnote>
  <w:footnote w:id="402">
    <w:p w:rsidR="00E201F7" w:rsidRDefault="00E24EFF">
      <w:pPr>
        <w:pStyle w:val="FootnoteText"/>
      </w:pPr>
      <w:r>
        <w:rPr>
          <w:rStyle w:val="FootnoteReference"/>
        </w:rPr>
        <w:footnoteRef/>
      </w:r>
      <w:r>
        <w:t xml:space="preserve"> </w:t>
      </w:r>
      <w:r>
        <w:tab/>
        <w:t xml:space="preserve">Criminal proceedings against Mr U, </w:t>
      </w:r>
      <w:hyperlink r:id="rId566" w:history="1">
        <w:r>
          <w:rPr>
            <w:rStyle w:val="Hyperlink"/>
          </w:rPr>
          <w:t>C-420/15</w:t>
        </w:r>
      </w:hyperlink>
      <w:r>
        <w:t>.</w:t>
      </w:r>
    </w:p>
  </w:footnote>
  <w:footnote w:id="403">
    <w:p w:rsidR="00E201F7" w:rsidRDefault="00E24EFF">
      <w:pPr>
        <w:pStyle w:val="FootnoteText"/>
        <w:rPr>
          <w:lang w:val="de-DE"/>
        </w:rPr>
      </w:pPr>
      <w:r>
        <w:rPr>
          <w:rStyle w:val="FootnoteReference"/>
        </w:rPr>
        <w:footnoteRef/>
      </w:r>
      <w:r>
        <w:rPr>
          <w:lang w:val="de-DE"/>
        </w:rPr>
        <w:t xml:space="preserve"> </w:t>
      </w:r>
      <w:r>
        <w:rPr>
          <w:lang w:val="de-DE"/>
        </w:rPr>
        <w:tab/>
        <w:t>Hamamatsu Photonics Deutschlan</w:t>
      </w:r>
      <w:r>
        <w:rPr>
          <w:lang w:val="de-DE"/>
        </w:rPr>
        <w:t xml:space="preserve">d GmbH, </w:t>
      </w:r>
      <w:hyperlink r:id="rId567" w:history="1">
        <w:r>
          <w:rPr>
            <w:rStyle w:val="Hyperlink"/>
            <w:lang w:val="de-DE"/>
          </w:rPr>
          <w:t>C-529/16</w:t>
        </w:r>
      </w:hyperlink>
      <w:r>
        <w:rPr>
          <w:lang w:val="de-DE"/>
        </w:rPr>
        <w:t>.</w:t>
      </w:r>
    </w:p>
  </w:footnote>
  <w:footnote w:id="404">
    <w:p w:rsidR="00E201F7" w:rsidRDefault="00E24EFF">
      <w:pPr>
        <w:pStyle w:val="FootnoteText"/>
      </w:pPr>
      <w:r>
        <w:rPr>
          <w:rStyle w:val="FootnoteReference"/>
        </w:rPr>
        <w:footnoteRef/>
      </w:r>
      <w:r>
        <w:t xml:space="preserve"> </w:t>
      </w:r>
      <w:r>
        <w:tab/>
        <w:t xml:space="preserve">Deister, </w:t>
      </w:r>
      <w:hyperlink r:id="rId568" w:history="1">
        <w:r>
          <w:rPr>
            <w:rStyle w:val="Hyperlink"/>
          </w:rPr>
          <w:t>C-504/16</w:t>
        </w:r>
      </w:hyperlink>
      <w:r>
        <w:t xml:space="preserve"> and Juhler Holding, </w:t>
      </w:r>
      <w:hyperlink r:id="rId569" w:history="1">
        <w:r>
          <w:rPr>
            <w:rStyle w:val="Hyperlink"/>
          </w:rPr>
          <w:t>C-613/16</w:t>
        </w:r>
      </w:hyperlink>
      <w:r>
        <w:t>.</w:t>
      </w:r>
    </w:p>
  </w:footnote>
  <w:footnote w:id="405">
    <w:p w:rsidR="00E201F7" w:rsidRDefault="00E24EFF">
      <w:pPr>
        <w:pStyle w:val="FootnoteText"/>
      </w:pPr>
      <w:r>
        <w:rPr>
          <w:rStyle w:val="FootnoteReference"/>
        </w:rPr>
        <w:footnoteRef/>
      </w:r>
      <w:r>
        <w:t xml:space="preserve"> </w:t>
      </w:r>
      <w:r>
        <w:tab/>
        <w:t xml:space="preserve">Bechtel &amp; Bechtel, </w:t>
      </w:r>
      <w:hyperlink r:id="rId570" w:history="1">
        <w:r>
          <w:rPr>
            <w:rStyle w:val="Hyperlink"/>
          </w:rPr>
          <w:t>C-20/16</w:t>
        </w:r>
      </w:hyperlink>
      <w:r>
        <w:t>.</w:t>
      </w:r>
    </w:p>
  </w:footnote>
  <w:footnote w:id="406">
    <w:p w:rsidR="00E201F7" w:rsidRDefault="00E24EFF">
      <w:pPr>
        <w:pStyle w:val="FootnoteText"/>
      </w:pPr>
      <w:r>
        <w:rPr>
          <w:rStyle w:val="FootnoteReference"/>
        </w:rPr>
        <w:footnoteRef/>
      </w:r>
      <w:r>
        <w:t xml:space="preserve">  </w:t>
      </w:r>
      <w:r>
        <w:tab/>
        <w:t xml:space="preserve">Directive </w:t>
      </w:r>
      <w:hyperlink r:id="rId571" w:history="1">
        <w:r>
          <w:rPr>
            <w:rStyle w:val="Hyperlink"/>
          </w:rPr>
          <w:t>2011/96/EU</w:t>
        </w:r>
      </w:hyperlink>
      <w:r>
        <w:t>.</w:t>
      </w:r>
    </w:p>
  </w:footnote>
  <w:footnote w:id="407">
    <w:p w:rsidR="00E201F7" w:rsidRDefault="00E24EFF">
      <w:pPr>
        <w:pStyle w:val="FootnoteText"/>
      </w:pPr>
      <w:r>
        <w:rPr>
          <w:rStyle w:val="FootnoteReference"/>
        </w:rPr>
        <w:footnoteRef/>
      </w:r>
      <w:r>
        <w:t xml:space="preserve"> </w:t>
      </w:r>
      <w:r>
        <w:tab/>
        <w:t xml:space="preserve">AFEP and Others, </w:t>
      </w:r>
      <w:hyperlink r:id="rId572" w:history="1">
        <w:r>
          <w:rPr>
            <w:rStyle w:val="Hyperlink"/>
          </w:rPr>
          <w:t>C-365/16</w:t>
        </w:r>
      </w:hyperlink>
      <w:r>
        <w:t>.</w:t>
      </w:r>
    </w:p>
  </w:footnote>
  <w:footnote w:id="408">
    <w:p w:rsidR="00E201F7" w:rsidRDefault="00E24EFF">
      <w:pPr>
        <w:pStyle w:val="FootnoteText"/>
      </w:pPr>
      <w:r>
        <w:rPr>
          <w:rStyle w:val="FootnoteReference"/>
        </w:rPr>
        <w:footnoteRef/>
      </w:r>
      <w:r>
        <w:t xml:space="preserve"> </w:t>
      </w:r>
      <w:r>
        <w:tab/>
        <w:t>Berlioz Investment Fu</w:t>
      </w:r>
      <w:r>
        <w:t xml:space="preserve">nd, </w:t>
      </w:r>
      <w:hyperlink r:id="rId573" w:history="1">
        <w:r>
          <w:rPr>
            <w:rStyle w:val="Hyperlink"/>
          </w:rPr>
          <w:t>C-682/15</w:t>
        </w:r>
      </w:hyperlink>
      <w:r>
        <w:t>.</w:t>
      </w:r>
    </w:p>
  </w:footnote>
  <w:footnote w:id="409">
    <w:p w:rsidR="00E201F7" w:rsidRDefault="00E24EFF">
      <w:pPr>
        <w:pStyle w:val="FootnoteText"/>
      </w:pPr>
      <w:r>
        <w:rPr>
          <w:rStyle w:val="FootnoteReference"/>
        </w:rPr>
        <w:footnoteRef/>
      </w:r>
      <w:r>
        <w:t xml:space="preserve"> </w:t>
      </w:r>
      <w:r>
        <w:tab/>
        <w:t xml:space="preserve">The Shirtmakers BV, </w:t>
      </w:r>
      <w:hyperlink r:id="rId574" w:history="1">
        <w:r>
          <w:rPr>
            <w:rStyle w:val="Hyperlink"/>
          </w:rPr>
          <w:t>C-59/16</w:t>
        </w:r>
      </w:hyperlink>
      <w:r>
        <w:t>.</w:t>
      </w:r>
    </w:p>
  </w:footnote>
  <w:footnote w:id="410">
    <w:p w:rsidR="00E201F7" w:rsidRDefault="00E24EFF">
      <w:pPr>
        <w:pStyle w:val="FootnoteText"/>
      </w:pPr>
      <w:r>
        <w:rPr>
          <w:rStyle w:val="FootnoteReference"/>
        </w:rPr>
        <w:footnoteRef/>
      </w:r>
      <w:r>
        <w:t xml:space="preserve"> </w:t>
      </w:r>
      <w:r>
        <w:tab/>
        <w:t>GROFA GmbH and</w:t>
      </w:r>
      <w:r>
        <w:t xml:space="preserve"> GoPro Coperatief, Joined Cases </w:t>
      </w:r>
      <w:hyperlink r:id="rId575" w:history="1">
        <w:r>
          <w:rPr>
            <w:rStyle w:val="Hyperlink"/>
          </w:rPr>
          <w:t>C-435/15</w:t>
        </w:r>
      </w:hyperlink>
      <w:r>
        <w:t xml:space="preserve"> and </w:t>
      </w:r>
      <w:hyperlink r:id="rId576" w:history="1">
        <w:r>
          <w:rPr>
            <w:rStyle w:val="Hyperlink"/>
          </w:rPr>
          <w:t>C-666/1</w:t>
        </w:r>
      </w:hyperlink>
      <w:r>
        <w:t>.</w:t>
      </w:r>
    </w:p>
  </w:footnote>
  <w:footnote w:id="411">
    <w:p w:rsidR="00E201F7" w:rsidRDefault="00E24EFF">
      <w:pPr>
        <w:pStyle w:val="FootnoteText"/>
      </w:pPr>
      <w:r>
        <w:rPr>
          <w:rStyle w:val="FootnoteReference"/>
        </w:rPr>
        <w:footnoteRef/>
      </w:r>
      <w:r>
        <w:t xml:space="preserve"> </w:t>
      </w:r>
      <w:r>
        <w:tab/>
      </w:r>
      <w:r>
        <w:t xml:space="preserve">Stryker EMEA Supply Chain BV, </w:t>
      </w:r>
      <w:hyperlink r:id="rId577" w:history="1">
        <w:r>
          <w:rPr>
            <w:rStyle w:val="Hyperlink"/>
          </w:rPr>
          <w:t>C-51/16</w:t>
        </w:r>
      </w:hyperlink>
      <w:r>
        <w:t>.</w:t>
      </w:r>
    </w:p>
  </w:footnote>
  <w:footnote w:id="412">
    <w:p w:rsidR="00E201F7" w:rsidRDefault="00E24EFF">
      <w:pPr>
        <w:pStyle w:val="FootnoteText"/>
        <w:rPr>
          <w:lang w:val="fr-BE"/>
        </w:rPr>
      </w:pPr>
      <w:r>
        <w:rPr>
          <w:rStyle w:val="FootnoteReference"/>
        </w:rPr>
        <w:footnoteRef/>
      </w:r>
      <w:r>
        <w:rPr>
          <w:lang w:val="fr-BE"/>
        </w:rPr>
        <w:t xml:space="preserve"> </w:t>
      </w:r>
      <w:r>
        <w:rPr>
          <w:lang w:val="fr-BE"/>
        </w:rPr>
        <w:tab/>
        <w:t xml:space="preserve">Euro Tyre BV, </w:t>
      </w:r>
      <w:hyperlink r:id="rId578" w:history="1">
        <w:r>
          <w:rPr>
            <w:rStyle w:val="Hyperlink"/>
            <w:lang w:val="fr-BE"/>
          </w:rPr>
          <w:t>C-21/16</w:t>
        </w:r>
      </w:hyperlink>
      <w:r>
        <w:rPr>
          <w:lang w:val="fr-BE"/>
        </w:rPr>
        <w:t>.</w:t>
      </w:r>
    </w:p>
  </w:footnote>
  <w:footnote w:id="413">
    <w:p w:rsidR="00E201F7" w:rsidRDefault="00E24EFF">
      <w:pPr>
        <w:pStyle w:val="FootnoteText"/>
        <w:rPr>
          <w:lang w:val="fr-BE"/>
        </w:rPr>
      </w:pPr>
      <w:r>
        <w:rPr>
          <w:rStyle w:val="FootnoteReference"/>
        </w:rPr>
        <w:footnoteRef/>
      </w:r>
      <w:r>
        <w:rPr>
          <w:lang w:val="fr-BE"/>
        </w:rPr>
        <w:t xml:space="preserve"> </w:t>
      </w:r>
      <w:r>
        <w:rPr>
          <w:lang w:val="fr-BE"/>
        </w:rPr>
        <w:tab/>
        <w:t xml:space="preserve">Mercedes-Benz Financial Services UK, </w:t>
      </w:r>
      <w:hyperlink r:id="rId579" w:history="1">
        <w:r>
          <w:rPr>
            <w:rStyle w:val="Hyperlink"/>
            <w:lang w:val="fr-BE"/>
          </w:rPr>
          <w:t>C-164/16</w:t>
        </w:r>
      </w:hyperlink>
      <w:r>
        <w:rPr>
          <w:lang w:val="fr-BE"/>
        </w:rPr>
        <w:t>.</w:t>
      </w:r>
    </w:p>
  </w:footnote>
  <w:footnote w:id="414">
    <w:p w:rsidR="00E201F7" w:rsidRDefault="00E24EFF">
      <w:pPr>
        <w:pStyle w:val="FootnoteText"/>
        <w:rPr>
          <w:lang w:val="fr-BE"/>
        </w:rPr>
      </w:pPr>
      <w:r>
        <w:rPr>
          <w:rStyle w:val="FootnoteReference"/>
        </w:rPr>
        <w:footnoteRef/>
      </w:r>
      <w:r>
        <w:rPr>
          <w:lang w:val="fr-BE"/>
        </w:rPr>
        <w:t xml:space="preserve"> </w:t>
      </w:r>
      <w:r>
        <w:rPr>
          <w:lang w:val="fr-BE"/>
        </w:rPr>
        <w:tab/>
        <w:t xml:space="preserve">Directive </w:t>
      </w:r>
      <w:hyperlink r:id="rId580" w:history="1">
        <w:r>
          <w:rPr>
            <w:rStyle w:val="Hyperlink"/>
            <w:lang w:val="fr-BE"/>
          </w:rPr>
          <w:t>2014/107/EU</w:t>
        </w:r>
      </w:hyperlink>
      <w:r>
        <w:rPr>
          <w:lang w:val="fr-BE"/>
        </w:rPr>
        <w:t>.</w:t>
      </w:r>
    </w:p>
  </w:footnote>
  <w:footnote w:id="415">
    <w:p w:rsidR="00E201F7" w:rsidRDefault="00E24EFF">
      <w:pPr>
        <w:pStyle w:val="FootnoteText"/>
        <w:rPr>
          <w:lang w:val="fr-BE"/>
        </w:rPr>
      </w:pPr>
      <w:r>
        <w:rPr>
          <w:rStyle w:val="FootnoteReference"/>
        </w:rPr>
        <w:footnoteRef/>
      </w:r>
      <w:r>
        <w:rPr>
          <w:lang w:val="fr-BE"/>
        </w:rPr>
        <w:t xml:space="preserve"> </w:t>
      </w:r>
      <w:r>
        <w:rPr>
          <w:lang w:val="fr-BE"/>
        </w:rPr>
        <w:tab/>
        <w:t>Directive</w:t>
      </w:r>
      <w:hyperlink r:id="rId581" w:history="1">
        <w:r>
          <w:rPr>
            <w:rStyle w:val="Hyperlink"/>
            <w:lang w:val="fr-BE"/>
          </w:rPr>
          <w:t xml:space="preserve"> 2015/2376/EU</w:t>
        </w:r>
      </w:hyperlink>
      <w:r>
        <w:rPr>
          <w:lang w:val="fr-BE"/>
        </w:rPr>
        <w:t>.</w:t>
      </w:r>
    </w:p>
  </w:footnote>
  <w:footnote w:id="416">
    <w:p w:rsidR="00E201F7" w:rsidRDefault="00E24EFF">
      <w:pPr>
        <w:pStyle w:val="FootnoteText"/>
      </w:pPr>
      <w:r>
        <w:rPr>
          <w:rStyle w:val="FootnoteReference"/>
        </w:rPr>
        <w:footnoteRef/>
      </w:r>
      <w:r>
        <w:t xml:space="preserve"> </w:t>
      </w:r>
      <w:r>
        <w:tab/>
        <w:t>Directive</w:t>
      </w:r>
      <w:r>
        <w:t xml:space="preserve"> </w:t>
      </w:r>
      <w:hyperlink r:id="rId582" w:history="1">
        <w:r>
          <w:rPr>
            <w:rStyle w:val="Hyperlink"/>
          </w:rPr>
          <w:t>2016/881/EU</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EFF" w:rsidRPr="00E24EFF" w:rsidRDefault="00E24EFF" w:rsidP="00E24EF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01F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tabs>
        <w:tab w:val="center" w:pos="4153"/>
        <w:tab w:val="right" w:pos="8306"/>
      </w:tabs>
      <w:jc w:val="center"/>
    </w:pPr>
    <w:r>
      <w:rPr>
        <w:noProof/>
      </w:rPr>
      <mc:AlternateContent>
        <mc:Choice Requires="wps">
          <w:drawing>
            <wp:anchor distT="0" distB="0" distL="114300" distR="114300" simplePos="0" relativeHeight="251658240" behindDoc="0" locked="0" layoutInCell="1" allowOverlap="1" wp14:anchorId="67AE5E36" wp14:editId="27613248">
              <wp:simplePos x="0" y="0"/>
              <wp:positionH relativeFrom="column">
                <wp:posOffset>143510</wp:posOffset>
              </wp:positionH>
              <wp:positionV relativeFrom="paragraph">
                <wp:posOffset>249556</wp:posOffset>
              </wp:positionV>
              <wp:extent cx="5474335" cy="647700"/>
              <wp:effectExtent l="0" t="0" r="0" b="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647700"/>
                      </a:xfrm>
                      <a:prstGeom prst="rect">
                        <a:avLst/>
                      </a:prstGeom>
                      <a:noFill/>
                      <a:ln w="9525">
                        <a:noFill/>
                        <a:miter lim="800000"/>
                        <a:headEnd/>
                        <a:tailEnd/>
                      </a:ln>
                    </wps:spPr>
                    <wps:txbx>
                      <w:txbxContent>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2017 Annual Report</w:t>
                          </w:r>
                        </w:p>
                        <w:p w:rsidR="00E201F7" w:rsidRDefault="00E24EFF">
                          <w:pPr>
                            <w:spacing w:after="0"/>
                            <w:jc w:val="center"/>
                            <w:rPr>
                              <w:rFonts w:ascii="Arial" w:hAnsi="Arial" w:cs="Arial"/>
                              <w:b/>
                              <w:color w:val="A6A6A6"/>
                              <w:sz w:val="22"/>
                            </w:rPr>
                          </w:pPr>
                          <w:r>
                            <w:rPr>
                              <w:rFonts w:ascii="Arial" w:hAnsi="Arial" w:cs="Arial"/>
                              <w:color w:val="A6A6A6"/>
                              <w:sz w:val="22"/>
                            </w:rPr>
                            <w:t>Communications networks, content and technology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11.3pt;margin-top:19.65pt;width:431.05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" filled="f" stroked="f">
              <v:textbox>
                <w:txbxContent>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2017 Annual Report</w:t>
                    </w:r>
                  </w:p>
                  <w:p w:rsidR="00E201F7" w:rsidRDefault="00E24EFF">
                    <w:pPr>
                      <w:spacing w:after="0"/>
                      <w:jc w:val="center"/>
                      <w:rPr>
                        <w:rFonts w:ascii="Arial" w:hAnsi="Arial" w:cs="Arial"/>
                        <w:b/>
                        <w:color w:val="A6A6A6"/>
                        <w:sz w:val="22"/>
                      </w:rPr>
                    </w:pPr>
                    <w:r>
                      <w:rPr>
                        <w:rFonts w:ascii="Arial" w:hAnsi="Arial" w:cs="Arial"/>
                        <w:color w:val="A6A6A6"/>
                        <w:sz w:val="22"/>
                      </w:rPr>
                      <w:t>Communications networks, content and technology</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56D2C6E0" wp14:editId="6F246D98">
              <wp:simplePos x="0" y="0"/>
              <wp:positionH relativeFrom="column">
                <wp:posOffset>5005070</wp:posOffset>
              </wp:positionH>
              <wp:positionV relativeFrom="paragraph">
                <wp:posOffset>302895</wp:posOffset>
              </wp:positionV>
              <wp:extent cx="1659890" cy="219075"/>
              <wp:effectExtent l="0" t="0" r="0" b="9525"/>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989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73" o:spid="_x0000_s1026" style="position:absolute;margin-left:394.1pt;margin-top:23.85pt;width:130.7pt;height:17.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" fillcolor="#004194" stroked="f" strokeweight="2pt">
              <v:path arrowok="t"/>
            </v:rect>
          </w:pict>
        </mc:Fallback>
      </mc:AlternateContent>
    </w:r>
    <w:r>
      <w:rPr>
        <w:noProof/>
      </w:rPr>
      <mc:AlternateContent>
        <mc:Choice Requires="wps">
          <w:drawing>
            <wp:anchor distT="0" distB="0" distL="114300" distR="114300" simplePos="0" relativeHeight="251661312" behindDoc="0" locked="0" layoutInCell="1" allowOverlap="1" wp14:anchorId="638D4179" wp14:editId="3D15B651">
              <wp:simplePos x="0" y="0"/>
              <wp:positionH relativeFrom="column">
                <wp:posOffset>-900430</wp:posOffset>
              </wp:positionH>
              <wp:positionV relativeFrom="paragraph">
                <wp:posOffset>302895</wp:posOffset>
              </wp:positionV>
              <wp:extent cx="1684020" cy="219075"/>
              <wp:effectExtent l="0" t="0" r="0" b="9525"/>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402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 o:spid="_x0000_s1026" style="position:absolute;margin-left:-70.9pt;margin-top:23.85pt;width:132.6pt;height:17.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" fillcolor="#004194" stroked="f" strokeweight="2pt">
              <v:path arrowok="t"/>
            </v:rect>
          </w:pict>
        </mc:Fallback>
      </mc:AlternateContent>
    </w:r>
  </w:p>
  <w:p w:rsidR="00E201F7" w:rsidRDefault="00E201F7">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tabs>
        <w:tab w:val="center" w:pos="4153"/>
        <w:tab w:val="left" w:pos="7513"/>
        <w:tab w:val="right" w:pos="8306"/>
      </w:tabs>
      <w:spacing w:after="0"/>
      <w:ind w:left="4153" w:hanging="4153"/>
      <w:jc w:val="center"/>
    </w:pPr>
    <w:r>
      <w:rPr>
        <w:noProof/>
      </w:rPr>
      <mc:AlternateContent>
        <mc:Choice Requires="wps">
          <w:drawing>
            <wp:anchor distT="0" distB="0" distL="114300" distR="114300" simplePos="0" relativeHeight="251675648" behindDoc="0" locked="0" layoutInCell="1" allowOverlap="1" wp14:anchorId="050028D5" wp14:editId="722B19F7">
              <wp:simplePos x="0" y="0"/>
              <wp:positionH relativeFrom="column">
                <wp:posOffset>5043170</wp:posOffset>
              </wp:positionH>
              <wp:positionV relativeFrom="paragraph">
                <wp:posOffset>302895</wp:posOffset>
              </wp:positionV>
              <wp:extent cx="1614170" cy="219075"/>
              <wp:effectExtent l="0" t="0" r="5080" b="952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417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76" o:spid="_x0000_s1026" style="position:absolute;margin-left:397.1pt;margin-top:23.85pt;width:127.1pt;height:17.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" fillcolor="#004194" stroked="f" strokeweight="2pt">
              <v:path arrowok="t"/>
            </v:rect>
          </w:pict>
        </mc:Fallback>
      </mc:AlternateContent>
    </w:r>
    <w:r>
      <w:rPr>
        <w:noProof/>
      </w:rPr>
      <mc:AlternateContent>
        <mc:Choice Requires="wps">
          <w:drawing>
            <wp:anchor distT="0" distB="0" distL="114300" distR="114300" simplePos="0" relativeHeight="251673600" behindDoc="0" locked="0" layoutInCell="1" allowOverlap="1" wp14:anchorId="7A900779" wp14:editId="027B98A2">
              <wp:simplePos x="0" y="0"/>
              <wp:positionH relativeFrom="column">
                <wp:posOffset>-900430</wp:posOffset>
              </wp:positionH>
              <wp:positionV relativeFrom="paragraph">
                <wp:posOffset>302895</wp:posOffset>
              </wp:positionV>
              <wp:extent cx="1691640" cy="219075"/>
              <wp:effectExtent l="0" t="0" r="3810" b="9525"/>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164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8" o:spid="_x0000_s1026" style="position:absolute;margin-left:-70.9pt;margin-top:23.85pt;width:133.2pt;height:17.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" fillcolor="#004194" stroked="f" strokeweight="2pt">
              <v:path arrowok="t"/>
            </v:rect>
          </w:pict>
        </mc:Fallback>
      </mc:AlternateContent>
    </w:r>
    <w:r>
      <w:rPr>
        <w:noProof/>
      </w:rPr>
      <mc:AlternateContent>
        <mc:Choice Requires="wps">
          <w:drawing>
            <wp:anchor distT="0" distB="0" distL="114300" distR="114300" simplePos="0" relativeHeight="251676672" behindDoc="0" locked="0" layoutInCell="1" allowOverlap="1" wp14:anchorId="5A9B3313" wp14:editId="0F0350E6">
              <wp:simplePos x="0" y="0"/>
              <wp:positionH relativeFrom="column">
                <wp:posOffset>-900430</wp:posOffset>
              </wp:positionH>
              <wp:positionV relativeFrom="paragraph">
                <wp:posOffset>630555</wp:posOffset>
              </wp:positionV>
              <wp:extent cx="7559675" cy="45720"/>
              <wp:effectExtent l="0" t="19050" r="0" b="1143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E201F7" w:rsidRDefault="00E201F7">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70.9pt;margin-top:49.65pt;width:595.25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" filled="f" stroked="f">
              <v:textbox>
                <w:txbxContent>
                  <w:p w:rsidR="00E201F7" w:rsidRDefault="00E201F7">
                    <w:pPr>
                      <w:pStyle w:val="Priorities"/>
                      <w:ind w:right="555"/>
                      <w:jc w:val="both"/>
                      <w:rPr>
                        <w:color w:val="808080"/>
                        <w:lang w:val="de-DE"/>
                      </w:rPr>
                    </w:pP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0D434EBD" wp14:editId="6A307190">
              <wp:simplePos x="0" y="0"/>
              <wp:positionH relativeFrom="column">
                <wp:posOffset>-900430</wp:posOffset>
              </wp:positionH>
              <wp:positionV relativeFrom="paragraph">
                <wp:posOffset>222250</wp:posOffset>
              </wp:positionV>
              <wp:extent cx="7557135" cy="408940"/>
              <wp:effectExtent l="0" t="0" r="0" b="0"/>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 xml:space="preserve">Monitoring the application of European Union law </w:t>
                          </w:r>
                        </w:p>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2017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70.9pt;margin-top:17.5pt;width:595.05pt;height:3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" filled="f" stroked="f">
              <v:textbox>
                <w:txbxContent>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 xml:space="preserve">Monitoring the application of European Union law </w:t>
                    </w:r>
                  </w:p>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2017 Annual Report</w:t>
                    </w:r>
                  </w:p>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01F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pStyle w:val="Header"/>
      <w:jc w:val="center"/>
    </w:pPr>
    <w:r>
      <w:rPr>
        <w:noProof/>
      </w:rPr>
      <mc:AlternateContent>
        <mc:Choice Requires="wps">
          <w:drawing>
            <wp:anchor distT="0" distB="0" distL="114300" distR="114300" simplePos="0" relativeHeight="251618304" behindDoc="0" locked="0" layoutInCell="1" allowOverlap="1" wp14:anchorId="5F819766" wp14:editId="099A0816">
              <wp:simplePos x="0" y="0"/>
              <wp:positionH relativeFrom="column">
                <wp:posOffset>5005070</wp:posOffset>
              </wp:positionH>
              <wp:positionV relativeFrom="paragraph">
                <wp:posOffset>302895</wp:posOffset>
              </wp:positionV>
              <wp:extent cx="1659890" cy="219075"/>
              <wp:effectExtent l="0" t="0" r="0" b="952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989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62" o:spid="_x0000_s1026" style="position:absolute;margin-left:394.1pt;margin-top:23.85pt;width:130.7pt;height: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" fillcolor="#004194" stroked="f" strokeweight="2pt">
              <v:path arrowok="t"/>
            </v:rect>
          </w:pict>
        </mc:Fallback>
      </mc:AlternateContent>
    </w:r>
    <w:r>
      <w:rPr>
        <w:noProof/>
      </w:rPr>
      <mc:AlternateContent>
        <mc:Choice Requires="wps">
          <w:drawing>
            <wp:anchor distT="0" distB="0" distL="114300" distR="114300" simplePos="0" relativeHeight="251617280" behindDoc="0" locked="0" layoutInCell="1" allowOverlap="1" wp14:anchorId="7534FA46" wp14:editId="0C7237CF">
              <wp:simplePos x="0" y="0"/>
              <wp:positionH relativeFrom="column">
                <wp:posOffset>-900430</wp:posOffset>
              </wp:positionH>
              <wp:positionV relativeFrom="paragraph">
                <wp:posOffset>302895</wp:posOffset>
              </wp:positionV>
              <wp:extent cx="1684020" cy="219075"/>
              <wp:effectExtent l="0" t="0" r="0" b="952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402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26" style="position:absolute;margin-left:-70.9pt;margin-top:23.85pt;width:132.6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" fillcolor="#004194" stroked="f" strokeweight="2pt">
              <v:path arrowok="t"/>
            </v:rect>
          </w:pict>
        </mc:Fallback>
      </mc:AlternateContent>
    </w:r>
    <w:r>
      <w:rPr>
        <w:noProof/>
      </w:rPr>
      <mc:AlternateContent>
        <mc:Choice Requires="wps">
          <w:drawing>
            <wp:anchor distT="0" distB="0" distL="114300" distR="114300" simplePos="0" relativeHeight="251616256" behindDoc="0" locked="0" layoutInCell="1" allowOverlap="1" wp14:anchorId="14D3B4BA" wp14:editId="18C903B6">
              <wp:simplePos x="0" y="0"/>
              <wp:positionH relativeFrom="column">
                <wp:posOffset>140970</wp:posOffset>
              </wp:positionH>
              <wp:positionV relativeFrom="paragraph">
                <wp:posOffset>252730</wp:posOffset>
              </wp:positionV>
              <wp:extent cx="5474335" cy="771525"/>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771525"/>
                      </a:xfrm>
                      <a:prstGeom prst="rect">
                        <a:avLst/>
                      </a:prstGeom>
                      <a:noFill/>
                      <a:ln w="9525">
                        <a:noFill/>
                        <a:miter lim="800000"/>
                        <a:headEnd/>
                        <a:tailEnd/>
                      </a:ln>
                    </wps:spPr>
                    <wps:txbx>
                      <w:txbxContent>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w:t>
                          </w:r>
                          <w:r>
                            <w:rPr>
                              <w:rFonts w:ascii="Arial" w:hAnsi="Arial" w:cs="Arial"/>
                              <w:color w:val="004194"/>
                              <w:sz w:val="20"/>
                            </w:rPr>
                            <w:t xml:space="preserve"> law</w:t>
                          </w:r>
                        </w:p>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2017 Annual Report</w:t>
                          </w:r>
                        </w:p>
                        <w:p w:rsidR="00E201F7" w:rsidRDefault="00E24EFF">
                          <w:pPr>
                            <w:spacing w:after="0"/>
                            <w:jc w:val="center"/>
                            <w:rPr>
                              <w:rFonts w:ascii="Arial" w:hAnsi="Arial" w:cs="Arial"/>
                              <w:b/>
                              <w:color w:val="A6A6A6"/>
                              <w:sz w:val="22"/>
                            </w:rPr>
                          </w:pPr>
                          <w:r>
                            <w:rPr>
                              <w:rFonts w:ascii="Arial" w:hAnsi="Arial" w:cs="Arial"/>
                              <w:color w:val="A6A6A6"/>
                              <w:sz w:val="22"/>
                            </w:rPr>
                            <w:t>Employment, social affairs and inclusion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11.1pt;margin-top:19.9pt;width:431.05pt;height:60.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" filled="f" stroked="f">
              <v:textbox>
                <w:txbxContent>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w:t>
                    </w:r>
                    <w:r>
                      <w:rPr>
                        <w:rFonts w:ascii="Arial" w:hAnsi="Arial" w:cs="Arial"/>
                        <w:color w:val="004194"/>
                        <w:sz w:val="20"/>
                      </w:rPr>
                      <w:t xml:space="preserve"> law</w:t>
                    </w:r>
                  </w:p>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2017 Annual Report</w:t>
                    </w:r>
                  </w:p>
                  <w:p w:rsidR="00E201F7" w:rsidRDefault="00E24EFF">
                    <w:pPr>
                      <w:spacing w:after="0"/>
                      <w:jc w:val="center"/>
                      <w:rPr>
                        <w:rFonts w:ascii="Arial" w:hAnsi="Arial" w:cs="Arial"/>
                        <w:b/>
                        <w:color w:val="A6A6A6"/>
                        <w:sz w:val="22"/>
                      </w:rPr>
                    </w:pPr>
                    <w:r>
                      <w:rPr>
                        <w:rFonts w:ascii="Arial" w:hAnsi="Arial" w:cs="Arial"/>
                        <w:color w:val="A6A6A6"/>
                        <w:sz w:val="22"/>
                      </w:rPr>
                      <w:t>Employment, social affairs and inclusion</w:t>
                    </w:r>
                  </w:p>
                </w:txbxContent>
              </v:textbox>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pStyle w:val="Header"/>
      <w:tabs>
        <w:tab w:val="left" w:pos="7513"/>
      </w:tabs>
      <w:spacing w:after="0"/>
      <w:ind w:left="4153" w:hanging="4153"/>
      <w:jc w:val="center"/>
    </w:pPr>
    <w:r>
      <w:rPr>
        <w:noProof/>
      </w:rPr>
      <mc:AlternateContent>
        <mc:Choice Requires="wps">
          <w:drawing>
            <wp:anchor distT="0" distB="0" distL="114300" distR="114300" simplePos="0" relativeHeight="251615232" behindDoc="0" locked="0" layoutInCell="1" allowOverlap="1" wp14:anchorId="72A0232C" wp14:editId="047248D2">
              <wp:simplePos x="0" y="0"/>
              <wp:positionH relativeFrom="column">
                <wp:posOffset>5043170</wp:posOffset>
              </wp:positionH>
              <wp:positionV relativeFrom="paragraph">
                <wp:posOffset>302895</wp:posOffset>
              </wp:positionV>
              <wp:extent cx="1614170" cy="219075"/>
              <wp:effectExtent l="0" t="0" r="5080" b="9525"/>
              <wp:wrapNone/>
              <wp:docPr id="28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417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89" o:spid="_x0000_s1026" style="position:absolute;margin-left:397.1pt;margin-top:23.85pt;width:127.1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" fillcolor="#004194" stroked="f" strokeweight="2pt">
              <v:path arrowok="t"/>
            </v:rect>
          </w:pict>
        </mc:Fallback>
      </mc:AlternateContent>
    </w:r>
    <w:r>
      <w:rPr>
        <w:noProof/>
      </w:rPr>
      <mc:AlternateContent>
        <mc:Choice Requires="wps">
          <w:drawing>
            <wp:anchor distT="0" distB="0" distL="114300" distR="114300" simplePos="0" relativeHeight="251613184" behindDoc="0" locked="0" layoutInCell="1" allowOverlap="1" wp14:anchorId="2F60611A" wp14:editId="1F7A00DB">
              <wp:simplePos x="0" y="0"/>
              <wp:positionH relativeFrom="column">
                <wp:posOffset>-900430</wp:posOffset>
              </wp:positionH>
              <wp:positionV relativeFrom="paragraph">
                <wp:posOffset>302895</wp:posOffset>
              </wp:positionV>
              <wp:extent cx="1691640" cy="219075"/>
              <wp:effectExtent l="0" t="0" r="3810" b="9525"/>
              <wp:wrapNone/>
              <wp:docPr id="29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164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0" o:spid="_x0000_s1026" style="position:absolute;margin-left:-70.9pt;margin-top:23.85pt;width:133.2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" fillcolor="#004194" stroked="f" strokeweight="2pt">
              <v:path arrowok="t"/>
            </v:rect>
          </w:pict>
        </mc:Fallback>
      </mc:AlternateContent>
    </w:r>
    <w:r>
      <w:rPr>
        <w:noProof/>
      </w:rPr>
      <mc:AlternateContent>
        <mc:Choice Requires="wps">
          <w:drawing>
            <wp:anchor distT="0" distB="0" distL="114300" distR="114300" simplePos="0" relativeHeight="251619328" behindDoc="0" locked="0" layoutInCell="1" allowOverlap="1" wp14:anchorId="267FA64E" wp14:editId="0A1BC286">
              <wp:simplePos x="0" y="0"/>
              <wp:positionH relativeFrom="column">
                <wp:posOffset>-900430</wp:posOffset>
              </wp:positionH>
              <wp:positionV relativeFrom="paragraph">
                <wp:posOffset>630555</wp:posOffset>
              </wp:positionV>
              <wp:extent cx="7559675" cy="45720"/>
              <wp:effectExtent l="0" t="19050" r="0" b="1143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E201F7" w:rsidRDefault="00E201F7">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70.9pt;margin-top:49.65pt;width:595.25pt;height:3.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2cS0ZAwC&#10;AAD7AwAADgAAAAAAAAAAAAAAAAAuAgAAZHJzL2Uyb0RvYy54bWxQSwECLQAUAAYACAAAACEA03U9&#10;CuAAAAAMAQAADwAAAAAAAAAAAAAAAABmBAAAZHJzL2Rvd25yZXYueG1sUEsFBgAAAAAEAAQA8wAA&#10;AHMFAAAAAA==&#10;" filled="f" stroked="f">
              <v:textbox>
                <w:txbxContent>
                  <w:p w:rsidR="00E201F7" w:rsidRDefault="00E201F7">
                    <w:pPr>
                      <w:pStyle w:val="Priorities"/>
                      <w:ind w:right="555"/>
                      <w:jc w:val="both"/>
                      <w:rPr>
                        <w:color w:val="808080"/>
                        <w:lang w:val="de-DE"/>
                      </w:rPr>
                    </w:pPr>
                  </w:p>
                </w:txbxContent>
              </v:textbox>
            </v:shape>
          </w:pict>
        </mc:Fallback>
      </mc:AlternateContent>
    </w:r>
    <w:r>
      <w:rPr>
        <w:noProof/>
      </w:rPr>
      <mc:AlternateContent>
        <mc:Choice Requires="wps">
          <w:drawing>
            <wp:anchor distT="0" distB="0" distL="114300" distR="114300" simplePos="0" relativeHeight="251611136" behindDoc="0" locked="0" layoutInCell="1" allowOverlap="1" wp14:anchorId="66024D65" wp14:editId="015FF6CF">
              <wp:simplePos x="0" y="0"/>
              <wp:positionH relativeFrom="column">
                <wp:posOffset>-900430</wp:posOffset>
              </wp:positionH>
              <wp:positionV relativeFrom="paragraph">
                <wp:posOffset>222250</wp:posOffset>
              </wp:positionV>
              <wp:extent cx="7557135" cy="408940"/>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2017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70.9pt;margin-top:17.5pt;width:595.05pt;height:32.2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" filled="f" stroked="f">
              <v:textbox>
                <w:txbxContent>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2017 Annual Report</w:t>
                    </w:r>
                  </w:p>
                </w:txbxContent>
              </v:textbox>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01F7">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pStyle w:val="Header"/>
      <w:jc w:val="center"/>
    </w:pPr>
    <w:r>
      <w:rPr>
        <w:noProof/>
      </w:rPr>
      <mc:AlternateContent>
        <mc:Choice Requires="wps">
          <w:drawing>
            <wp:anchor distT="0" distB="0" distL="114300" distR="114300" simplePos="0" relativeHeight="251625472" behindDoc="0" locked="0" layoutInCell="1" allowOverlap="1" wp14:anchorId="598C11E1" wp14:editId="6D96C4CC">
              <wp:simplePos x="0" y="0"/>
              <wp:positionH relativeFrom="column">
                <wp:posOffset>5005070</wp:posOffset>
              </wp:positionH>
              <wp:positionV relativeFrom="paragraph">
                <wp:posOffset>302895</wp:posOffset>
              </wp:positionV>
              <wp:extent cx="1659890" cy="219075"/>
              <wp:effectExtent l="0" t="0" r="0" b="9525"/>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989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00" o:spid="_x0000_s1026" style="position:absolute;margin-left:394.1pt;margin-top:23.85pt;width:130.7pt;height:1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" fillcolor="#004194" stroked="f" strokeweight="2pt">
              <v:path arrowok="t"/>
            </v:rect>
          </w:pict>
        </mc:Fallback>
      </mc:AlternateContent>
    </w:r>
    <w:r>
      <w:rPr>
        <w:noProof/>
      </w:rPr>
      <mc:AlternateContent>
        <mc:Choice Requires="wps">
          <w:drawing>
            <wp:anchor distT="0" distB="0" distL="114300" distR="114300" simplePos="0" relativeHeight="251624448" behindDoc="0" locked="0" layoutInCell="1" allowOverlap="1" wp14:anchorId="4C08A62B" wp14:editId="02DB9438">
              <wp:simplePos x="0" y="0"/>
              <wp:positionH relativeFrom="column">
                <wp:posOffset>-900430</wp:posOffset>
              </wp:positionH>
              <wp:positionV relativeFrom="paragraph">
                <wp:posOffset>302895</wp:posOffset>
              </wp:positionV>
              <wp:extent cx="1684020" cy="219075"/>
              <wp:effectExtent l="0" t="0" r="0" b="9525"/>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402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1" o:spid="_x0000_s1026" style="position:absolute;margin-left:-70.9pt;margin-top:23.85pt;width:132.6pt;height:1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" fillcolor="#004194" stroked="f" strokeweight="2pt">
              <v:path arrowok="t"/>
            </v:rect>
          </w:pict>
        </mc:Fallback>
      </mc:AlternateContent>
    </w:r>
    <w:r>
      <w:rPr>
        <w:noProof/>
      </w:rPr>
      <mc:AlternateContent>
        <mc:Choice Requires="wps">
          <w:drawing>
            <wp:anchor distT="0" distB="0" distL="114300" distR="114300" simplePos="0" relativeHeight="251623424" behindDoc="0" locked="0" layoutInCell="1" allowOverlap="1" wp14:anchorId="3CD1DE98" wp14:editId="5A55342D">
              <wp:simplePos x="0" y="0"/>
              <wp:positionH relativeFrom="column">
                <wp:posOffset>140970</wp:posOffset>
              </wp:positionH>
              <wp:positionV relativeFrom="paragraph">
                <wp:posOffset>252730</wp:posOffset>
              </wp:positionV>
              <wp:extent cx="5474335" cy="771525"/>
              <wp:effectExtent l="0" t="0" r="0" b="0"/>
              <wp:wrapNone/>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771525"/>
                      </a:xfrm>
                      <a:prstGeom prst="rect">
                        <a:avLst/>
                      </a:prstGeom>
                      <a:noFill/>
                      <a:ln w="9525">
                        <a:noFill/>
                        <a:miter lim="800000"/>
                        <a:headEnd/>
                        <a:tailEnd/>
                      </a:ln>
                    </wps:spPr>
                    <wps:txbx>
                      <w:txbxContent>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2017 Annual Report</w:t>
                          </w:r>
                        </w:p>
                        <w:p w:rsidR="00E201F7" w:rsidRDefault="00E24EFF">
                          <w:pPr>
                            <w:spacing w:after="0"/>
                            <w:jc w:val="center"/>
                            <w:rPr>
                              <w:rFonts w:ascii="Arial" w:hAnsi="Arial" w:cs="Arial"/>
                              <w:b/>
                              <w:color w:val="A6A6A6"/>
                              <w:sz w:val="22"/>
                            </w:rPr>
                          </w:pPr>
                          <w:r>
                            <w:rPr>
                              <w:rFonts w:ascii="Arial" w:hAnsi="Arial" w:cs="Arial"/>
                              <w:color w:val="A6A6A6"/>
                              <w:sz w:val="22"/>
                            </w:rPr>
                            <w:t>Energy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11.1pt;margin-top:19.9pt;width:431.05pt;height:60.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" filled="f" stroked="f">
              <v:textbox>
                <w:txbxContent>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2017 Annual Report</w:t>
                    </w:r>
                  </w:p>
                  <w:p w:rsidR="00E201F7" w:rsidRDefault="00E24EFF">
                    <w:pPr>
                      <w:spacing w:after="0"/>
                      <w:jc w:val="center"/>
                      <w:rPr>
                        <w:rFonts w:ascii="Arial" w:hAnsi="Arial" w:cs="Arial"/>
                        <w:b/>
                        <w:color w:val="A6A6A6"/>
                        <w:sz w:val="22"/>
                      </w:rPr>
                    </w:pPr>
                    <w:r>
                      <w:rPr>
                        <w:rFonts w:ascii="Arial" w:hAnsi="Arial" w:cs="Arial"/>
                        <w:color w:val="A6A6A6"/>
                        <w:sz w:val="22"/>
                      </w:rPr>
                      <w:t>Energy</w:t>
                    </w:r>
                  </w:p>
                </w:txbxContent>
              </v:textbox>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pStyle w:val="Header"/>
      <w:tabs>
        <w:tab w:val="left" w:pos="7513"/>
      </w:tabs>
      <w:spacing w:after="0"/>
      <w:ind w:left="4153" w:hanging="4153"/>
      <w:jc w:val="center"/>
    </w:pPr>
    <w:r>
      <w:rPr>
        <w:noProof/>
      </w:rPr>
      <mc:AlternateContent>
        <mc:Choice Requires="wps">
          <w:drawing>
            <wp:anchor distT="0" distB="0" distL="114300" distR="114300" simplePos="0" relativeHeight="251622400" behindDoc="0" locked="0" layoutInCell="1" allowOverlap="1" wp14:anchorId="11BF93B8" wp14:editId="7D92A67F">
              <wp:simplePos x="0" y="0"/>
              <wp:positionH relativeFrom="column">
                <wp:posOffset>5043170</wp:posOffset>
              </wp:positionH>
              <wp:positionV relativeFrom="paragraph">
                <wp:posOffset>302895</wp:posOffset>
              </wp:positionV>
              <wp:extent cx="1614170" cy="219075"/>
              <wp:effectExtent l="0" t="0" r="5080" b="9525"/>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417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03" o:spid="_x0000_s1026" style="position:absolute;margin-left:397.1pt;margin-top:23.85pt;width:127.1pt;height:1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" fillcolor="#004194" stroked="f" strokeweight="2pt">
              <v:path arrowok="t"/>
            </v:rect>
          </w:pict>
        </mc:Fallback>
      </mc:AlternateContent>
    </w:r>
    <w:r>
      <w:rPr>
        <w:noProof/>
      </w:rPr>
      <mc:AlternateContent>
        <mc:Choice Requires="wps">
          <w:drawing>
            <wp:anchor distT="0" distB="0" distL="114300" distR="114300" simplePos="0" relativeHeight="251621376" behindDoc="0" locked="0" layoutInCell="1" allowOverlap="1" wp14:anchorId="7E0A603A" wp14:editId="6F1A8847">
              <wp:simplePos x="0" y="0"/>
              <wp:positionH relativeFrom="column">
                <wp:posOffset>-900430</wp:posOffset>
              </wp:positionH>
              <wp:positionV relativeFrom="paragraph">
                <wp:posOffset>302895</wp:posOffset>
              </wp:positionV>
              <wp:extent cx="1691640" cy="219075"/>
              <wp:effectExtent l="0" t="0" r="3810" b="9525"/>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164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 o:spid="_x0000_s1026" style="position:absolute;margin-left:-70.9pt;margin-top:23.85pt;width:133.2pt;height:1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" fillcolor="#004194" stroked="f" strokeweight="2pt">
              <v:path arrowok="t"/>
            </v:rect>
          </w:pict>
        </mc:Fallback>
      </mc:AlternateContent>
    </w:r>
    <w:r>
      <w:rPr>
        <w:noProof/>
      </w:rPr>
      <mc:AlternateContent>
        <mc:Choice Requires="wps">
          <w:drawing>
            <wp:anchor distT="0" distB="0" distL="114300" distR="114300" simplePos="0" relativeHeight="251626496" behindDoc="0" locked="0" layoutInCell="1" allowOverlap="1" wp14:anchorId="67EB0BB2" wp14:editId="3F2C87E7">
              <wp:simplePos x="0" y="0"/>
              <wp:positionH relativeFrom="column">
                <wp:posOffset>-900430</wp:posOffset>
              </wp:positionH>
              <wp:positionV relativeFrom="paragraph">
                <wp:posOffset>630555</wp:posOffset>
              </wp:positionV>
              <wp:extent cx="7559675" cy="45720"/>
              <wp:effectExtent l="0" t="19050" r="0" b="11430"/>
              <wp:wrapNone/>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E201F7" w:rsidRDefault="00E201F7">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70.9pt;margin-top:49.65pt;width:595.25pt;height:3.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68UoYwwC&#10;AAD7AwAADgAAAAAAAAAAAAAAAAAuAgAAZHJzL2Uyb0RvYy54bWxQSwECLQAUAAYACAAAACEA03U9&#10;CuAAAAAMAQAADwAAAAAAAAAAAAAAAABmBAAAZHJzL2Rvd25yZXYueG1sUEsFBgAAAAAEAAQA8wAA&#10;AHMFAAAAAA==&#10;" filled="f" stroked="f">
              <v:textbox>
                <w:txbxContent>
                  <w:p w:rsidR="00E201F7" w:rsidRDefault="00E201F7">
                    <w:pPr>
                      <w:pStyle w:val="Priorities"/>
                      <w:ind w:right="555"/>
                      <w:jc w:val="both"/>
                      <w:rPr>
                        <w:color w:val="808080"/>
                        <w:lang w:val="de-DE"/>
                      </w:rPr>
                    </w:pPr>
                  </w:p>
                </w:txbxContent>
              </v:textbox>
            </v:shape>
          </w:pict>
        </mc:Fallback>
      </mc:AlternateContent>
    </w:r>
    <w:r>
      <w:rPr>
        <w:noProof/>
      </w:rPr>
      <mc:AlternateContent>
        <mc:Choice Requires="wps">
          <w:drawing>
            <wp:anchor distT="0" distB="0" distL="114300" distR="114300" simplePos="0" relativeHeight="251620352" behindDoc="0" locked="0" layoutInCell="1" allowOverlap="1" wp14:anchorId="2A667366" wp14:editId="3765D8A9">
              <wp:simplePos x="0" y="0"/>
              <wp:positionH relativeFrom="column">
                <wp:posOffset>-900430</wp:posOffset>
              </wp:positionH>
              <wp:positionV relativeFrom="paragraph">
                <wp:posOffset>222250</wp:posOffset>
              </wp:positionV>
              <wp:extent cx="7557135" cy="40894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2017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70.9pt;margin-top:17.5pt;width:595.05pt;height:32.2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" filled="f" stroked="f">
              <v:textbox>
                <w:txbxContent>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2017 Annual Report</w:t>
                    </w:r>
                  </w:p>
                </w:txbxContent>
              </v:textbox>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01F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EFF" w:rsidRPr="00E24EFF" w:rsidRDefault="00E24EFF" w:rsidP="00E24EFF">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pStyle w:val="Header"/>
      <w:jc w:val="center"/>
    </w:pPr>
    <w:r>
      <w:rPr>
        <w:noProof/>
      </w:rPr>
      <mc:AlternateContent>
        <mc:Choice Requires="wps">
          <w:drawing>
            <wp:anchor distT="0" distB="0" distL="114300" distR="114300" simplePos="0" relativeHeight="251632640" behindDoc="0" locked="0" layoutInCell="1" allowOverlap="1" wp14:anchorId="5935A59B" wp14:editId="7A1F1FD2">
              <wp:simplePos x="0" y="0"/>
              <wp:positionH relativeFrom="column">
                <wp:posOffset>5005070</wp:posOffset>
              </wp:positionH>
              <wp:positionV relativeFrom="paragraph">
                <wp:posOffset>302895</wp:posOffset>
              </wp:positionV>
              <wp:extent cx="1659890" cy="219075"/>
              <wp:effectExtent l="0" t="0" r="0" b="9525"/>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989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21" o:spid="_x0000_s1026" style="position:absolute;margin-left:394.1pt;margin-top:23.85pt;width:130.7pt;height:1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" fillcolor="#004194" stroked="f" strokeweight="2pt">
              <v:path arrowok="t"/>
            </v:rect>
          </w:pict>
        </mc:Fallback>
      </mc:AlternateContent>
    </w:r>
    <w:r>
      <w:rPr>
        <w:noProof/>
      </w:rPr>
      <mc:AlternateContent>
        <mc:Choice Requires="wps">
          <w:drawing>
            <wp:anchor distT="0" distB="0" distL="114300" distR="114300" simplePos="0" relativeHeight="251631616" behindDoc="0" locked="0" layoutInCell="1" allowOverlap="1" wp14:anchorId="1714A670" wp14:editId="0E41E6CA">
              <wp:simplePos x="0" y="0"/>
              <wp:positionH relativeFrom="column">
                <wp:posOffset>-900430</wp:posOffset>
              </wp:positionH>
              <wp:positionV relativeFrom="paragraph">
                <wp:posOffset>302895</wp:posOffset>
              </wp:positionV>
              <wp:extent cx="1684020" cy="219075"/>
              <wp:effectExtent l="0" t="0" r="0" b="9525"/>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402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 o:spid="_x0000_s1026" style="position:absolute;margin-left:-70.9pt;margin-top:23.85pt;width:132.6pt;height:1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" fillcolor="#004194" stroked="f" strokeweight="2pt">
              <v:path arrowok="t"/>
            </v:rect>
          </w:pict>
        </mc:Fallback>
      </mc:AlternateContent>
    </w:r>
    <w:r>
      <w:rPr>
        <w:noProof/>
      </w:rPr>
      <mc:AlternateContent>
        <mc:Choice Requires="wps">
          <w:drawing>
            <wp:anchor distT="0" distB="0" distL="114300" distR="114300" simplePos="0" relativeHeight="251630592" behindDoc="0" locked="0" layoutInCell="1" allowOverlap="1" wp14:anchorId="113F8D88" wp14:editId="4E254C15">
              <wp:simplePos x="0" y="0"/>
              <wp:positionH relativeFrom="column">
                <wp:posOffset>140970</wp:posOffset>
              </wp:positionH>
              <wp:positionV relativeFrom="paragraph">
                <wp:posOffset>252730</wp:posOffset>
              </wp:positionV>
              <wp:extent cx="5474335" cy="771525"/>
              <wp:effectExtent l="0" t="0" r="0" b="0"/>
              <wp:wrapNone/>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771525"/>
                      </a:xfrm>
                      <a:prstGeom prst="rect">
                        <a:avLst/>
                      </a:prstGeom>
                      <a:noFill/>
                      <a:ln w="9525">
                        <a:noFill/>
                        <a:miter lim="800000"/>
                        <a:headEnd/>
                        <a:tailEnd/>
                      </a:ln>
                    </wps:spPr>
                    <wps:txbx>
                      <w:txbxContent>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 xml:space="preserve">Monitoring </w:t>
                          </w:r>
                          <w:r>
                            <w:rPr>
                              <w:rFonts w:ascii="Arial" w:hAnsi="Arial" w:cs="Arial"/>
                              <w:color w:val="004194"/>
                              <w:sz w:val="20"/>
                            </w:rPr>
                            <w:t>the application of European Union law</w:t>
                          </w:r>
                        </w:p>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2017 Annual Report</w:t>
                          </w:r>
                        </w:p>
                        <w:p w:rsidR="00E201F7" w:rsidRDefault="00E24EFF">
                          <w:pPr>
                            <w:spacing w:after="0"/>
                            <w:jc w:val="center"/>
                            <w:rPr>
                              <w:rFonts w:ascii="Arial" w:hAnsi="Arial" w:cs="Arial"/>
                              <w:b/>
                              <w:color w:val="A6A6A6"/>
                              <w:sz w:val="22"/>
                            </w:rPr>
                          </w:pPr>
                          <w:r>
                            <w:rPr>
                              <w:rFonts w:ascii="Arial" w:hAnsi="Arial" w:cs="Arial"/>
                              <w:color w:val="A6A6A6"/>
                              <w:sz w:val="22"/>
                            </w:rPr>
                            <w:t>Environment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11.1pt;margin-top:19.9pt;width:431.05pt;height:60.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" filled="f" stroked="f">
              <v:textbox>
                <w:txbxContent>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 xml:space="preserve">Monitoring </w:t>
                    </w:r>
                    <w:r>
                      <w:rPr>
                        <w:rFonts w:ascii="Arial" w:hAnsi="Arial" w:cs="Arial"/>
                        <w:color w:val="004194"/>
                        <w:sz w:val="20"/>
                      </w:rPr>
                      <w:t>the application of European Union law</w:t>
                    </w:r>
                  </w:p>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2017 Annual Report</w:t>
                    </w:r>
                  </w:p>
                  <w:p w:rsidR="00E201F7" w:rsidRDefault="00E24EFF">
                    <w:pPr>
                      <w:spacing w:after="0"/>
                      <w:jc w:val="center"/>
                      <w:rPr>
                        <w:rFonts w:ascii="Arial" w:hAnsi="Arial" w:cs="Arial"/>
                        <w:b/>
                        <w:color w:val="A6A6A6"/>
                        <w:sz w:val="22"/>
                      </w:rPr>
                    </w:pPr>
                    <w:r>
                      <w:rPr>
                        <w:rFonts w:ascii="Arial" w:hAnsi="Arial" w:cs="Arial"/>
                        <w:color w:val="A6A6A6"/>
                        <w:sz w:val="22"/>
                      </w:rPr>
                      <w:t>Environment</w:t>
                    </w:r>
                  </w:p>
                </w:txbxContent>
              </v:textbox>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pStyle w:val="Header"/>
      <w:tabs>
        <w:tab w:val="left" w:pos="7513"/>
      </w:tabs>
      <w:spacing w:after="0"/>
      <w:ind w:left="4153" w:hanging="4153"/>
      <w:jc w:val="center"/>
    </w:pPr>
    <w:r>
      <w:rPr>
        <w:noProof/>
      </w:rPr>
      <mc:AlternateContent>
        <mc:Choice Requires="wps">
          <w:drawing>
            <wp:anchor distT="0" distB="0" distL="114300" distR="114300" simplePos="0" relativeHeight="251629568" behindDoc="0" locked="0" layoutInCell="1" allowOverlap="1" wp14:anchorId="07E4ABE2" wp14:editId="6AA29FF1">
              <wp:simplePos x="0" y="0"/>
              <wp:positionH relativeFrom="column">
                <wp:posOffset>5043170</wp:posOffset>
              </wp:positionH>
              <wp:positionV relativeFrom="paragraph">
                <wp:posOffset>302895</wp:posOffset>
              </wp:positionV>
              <wp:extent cx="1614170" cy="219075"/>
              <wp:effectExtent l="0" t="0" r="5080" b="9525"/>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417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25" o:spid="_x0000_s1026" style="position:absolute;margin-left:397.1pt;margin-top:23.85pt;width:127.1pt;height:1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" fillcolor="#004194" stroked="f" strokeweight="2pt">
              <v:path arrowok="t"/>
            </v:rect>
          </w:pict>
        </mc:Fallback>
      </mc:AlternateContent>
    </w:r>
    <w:r>
      <w:rPr>
        <w:noProof/>
      </w:rPr>
      <mc:AlternateContent>
        <mc:Choice Requires="wps">
          <w:drawing>
            <wp:anchor distT="0" distB="0" distL="114300" distR="114300" simplePos="0" relativeHeight="251628544" behindDoc="0" locked="0" layoutInCell="1" allowOverlap="1" wp14:anchorId="7BDECC25" wp14:editId="2D4AA15A">
              <wp:simplePos x="0" y="0"/>
              <wp:positionH relativeFrom="column">
                <wp:posOffset>-900430</wp:posOffset>
              </wp:positionH>
              <wp:positionV relativeFrom="paragraph">
                <wp:posOffset>302895</wp:posOffset>
              </wp:positionV>
              <wp:extent cx="1691640" cy="219075"/>
              <wp:effectExtent l="0" t="0" r="3810" b="9525"/>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164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 o:spid="_x0000_s1026" style="position:absolute;margin-left:-70.9pt;margin-top:23.85pt;width:133.2pt;height:1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" fillcolor="#004194" stroked="f" strokeweight="2pt">
              <v:path arrowok="t"/>
            </v:rect>
          </w:pict>
        </mc:Fallback>
      </mc:AlternateContent>
    </w:r>
    <w:r>
      <w:rPr>
        <w:noProof/>
      </w:rPr>
      <mc:AlternateContent>
        <mc:Choice Requires="wps">
          <w:drawing>
            <wp:anchor distT="0" distB="0" distL="114300" distR="114300" simplePos="0" relativeHeight="251633664" behindDoc="0" locked="0" layoutInCell="1" allowOverlap="1" wp14:anchorId="231CC18E" wp14:editId="213A1F7B">
              <wp:simplePos x="0" y="0"/>
              <wp:positionH relativeFrom="column">
                <wp:posOffset>-900430</wp:posOffset>
              </wp:positionH>
              <wp:positionV relativeFrom="paragraph">
                <wp:posOffset>630555</wp:posOffset>
              </wp:positionV>
              <wp:extent cx="7559675" cy="45720"/>
              <wp:effectExtent l="0" t="19050" r="0" b="11430"/>
              <wp:wrapNone/>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E201F7" w:rsidRDefault="00E201F7">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left:0;text-align:left;margin-left:-70.9pt;margin-top:49.65pt;width:595.25pt;height:3.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8hfirAwC&#10;AAD7AwAADgAAAAAAAAAAAAAAAAAuAgAAZHJzL2Uyb0RvYy54bWxQSwECLQAUAAYACAAAACEA03U9&#10;CuAAAAAMAQAADwAAAAAAAAAAAAAAAABmBAAAZHJzL2Rvd25yZXYueG1sUEsFBgAAAAAEAAQA8wAA&#10;AHMFAAAAAA==&#10;" filled="f" stroked="f">
              <v:textbox>
                <w:txbxContent>
                  <w:p w:rsidR="00E201F7" w:rsidRDefault="00E201F7">
                    <w:pPr>
                      <w:pStyle w:val="Priorities"/>
                      <w:ind w:right="555"/>
                      <w:jc w:val="both"/>
                      <w:rPr>
                        <w:color w:val="808080"/>
                        <w:lang w:val="de-DE"/>
                      </w:rPr>
                    </w:pPr>
                  </w:p>
                </w:txbxContent>
              </v:textbox>
            </v:shape>
          </w:pict>
        </mc:Fallback>
      </mc:AlternateContent>
    </w:r>
    <w:r>
      <w:rPr>
        <w:noProof/>
      </w:rPr>
      <mc:AlternateContent>
        <mc:Choice Requires="wps">
          <w:drawing>
            <wp:anchor distT="0" distB="0" distL="114300" distR="114300" simplePos="0" relativeHeight="251627520" behindDoc="0" locked="0" layoutInCell="1" allowOverlap="1" wp14:anchorId="4DD682AE" wp14:editId="3960349D">
              <wp:simplePos x="0" y="0"/>
              <wp:positionH relativeFrom="column">
                <wp:posOffset>-900430</wp:posOffset>
              </wp:positionH>
              <wp:positionV relativeFrom="paragraph">
                <wp:posOffset>222250</wp:posOffset>
              </wp:positionV>
              <wp:extent cx="7557135" cy="408940"/>
              <wp:effectExtent l="0" t="0" r="0" b="0"/>
              <wp:wrapNone/>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2017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70.9pt;margin-top:17.5pt;width:595.05pt;height:32.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" filled="f" stroked="f">
              <v:textbox>
                <w:txbxContent>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2017 Annual Report</w:t>
                    </w:r>
                  </w:p>
                </w:txbxContent>
              </v:textbox>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01F7">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pStyle w:val="Header"/>
      <w:jc w:val="center"/>
    </w:pPr>
    <w:r>
      <w:rPr>
        <w:noProof/>
      </w:rPr>
      <mc:AlternateContent>
        <mc:Choice Requires="wps">
          <w:drawing>
            <wp:anchor distT="0" distB="0" distL="114300" distR="114300" simplePos="0" relativeHeight="251655168" behindDoc="0" locked="0" layoutInCell="1" allowOverlap="1" wp14:anchorId="3ACF37FD" wp14:editId="3AA3AD4B">
              <wp:simplePos x="0" y="0"/>
              <wp:positionH relativeFrom="column">
                <wp:posOffset>143510</wp:posOffset>
              </wp:positionH>
              <wp:positionV relativeFrom="paragraph">
                <wp:posOffset>249556</wp:posOffset>
              </wp:positionV>
              <wp:extent cx="5474335" cy="586740"/>
              <wp:effectExtent l="0" t="0" r="0" b="3810"/>
              <wp:wrapNone/>
              <wp:docPr id="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586740"/>
                      </a:xfrm>
                      <a:prstGeom prst="rect">
                        <a:avLst/>
                      </a:prstGeom>
                      <a:noFill/>
                      <a:ln w="9525">
                        <a:noFill/>
                        <a:miter lim="800000"/>
                        <a:headEnd/>
                        <a:tailEnd/>
                      </a:ln>
                    </wps:spPr>
                    <wps:txbx>
                      <w:txbxContent>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2017 Annual Report</w:t>
                          </w:r>
                        </w:p>
                        <w:p w:rsidR="00E201F7" w:rsidRDefault="00E24EFF">
                          <w:pPr>
                            <w:spacing w:after="0"/>
                            <w:jc w:val="center"/>
                            <w:rPr>
                              <w:rFonts w:ascii="Arial" w:hAnsi="Arial" w:cs="Arial"/>
                              <w:color w:val="A6A6A6"/>
                              <w:sz w:val="21"/>
                              <w:szCs w:val="21"/>
                            </w:rPr>
                          </w:pPr>
                          <w:r>
                            <w:rPr>
                              <w:rFonts w:ascii="Arial" w:hAnsi="Arial" w:cs="Arial"/>
                              <w:color w:val="A6A6A6"/>
                              <w:sz w:val="21"/>
                              <w:szCs w:val="21"/>
                            </w:rPr>
                            <w:t>Financial stability, financial services and Capital Markets 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left:0;text-align:left;margin-left:11.3pt;margin-top:19.65pt;width:431.05pt;height:46.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" filled="f" stroked="f">
              <v:textbox>
                <w:txbxContent>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2017 Annual Report</w:t>
                    </w:r>
                  </w:p>
                  <w:p w:rsidR="00E201F7" w:rsidRDefault="00E24EFF">
                    <w:pPr>
                      <w:spacing w:after="0"/>
                      <w:jc w:val="center"/>
                      <w:rPr>
                        <w:rFonts w:ascii="Arial" w:hAnsi="Arial" w:cs="Arial"/>
                        <w:color w:val="A6A6A6"/>
                        <w:sz w:val="21"/>
                        <w:szCs w:val="21"/>
                      </w:rPr>
                    </w:pPr>
                    <w:r>
                      <w:rPr>
                        <w:rFonts w:ascii="Arial" w:hAnsi="Arial" w:cs="Arial"/>
                        <w:color w:val="A6A6A6"/>
                        <w:sz w:val="21"/>
                        <w:szCs w:val="21"/>
                      </w:rPr>
                      <w:t>Financial stability, financial services and Capital Markets Union</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343BDB8E" wp14:editId="7762B119">
              <wp:simplePos x="0" y="0"/>
              <wp:positionH relativeFrom="column">
                <wp:posOffset>5005070</wp:posOffset>
              </wp:positionH>
              <wp:positionV relativeFrom="paragraph">
                <wp:posOffset>302895</wp:posOffset>
              </wp:positionV>
              <wp:extent cx="1659890" cy="219075"/>
              <wp:effectExtent l="0" t="0" r="0" b="9525"/>
              <wp:wrapNone/>
              <wp:docPr id="17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989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74" o:spid="_x0000_s1026" style="position:absolute;margin-left:394.1pt;margin-top:23.85pt;width:130.7pt;height:17.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" fillcolor="#004194" stroked="f" strokeweight="2pt">
              <v:path arrowok="t"/>
            </v:rect>
          </w:pict>
        </mc:Fallback>
      </mc:AlternateContent>
    </w:r>
    <w:r>
      <w:rPr>
        <w:noProof/>
      </w:rPr>
      <mc:AlternateContent>
        <mc:Choice Requires="wps">
          <w:drawing>
            <wp:anchor distT="0" distB="0" distL="114300" distR="114300" simplePos="0" relativeHeight="251667456" behindDoc="0" locked="0" layoutInCell="1" allowOverlap="1" wp14:anchorId="2030F61C" wp14:editId="115E448D">
              <wp:simplePos x="0" y="0"/>
              <wp:positionH relativeFrom="column">
                <wp:posOffset>-900430</wp:posOffset>
              </wp:positionH>
              <wp:positionV relativeFrom="paragraph">
                <wp:posOffset>302895</wp:posOffset>
              </wp:positionV>
              <wp:extent cx="1684020" cy="219075"/>
              <wp:effectExtent l="0" t="0" r="0" b="9525"/>
              <wp:wrapNone/>
              <wp:docPr id="17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402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5" o:spid="_x0000_s1026" style="position:absolute;margin-left:-70.9pt;margin-top:23.85pt;width:132.6pt;height:17.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" fillcolor="#004194" stroked="f" strokeweight="2pt">
              <v:path arrowok="t"/>
            </v:rect>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pStyle w:val="Header"/>
      <w:tabs>
        <w:tab w:val="left" w:pos="7513"/>
      </w:tabs>
      <w:spacing w:after="0"/>
      <w:ind w:left="4153" w:hanging="4153"/>
      <w:jc w:val="center"/>
    </w:pPr>
    <w:r>
      <w:rPr>
        <w:noProof/>
      </w:rPr>
      <mc:AlternateContent>
        <mc:Choice Requires="wps">
          <w:drawing>
            <wp:anchor distT="0" distB="0" distL="114300" distR="114300" simplePos="0" relativeHeight="251645952" behindDoc="0" locked="0" layoutInCell="1" allowOverlap="1" wp14:anchorId="6878876C" wp14:editId="72F02EE5">
              <wp:simplePos x="0" y="0"/>
              <wp:positionH relativeFrom="column">
                <wp:posOffset>-900430</wp:posOffset>
              </wp:positionH>
              <wp:positionV relativeFrom="paragraph">
                <wp:posOffset>219075</wp:posOffset>
              </wp:positionV>
              <wp:extent cx="7557135" cy="426720"/>
              <wp:effectExtent l="0" t="0" r="0" b="0"/>
              <wp:wrapNone/>
              <wp:docPr id="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26720"/>
                      </a:xfrm>
                      <a:prstGeom prst="rect">
                        <a:avLst/>
                      </a:prstGeom>
                      <a:noFill/>
                      <a:ln w="9525">
                        <a:noFill/>
                        <a:miter lim="800000"/>
                        <a:headEnd/>
                        <a:tailEnd/>
                      </a:ln>
                    </wps:spPr>
                    <wps:txbx>
                      <w:txbxContent>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Monitoring the application of</w:t>
                          </w:r>
                          <w:r>
                            <w:rPr>
                              <w:rFonts w:ascii="Arial" w:hAnsi="Arial" w:cs="Arial"/>
                              <w:color w:val="004194"/>
                              <w:sz w:val="20"/>
                            </w:rPr>
                            <w:t xml:space="preserve"> European Union law</w:t>
                          </w:r>
                        </w:p>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2017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left:0;text-align:left;margin-left:-70.9pt;margin-top:17.25pt;width:595.05pt;height:3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" filled="f" stroked="f">
              <v:textbox>
                <w:txbxContent>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Monitoring the application of</w:t>
                    </w:r>
                    <w:r>
                      <w:rPr>
                        <w:rFonts w:ascii="Arial" w:hAnsi="Arial" w:cs="Arial"/>
                        <w:color w:val="004194"/>
                        <w:sz w:val="20"/>
                      </w:rPr>
                      <w:t xml:space="preserve"> European Union law</w:t>
                    </w:r>
                  </w:p>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2017 Annual Report</w:t>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03440048" wp14:editId="62CB6BA6">
              <wp:simplePos x="0" y="0"/>
              <wp:positionH relativeFrom="column">
                <wp:posOffset>5043170</wp:posOffset>
              </wp:positionH>
              <wp:positionV relativeFrom="paragraph">
                <wp:posOffset>302895</wp:posOffset>
              </wp:positionV>
              <wp:extent cx="1614170" cy="219075"/>
              <wp:effectExtent l="0" t="0" r="5080" b="9525"/>
              <wp:wrapNone/>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417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77" o:spid="_x0000_s1026" style="position:absolute;margin-left:397.1pt;margin-top:23.85pt;width:127.1pt;height:17.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" fillcolor="#004194" stroked="f" strokeweight="2pt">
              <v:path arrowok="t"/>
            </v:rect>
          </w:pict>
        </mc:Fallback>
      </mc:AlternateContent>
    </w:r>
    <w:r>
      <w:rPr>
        <w:noProof/>
      </w:rPr>
      <mc:AlternateContent>
        <mc:Choice Requires="wps">
          <w:drawing>
            <wp:anchor distT="0" distB="0" distL="114300" distR="114300" simplePos="0" relativeHeight="251649024" behindDoc="0" locked="0" layoutInCell="1" allowOverlap="1" wp14:anchorId="30EDA091" wp14:editId="27359C51">
              <wp:simplePos x="0" y="0"/>
              <wp:positionH relativeFrom="column">
                <wp:posOffset>-900430</wp:posOffset>
              </wp:positionH>
              <wp:positionV relativeFrom="paragraph">
                <wp:posOffset>302895</wp:posOffset>
              </wp:positionV>
              <wp:extent cx="1691640" cy="219075"/>
              <wp:effectExtent l="0" t="0" r="3810" b="9525"/>
              <wp:wrapNone/>
              <wp:docPr id="17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164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8" o:spid="_x0000_s1026" style="position:absolute;margin-left:-70.9pt;margin-top:23.85pt;width:133.2pt;height:17.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" fillcolor="#004194" stroked="f" strokeweight="2pt">
              <v:path arrowok="t"/>
            </v:rect>
          </w:pict>
        </mc:Fallback>
      </mc:AlternateContent>
    </w:r>
    <w:r>
      <w:rPr>
        <w:noProof/>
      </w:rPr>
      <mc:AlternateContent>
        <mc:Choice Requires="wps">
          <w:drawing>
            <wp:anchor distT="0" distB="0" distL="114300" distR="114300" simplePos="0" relativeHeight="251674624" behindDoc="0" locked="0" layoutInCell="1" allowOverlap="1" wp14:anchorId="4EBA8766" wp14:editId="64E921D4">
              <wp:simplePos x="0" y="0"/>
              <wp:positionH relativeFrom="column">
                <wp:posOffset>-900430</wp:posOffset>
              </wp:positionH>
              <wp:positionV relativeFrom="paragraph">
                <wp:posOffset>630555</wp:posOffset>
              </wp:positionV>
              <wp:extent cx="7559675" cy="45720"/>
              <wp:effectExtent l="0" t="19050" r="0" b="11430"/>
              <wp:wrapNone/>
              <wp:docPr id="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E201F7" w:rsidRDefault="00E201F7">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70.9pt;margin-top:49.65pt;width:595.2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" filled="f" stroked="f">
              <v:textbox>
                <w:txbxContent>
                  <w:p w:rsidR="00E201F7" w:rsidRDefault="00E201F7">
                    <w:pPr>
                      <w:pStyle w:val="Priorities"/>
                      <w:ind w:right="555"/>
                      <w:jc w:val="both"/>
                      <w:rPr>
                        <w:color w:val="808080"/>
                        <w:lang w:val="de-DE"/>
                      </w:rPr>
                    </w:pPr>
                  </w:p>
                </w:txbxContent>
              </v:textbox>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01F7">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pStyle w:val="Header"/>
      <w:jc w:val="center"/>
    </w:pPr>
    <w:r>
      <w:rPr>
        <w:noProof/>
      </w:rPr>
      <mc:AlternateContent>
        <mc:Choice Requires="wps">
          <w:drawing>
            <wp:anchor distT="0" distB="0" distL="114300" distR="114300" simplePos="0" relativeHeight="251639808" behindDoc="0" locked="0" layoutInCell="1" allowOverlap="1" wp14:anchorId="5EC3B0AF" wp14:editId="145E0E48">
              <wp:simplePos x="0" y="0"/>
              <wp:positionH relativeFrom="column">
                <wp:posOffset>5005070</wp:posOffset>
              </wp:positionH>
              <wp:positionV relativeFrom="paragraph">
                <wp:posOffset>302895</wp:posOffset>
              </wp:positionV>
              <wp:extent cx="1659890" cy="219075"/>
              <wp:effectExtent l="0" t="0" r="0" b="9525"/>
              <wp:wrapNone/>
              <wp:docPr id="341"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989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41" o:spid="_x0000_s1026" style="position:absolute;margin-left:394.1pt;margin-top:23.85pt;width:130.7pt;height:1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" fillcolor="#004194" stroked="f" strokeweight="2pt">
              <v:path arrowok="t"/>
            </v:rect>
          </w:pict>
        </mc:Fallback>
      </mc:AlternateContent>
    </w:r>
    <w:r>
      <w:rPr>
        <w:noProof/>
      </w:rPr>
      <mc:AlternateContent>
        <mc:Choice Requires="wps">
          <w:drawing>
            <wp:anchor distT="0" distB="0" distL="114300" distR="114300" simplePos="0" relativeHeight="251638784" behindDoc="0" locked="0" layoutInCell="1" allowOverlap="1" wp14:anchorId="7756986D" wp14:editId="5022773F">
              <wp:simplePos x="0" y="0"/>
              <wp:positionH relativeFrom="column">
                <wp:posOffset>-900430</wp:posOffset>
              </wp:positionH>
              <wp:positionV relativeFrom="paragraph">
                <wp:posOffset>302895</wp:posOffset>
              </wp:positionV>
              <wp:extent cx="1684020" cy="219075"/>
              <wp:effectExtent l="0" t="0" r="0" b="9525"/>
              <wp:wrapNone/>
              <wp:docPr id="342"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402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2" o:spid="_x0000_s1026" style="position:absolute;margin-left:-70.9pt;margin-top:23.85pt;width:132.6pt;height:1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" fillcolor="#004194" stroked="f" strokeweight="2pt">
              <v:path arrowok="t"/>
            </v:rect>
          </w:pict>
        </mc:Fallback>
      </mc:AlternateContent>
    </w:r>
    <w:r>
      <w:rPr>
        <w:noProof/>
      </w:rPr>
      <mc:AlternateContent>
        <mc:Choice Requires="wps">
          <w:drawing>
            <wp:anchor distT="0" distB="0" distL="114300" distR="114300" simplePos="0" relativeHeight="251637760" behindDoc="0" locked="0" layoutInCell="1" allowOverlap="1" wp14:anchorId="55458A12" wp14:editId="67CEBABD">
              <wp:simplePos x="0" y="0"/>
              <wp:positionH relativeFrom="column">
                <wp:posOffset>140970</wp:posOffset>
              </wp:positionH>
              <wp:positionV relativeFrom="paragraph">
                <wp:posOffset>252730</wp:posOffset>
              </wp:positionV>
              <wp:extent cx="5474335" cy="771525"/>
              <wp:effectExtent l="0" t="0" r="0" b="0"/>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771525"/>
                      </a:xfrm>
                      <a:prstGeom prst="rect">
                        <a:avLst/>
                      </a:prstGeom>
                      <a:noFill/>
                      <a:ln w="9525">
                        <a:noFill/>
                        <a:miter lim="800000"/>
                        <a:headEnd/>
                        <a:tailEnd/>
                      </a:ln>
                    </wps:spPr>
                    <wps:txbx>
                      <w:txbxContent>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2017 Annual Report</w:t>
                          </w:r>
                        </w:p>
                        <w:p w:rsidR="00E201F7" w:rsidRDefault="00E24EFF">
                          <w:pPr>
                            <w:spacing w:after="0"/>
                            <w:jc w:val="center"/>
                            <w:rPr>
                              <w:rFonts w:ascii="Arial" w:hAnsi="Arial" w:cs="Arial"/>
                              <w:b/>
                              <w:color w:val="A6A6A6"/>
                              <w:sz w:val="22"/>
                            </w:rPr>
                          </w:pPr>
                          <w:r>
                            <w:rPr>
                              <w:rFonts w:ascii="Arial" w:hAnsi="Arial" w:cs="Arial"/>
                              <w:color w:val="A6A6A6"/>
                              <w:sz w:val="22"/>
                            </w:rPr>
                            <w:t>Health and food safety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left:0;text-align:left;margin-left:11.1pt;margin-top:19.9pt;width:431.05pt;height:60.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" filled="f" stroked="f">
              <v:textbox>
                <w:txbxContent>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2017 Annual Report</w:t>
                    </w:r>
                  </w:p>
                  <w:p w:rsidR="00E201F7" w:rsidRDefault="00E24EFF">
                    <w:pPr>
                      <w:spacing w:after="0"/>
                      <w:jc w:val="center"/>
                      <w:rPr>
                        <w:rFonts w:ascii="Arial" w:hAnsi="Arial" w:cs="Arial"/>
                        <w:b/>
                        <w:color w:val="A6A6A6"/>
                        <w:sz w:val="22"/>
                      </w:rPr>
                    </w:pPr>
                    <w:r>
                      <w:rPr>
                        <w:rFonts w:ascii="Arial" w:hAnsi="Arial" w:cs="Arial"/>
                        <w:color w:val="A6A6A6"/>
                        <w:sz w:val="22"/>
                      </w:rPr>
                      <w:t>Health and food safety</w:t>
                    </w:r>
                  </w:p>
                </w:txbxContent>
              </v:textbox>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pStyle w:val="Header"/>
      <w:tabs>
        <w:tab w:val="left" w:pos="7513"/>
      </w:tabs>
      <w:spacing w:after="0"/>
      <w:ind w:left="4153" w:hanging="4153"/>
      <w:jc w:val="center"/>
    </w:pPr>
    <w:r>
      <w:rPr>
        <w:noProof/>
      </w:rPr>
      <mc:AlternateContent>
        <mc:Choice Requires="wps">
          <w:drawing>
            <wp:anchor distT="0" distB="0" distL="114300" distR="114300" simplePos="0" relativeHeight="251636736" behindDoc="0" locked="0" layoutInCell="1" allowOverlap="1" wp14:anchorId="00DEDB93" wp14:editId="009A53FF">
              <wp:simplePos x="0" y="0"/>
              <wp:positionH relativeFrom="column">
                <wp:posOffset>5043170</wp:posOffset>
              </wp:positionH>
              <wp:positionV relativeFrom="paragraph">
                <wp:posOffset>302895</wp:posOffset>
              </wp:positionV>
              <wp:extent cx="1614170" cy="219075"/>
              <wp:effectExtent l="0" t="0" r="5080" b="9525"/>
              <wp:wrapNone/>
              <wp:docPr id="344"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417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44" o:spid="_x0000_s1026" style="position:absolute;margin-left:397.1pt;margin-top:23.85pt;width:127.1pt;height:1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" fillcolor="#004194" stroked="f" strokeweight="2pt">
              <v:path arrowok="t"/>
            </v:rect>
          </w:pict>
        </mc:Fallback>
      </mc:AlternateContent>
    </w:r>
    <w:r>
      <w:rPr>
        <w:noProof/>
      </w:rPr>
      <mc:AlternateContent>
        <mc:Choice Requires="wps">
          <w:drawing>
            <wp:anchor distT="0" distB="0" distL="114300" distR="114300" simplePos="0" relativeHeight="251635712" behindDoc="0" locked="0" layoutInCell="1" allowOverlap="1" wp14:anchorId="3B951CF4" wp14:editId="62848E45">
              <wp:simplePos x="0" y="0"/>
              <wp:positionH relativeFrom="column">
                <wp:posOffset>-900430</wp:posOffset>
              </wp:positionH>
              <wp:positionV relativeFrom="paragraph">
                <wp:posOffset>302895</wp:posOffset>
              </wp:positionV>
              <wp:extent cx="1691640" cy="219075"/>
              <wp:effectExtent l="0" t="0" r="3810" b="9525"/>
              <wp:wrapNone/>
              <wp:docPr id="345"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164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5" o:spid="_x0000_s1026" style="position:absolute;margin-left:-70.9pt;margin-top:23.85pt;width:133.2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" fillcolor="#004194" stroked="f" strokeweight="2pt">
              <v:path arrowok="t"/>
            </v:rect>
          </w:pict>
        </mc:Fallback>
      </mc:AlternateContent>
    </w:r>
    <w:r>
      <w:rPr>
        <w:noProof/>
      </w:rPr>
      <mc:AlternateContent>
        <mc:Choice Requires="wps">
          <w:drawing>
            <wp:anchor distT="0" distB="0" distL="114300" distR="114300" simplePos="0" relativeHeight="251640832" behindDoc="0" locked="0" layoutInCell="1" allowOverlap="1" wp14:anchorId="1252E58E" wp14:editId="113D2F10">
              <wp:simplePos x="0" y="0"/>
              <wp:positionH relativeFrom="column">
                <wp:posOffset>-900430</wp:posOffset>
              </wp:positionH>
              <wp:positionV relativeFrom="paragraph">
                <wp:posOffset>630555</wp:posOffset>
              </wp:positionV>
              <wp:extent cx="7559675" cy="45720"/>
              <wp:effectExtent l="0" t="19050" r="0" b="11430"/>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E201F7" w:rsidRDefault="00E201F7">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left:0;text-align:left;margin-left:-70.9pt;margin-top:49.65pt;width:595.25pt;height:3.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K6T3/cN&#10;AgAA+wMAAA4AAAAAAAAAAAAAAAAALgIAAGRycy9lMm9Eb2MueG1sUEsBAi0AFAAGAAgAAAAhANN1&#10;PQrgAAAADAEAAA8AAAAAAAAAAAAAAAAAZwQAAGRycy9kb3ducmV2LnhtbFBLBQYAAAAABAAEAPMA&#10;AAB0BQAAAAA=&#10;" filled="f" stroked="f">
              <v:textbox>
                <w:txbxContent>
                  <w:p w:rsidR="00E201F7" w:rsidRDefault="00E201F7">
                    <w:pPr>
                      <w:pStyle w:val="Priorities"/>
                      <w:ind w:right="555"/>
                      <w:jc w:val="both"/>
                      <w:rPr>
                        <w:color w:val="808080"/>
                        <w:lang w:val="de-DE"/>
                      </w:rPr>
                    </w:pPr>
                  </w:p>
                </w:txbxContent>
              </v:textbox>
            </v:shape>
          </w:pict>
        </mc:Fallback>
      </mc:AlternateContent>
    </w:r>
    <w:r>
      <w:rPr>
        <w:noProof/>
      </w:rPr>
      <mc:AlternateContent>
        <mc:Choice Requires="wps">
          <w:drawing>
            <wp:anchor distT="0" distB="0" distL="114300" distR="114300" simplePos="0" relativeHeight="251634688" behindDoc="0" locked="0" layoutInCell="1" allowOverlap="1" wp14:anchorId="73432E4F" wp14:editId="7354810F">
              <wp:simplePos x="0" y="0"/>
              <wp:positionH relativeFrom="column">
                <wp:posOffset>-900430</wp:posOffset>
              </wp:positionH>
              <wp:positionV relativeFrom="paragraph">
                <wp:posOffset>222250</wp:posOffset>
              </wp:positionV>
              <wp:extent cx="7557135" cy="408940"/>
              <wp:effectExtent l="0" t="0" r="0" b="0"/>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2017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70.9pt;margin-top:17.5pt;width:595.05pt;height:32.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" filled="f" stroked="f">
              <v:textbox>
                <w:txbxContent>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2017 Annual Report</w:t>
                    </w:r>
                  </w:p>
                </w:txbxContent>
              </v:textbox>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01F7">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pStyle w:val="Header"/>
      <w:jc w:val="center"/>
    </w:pPr>
    <w:r>
      <w:rPr>
        <w:noProof/>
      </w:rPr>
      <mc:AlternateContent>
        <mc:Choice Requires="wps">
          <w:drawing>
            <wp:anchor distT="0" distB="0" distL="114300" distR="114300" simplePos="0" relativeHeight="251669504" behindDoc="0" locked="0" layoutInCell="1" allowOverlap="1" wp14:anchorId="0BE8201A" wp14:editId="63243E77">
              <wp:simplePos x="0" y="0"/>
              <wp:positionH relativeFrom="column">
                <wp:posOffset>5005070</wp:posOffset>
              </wp:positionH>
              <wp:positionV relativeFrom="paragraph">
                <wp:posOffset>302895</wp:posOffset>
              </wp:positionV>
              <wp:extent cx="1659890" cy="219075"/>
              <wp:effectExtent l="0" t="0" r="0" b="952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989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46" o:spid="_x0000_s1026" style="position:absolute;margin-left:394.1pt;margin-top:23.85pt;width:130.7pt;height:17.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" fillcolor="#004194" stroked="f" strokeweight="2pt">
              <v:path arrowok="t"/>
            </v:rect>
          </w:pict>
        </mc:Fallback>
      </mc:AlternateContent>
    </w:r>
    <w:r>
      <w:rPr>
        <w:noProof/>
      </w:rPr>
      <mc:AlternateContent>
        <mc:Choice Requires="wps">
          <w:drawing>
            <wp:anchor distT="0" distB="0" distL="114300" distR="114300" simplePos="0" relativeHeight="251668480" behindDoc="0" locked="0" layoutInCell="1" allowOverlap="1" wp14:anchorId="007D3DD7" wp14:editId="5FBA1614">
              <wp:simplePos x="0" y="0"/>
              <wp:positionH relativeFrom="column">
                <wp:posOffset>-900430</wp:posOffset>
              </wp:positionH>
              <wp:positionV relativeFrom="paragraph">
                <wp:posOffset>302895</wp:posOffset>
              </wp:positionV>
              <wp:extent cx="1684020" cy="219075"/>
              <wp:effectExtent l="0" t="0" r="0" b="952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402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26" style="position:absolute;margin-left:-70.9pt;margin-top:23.85pt;width:132.6pt;height:17.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" fillcolor="#004194" stroked="f" strokeweight="2pt">
              <v:path arrowok="t"/>
            </v:rect>
          </w:pict>
        </mc:Fallback>
      </mc:AlternateContent>
    </w:r>
    <w:r>
      <w:rPr>
        <w:noProof/>
      </w:rPr>
      <mc:AlternateContent>
        <mc:Choice Requires="wps">
          <w:drawing>
            <wp:anchor distT="0" distB="0" distL="114300" distR="114300" simplePos="0" relativeHeight="251666432" behindDoc="0" locked="0" layoutInCell="1" allowOverlap="1" wp14:anchorId="00EDE738" wp14:editId="41CC0824">
              <wp:simplePos x="0" y="0"/>
              <wp:positionH relativeFrom="column">
                <wp:posOffset>140970</wp:posOffset>
              </wp:positionH>
              <wp:positionV relativeFrom="paragraph">
                <wp:posOffset>252730</wp:posOffset>
              </wp:positionV>
              <wp:extent cx="5474335" cy="771525"/>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771525"/>
                      </a:xfrm>
                      <a:prstGeom prst="rect">
                        <a:avLst/>
                      </a:prstGeom>
                      <a:noFill/>
                      <a:ln w="9525">
                        <a:noFill/>
                        <a:miter lim="800000"/>
                        <a:headEnd/>
                        <a:tailEnd/>
                      </a:ln>
                    </wps:spPr>
                    <wps:txbx>
                      <w:txbxContent>
                        <w:p w:rsidR="00E201F7" w:rsidRDefault="00E24EFF">
                          <w:pPr>
                            <w:tabs>
                              <w:tab w:val="left" w:pos="4111"/>
                            </w:tabs>
                            <w:spacing w:after="0"/>
                            <w:jc w:val="center"/>
                            <w:rPr>
                              <w:rFonts w:ascii="Arial" w:hAnsi="Arial"/>
                              <w:color w:val="004194"/>
                              <w:sz w:val="20"/>
                            </w:rPr>
                          </w:pPr>
                          <w:r>
                            <w:rPr>
                              <w:rFonts w:ascii="Arial" w:hAnsi="Arial"/>
                              <w:color w:val="004194"/>
                              <w:sz w:val="20"/>
                            </w:rPr>
                            <w:t>Monitoring the application of European Union law</w:t>
                          </w:r>
                        </w:p>
                        <w:p w:rsidR="00E201F7" w:rsidRDefault="00E24EFF">
                          <w:pPr>
                            <w:tabs>
                              <w:tab w:val="left" w:pos="4111"/>
                            </w:tabs>
                            <w:spacing w:after="0"/>
                            <w:jc w:val="center"/>
                            <w:rPr>
                              <w:rFonts w:ascii="Arial" w:hAnsi="Arial"/>
                              <w:color w:val="004194"/>
                              <w:sz w:val="20"/>
                            </w:rPr>
                          </w:pPr>
                          <w:r>
                            <w:rPr>
                              <w:rFonts w:ascii="Arial" w:hAnsi="Arial"/>
                              <w:color w:val="004194"/>
                              <w:sz w:val="20"/>
                            </w:rPr>
                            <w:t>2017 Annual Report</w:t>
                          </w:r>
                        </w:p>
                        <w:p w:rsidR="00E201F7" w:rsidRDefault="00E24EFF">
                          <w:pPr>
                            <w:spacing w:after="0"/>
                            <w:jc w:val="center"/>
                            <w:rPr>
                              <w:rFonts w:ascii="Arial" w:hAnsi="Arial"/>
                              <w:b/>
                              <w:color w:val="A6A6A6"/>
                              <w:sz w:val="22"/>
                            </w:rPr>
                          </w:pPr>
                          <w:r>
                            <w:rPr>
                              <w:rFonts w:ascii="Arial" w:hAnsi="Arial"/>
                              <w:color w:val="A6A6A6"/>
                              <w:sz w:val="22"/>
                            </w:rPr>
                            <w:t>Internal market, industry, entrepreneurship and SMEs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0" type="#_x0000_t202" style="position:absolute;left:0;text-align:left;margin-left:11.1pt;margin-top:19.9pt;width:431.05pt;height:6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" filled="f" stroked="f">
              <v:textbox>
                <w:txbxContent>
                  <w:p w:rsidR="00E201F7" w:rsidRDefault="00E24EFF">
                    <w:pPr>
                      <w:tabs>
                        <w:tab w:val="left" w:pos="4111"/>
                      </w:tabs>
                      <w:spacing w:after="0"/>
                      <w:jc w:val="center"/>
                      <w:rPr>
                        <w:rFonts w:ascii="Arial" w:hAnsi="Arial"/>
                        <w:color w:val="004194"/>
                        <w:sz w:val="20"/>
                      </w:rPr>
                    </w:pPr>
                    <w:r>
                      <w:rPr>
                        <w:rFonts w:ascii="Arial" w:hAnsi="Arial"/>
                        <w:color w:val="004194"/>
                        <w:sz w:val="20"/>
                      </w:rPr>
                      <w:t>Monitoring the application of European Union law</w:t>
                    </w:r>
                  </w:p>
                  <w:p w:rsidR="00E201F7" w:rsidRDefault="00E24EFF">
                    <w:pPr>
                      <w:tabs>
                        <w:tab w:val="left" w:pos="4111"/>
                      </w:tabs>
                      <w:spacing w:after="0"/>
                      <w:jc w:val="center"/>
                      <w:rPr>
                        <w:rFonts w:ascii="Arial" w:hAnsi="Arial"/>
                        <w:color w:val="004194"/>
                        <w:sz w:val="20"/>
                      </w:rPr>
                    </w:pPr>
                    <w:r>
                      <w:rPr>
                        <w:rFonts w:ascii="Arial" w:hAnsi="Arial"/>
                        <w:color w:val="004194"/>
                        <w:sz w:val="20"/>
                      </w:rPr>
                      <w:t>2017 Annual Report</w:t>
                    </w:r>
                  </w:p>
                  <w:p w:rsidR="00E201F7" w:rsidRDefault="00E24EFF">
                    <w:pPr>
                      <w:spacing w:after="0"/>
                      <w:jc w:val="center"/>
                      <w:rPr>
                        <w:rFonts w:ascii="Arial" w:hAnsi="Arial"/>
                        <w:b/>
                        <w:color w:val="A6A6A6"/>
                        <w:sz w:val="22"/>
                      </w:rPr>
                    </w:pPr>
                    <w:r>
                      <w:rPr>
                        <w:rFonts w:ascii="Arial" w:hAnsi="Arial"/>
                        <w:color w:val="A6A6A6"/>
                        <w:sz w:val="22"/>
                      </w:rPr>
                      <w:t>Internal market, industry, entrepreneurship and SMEs</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EFF" w:rsidRPr="00E24EFF" w:rsidRDefault="00E24EFF" w:rsidP="00E24EFF">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pStyle w:val="Header"/>
      <w:tabs>
        <w:tab w:val="left" w:pos="7513"/>
      </w:tabs>
      <w:spacing w:after="0"/>
      <w:ind w:left="4153" w:hanging="4153"/>
      <w:jc w:val="center"/>
    </w:pPr>
    <w:r>
      <w:rPr>
        <w:noProof/>
      </w:rPr>
      <mc:AlternateContent>
        <mc:Choice Requires="wps">
          <w:drawing>
            <wp:anchor distT="0" distB="0" distL="114300" distR="114300" simplePos="0" relativeHeight="251665408" behindDoc="0" locked="0" layoutInCell="1" allowOverlap="1" wp14:anchorId="4B611AC8" wp14:editId="674D3775">
              <wp:simplePos x="0" y="0"/>
              <wp:positionH relativeFrom="column">
                <wp:posOffset>5043170</wp:posOffset>
              </wp:positionH>
              <wp:positionV relativeFrom="paragraph">
                <wp:posOffset>302895</wp:posOffset>
              </wp:positionV>
              <wp:extent cx="1614170" cy="219075"/>
              <wp:effectExtent l="0" t="0" r="5080" b="952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417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49" o:spid="_x0000_s1026" style="position:absolute;margin-left:397.1pt;margin-top:23.85pt;width:127.1pt;height:17.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" fillcolor="#004194" stroked="f" strokeweight="2pt">
              <v:path arrowok="t"/>
            </v:rect>
          </w:pict>
        </mc:Fallback>
      </mc:AlternateContent>
    </w:r>
    <w:r>
      <w:rPr>
        <w:noProof/>
      </w:rPr>
      <mc:AlternateContent>
        <mc:Choice Requires="wps">
          <w:drawing>
            <wp:anchor distT="0" distB="0" distL="114300" distR="114300" simplePos="0" relativeHeight="251663360" behindDoc="0" locked="0" layoutInCell="1" allowOverlap="1" wp14:anchorId="18556450" wp14:editId="1EF61E9E">
              <wp:simplePos x="0" y="0"/>
              <wp:positionH relativeFrom="column">
                <wp:posOffset>-900430</wp:posOffset>
              </wp:positionH>
              <wp:positionV relativeFrom="paragraph">
                <wp:posOffset>302895</wp:posOffset>
              </wp:positionV>
              <wp:extent cx="1691640" cy="219075"/>
              <wp:effectExtent l="0" t="0" r="3810" b="952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164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26" style="position:absolute;margin-left:-70.9pt;margin-top:23.85pt;width:133.2pt;height:17.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" fillcolor="#004194" stroked="f" strokeweight="2pt">
              <v:path arrowok="t"/>
            </v:rect>
          </w:pict>
        </mc:Fallback>
      </mc:AlternateContent>
    </w:r>
    <w:r>
      <w:rPr>
        <w:noProof/>
      </w:rPr>
      <mc:AlternateContent>
        <mc:Choice Requires="wps">
          <w:drawing>
            <wp:anchor distT="0" distB="0" distL="114300" distR="114300" simplePos="0" relativeHeight="251671552" behindDoc="0" locked="0" layoutInCell="1" allowOverlap="1" wp14:anchorId="630146CC" wp14:editId="4305F12D">
              <wp:simplePos x="0" y="0"/>
              <wp:positionH relativeFrom="column">
                <wp:posOffset>-900430</wp:posOffset>
              </wp:positionH>
              <wp:positionV relativeFrom="paragraph">
                <wp:posOffset>630555</wp:posOffset>
              </wp:positionV>
              <wp:extent cx="7559675" cy="45720"/>
              <wp:effectExtent l="0" t="19050" r="0" b="1143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E201F7" w:rsidRDefault="00E201F7">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1" type="#_x0000_t202" style="position:absolute;left:0;text-align:left;margin-left:-70.9pt;margin-top:49.65pt;width:595.2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r86LhQwC&#10;AAD6AwAADgAAAAAAAAAAAAAAAAAuAgAAZHJzL2Uyb0RvYy54bWxQSwECLQAUAAYACAAAACEA03U9&#10;CuAAAAAMAQAADwAAAAAAAAAAAAAAAABmBAAAZHJzL2Rvd25yZXYueG1sUEsFBgAAAAAEAAQA8wAA&#10;AHMFAAAAAA==&#10;" filled="f" stroked="f">
              <v:textbox>
                <w:txbxContent>
                  <w:p w:rsidR="00E201F7" w:rsidRDefault="00E201F7">
                    <w:pPr>
                      <w:pStyle w:val="Priorities"/>
                      <w:ind w:right="555"/>
                      <w:jc w:val="both"/>
                      <w:rPr>
                        <w:color w:val="808080"/>
                        <w:lang w:val="de-DE"/>
                      </w:rP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60228DB" wp14:editId="2BE64DC6">
              <wp:simplePos x="0" y="0"/>
              <wp:positionH relativeFrom="column">
                <wp:posOffset>-900430</wp:posOffset>
              </wp:positionH>
              <wp:positionV relativeFrom="paragraph">
                <wp:posOffset>222250</wp:posOffset>
              </wp:positionV>
              <wp:extent cx="7557135" cy="408940"/>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2017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70.9pt;margin-top:17.5pt;width:595.05pt;height:3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HATH&#10;ExACAAD7AwAADgAAAAAAAAAAAAAAAAAuAgAAZHJzL2Uyb0RvYy54bWxQSwECLQAUAAYACAAAACEA&#10;7JFWy98AAAALAQAADwAAAAAAAAAAAAAAAABqBAAAZHJzL2Rvd25yZXYueG1sUEsFBgAAAAAEAAQA&#10;8wAAAHYFAAAAAA==&#10;" filled="f" stroked="f">
              <v:textbox>
                <w:txbxContent>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2017 Annual Report</w:t>
                    </w:r>
                  </w:p>
                </w:txbxContent>
              </v:textbox>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01F7">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pStyle w:val="Header"/>
      <w:jc w:val="center"/>
    </w:pPr>
    <w:r>
      <w:rPr>
        <w:noProof/>
      </w:rPr>
      <mc:AlternateContent>
        <mc:Choice Requires="wps">
          <w:drawing>
            <wp:anchor distT="0" distB="0" distL="114300" distR="114300" simplePos="0" relativeHeight="251648000" behindDoc="0" locked="0" layoutInCell="1" allowOverlap="1" wp14:anchorId="3D427434" wp14:editId="3970CF79">
              <wp:simplePos x="0" y="0"/>
              <wp:positionH relativeFrom="column">
                <wp:posOffset>5005070</wp:posOffset>
              </wp:positionH>
              <wp:positionV relativeFrom="paragraph">
                <wp:posOffset>302895</wp:posOffset>
              </wp:positionV>
              <wp:extent cx="1659890" cy="219075"/>
              <wp:effectExtent l="0" t="0" r="0" b="9525"/>
              <wp:wrapNone/>
              <wp:docPr id="407"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989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407" o:spid="_x0000_s1026" style="position:absolute;margin-left:394.1pt;margin-top:23.85pt;width:130.7pt;height:17.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" fillcolor="#004194" stroked="f" strokeweight="2pt">
              <v:path arrowok="t"/>
            </v:rect>
          </w:pict>
        </mc:Fallback>
      </mc:AlternateContent>
    </w:r>
    <w:r>
      <w:rPr>
        <w:noProof/>
      </w:rPr>
      <mc:AlternateContent>
        <mc:Choice Requires="wps">
          <w:drawing>
            <wp:anchor distT="0" distB="0" distL="114300" distR="114300" simplePos="0" relativeHeight="251646976" behindDoc="0" locked="0" layoutInCell="1" allowOverlap="1" wp14:anchorId="37D433F8" wp14:editId="62DA70DB">
              <wp:simplePos x="0" y="0"/>
              <wp:positionH relativeFrom="column">
                <wp:posOffset>-900430</wp:posOffset>
              </wp:positionH>
              <wp:positionV relativeFrom="paragraph">
                <wp:posOffset>302895</wp:posOffset>
              </wp:positionV>
              <wp:extent cx="1684020" cy="219075"/>
              <wp:effectExtent l="0" t="0" r="0" b="9525"/>
              <wp:wrapNone/>
              <wp:docPr id="408"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402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8" o:spid="_x0000_s1026" style="position:absolute;margin-left:-70.9pt;margin-top:23.85pt;width:132.6pt;height:1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" fillcolor="#004194" stroked="f" strokeweight="2pt">
              <v:path arrowok="t"/>
            </v:rect>
          </w:pict>
        </mc:Fallback>
      </mc:AlternateContent>
    </w:r>
    <w:r>
      <w:rPr>
        <w:noProof/>
      </w:rPr>
      <mc:AlternateContent>
        <mc:Choice Requires="wps">
          <w:drawing>
            <wp:anchor distT="0" distB="0" distL="114300" distR="114300" simplePos="0" relativeHeight="251644928" behindDoc="0" locked="0" layoutInCell="1" allowOverlap="1" wp14:anchorId="71287180" wp14:editId="37972394">
              <wp:simplePos x="0" y="0"/>
              <wp:positionH relativeFrom="column">
                <wp:posOffset>140970</wp:posOffset>
              </wp:positionH>
              <wp:positionV relativeFrom="paragraph">
                <wp:posOffset>252730</wp:posOffset>
              </wp:positionV>
              <wp:extent cx="5474335" cy="771525"/>
              <wp:effectExtent l="0" t="0" r="0" b="0"/>
              <wp:wrapNone/>
              <wp:docPr id="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771525"/>
                      </a:xfrm>
                      <a:prstGeom prst="rect">
                        <a:avLst/>
                      </a:prstGeom>
                      <a:noFill/>
                      <a:ln w="9525">
                        <a:noFill/>
                        <a:miter lim="800000"/>
                        <a:headEnd/>
                        <a:tailEnd/>
                      </a:ln>
                    </wps:spPr>
                    <wps:txbx>
                      <w:txbxContent>
                        <w:p w:rsidR="00E201F7" w:rsidRDefault="00E24EFF">
                          <w:pPr>
                            <w:tabs>
                              <w:tab w:val="left" w:pos="4111"/>
                            </w:tabs>
                            <w:spacing w:after="0"/>
                            <w:jc w:val="center"/>
                            <w:rPr>
                              <w:rFonts w:ascii="Arial" w:hAnsi="Arial"/>
                              <w:color w:val="004194"/>
                              <w:sz w:val="20"/>
                            </w:rPr>
                          </w:pPr>
                          <w:r>
                            <w:rPr>
                              <w:rFonts w:ascii="Arial" w:hAnsi="Arial"/>
                              <w:color w:val="004194"/>
                              <w:sz w:val="20"/>
                            </w:rPr>
                            <w:t>Monitoring the application of European Union law</w:t>
                          </w:r>
                        </w:p>
                        <w:p w:rsidR="00E201F7" w:rsidRDefault="00E24EFF">
                          <w:pPr>
                            <w:tabs>
                              <w:tab w:val="left" w:pos="4111"/>
                            </w:tabs>
                            <w:spacing w:after="0"/>
                            <w:jc w:val="center"/>
                            <w:rPr>
                              <w:rFonts w:ascii="Arial" w:hAnsi="Arial"/>
                              <w:color w:val="004194"/>
                              <w:sz w:val="20"/>
                            </w:rPr>
                          </w:pPr>
                          <w:r>
                            <w:rPr>
                              <w:rFonts w:ascii="Arial" w:hAnsi="Arial"/>
                              <w:color w:val="004194"/>
                              <w:sz w:val="20"/>
                            </w:rPr>
                            <w:t>2017 Annual Report</w:t>
                          </w:r>
                        </w:p>
                        <w:p w:rsidR="00E201F7" w:rsidRDefault="00E24EFF">
                          <w:pPr>
                            <w:spacing w:after="0"/>
                            <w:jc w:val="center"/>
                            <w:rPr>
                              <w:rFonts w:ascii="Arial" w:hAnsi="Arial"/>
                              <w:b/>
                              <w:color w:val="A6A6A6"/>
                              <w:sz w:val="22"/>
                            </w:rPr>
                          </w:pPr>
                          <w:r>
                            <w:rPr>
                              <w:rFonts w:ascii="Arial" w:hAnsi="Arial"/>
                              <w:color w:val="A6A6A6"/>
                              <w:sz w:val="22"/>
                            </w:rPr>
                            <w:t>Justice and consumers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3" type="#_x0000_t202" style="position:absolute;left:0;text-align:left;margin-left:11.1pt;margin-top:19.9pt;width:431.05pt;height:60.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" filled="f" stroked="f">
              <v:textbox>
                <w:txbxContent>
                  <w:p w:rsidR="00E201F7" w:rsidRDefault="00E24EFF">
                    <w:pPr>
                      <w:tabs>
                        <w:tab w:val="left" w:pos="4111"/>
                      </w:tabs>
                      <w:spacing w:after="0"/>
                      <w:jc w:val="center"/>
                      <w:rPr>
                        <w:rFonts w:ascii="Arial" w:hAnsi="Arial"/>
                        <w:color w:val="004194"/>
                        <w:sz w:val="20"/>
                      </w:rPr>
                    </w:pPr>
                    <w:r>
                      <w:rPr>
                        <w:rFonts w:ascii="Arial" w:hAnsi="Arial"/>
                        <w:color w:val="004194"/>
                        <w:sz w:val="20"/>
                      </w:rPr>
                      <w:t>Monitoring the application of European Union law</w:t>
                    </w:r>
                  </w:p>
                  <w:p w:rsidR="00E201F7" w:rsidRDefault="00E24EFF">
                    <w:pPr>
                      <w:tabs>
                        <w:tab w:val="left" w:pos="4111"/>
                      </w:tabs>
                      <w:spacing w:after="0"/>
                      <w:jc w:val="center"/>
                      <w:rPr>
                        <w:rFonts w:ascii="Arial" w:hAnsi="Arial"/>
                        <w:color w:val="004194"/>
                        <w:sz w:val="20"/>
                      </w:rPr>
                    </w:pPr>
                    <w:r>
                      <w:rPr>
                        <w:rFonts w:ascii="Arial" w:hAnsi="Arial"/>
                        <w:color w:val="004194"/>
                        <w:sz w:val="20"/>
                      </w:rPr>
                      <w:t>2017 Annual Report</w:t>
                    </w:r>
                  </w:p>
                  <w:p w:rsidR="00E201F7" w:rsidRDefault="00E24EFF">
                    <w:pPr>
                      <w:spacing w:after="0"/>
                      <w:jc w:val="center"/>
                      <w:rPr>
                        <w:rFonts w:ascii="Arial" w:hAnsi="Arial"/>
                        <w:b/>
                        <w:color w:val="A6A6A6"/>
                        <w:sz w:val="22"/>
                      </w:rPr>
                    </w:pPr>
                    <w:r>
                      <w:rPr>
                        <w:rFonts w:ascii="Arial" w:hAnsi="Arial"/>
                        <w:color w:val="A6A6A6"/>
                        <w:sz w:val="22"/>
                      </w:rPr>
                      <w:t>Justice and consumers</w:t>
                    </w:r>
                  </w:p>
                </w:txbxContent>
              </v:textbox>
            </v:shape>
          </w:pict>
        </mc:Fallback>
      </mc:AlternateContent>
    </w:r>
  </w:p>
  <w:p w:rsidR="00E201F7" w:rsidRDefault="00E201F7"/>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pStyle w:val="Header"/>
      <w:tabs>
        <w:tab w:val="left" w:pos="7513"/>
      </w:tabs>
      <w:spacing w:after="0"/>
      <w:ind w:left="4153" w:hanging="4153"/>
      <w:jc w:val="center"/>
    </w:pPr>
    <w:r>
      <w:rPr>
        <w:noProof/>
      </w:rPr>
      <mc:AlternateContent>
        <mc:Choice Requires="wps">
          <w:drawing>
            <wp:anchor distT="0" distB="0" distL="114300" distR="114300" simplePos="0" relativeHeight="251643904" behindDoc="0" locked="0" layoutInCell="1" allowOverlap="1" wp14:anchorId="3C3CA3C8" wp14:editId="7D640047">
              <wp:simplePos x="0" y="0"/>
              <wp:positionH relativeFrom="column">
                <wp:posOffset>5043170</wp:posOffset>
              </wp:positionH>
              <wp:positionV relativeFrom="paragraph">
                <wp:posOffset>302895</wp:posOffset>
              </wp:positionV>
              <wp:extent cx="1614170" cy="219075"/>
              <wp:effectExtent l="0" t="0" r="5080" b="9525"/>
              <wp:wrapNone/>
              <wp:docPr id="41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417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410" o:spid="_x0000_s1026" style="position:absolute;margin-left:397.1pt;margin-top:23.85pt;width:127.1pt;height:17.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" fillcolor="#004194" stroked="f" strokeweight="2pt">
              <v:path arrowok="t"/>
            </v:rect>
          </w:pict>
        </mc:Fallback>
      </mc:AlternateContent>
    </w:r>
    <w:r>
      <w:rPr>
        <w:noProof/>
      </w:rPr>
      <mc:AlternateContent>
        <mc:Choice Requires="wps">
          <w:drawing>
            <wp:anchor distT="0" distB="0" distL="114300" distR="114300" simplePos="0" relativeHeight="251642880" behindDoc="0" locked="0" layoutInCell="1" allowOverlap="1" wp14:anchorId="006B8EB8" wp14:editId="394EE41D">
              <wp:simplePos x="0" y="0"/>
              <wp:positionH relativeFrom="column">
                <wp:posOffset>-900430</wp:posOffset>
              </wp:positionH>
              <wp:positionV relativeFrom="paragraph">
                <wp:posOffset>302895</wp:posOffset>
              </wp:positionV>
              <wp:extent cx="1691640" cy="219075"/>
              <wp:effectExtent l="0" t="0" r="3810" b="9525"/>
              <wp:wrapNone/>
              <wp:docPr id="411"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164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1" o:spid="_x0000_s1026" style="position:absolute;margin-left:-70.9pt;margin-top:23.85pt;width:133.2pt;height:1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" fillcolor="#004194" stroked="f" strokeweight="2pt">
              <v:path arrowok="t"/>
            </v:rect>
          </w:pict>
        </mc:Fallback>
      </mc:AlternateContent>
    </w:r>
    <w:r>
      <w:rPr>
        <w:noProof/>
      </w:rPr>
      <mc:AlternateContent>
        <mc:Choice Requires="wps">
          <w:drawing>
            <wp:anchor distT="0" distB="0" distL="114300" distR="114300" simplePos="0" relativeHeight="251650048" behindDoc="0" locked="0" layoutInCell="1" allowOverlap="1" wp14:anchorId="2291FA04" wp14:editId="55312359">
              <wp:simplePos x="0" y="0"/>
              <wp:positionH relativeFrom="column">
                <wp:posOffset>-900430</wp:posOffset>
              </wp:positionH>
              <wp:positionV relativeFrom="paragraph">
                <wp:posOffset>630555</wp:posOffset>
              </wp:positionV>
              <wp:extent cx="7559675" cy="45720"/>
              <wp:effectExtent l="0" t="19050" r="0" b="11430"/>
              <wp:wrapNone/>
              <wp:docPr id="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E201F7" w:rsidRDefault="00E201F7">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left:0;text-align:left;margin-left:-70.9pt;margin-top:49.65pt;width:595.25pt;height: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Oi5uo4N&#10;AgAA+wMAAA4AAAAAAAAAAAAAAAAALgIAAGRycy9lMm9Eb2MueG1sUEsBAi0AFAAGAAgAAAAhANN1&#10;PQrgAAAADAEAAA8AAAAAAAAAAAAAAAAAZwQAAGRycy9kb3ducmV2LnhtbFBLBQYAAAAABAAEAPMA&#10;AAB0BQAAAAA=&#10;" filled="f" stroked="f">
              <v:textbox>
                <w:txbxContent>
                  <w:p w:rsidR="00E201F7" w:rsidRDefault="00E201F7">
                    <w:pPr>
                      <w:pStyle w:val="Priorities"/>
                      <w:ind w:right="555"/>
                      <w:jc w:val="both"/>
                      <w:rPr>
                        <w:color w:val="808080"/>
                        <w:lang w:val="de-DE"/>
                      </w:rPr>
                    </w:pPr>
                  </w:p>
                </w:txbxContent>
              </v:textbox>
            </v:shape>
          </w:pict>
        </mc:Fallback>
      </mc:AlternateContent>
    </w:r>
    <w:r>
      <w:rPr>
        <w:noProof/>
      </w:rPr>
      <mc:AlternateContent>
        <mc:Choice Requires="wps">
          <w:drawing>
            <wp:anchor distT="0" distB="0" distL="114300" distR="114300" simplePos="0" relativeHeight="251641856" behindDoc="0" locked="0" layoutInCell="1" allowOverlap="1" wp14:anchorId="5925FA80" wp14:editId="2107F34B">
              <wp:simplePos x="0" y="0"/>
              <wp:positionH relativeFrom="column">
                <wp:posOffset>-900430</wp:posOffset>
              </wp:positionH>
              <wp:positionV relativeFrom="paragraph">
                <wp:posOffset>222250</wp:posOffset>
              </wp:positionV>
              <wp:extent cx="7557135" cy="408940"/>
              <wp:effectExtent l="0" t="0" r="0" b="0"/>
              <wp:wrapNone/>
              <wp:docPr id="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rsidR="00E201F7" w:rsidRDefault="00E24EFF">
                          <w:pPr>
                            <w:tabs>
                              <w:tab w:val="left" w:pos="4111"/>
                            </w:tabs>
                            <w:spacing w:after="0"/>
                            <w:jc w:val="center"/>
                            <w:rPr>
                              <w:rFonts w:ascii="Arial" w:hAnsi="Arial"/>
                              <w:color w:val="004194"/>
                              <w:sz w:val="20"/>
                            </w:rPr>
                          </w:pPr>
                          <w:r>
                            <w:rPr>
                              <w:rFonts w:ascii="Arial" w:hAnsi="Arial"/>
                              <w:color w:val="004194"/>
                              <w:sz w:val="20"/>
                            </w:rPr>
                            <w:t>Monitoring the application of European Union law</w:t>
                          </w:r>
                        </w:p>
                        <w:p w:rsidR="00E201F7" w:rsidRDefault="00E24EFF">
                          <w:pPr>
                            <w:tabs>
                              <w:tab w:val="left" w:pos="4111"/>
                            </w:tabs>
                            <w:spacing w:after="0"/>
                            <w:jc w:val="center"/>
                            <w:rPr>
                              <w:rFonts w:ascii="Arial" w:hAnsi="Arial"/>
                              <w:color w:val="004194"/>
                              <w:sz w:val="20"/>
                            </w:rPr>
                          </w:pPr>
                          <w:r>
                            <w:rPr>
                              <w:rFonts w:ascii="Arial" w:hAnsi="Arial"/>
                              <w:color w:val="004194"/>
                              <w:sz w:val="20"/>
                            </w:rPr>
                            <w:t>2017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70.9pt;margin-top:17.5pt;width:595.05pt;height:32.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" filled="f" stroked="f">
              <v:textbox>
                <w:txbxContent>
                  <w:p w:rsidR="00E201F7" w:rsidRDefault="00E24EFF">
                    <w:pPr>
                      <w:tabs>
                        <w:tab w:val="left" w:pos="4111"/>
                      </w:tabs>
                      <w:spacing w:after="0"/>
                      <w:jc w:val="center"/>
                      <w:rPr>
                        <w:rFonts w:ascii="Arial" w:hAnsi="Arial"/>
                        <w:color w:val="004194"/>
                        <w:sz w:val="20"/>
                      </w:rPr>
                    </w:pPr>
                    <w:r>
                      <w:rPr>
                        <w:rFonts w:ascii="Arial" w:hAnsi="Arial"/>
                        <w:color w:val="004194"/>
                        <w:sz w:val="20"/>
                      </w:rPr>
                      <w:t>Monitoring the application of European Union law</w:t>
                    </w:r>
                  </w:p>
                  <w:p w:rsidR="00E201F7" w:rsidRDefault="00E24EFF">
                    <w:pPr>
                      <w:tabs>
                        <w:tab w:val="left" w:pos="4111"/>
                      </w:tabs>
                      <w:spacing w:after="0"/>
                      <w:jc w:val="center"/>
                      <w:rPr>
                        <w:rFonts w:ascii="Arial" w:hAnsi="Arial"/>
                        <w:color w:val="004194"/>
                        <w:sz w:val="20"/>
                      </w:rPr>
                    </w:pPr>
                    <w:r>
                      <w:rPr>
                        <w:rFonts w:ascii="Arial" w:hAnsi="Arial"/>
                        <w:color w:val="004194"/>
                        <w:sz w:val="20"/>
                      </w:rPr>
                      <w:t>2017 Annual Report</w:t>
                    </w:r>
                  </w:p>
                </w:txbxContent>
              </v:textbox>
            </v:shape>
          </w:pict>
        </mc:Fallback>
      </mc:AlternateContent>
    </w:r>
  </w:p>
  <w:p w:rsidR="00E201F7" w:rsidRDefault="00E201F7"/>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01F7">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tabs>
        <w:tab w:val="center" w:pos="4153"/>
        <w:tab w:val="right" w:pos="8306"/>
      </w:tabs>
      <w:jc w:val="center"/>
    </w:pPr>
    <w:r>
      <w:rPr>
        <w:noProof/>
      </w:rPr>
      <mc:AlternateContent>
        <mc:Choice Requires="wps">
          <w:drawing>
            <wp:anchor distT="0" distB="0" distL="114300" distR="114300" simplePos="0" relativeHeight="251660288" behindDoc="0" locked="0" layoutInCell="1" allowOverlap="1" wp14:anchorId="490D4236" wp14:editId="1CB1F3C7">
              <wp:simplePos x="0" y="0"/>
              <wp:positionH relativeFrom="column">
                <wp:posOffset>5005070</wp:posOffset>
              </wp:positionH>
              <wp:positionV relativeFrom="paragraph">
                <wp:posOffset>302895</wp:posOffset>
              </wp:positionV>
              <wp:extent cx="1659890" cy="219075"/>
              <wp:effectExtent l="0" t="0" r="0" b="9525"/>
              <wp:wrapNone/>
              <wp:docPr id="435"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989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435" o:spid="_x0000_s1026" style="position:absolute;margin-left:394.1pt;margin-top:23.85pt;width:130.7pt;height:17.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" fillcolor="#004194" stroked="f" strokeweight="2pt">
              <v:path arrowok="t"/>
            </v:rect>
          </w:pict>
        </mc:Fallback>
      </mc:AlternateContent>
    </w:r>
    <w:r>
      <w:rPr>
        <w:noProof/>
      </w:rPr>
      <mc:AlternateContent>
        <mc:Choice Requires="wps">
          <w:drawing>
            <wp:anchor distT="0" distB="0" distL="114300" distR="114300" simplePos="0" relativeHeight="251659264" behindDoc="0" locked="0" layoutInCell="1" allowOverlap="1" wp14:anchorId="71E1CAD1" wp14:editId="7E2EB699">
              <wp:simplePos x="0" y="0"/>
              <wp:positionH relativeFrom="column">
                <wp:posOffset>-900430</wp:posOffset>
              </wp:positionH>
              <wp:positionV relativeFrom="paragraph">
                <wp:posOffset>302895</wp:posOffset>
              </wp:positionV>
              <wp:extent cx="1684020" cy="219075"/>
              <wp:effectExtent l="0" t="0" r="0" b="9525"/>
              <wp:wrapNone/>
              <wp:docPr id="436"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402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6" o:spid="_x0000_s1026" style="position:absolute;margin-left:-70.9pt;margin-top:23.85pt;width:132.6pt;height:1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" fillcolor="#004194" stroked="f" strokeweight="2pt">
              <v:path arrowok="t"/>
            </v:rect>
          </w:pict>
        </mc:Fallback>
      </mc:AlternateContent>
    </w:r>
    <w:r>
      <w:rPr>
        <w:noProof/>
      </w:rPr>
      <mc:AlternateContent>
        <mc:Choice Requires="wps">
          <w:drawing>
            <wp:anchor distT="0" distB="0" distL="114300" distR="114300" simplePos="0" relativeHeight="251657216" behindDoc="0" locked="0" layoutInCell="1" allowOverlap="1" wp14:anchorId="61200364" wp14:editId="242EFE41">
              <wp:simplePos x="0" y="0"/>
              <wp:positionH relativeFrom="column">
                <wp:posOffset>140970</wp:posOffset>
              </wp:positionH>
              <wp:positionV relativeFrom="paragraph">
                <wp:posOffset>252730</wp:posOffset>
              </wp:positionV>
              <wp:extent cx="5474335" cy="771525"/>
              <wp:effectExtent l="0" t="0" r="0" b="0"/>
              <wp:wrapNone/>
              <wp:docPr id="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771525"/>
                      </a:xfrm>
                      <a:prstGeom prst="rect">
                        <a:avLst/>
                      </a:prstGeom>
                      <a:noFill/>
                      <a:ln w="9525">
                        <a:noFill/>
                        <a:miter lim="800000"/>
                        <a:headEnd/>
                        <a:tailEnd/>
                      </a:ln>
                    </wps:spPr>
                    <wps:txbx>
                      <w:txbxContent>
                        <w:p w:rsidR="00E201F7" w:rsidRDefault="00E24EFF">
                          <w:pPr>
                            <w:tabs>
                              <w:tab w:val="left" w:pos="4111"/>
                            </w:tabs>
                            <w:spacing w:after="0"/>
                            <w:jc w:val="center"/>
                            <w:rPr>
                              <w:rFonts w:ascii="Arial" w:hAnsi="Arial"/>
                              <w:color w:val="004194"/>
                              <w:sz w:val="20"/>
                            </w:rPr>
                          </w:pPr>
                          <w:r>
                            <w:rPr>
                              <w:rFonts w:ascii="Arial" w:hAnsi="Arial"/>
                              <w:color w:val="004194"/>
                              <w:sz w:val="20"/>
                            </w:rPr>
                            <w:t xml:space="preserve">Monitoring the application of European Union law  </w:t>
                          </w:r>
                        </w:p>
                        <w:p w:rsidR="00E201F7" w:rsidRDefault="00E24EFF">
                          <w:pPr>
                            <w:tabs>
                              <w:tab w:val="left" w:pos="4111"/>
                            </w:tabs>
                            <w:spacing w:after="0"/>
                            <w:jc w:val="center"/>
                            <w:rPr>
                              <w:rFonts w:ascii="Arial" w:hAnsi="Arial"/>
                              <w:color w:val="004194"/>
                              <w:sz w:val="20"/>
                            </w:rPr>
                          </w:pPr>
                          <w:r>
                            <w:rPr>
                              <w:rFonts w:ascii="Arial" w:hAnsi="Arial"/>
                              <w:color w:val="004194"/>
                              <w:sz w:val="20"/>
                            </w:rPr>
                            <w:t>2017 Annual Report</w:t>
                          </w:r>
                        </w:p>
                        <w:p w:rsidR="00E201F7" w:rsidRDefault="00E24EFF">
                          <w:pPr>
                            <w:spacing w:after="0"/>
                            <w:jc w:val="center"/>
                            <w:rPr>
                              <w:rFonts w:ascii="Arial" w:hAnsi="Arial"/>
                              <w:b/>
                              <w:color w:val="A6A6A6"/>
                              <w:sz w:val="22"/>
                            </w:rPr>
                          </w:pPr>
                          <w:r>
                            <w:rPr>
                              <w:rFonts w:ascii="Arial" w:hAnsi="Arial"/>
                              <w:color w:val="A6A6A6"/>
                              <w:sz w:val="22"/>
                            </w:rPr>
                            <w:t>Maritime affairs and fisheries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left:0;text-align:left;margin-left:11.1pt;margin-top:19.9pt;width:431.05pt;height:6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" filled="f" stroked="f">
              <v:textbox>
                <w:txbxContent>
                  <w:p w:rsidR="00E201F7" w:rsidRDefault="00E24EFF">
                    <w:pPr>
                      <w:tabs>
                        <w:tab w:val="left" w:pos="4111"/>
                      </w:tabs>
                      <w:spacing w:after="0"/>
                      <w:jc w:val="center"/>
                      <w:rPr>
                        <w:rFonts w:ascii="Arial" w:hAnsi="Arial"/>
                        <w:color w:val="004194"/>
                        <w:sz w:val="20"/>
                      </w:rPr>
                    </w:pPr>
                    <w:r>
                      <w:rPr>
                        <w:rFonts w:ascii="Arial" w:hAnsi="Arial"/>
                        <w:color w:val="004194"/>
                        <w:sz w:val="20"/>
                      </w:rPr>
                      <w:t xml:space="preserve">Monitoring the application of European Union law  </w:t>
                    </w:r>
                  </w:p>
                  <w:p w:rsidR="00E201F7" w:rsidRDefault="00E24EFF">
                    <w:pPr>
                      <w:tabs>
                        <w:tab w:val="left" w:pos="4111"/>
                      </w:tabs>
                      <w:spacing w:after="0"/>
                      <w:jc w:val="center"/>
                      <w:rPr>
                        <w:rFonts w:ascii="Arial" w:hAnsi="Arial"/>
                        <w:color w:val="004194"/>
                        <w:sz w:val="20"/>
                      </w:rPr>
                    </w:pPr>
                    <w:r>
                      <w:rPr>
                        <w:rFonts w:ascii="Arial" w:hAnsi="Arial"/>
                        <w:color w:val="004194"/>
                        <w:sz w:val="20"/>
                      </w:rPr>
                      <w:t>2017 Annual Report</w:t>
                    </w:r>
                  </w:p>
                  <w:p w:rsidR="00E201F7" w:rsidRDefault="00E24EFF">
                    <w:pPr>
                      <w:spacing w:after="0"/>
                      <w:jc w:val="center"/>
                      <w:rPr>
                        <w:rFonts w:ascii="Arial" w:hAnsi="Arial"/>
                        <w:b/>
                        <w:color w:val="A6A6A6"/>
                        <w:sz w:val="22"/>
                      </w:rPr>
                    </w:pPr>
                    <w:r>
                      <w:rPr>
                        <w:rFonts w:ascii="Arial" w:hAnsi="Arial"/>
                        <w:color w:val="A6A6A6"/>
                        <w:sz w:val="22"/>
                      </w:rPr>
                      <w:t>Maritime affairs and fisheries</w:t>
                    </w:r>
                  </w:p>
                </w:txbxContent>
              </v:textbox>
            </v:shape>
          </w:pict>
        </mc:Fallback>
      </mc:AlternateContent>
    </w:r>
  </w:p>
  <w:p w:rsidR="00E201F7" w:rsidRDefault="00E201F7">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tabs>
        <w:tab w:val="center" w:pos="4153"/>
        <w:tab w:val="left" w:pos="7513"/>
        <w:tab w:val="right" w:pos="8306"/>
      </w:tabs>
      <w:spacing w:after="0"/>
      <w:ind w:left="4153" w:hanging="4153"/>
      <w:jc w:val="center"/>
    </w:pPr>
    <w:r>
      <w:rPr>
        <w:noProof/>
      </w:rPr>
      <mc:AlternateContent>
        <mc:Choice Requires="wps">
          <w:drawing>
            <wp:anchor distT="0" distB="0" distL="114300" distR="114300" simplePos="0" relativeHeight="251654144" behindDoc="0" locked="0" layoutInCell="1" allowOverlap="1" wp14:anchorId="39DCBECF" wp14:editId="6490D1B4">
              <wp:simplePos x="0" y="0"/>
              <wp:positionH relativeFrom="column">
                <wp:posOffset>5043170</wp:posOffset>
              </wp:positionH>
              <wp:positionV relativeFrom="paragraph">
                <wp:posOffset>302895</wp:posOffset>
              </wp:positionV>
              <wp:extent cx="1614170" cy="219075"/>
              <wp:effectExtent l="0" t="0" r="5080" b="9525"/>
              <wp:wrapNone/>
              <wp:docPr id="438"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417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438" o:spid="_x0000_s1026" style="position:absolute;margin-left:397.1pt;margin-top:23.85pt;width:127.1pt;height:17.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" fillcolor="#004194" stroked="f" strokeweight="2pt">
              <v:path arrowok="t"/>
            </v:rect>
          </w:pict>
        </mc:Fallback>
      </mc:AlternateContent>
    </w:r>
    <w:r>
      <w:rPr>
        <w:noProof/>
      </w:rPr>
      <mc:AlternateContent>
        <mc:Choice Requires="wps">
          <w:drawing>
            <wp:anchor distT="0" distB="0" distL="114300" distR="114300" simplePos="0" relativeHeight="251653120" behindDoc="0" locked="0" layoutInCell="1" allowOverlap="1" wp14:anchorId="22C9E3AC" wp14:editId="36300BEF">
              <wp:simplePos x="0" y="0"/>
              <wp:positionH relativeFrom="column">
                <wp:posOffset>-900430</wp:posOffset>
              </wp:positionH>
              <wp:positionV relativeFrom="paragraph">
                <wp:posOffset>302895</wp:posOffset>
              </wp:positionV>
              <wp:extent cx="1691640" cy="219075"/>
              <wp:effectExtent l="0" t="0" r="3810" b="9525"/>
              <wp:wrapNone/>
              <wp:docPr id="439"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164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9" o:spid="_x0000_s1026" style="position:absolute;margin-left:-70.9pt;margin-top:23.85pt;width:133.2pt;height:1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" fillcolor="#004194" stroked="f" strokeweight="2pt">
              <v:path arrowok="t"/>
            </v:rect>
          </w:pict>
        </mc:Fallback>
      </mc:AlternateContent>
    </w:r>
    <w:r>
      <w:rPr>
        <w:noProof/>
      </w:rPr>
      <mc:AlternateContent>
        <mc:Choice Requires="wps">
          <w:drawing>
            <wp:anchor distT="0" distB="0" distL="114300" distR="114300" simplePos="0" relativeHeight="251656192" behindDoc="0" locked="0" layoutInCell="1" allowOverlap="1" wp14:anchorId="6C46B07B" wp14:editId="6EED44A9">
              <wp:simplePos x="0" y="0"/>
              <wp:positionH relativeFrom="column">
                <wp:posOffset>-900430</wp:posOffset>
              </wp:positionH>
              <wp:positionV relativeFrom="paragraph">
                <wp:posOffset>630555</wp:posOffset>
              </wp:positionV>
              <wp:extent cx="7559675" cy="45720"/>
              <wp:effectExtent l="0" t="19050" r="0" b="11430"/>
              <wp:wrapNone/>
              <wp:docPr id="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E201F7" w:rsidRDefault="00E201F7">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7" type="#_x0000_t202" style="position:absolute;left:0;text-align:left;margin-left:-70.9pt;margin-top:49.65pt;width:595.25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" filled="f" stroked="f">
              <v:textbox>
                <w:txbxContent>
                  <w:p w:rsidR="00E201F7" w:rsidRDefault="00E201F7">
                    <w:pPr>
                      <w:pStyle w:val="Priorities"/>
                      <w:ind w:right="555"/>
                      <w:jc w:val="both"/>
                      <w:rPr>
                        <w:color w:val="808080"/>
                        <w:lang w:val="de-DE"/>
                      </w:rPr>
                    </w:pP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1F6FE97A" wp14:editId="235CBE52">
              <wp:simplePos x="0" y="0"/>
              <wp:positionH relativeFrom="column">
                <wp:posOffset>-900430</wp:posOffset>
              </wp:positionH>
              <wp:positionV relativeFrom="paragraph">
                <wp:posOffset>222250</wp:posOffset>
              </wp:positionV>
              <wp:extent cx="7557135" cy="408940"/>
              <wp:effectExtent l="0" t="0" r="0" b="0"/>
              <wp:wrapNone/>
              <wp:docPr id="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rsidR="00E201F7" w:rsidRDefault="00E24EFF">
                          <w:pPr>
                            <w:tabs>
                              <w:tab w:val="left" w:pos="4111"/>
                            </w:tabs>
                            <w:spacing w:after="0"/>
                            <w:jc w:val="center"/>
                            <w:rPr>
                              <w:rFonts w:ascii="Arial" w:hAnsi="Arial"/>
                              <w:color w:val="004194"/>
                              <w:sz w:val="20"/>
                            </w:rPr>
                          </w:pPr>
                          <w:r>
                            <w:rPr>
                              <w:rFonts w:ascii="Arial" w:hAnsi="Arial"/>
                              <w:color w:val="004194"/>
                              <w:sz w:val="20"/>
                            </w:rPr>
                            <w:t xml:space="preserve">Monitoring the application of European Union law </w:t>
                          </w:r>
                        </w:p>
                        <w:p w:rsidR="00E201F7" w:rsidRDefault="00E24EFF">
                          <w:pPr>
                            <w:tabs>
                              <w:tab w:val="left" w:pos="4111"/>
                            </w:tabs>
                            <w:spacing w:after="0"/>
                            <w:jc w:val="center"/>
                            <w:rPr>
                              <w:rFonts w:ascii="Arial" w:hAnsi="Arial"/>
                              <w:color w:val="004194"/>
                              <w:sz w:val="20"/>
                            </w:rPr>
                          </w:pPr>
                          <w:r>
                            <w:rPr>
                              <w:rFonts w:ascii="Arial" w:hAnsi="Arial"/>
                              <w:color w:val="004194"/>
                              <w:sz w:val="20"/>
                            </w:rPr>
                            <w:t>2017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70.9pt;margin-top:17.5pt;width:595.05pt;height:32.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Av3L&#10;8BACAAD8AwAADgAAAAAAAAAAAAAAAAAuAgAAZHJzL2Uyb0RvYy54bWxQSwECLQAUAAYACAAAACEA&#10;7JFWy98AAAALAQAADwAAAAAAAAAAAAAAAABqBAAAZHJzL2Rvd25yZXYueG1sUEsFBgAAAAAEAAQA&#10;8wAAAHYFAAAAAA==&#10;" filled="f" stroked="f">
              <v:textbox>
                <w:txbxContent>
                  <w:p w:rsidR="00E201F7" w:rsidRDefault="00E24EFF">
                    <w:pPr>
                      <w:tabs>
                        <w:tab w:val="left" w:pos="4111"/>
                      </w:tabs>
                      <w:spacing w:after="0"/>
                      <w:jc w:val="center"/>
                      <w:rPr>
                        <w:rFonts w:ascii="Arial" w:hAnsi="Arial"/>
                        <w:color w:val="004194"/>
                        <w:sz w:val="20"/>
                      </w:rPr>
                    </w:pPr>
                    <w:r>
                      <w:rPr>
                        <w:rFonts w:ascii="Arial" w:hAnsi="Arial"/>
                        <w:color w:val="004194"/>
                        <w:sz w:val="20"/>
                      </w:rPr>
                      <w:t xml:space="preserve">Monitoring the application of European Union law </w:t>
                    </w:r>
                  </w:p>
                  <w:p w:rsidR="00E201F7" w:rsidRDefault="00E24EFF">
                    <w:pPr>
                      <w:tabs>
                        <w:tab w:val="left" w:pos="4111"/>
                      </w:tabs>
                      <w:spacing w:after="0"/>
                      <w:jc w:val="center"/>
                      <w:rPr>
                        <w:rFonts w:ascii="Arial" w:hAnsi="Arial"/>
                        <w:color w:val="004194"/>
                        <w:sz w:val="20"/>
                      </w:rPr>
                    </w:pPr>
                    <w:r>
                      <w:rPr>
                        <w:rFonts w:ascii="Arial" w:hAnsi="Arial"/>
                        <w:color w:val="004194"/>
                        <w:sz w:val="20"/>
                      </w:rPr>
                      <w:t>2017 Annual Report</w:t>
                    </w:r>
                  </w:p>
                </w:txbxContent>
              </v:textbox>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01F7">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tabs>
        <w:tab w:val="center" w:pos="4153"/>
        <w:tab w:val="right" w:pos="8306"/>
      </w:tabs>
      <w:jc w:val="center"/>
    </w:pPr>
    <w:r>
      <w:rPr>
        <w:noProof/>
      </w:rPr>
      <mc:AlternateContent>
        <mc:Choice Requires="wps">
          <w:drawing>
            <wp:anchor distT="0" distB="0" distL="114300" distR="114300" simplePos="0" relativeHeight="251688960" behindDoc="0" locked="0" layoutInCell="1" allowOverlap="1" wp14:anchorId="37FE10D4" wp14:editId="28D861F8">
              <wp:simplePos x="0" y="0"/>
              <wp:positionH relativeFrom="column">
                <wp:posOffset>5005070</wp:posOffset>
              </wp:positionH>
              <wp:positionV relativeFrom="paragraph">
                <wp:posOffset>302895</wp:posOffset>
              </wp:positionV>
              <wp:extent cx="1659890" cy="219075"/>
              <wp:effectExtent l="0" t="0" r="0" b="9525"/>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989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444" o:spid="_x0000_s1026" style="position:absolute;margin-left:394.1pt;margin-top:23.85pt;width:130.7pt;height:17.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" fillcolor="#004194" stroked="f" strokeweight="2pt">
              <v:path arrowok="t"/>
            </v:rect>
          </w:pict>
        </mc:Fallback>
      </mc:AlternateContent>
    </w:r>
    <w:r>
      <w:rPr>
        <w:noProof/>
      </w:rPr>
      <mc:AlternateContent>
        <mc:Choice Requires="wps">
          <w:drawing>
            <wp:anchor distT="0" distB="0" distL="114300" distR="114300" simplePos="0" relativeHeight="251687936" behindDoc="0" locked="0" layoutInCell="1" allowOverlap="1" wp14:anchorId="10332F7A" wp14:editId="16B120A2">
              <wp:simplePos x="0" y="0"/>
              <wp:positionH relativeFrom="column">
                <wp:posOffset>-900430</wp:posOffset>
              </wp:positionH>
              <wp:positionV relativeFrom="paragraph">
                <wp:posOffset>302895</wp:posOffset>
              </wp:positionV>
              <wp:extent cx="1684020" cy="219075"/>
              <wp:effectExtent l="0" t="0" r="0" b="9525"/>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402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5" o:spid="_x0000_s1026" style="position:absolute;margin-left:-70.9pt;margin-top:23.85pt;width:132.6pt;height:17.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" fillcolor="#004194" stroked="f" strokeweight="2pt">
              <v:path arrowok="t"/>
            </v:rect>
          </w:pict>
        </mc:Fallback>
      </mc:AlternateContent>
    </w:r>
    <w:r>
      <w:rPr>
        <w:noProof/>
      </w:rPr>
      <mc:AlternateContent>
        <mc:Choice Requires="wps">
          <w:drawing>
            <wp:anchor distT="0" distB="0" distL="114300" distR="114300" simplePos="0" relativeHeight="251686912" behindDoc="0" locked="0" layoutInCell="1" allowOverlap="1" wp14:anchorId="243D9B01" wp14:editId="6A703905">
              <wp:simplePos x="0" y="0"/>
              <wp:positionH relativeFrom="column">
                <wp:posOffset>140970</wp:posOffset>
              </wp:positionH>
              <wp:positionV relativeFrom="paragraph">
                <wp:posOffset>252730</wp:posOffset>
              </wp:positionV>
              <wp:extent cx="5474335" cy="771525"/>
              <wp:effectExtent l="0" t="0" r="0" b="0"/>
              <wp:wrapNone/>
              <wp:docPr id="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771525"/>
                      </a:xfrm>
                      <a:prstGeom prst="rect">
                        <a:avLst/>
                      </a:prstGeom>
                      <a:noFill/>
                      <a:ln w="9525">
                        <a:noFill/>
                        <a:miter lim="800000"/>
                        <a:headEnd/>
                        <a:tailEnd/>
                      </a:ln>
                    </wps:spPr>
                    <wps:txbx>
                      <w:txbxContent>
                        <w:p w:rsidR="00E201F7" w:rsidRDefault="00E24EFF">
                          <w:pPr>
                            <w:tabs>
                              <w:tab w:val="left" w:pos="4111"/>
                            </w:tabs>
                            <w:spacing w:after="0"/>
                            <w:jc w:val="center"/>
                            <w:rPr>
                              <w:rFonts w:ascii="Arial" w:hAnsi="Arial"/>
                              <w:color w:val="004194"/>
                              <w:sz w:val="20"/>
                            </w:rPr>
                          </w:pPr>
                          <w:r>
                            <w:rPr>
                              <w:rFonts w:ascii="Arial" w:hAnsi="Arial"/>
                              <w:color w:val="004194"/>
                              <w:sz w:val="20"/>
                            </w:rPr>
                            <w:t xml:space="preserve">Monitoring the application of European Union law </w:t>
                          </w:r>
                        </w:p>
                        <w:p w:rsidR="00E201F7" w:rsidRDefault="00E24EFF">
                          <w:pPr>
                            <w:tabs>
                              <w:tab w:val="left" w:pos="4111"/>
                            </w:tabs>
                            <w:spacing w:after="0"/>
                            <w:jc w:val="center"/>
                            <w:rPr>
                              <w:rFonts w:ascii="Arial" w:hAnsi="Arial"/>
                              <w:color w:val="004194"/>
                              <w:sz w:val="20"/>
                            </w:rPr>
                          </w:pPr>
                          <w:r>
                            <w:rPr>
                              <w:rFonts w:ascii="Arial" w:hAnsi="Arial"/>
                              <w:color w:val="004194"/>
                              <w:sz w:val="20"/>
                            </w:rPr>
                            <w:t xml:space="preserve"> 2017 Annual Report</w:t>
                          </w:r>
                        </w:p>
                        <w:p w:rsidR="00E201F7" w:rsidRDefault="00E24EFF">
                          <w:pPr>
                            <w:spacing w:after="0"/>
                            <w:jc w:val="center"/>
                            <w:rPr>
                              <w:rFonts w:ascii="Arial" w:hAnsi="Arial"/>
                              <w:b/>
                              <w:color w:val="A6A6A6"/>
                              <w:sz w:val="22"/>
                            </w:rPr>
                          </w:pPr>
                          <w:r>
                            <w:rPr>
                              <w:rFonts w:ascii="Arial" w:hAnsi="Arial"/>
                              <w:color w:val="A6A6A6"/>
                              <w:sz w:val="22"/>
                            </w:rPr>
                            <w:t>Migration and home affairs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9" type="#_x0000_t202" style="position:absolute;left:0;text-align:left;margin-left:11.1pt;margin-top:19.9pt;width:431.05pt;height:60.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" filled="f" stroked="f">
              <v:textbox>
                <w:txbxContent>
                  <w:p w:rsidR="00E201F7" w:rsidRDefault="00E24EFF">
                    <w:pPr>
                      <w:tabs>
                        <w:tab w:val="left" w:pos="4111"/>
                      </w:tabs>
                      <w:spacing w:after="0"/>
                      <w:jc w:val="center"/>
                      <w:rPr>
                        <w:rFonts w:ascii="Arial" w:hAnsi="Arial"/>
                        <w:color w:val="004194"/>
                        <w:sz w:val="20"/>
                      </w:rPr>
                    </w:pPr>
                    <w:r>
                      <w:rPr>
                        <w:rFonts w:ascii="Arial" w:hAnsi="Arial"/>
                        <w:color w:val="004194"/>
                        <w:sz w:val="20"/>
                      </w:rPr>
                      <w:t xml:space="preserve">Monitoring the application of European Union law </w:t>
                    </w:r>
                  </w:p>
                  <w:p w:rsidR="00E201F7" w:rsidRDefault="00E24EFF">
                    <w:pPr>
                      <w:tabs>
                        <w:tab w:val="left" w:pos="4111"/>
                      </w:tabs>
                      <w:spacing w:after="0"/>
                      <w:jc w:val="center"/>
                      <w:rPr>
                        <w:rFonts w:ascii="Arial" w:hAnsi="Arial"/>
                        <w:color w:val="004194"/>
                        <w:sz w:val="20"/>
                      </w:rPr>
                    </w:pPr>
                    <w:r>
                      <w:rPr>
                        <w:rFonts w:ascii="Arial" w:hAnsi="Arial"/>
                        <w:color w:val="004194"/>
                        <w:sz w:val="20"/>
                      </w:rPr>
                      <w:t xml:space="preserve"> 2017 Annual Report</w:t>
                    </w:r>
                  </w:p>
                  <w:p w:rsidR="00E201F7" w:rsidRDefault="00E24EFF">
                    <w:pPr>
                      <w:spacing w:after="0"/>
                      <w:jc w:val="center"/>
                      <w:rPr>
                        <w:rFonts w:ascii="Arial" w:hAnsi="Arial"/>
                        <w:b/>
                        <w:color w:val="A6A6A6"/>
                        <w:sz w:val="22"/>
                      </w:rPr>
                    </w:pPr>
                    <w:r>
                      <w:rPr>
                        <w:rFonts w:ascii="Arial" w:hAnsi="Arial"/>
                        <w:color w:val="A6A6A6"/>
                        <w:sz w:val="22"/>
                      </w:rPr>
                      <w:t>Migration and home affairs</w:t>
                    </w:r>
                  </w:p>
                </w:txbxContent>
              </v:textbox>
            </v:shape>
          </w:pict>
        </mc:Fallback>
      </mc:AlternateContent>
    </w:r>
  </w:p>
  <w:p w:rsidR="00E201F7" w:rsidRDefault="00E201F7">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tabs>
        <w:tab w:val="center" w:pos="4153"/>
        <w:tab w:val="left" w:pos="7513"/>
        <w:tab w:val="right" w:pos="8306"/>
      </w:tabs>
      <w:spacing w:after="0"/>
      <w:ind w:left="4153" w:hanging="4153"/>
      <w:jc w:val="center"/>
    </w:pPr>
    <w:r>
      <w:rPr>
        <w:noProof/>
      </w:rPr>
      <mc:AlternateContent>
        <mc:Choice Requires="wps">
          <w:drawing>
            <wp:anchor distT="0" distB="0" distL="114300" distR="114300" simplePos="0" relativeHeight="251692032" behindDoc="0" locked="0" layoutInCell="1" allowOverlap="1" wp14:anchorId="6E4875D7" wp14:editId="6CDDB110">
              <wp:simplePos x="0" y="0"/>
              <wp:positionH relativeFrom="column">
                <wp:posOffset>5043170</wp:posOffset>
              </wp:positionH>
              <wp:positionV relativeFrom="paragraph">
                <wp:posOffset>302895</wp:posOffset>
              </wp:positionV>
              <wp:extent cx="1614170" cy="219075"/>
              <wp:effectExtent l="0" t="0" r="5080" b="9525"/>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417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81" o:spid="_x0000_s1026" style="position:absolute;margin-left:397.1pt;margin-top:23.85pt;width:127.1pt;height:17.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" fillcolor="#004194" stroked="f" strokeweight="2pt">
              <v:path arrowok="t"/>
            </v:rect>
          </w:pict>
        </mc:Fallback>
      </mc:AlternateContent>
    </w:r>
    <w:r>
      <w:rPr>
        <w:noProof/>
      </w:rPr>
      <mc:AlternateContent>
        <mc:Choice Requires="wps">
          <w:drawing>
            <wp:anchor distT="0" distB="0" distL="114300" distR="114300" simplePos="0" relativeHeight="251691008" behindDoc="0" locked="0" layoutInCell="1" allowOverlap="1" wp14:anchorId="0FDEABAD" wp14:editId="6C6CBEDF">
              <wp:simplePos x="0" y="0"/>
              <wp:positionH relativeFrom="column">
                <wp:posOffset>-900430</wp:posOffset>
              </wp:positionH>
              <wp:positionV relativeFrom="paragraph">
                <wp:posOffset>302895</wp:posOffset>
              </wp:positionV>
              <wp:extent cx="1691640" cy="219075"/>
              <wp:effectExtent l="0" t="0" r="3810" b="9525"/>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164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 o:spid="_x0000_s1026" style="position:absolute;margin-left:-70.9pt;margin-top:23.85pt;width:133.2pt;height:17.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" fillcolor="#004194" stroked="f" strokeweight="2pt">
              <v:path arrowok="t"/>
            </v:rect>
          </w:pict>
        </mc:Fallback>
      </mc:AlternateContent>
    </w:r>
    <w:r>
      <w:rPr>
        <w:noProof/>
      </w:rPr>
      <mc:AlternateContent>
        <mc:Choice Requires="wps">
          <w:drawing>
            <wp:anchor distT="0" distB="0" distL="114300" distR="114300" simplePos="0" relativeHeight="251693056" behindDoc="0" locked="0" layoutInCell="1" allowOverlap="1" wp14:anchorId="22E3659A" wp14:editId="08BD90B4">
              <wp:simplePos x="0" y="0"/>
              <wp:positionH relativeFrom="column">
                <wp:posOffset>-900430</wp:posOffset>
              </wp:positionH>
              <wp:positionV relativeFrom="paragraph">
                <wp:posOffset>630555</wp:posOffset>
              </wp:positionV>
              <wp:extent cx="7559675" cy="45720"/>
              <wp:effectExtent l="0" t="19050" r="0" b="1143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E201F7" w:rsidRDefault="00E201F7">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0" type="#_x0000_t202" style="position:absolute;left:0;text-align:left;margin-left:-70.9pt;margin-top:49.65pt;width:595.25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Pp+oAsN&#10;AgAA+gMAAA4AAAAAAAAAAAAAAAAALgIAAGRycy9lMm9Eb2MueG1sUEsBAi0AFAAGAAgAAAAhANN1&#10;PQrgAAAADAEAAA8AAAAAAAAAAAAAAAAAZwQAAGRycy9kb3ducmV2LnhtbFBLBQYAAAAABAAEAPMA&#10;AAB0BQAAAAA=&#10;" filled="f" stroked="f">
              <v:textbox>
                <w:txbxContent>
                  <w:p w:rsidR="00E201F7" w:rsidRDefault="00E201F7">
                    <w:pPr>
                      <w:pStyle w:val="Priorities"/>
                      <w:ind w:right="555"/>
                      <w:jc w:val="both"/>
                      <w:rPr>
                        <w:color w:val="808080"/>
                        <w:lang w:val="de-DE"/>
                      </w:rPr>
                    </w:pP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6B64EF01" wp14:editId="1A31DA40">
              <wp:simplePos x="0" y="0"/>
              <wp:positionH relativeFrom="column">
                <wp:posOffset>-900430</wp:posOffset>
              </wp:positionH>
              <wp:positionV relativeFrom="paragraph">
                <wp:posOffset>222250</wp:posOffset>
              </wp:positionV>
              <wp:extent cx="7557135" cy="408940"/>
              <wp:effectExtent l="0" t="0" r="0" b="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rsidR="00E201F7" w:rsidRDefault="00E24EFF">
                          <w:pPr>
                            <w:tabs>
                              <w:tab w:val="left" w:pos="4111"/>
                            </w:tabs>
                            <w:spacing w:after="0"/>
                            <w:jc w:val="center"/>
                            <w:rPr>
                              <w:rFonts w:ascii="Arial" w:hAnsi="Arial"/>
                              <w:color w:val="004194"/>
                              <w:sz w:val="20"/>
                            </w:rPr>
                          </w:pPr>
                          <w:r>
                            <w:rPr>
                              <w:rFonts w:ascii="Arial" w:hAnsi="Arial"/>
                              <w:color w:val="004194"/>
                              <w:sz w:val="20"/>
                            </w:rPr>
                            <w:t xml:space="preserve">Monitoring the application of European Union law </w:t>
                          </w:r>
                        </w:p>
                        <w:p w:rsidR="00E201F7" w:rsidRDefault="00E24EFF">
                          <w:pPr>
                            <w:tabs>
                              <w:tab w:val="left" w:pos="4111"/>
                            </w:tabs>
                            <w:spacing w:after="0"/>
                            <w:jc w:val="center"/>
                            <w:rPr>
                              <w:rFonts w:ascii="Arial" w:hAnsi="Arial"/>
                              <w:color w:val="004194"/>
                              <w:sz w:val="20"/>
                            </w:rPr>
                          </w:pPr>
                          <w:r>
                            <w:rPr>
                              <w:rFonts w:ascii="Arial" w:hAnsi="Arial"/>
                              <w:color w:val="004194"/>
                              <w:sz w:val="20"/>
                            </w:rPr>
                            <w:t xml:space="preserve">2017 Annual </w:t>
                          </w:r>
                          <w:r>
                            <w:rPr>
                              <w:rFonts w:ascii="Arial" w:hAnsi="Arial"/>
                              <w:color w:val="004194"/>
                              <w:sz w:val="20"/>
                            </w:rPr>
                            <w:t>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70.9pt;margin-top:17.5pt;width:595.05pt;height:3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" filled="f" stroked="f">
              <v:textbox>
                <w:txbxContent>
                  <w:p w:rsidR="00E201F7" w:rsidRDefault="00E24EFF">
                    <w:pPr>
                      <w:tabs>
                        <w:tab w:val="left" w:pos="4111"/>
                      </w:tabs>
                      <w:spacing w:after="0"/>
                      <w:jc w:val="center"/>
                      <w:rPr>
                        <w:rFonts w:ascii="Arial" w:hAnsi="Arial"/>
                        <w:color w:val="004194"/>
                        <w:sz w:val="20"/>
                      </w:rPr>
                    </w:pPr>
                    <w:r>
                      <w:rPr>
                        <w:rFonts w:ascii="Arial" w:hAnsi="Arial"/>
                        <w:color w:val="004194"/>
                        <w:sz w:val="20"/>
                      </w:rPr>
                      <w:t xml:space="preserve">Monitoring the application of European Union law </w:t>
                    </w:r>
                  </w:p>
                  <w:p w:rsidR="00E201F7" w:rsidRDefault="00E24EFF">
                    <w:pPr>
                      <w:tabs>
                        <w:tab w:val="left" w:pos="4111"/>
                      </w:tabs>
                      <w:spacing w:after="0"/>
                      <w:jc w:val="center"/>
                      <w:rPr>
                        <w:rFonts w:ascii="Arial" w:hAnsi="Arial"/>
                        <w:color w:val="004194"/>
                        <w:sz w:val="20"/>
                      </w:rPr>
                    </w:pPr>
                    <w:r>
                      <w:rPr>
                        <w:rFonts w:ascii="Arial" w:hAnsi="Arial"/>
                        <w:color w:val="004194"/>
                        <w:sz w:val="20"/>
                      </w:rPr>
                      <w:t xml:space="preserve">2017 Annual </w:t>
                    </w:r>
                    <w:r>
                      <w:rPr>
                        <w:rFonts w:ascii="Arial" w:hAnsi="Arial"/>
                        <w:color w:val="004194"/>
                        <w:sz w:val="20"/>
                      </w:rPr>
                      <w:t>Report</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01F7">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01F7">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tabs>
        <w:tab w:val="center" w:pos="4153"/>
        <w:tab w:val="right" w:pos="8306"/>
      </w:tabs>
      <w:jc w:val="center"/>
    </w:pPr>
    <w:r>
      <w:rPr>
        <w:noProof/>
      </w:rPr>
      <mc:AlternateContent>
        <mc:Choice Requires="wps">
          <w:drawing>
            <wp:anchor distT="0" distB="0" distL="114300" distR="114300" simplePos="0" relativeHeight="251696128" behindDoc="0" locked="0" layoutInCell="1" allowOverlap="1" wp14:anchorId="058E777C" wp14:editId="458A864C">
              <wp:simplePos x="0" y="0"/>
              <wp:positionH relativeFrom="column">
                <wp:posOffset>5005070</wp:posOffset>
              </wp:positionH>
              <wp:positionV relativeFrom="paragraph">
                <wp:posOffset>302895</wp:posOffset>
              </wp:positionV>
              <wp:extent cx="1659890" cy="219075"/>
              <wp:effectExtent l="0" t="0" r="0" b="952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989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6" o:spid="_x0000_s1026" style="position:absolute;margin-left:394.1pt;margin-top:23.85pt;width:130.7pt;height:17.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" fillcolor="#004194" stroked="f" strokeweight="2pt">
              <v:path arrowok="t"/>
            </v:rect>
          </w:pict>
        </mc:Fallback>
      </mc:AlternateContent>
    </w:r>
    <w:r>
      <w:rPr>
        <w:noProof/>
      </w:rPr>
      <mc:AlternateContent>
        <mc:Choice Requires="wps">
          <w:drawing>
            <wp:anchor distT="0" distB="0" distL="114300" distR="114300" simplePos="0" relativeHeight="251695104" behindDoc="0" locked="0" layoutInCell="1" allowOverlap="1" wp14:anchorId="6E4ED890" wp14:editId="61D70D0A">
              <wp:simplePos x="0" y="0"/>
              <wp:positionH relativeFrom="column">
                <wp:posOffset>-900430</wp:posOffset>
              </wp:positionH>
              <wp:positionV relativeFrom="paragraph">
                <wp:posOffset>302895</wp:posOffset>
              </wp:positionV>
              <wp:extent cx="1684020" cy="219075"/>
              <wp:effectExtent l="0" t="0" r="0" b="952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402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70.9pt;margin-top:23.85pt;width:132.6pt;height:17.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" fillcolor="#004194" stroked="f" strokeweight="2pt">
              <v:path arrowok="t"/>
            </v:rect>
          </w:pict>
        </mc:Fallback>
      </mc:AlternateContent>
    </w:r>
    <w:r>
      <w:rPr>
        <w:noProof/>
      </w:rPr>
      <mc:AlternateContent>
        <mc:Choice Requires="wps">
          <w:drawing>
            <wp:anchor distT="0" distB="0" distL="114300" distR="114300" simplePos="0" relativeHeight="251694080" behindDoc="0" locked="0" layoutInCell="1" allowOverlap="1" wp14:anchorId="121C14B9" wp14:editId="5A53B9BF">
              <wp:simplePos x="0" y="0"/>
              <wp:positionH relativeFrom="column">
                <wp:posOffset>140970</wp:posOffset>
              </wp:positionH>
              <wp:positionV relativeFrom="paragraph">
                <wp:posOffset>252730</wp:posOffset>
              </wp:positionV>
              <wp:extent cx="5474335" cy="77152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771525"/>
                      </a:xfrm>
                      <a:prstGeom prst="rect">
                        <a:avLst/>
                      </a:prstGeom>
                      <a:noFill/>
                      <a:ln w="9525">
                        <a:noFill/>
                        <a:miter lim="800000"/>
                        <a:headEnd/>
                        <a:tailEnd/>
                      </a:ln>
                    </wps:spPr>
                    <wps:txbx>
                      <w:txbxContent>
                        <w:p w:rsidR="00E201F7" w:rsidRDefault="00E24EFF">
                          <w:pPr>
                            <w:tabs>
                              <w:tab w:val="left" w:pos="4111"/>
                            </w:tabs>
                            <w:spacing w:after="0"/>
                            <w:jc w:val="center"/>
                            <w:rPr>
                              <w:rFonts w:ascii="Arial" w:hAnsi="Arial"/>
                              <w:color w:val="004194"/>
                              <w:sz w:val="20"/>
                            </w:rPr>
                          </w:pPr>
                          <w:r>
                            <w:rPr>
                              <w:rFonts w:ascii="Arial" w:hAnsi="Arial"/>
                              <w:color w:val="004194"/>
                              <w:sz w:val="20"/>
                            </w:rPr>
                            <w:t xml:space="preserve">Monitoring the application of European Union law  </w:t>
                          </w:r>
                        </w:p>
                        <w:p w:rsidR="00E201F7" w:rsidRDefault="00E24EFF">
                          <w:pPr>
                            <w:tabs>
                              <w:tab w:val="left" w:pos="4111"/>
                            </w:tabs>
                            <w:spacing w:after="0"/>
                            <w:jc w:val="center"/>
                            <w:rPr>
                              <w:rFonts w:ascii="Arial" w:hAnsi="Arial"/>
                              <w:color w:val="004194"/>
                              <w:sz w:val="20"/>
                            </w:rPr>
                          </w:pPr>
                          <w:r>
                            <w:rPr>
                              <w:rFonts w:ascii="Arial" w:hAnsi="Arial"/>
                              <w:color w:val="004194"/>
                              <w:sz w:val="20"/>
                            </w:rPr>
                            <w:t>2017 Annual Report</w:t>
                          </w:r>
                        </w:p>
                        <w:p w:rsidR="00E201F7" w:rsidRDefault="00E24EFF">
                          <w:pPr>
                            <w:spacing w:after="0"/>
                            <w:jc w:val="center"/>
                            <w:rPr>
                              <w:rFonts w:ascii="Arial" w:hAnsi="Arial"/>
                              <w:b/>
                              <w:color w:val="A6A6A6"/>
                              <w:sz w:val="22"/>
                            </w:rPr>
                          </w:pPr>
                          <w:r>
                            <w:rPr>
                              <w:rFonts w:ascii="Arial" w:hAnsi="Arial"/>
                              <w:color w:val="A6A6A6"/>
                              <w:sz w:val="22"/>
                            </w:rPr>
                            <w:t>Mobility and transport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2" type="#_x0000_t202" style="position:absolute;left:0;text-align:left;margin-left:11.1pt;margin-top:19.9pt;width:431.05pt;height:60.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" filled="f" stroked="f">
              <v:textbox>
                <w:txbxContent>
                  <w:p w:rsidR="00E201F7" w:rsidRDefault="00E24EFF">
                    <w:pPr>
                      <w:tabs>
                        <w:tab w:val="left" w:pos="4111"/>
                      </w:tabs>
                      <w:spacing w:after="0"/>
                      <w:jc w:val="center"/>
                      <w:rPr>
                        <w:rFonts w:ascii="Arial" w:hAnsi="Arial"/>
                        <w:color w:val="004194"/>
                        <w:sz w:val="20"/>
                      </w:rPr>
                    </w:pPr>
                    <w:r>
                      <w:rPr>
                        <w:rFonts w:ascii="Arial" w:hAnsi="Arial"/>
                        <w:color w:val="004194"/>
                        <w:sz w:val="20"/>
                      </w:rPr>
                      <w:t xml:space="preserve">Monitoring the application of European Union law  </w:t>
                    </w:r>
                  </w:p>
                  <w:p w:rsidR="00E201F7" w:rsidRDefault="00E24EFF">
                    <w:pPr>
                      <w:tabs>
                        <w:tab w:val="left" w:pos="4111"/>
                      </w:tabs>
                      <w:spacing w:after="0"/>
                      <w:jc w:val="center"/>
                      <w:rPr>
                        <w:rFonts w:ascii="Arial" w:hAnsi="Arial"/>
                        <w:color w:val="004194"/>
                        <w:sz w:val="20"/>
                      </w:rPr>
                    </w:pPr>
                    <w:r>
                      <w:rPr>
                        <w:rFonts w:ascii="Arial" w:hAnsi="Arial"/>
                        <w:color w:val="004194"/>
                        <w:sz w:val="20"/>
                      </w:rPr>
                      <w:t>2017 Annual Report</w:t>
                    </w:r>
                  </w:p>
                  <w:p w:rsidR="00E201F7" w:rsidRDefault="00E24EFF">
                    <w:pPr>
                      <w:spacing w:after="0"/>
                      <w:jc w:val="center"/>
                      <w:rPr>
                        <w:rFonts w:ascii="Arial" w:hAnsi="Arial"/>
                        <w:b/>
                        <w:color w:val="A6A6A6"/>
                        <w:sz w:val="22"/>
                      </w:rPr>
                    </w:pPr>
                    <w:r>
                      <w:rPr>
                        <w:rFonts w:ascii="Arial" w:hAnsi="Arial"/>
                        <w:color w:val="A6A6A6"/>
                        <w:sz w:val="22"/>
                      </w:rPr>
                      <w:t>Mobility and transport</w:t>
                    </w:r>
                  </w:p>
                </w:txbxContent>
              </v:textbox>
            </v:shape>
          </w:pict>
        </mc:Fallback>
      </mc:AlternateContent>
    </w:r>
  </w:p>
  <w:p w:rsidR="00E201F7" w:rsidRDefault="00E201F7">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pStyle w:val="Header"/>
      <w:tabs>
        <w:tab w:val="left" w:pos="7513"/>
      </w:tabs>
      <w:spacing w:after="0"/>
      <w:ind w:left="4153" w:hanging="4153"/>
      <w:jc w:val="center"/>
    </w:pPr>
    <w:r>
      <w:rPr>
        <w:noProof/>
      </w:rPr>
      <mc:AlternateContent>
        <mc:Choice Requires="wps">
          <w:drawing>
            <wp:anchor distT="0" distB="0" distL="114300" distR="114300" simplePos="0" relativeHeight="251699200" behindDoc="0" locked="0" layoutInCell="1" allowOverlap="1" wp14:anchorId="5909CB99" wp14:editId="67D4860B">
              <wp:simplePos x="0" y="0"/>
              <wp:positionH relativeFrom="column">
                <wp:posOffset>5043170</wp:posOffset>
              </wp:positionH>
              <wp:positionV relativeFrom="paragraph">
                <wp:posOffset>302895</wp:posOffset>
              </wp:positionV>
              <wp:extent cx="1614170" cy="219075"/>
              <wp:effectExtent l="0" t="0" r="5080" b="952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417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0" o:spid="_x0000_s1026" style="position:absolute;margin-left:397.1pt;margin-top:23.85pt;width:127.1pt;height:17.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" fillcolor="#004194" stroked="f" strokeweight="2pt">
              <v:path arrowok="t"/>
            </v:rect>
          </w:pict>
        </mc:Fallback>
      </mc:AlternateContent>
    </w:r>
    <w:r>
      <w:rPr>
        <w:noProof/>
      </w:rPr>
      <mc:AlternateContent>
        <mc:Choice Requires="wps">
          <w:drawing>
            <wp:anchor distT="0" distB="0" distL="114300" distR="114300" simplePos="0" relativeHeight="251698176" behindDoc="0" locked="0" layoutInCell="1" allowOverlap="1" wp14:anchorId="5F274F8D" wp14:editId="0223C239">
              <wp:simplePos x="0" y="0"/>
              <wp:positionH relativeFrom="column">
                <wp:posOffset>-900430</wp:posOffset>
              </wp:positionH>
              <wp:positionV relativeFrom="paragraph">
                <wp:posOffset>302895</wp:posOffset>
              </wp:positionV>
              <wp:extent cx="1691640" cy="219075"/>
              <wp:effectExtent l="0" t="0" r="3810" b="952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164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70.9pt;margin-top:23.85pt;width:133.2pt;height:17.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" fillcolor="#004194" stroked="f" strokeweight="2pt">
              <v:path arrowok="t"/>
            </v:rect>
          </w:pict>
        </mc:Fallback>
      </mc:AlternateContent>
    </w:r>
    <w:r>
      <w:rPr>
        <w:noProof/>
      </w:rPr>
      <mc:AlternateContent>
        <mc:Choice Requires="wps">
          <w:drawing>
            <wp:anchor distT="0" distB="0" distL="114300" distR="114300" simplePos="0" relativeHeight="251700224" behindDoc="0" locked="0" layoutInCell="1" allowOverlap="1" wp14:anchorId="30DEAAB2" wp14:editId="69474C06">
              <wp:simplePos x="0" y="0"/>
              <wp:positionH relativeFrom="column">
                <wp:posOffset>-900430</wp:posOffset>
              </wp:positionH>
              <wp:positionV relativeFrom="paragraph">
                <wp:posOffset>630555</wp:posOffset>
              </wp:positionV>
              <wp:extent cx="7559675" cy="45720"/>
              <wp:effectExtent l="0" t="19050" r="0" b="1143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E201F7" w:rsidRDefault="00E201F7">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3" type="#_x0000_t202" style="position:absolute;left:0;text-align:left;margin-left:-70.9pt;margin-top:49.65pt;width:595.25pt;height: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J3FdBYN&#10;AgAA+gMAAA4AAAAAAAAAAAAAAAAALgIAAGRycy9lMm9Eb2MueG1sUEsBAi0AFAAGAAgAAAAhANN1&#10;PQrgAAAADAEAAA8AAAAAAAAAAAAAAAAAZwQAAGRycy9kb3ducmV2LnhtbFBLBQYAAAAABAAEAPMA&#10;AAB0BQAAAAA=&#10;" filled="f" stroked="f">
              <v:textbox>
                <w:txbxContent>
                  <w:p w:rsidR="00E201F7" w:rsidRDefault="00E201F7">
                    <w:pPr>
                      <w:pStyle w:val="Priorities"/>
                      <w:ind w:right="555"/>
                      <w:jc w:val="both"/>
                      <w:rPr>
                        <w:color w:val="808080"/>
                        <w:lang w:val="de-DE"/>
                      </w:rPr>
                    </w:pP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6F3C7F75" wp14:editId="7EF2A050">
              <wp:simplePos x="0" y="0"/>
              <wp:positionH relativeFrom="column">
                <wp:posOffset>-900430</wp:posOffset>
              </wp:positionH>
              <wp:positionV relativeFrom="paragraph">
                <wp:posOffset>222250</wp:posOffset>
              </wp:positionV>
              <wp:extent cx="7557135" cy="40894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rsidR="00E201F7" w:rsidRDefault="00E24EFF">
                          <w:pPr>
                            <w:tabs>
                              <w:tab w:val="left" w:pos="4111"/>
                            </w:tabs>
                            <w:spacing w:after="0"/>
                            <w:jc w:val="center"/>
                            <w:rPr>
                              <w:rFonts w:ascii="Arial" w:hAnsi="Arial"/>
                              <w:color w:val="004194"/>
                              <w:sz w:val="20"/>
                            </w:rPr>
                          </w:pPr>
                          <w:r>
                            <w:rPr>
                              <w:rFonts w:ascii="Arial" w:hAnsi="Arial"/>
                              <w:color w:val="004194"/>
                              <w:sz w:val="20"/>
                            </w:rPr>
                            <w:t xml:space="preserve">Monitoring the application of European Union law </w:t>
                          </w:r>
                        </w:p>
                        <w:p w:rsidR="00E201F7" w:rsidRDefault="00E24EFF">
                          <w:pPr>
                            <w:tabs>
                              <w:tab w:val="left" w:pos="4111"/>
                            </w:tabs>
                            <w:spacing w:after="0"/>
                            <w:jc w:val="center"/>
                            <w:rPr>
                              <w:rFonts w:ascii="Arial" w:hAnsi="Arial"/>
                              <w:color w:val="004194"/>
                              <w:sz w:val="20"/>
                            </w:rPr>
                          </w:pPr>
                          <w:r>
                            <w:rPr>
                              <w:rFonts w:ascii="Arial" w:hAnsi="Arial"/>
                              <w:color w:val="004194"/>
                              <w:sz w:val="20"/>
                            </w:rPr>
                            <w:t>2017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70.9pt;margin-top:17.5pt;width:595.05pt;height:3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" filled="f" stroked="f">
              <v:textbox>
                <w:txbxContent>
                  <w:p w:rsidR="00E201F7" w:rsidRDefault="00E24EFF">
                    <w:pPr>
                      <w:tabs>
                        <w:tab w:val="left" w:pos="4111"/>
                      </w:tabs>
                      <w:spacing w:after="0"/>
                      <w:jc w:val="center"/>
                      <w:rPr>
                        <w:rFonts w:ascii="Arial" w:hAnsi="Arial"/>
                        <w:color w:val="004194"/>
                        <w:sz w:val="20"/>
                      </w:rPr>
                    </w:pPr>
                    <w:r>
                      <w:rPr>
                        <w:rFonts w:ascii="Arial" w:hAnsi="Arial"/>
                        <w:color w:val="004194"/>
                        <w:sz w:val="20"/>
                      </w:rPr>
                      <w:t xml:space="preserve">Monitoring the application of European Union law </w:t>
                    </w:r>
                  </w:p>
                  <w:p w:rsidR="00E201F7" w:rsidRDefault="00E24EFF">
                    <w:pPr>
                      <w:tabs>
                        <w:tab w:val="left" w:pos="4111"/>
                      </w:tabs>
                      <w:spacing w:after="0"/>
                      <w:jc w:val="center"/>
                      <w:rPr>
                        <w:rFonts w:ascii="Arial" w:hAnsi="Arial"/>
                        <w:color w:val="004194"/>
                        <w:sz w:val="20"/>
                      </w:rPr>
                    </w:pPr>
                    <w:r>
                      <w:rPr>
                        <w:rFonts w:ascii="Arial" w:hAnsi="Arial"/>
                        <w:color w:val="004194"/>
                        <w:sz w:val="20"/>
                      </w:rPr>
                      <w:t>2017 Annual Report</w:t>
                    </w:r>
                  </w:p>
                </w:txbxContent>
              </v:textbox>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01F7">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tabs>
        <w:tab w:val="center" w:pos="4153"/>
        <w:tab w:val="right" w:pos="8306"/>
      </w:tabs>
      <w:jc w:val="center"/>
    </w:pPr>
    <w:r>
      <w:rPr>
        <w:noProof/>
      </w:rPr>
      <mc:AlternateContent>
        <mc:Choice Requires="wps">
          <w:drawing>
            <wp:anchor distT="0" distB="0" distL="114300" distR="114300" simplePos="0" relativeHeight="251703296" behindDoc="0" locked="0" layoutInCell="1" allowOverlap="1" wp14:anchorId="3CFD2429" wp14:editId="5660FF8D">
              <wp:simplePos x="0" y="0"/>
              <wp:positionH relativeFrom="column">
                <wp:posOffset>5005070</wp:posOffset>
              </wp:positionH>
              <wp:positionV relativeFrom="paragraph">
                <wp:posOffset>302895</wp:posOffset>
              </wp:positionV>
              <wp:extent cx="1659890" cy="219075"/>
              <wp:effectExtent l="0" t="0" r="0" b="952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989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9" o:spid="_x0000_s1026" style="position:absolute;margin-left:394.1pt;margin-top:23.85pt;width:130.7pt;height:17.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" fillcolor="#004194" stroked="f" strokeweight="2pt">
              <v:path arrowok="t"/>
            </v:rect>
          </w:pict>
        </mc:Fallback>
      </mc:AlternateContent>
    </w:r>
    <w:r>
      <w:rPr>
        <w:noProof/>
      </w:rPr>
      <mc:AlternateContent>
        <mc:Choice Requires="wps">
          <w:drawing>
            <wp:anchor distT="0" distB="0" distL="114300" distR="114300" simplePos="0" relativeHeight="251702272" behindDoc="0" locked="0" layoutInCell="1" allowOverlap="1" wp14:anchorId="6238A913" wp14:editId="32BB2A79">
              <wp:simplePos x="0" y="0"/>
              <wp:positionH relativeFrom="column">
                <wp:posOffset>-900430</wp:posOffset>
              </wp:positionH>
              <wp:positionV relativeFrom="paragraph">
                <wp:posOffset>302895</wp:posOffset>
              </wp:positionV>
              <wp:extent cx="1684020" cy="219075"/>
              <wp:effectExtent l="0" t="0" r="0" b="952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402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70.9pt;margin-top:23.85pt;width:132.6pt;height:17.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" fillcolor="#004194" stroked="f" strokeweight="2pt">
              <v:path arrowok="t"/>
            </v:rect>
          </w:pict>
        </mc:Fallback>
      </mc:AlternateContent>
    </w:r>
    <w:r>
      <w:rPr>
        <w:noProof/>
      </w:rPr>
      <mc:AlternateContent>
        <mc:Choice Requires="wps">
          <w:drawing>
            <wp:anchor distT="0" distB="0" distL="114300" distR="114300" simplePos="0" relativeHeight="251701248" behindDoc="0" locked="0" layoutInCell="1" allowOverlap="1" wp14:anchorId="5159455D" wp14:editId="68C6DFB8">
              <wp:simplePos x="0" y="0"/>
              <wp:positionH relativeFrom="column">
                <wp:posOffset>140970</wp:posOffset>
              </wp:positionH>
              <wp:positionV relativeFrom="paragraph">
                <wp:posOffset>252730</wp:posOffset>
              </wp:positionV>
              <wp:extent cx="5474335" cy="77152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771525"/>
                      </a:xfrm>
                      <a:prstGeom prst="rect">
                        <a:avLst/>
                      </a:prstGeom>
                      <a:noFill/>
                      <a:ln w="9525">
                        <a:noFill/>
                        <a:miter lim="800000"/>
                        <a:headEnd/>
                        <a:tailEnd/>
                      </a:ln>
                    </wps:spPr>
                    <wps:txbx>
                      <w:txbxContent>
                        <w:p w:rsidR="00E201F7" w:rsidRDefault="00E24EFF">
                          <w:pPr>
                            <w:tabs>
                              <w:tab w:val="left" w:pos="4111"/>
                            </w:tabs>
                            <w:spacing w:after="0"/>
                            <w:jc w:val="center"/>
                            <w:rPr>
                              <w:rFonts w:ascii="Arial" w:hAnsi="Arial"/>
                              <w:color w:val="004194"/>
                              <w:sz w:val="20"/>
                            </w:rPr>
                          </w:pPr>
                          <w:r>
                            <w:rPr>
                              <w:rFonts w:ascii="Arial" w:hAnsi="Arial"/>
                              <w:color w:val="004194"/>
                              <w:sz w:val="20"/>
                            </w:rPr>
                            <w:t xml:space="preserve">Monitoring the application of European Union law </w:t>
                          </w:r>
                        </w:p>
                        <w:p w:rsidR="00E201F7" w:rsidRDefault="00E24EFF">
                          <w:pPr>
                            <w:tabs>
                              <w:tab w:val="left" w:pos="4111"/>
                            </w:tabs>
                            <w:spacing w:after="0"/>
                            <w:jc w:val="center"/>
                            <w:rPr>
                              <w:rFonts w:ascii="Arial" w:hAnsi="Arial"/>
                              <w:color w:val="004194"/>
                              <w:sz w:val="20"/>
                            </w:rPr>
                          </w:pPr>
                          <w:r>
                            <w:rPr>
                              <w:rFonts w:ascii="Arial" w:hAnsi="Arial"/>
                              <w:color w:val="004194"/>
                              <w:sz w:val="20"/>
                            </w:rPr>
                            <w:t>2017 Annual Report</w:t>
                          </w:r>
                        </w:p>
                        <w:p w:rsidR="00E201F7" w:rsidRDefault="00E24EFF">
                          <w:pPr>
                            <w:spacing w:after="0"/>
                            <w:jc w:val="center"/>
                            <w:rPr>
                              <w:rFonts w:ascii="Arial" w:hAnsi="Arial"/>
                              <w:b/>
                              <w:color w:val="A6A6A6"/>
                              <w:sz w:val="22"/>
                            </w:rPr>
                          </w:pPr>
                          <w:r>
                            <w:rPr>
                              <w:rFonts w:ascii="Arial" w:hAnsi="Arial"/>
                              <w:color w:val="A6A6A6"/>
                              <w:sz w:val="22"/>
                            </w:rPr>
                            <w:t>Taxation and customs 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5" type="#_x0000_t202" style="position:absolute;left:0;text-align:left;margin-left:11.1pt;margin-top:19.9pt;width:431.05pt;height:6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" filled="f" stroked="f">
              <v:textbox>
                <w:txbxContent>
                  <w:p w:rsidR="00E201F7" w:rsidRDefault="00E24EFF">
                    <w:pPr>
                      <w:tabs>
                        <w:tab w:val="left" w:pos="4111"/>
                      </w:tabs>
                      <w:spacing w:after="0"/>
                      <w:jc w:val="center"/>
                      <w:rPr>
                        <w:rFonts w:ascii="Arial" w:hAnsi="Arial"/>
                        <w:color w:val="004194"/>
                        <w:sz w:val="20"/>
                      </w:rPr>
                    </w:pPr>
                    <w:r>
                      <w:rPr>
                        <w:rFonts w:ascii="Arial" w:hAnsi="Arial"/>
                        <w:color w:val="004194"/>
                        <w:sz w:val="20"/>
                      </w:rPr>
                      <w:t xml:space="preserve">Monitoring the application of European Union law </w:t>
                    </w:r>
                  </w:p>
                  <w:p w:rsidR="00E201F7" w:rsidRDefault="00E24EFF">
                    <w:pPr>
                      <w:tabs>
                        <w:tab w:val="left" w:pos="4111"/>
                      </w:tabs>
                      <w:spacing w:after="0"/>
                      <w:jc w:val="center"/>
                      <w:rPr>
                        <w:rFonts w:ascii="Arial" w:hAnsi="Arial"/>
                        <w:color w:val="004194"/>
                        <w:sz w:val="20"/>
                      </w:rPr>
                    </w:pPr>
                    <w:r>
                      <w:rPr>
                        <w:rFonts w:ascii="Arial" w:hAnsi="Arial"/>
                        <w:color w:val="004194"/>
                        <w:sz w:val="20"/>
                      </w:rPr>
                      <w:t>2017 Annual Report</w:t>
                    </w:r>
                  </w:p>
                  <w:p w:rsidR="00E201F7" w:rsidRDefault="00E24EFF">
                    <w:pPr>
                      <w:spacing w:after="0"/>
                      <w:jc w:val="center"/>
                      <w:rPr>
                        <w:rFonts w:ascii="Arial" w:hAnsi="Arial"/>
                        <w:b/>
                        <w:color w:val="A6A6A6"/>
                        <w:sz w:val="22"/>
                      </w:rPr>
                    </w:pPr>
                    <w:r>
                      <w:rPr>
                        <w:rFonts w:ascii="Arial" w:hAnsi="Arial"/>
                        <w:color w:val="A6A6A6"/>
                        <w:sz w:val="22"/>
                      </w:rPr>
                      <w:t>Taxation and customs union</w:t>
                    </w:r>
                  </w:p>
                </w:txbxContent>
              </v:textbox>
            </v:shape>
          </w:pict>
        </mc:Fallback>
      </mc:AlternateContent>
    </w:r>
  </w:p>
  <w:p w:rsidR="00E201F7" w:rsidRDefault="00E201F7">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pStyle w:val="Header"/>
      <w:tabs>
        <w:tab w:val="left" w:pos="7513"/>
      </w:tabs>
      <w:spacing w:after="0"/>
      <w:ind w:left="4153" w:hanging="4153"/>
      <w:jc w:val="center"/>
    </w:pPr>
    <w:r>
      <w:rPr>
        <w:noProof/>
      </w:rPr>
      <mc:AlternateContent>
        <mc:Choice Requires="wps">
          <w:drawing>
            <wp:anchor distT="0" distB="0" distL="114300" distR="114300" simplePos="0" relativeHeight="251706368" behindDoc="0" locked="0" layoutInCell="1" allowOverlap="1" wp14:anchorId="30817501" wp14:editId="71727510">
              <wp:simplePos x="0" y="0"/>
              <wp:positionH relativeFrom="column">
                <wp:posOffset>5043170</wp:posOffset>
              </wp:positionH>
              <wp:positionV relativeFrom="paragraph">
                <wp:posOffset>302895</wp:posOffset>
              </wp:positionV>
              <wp:extent cx="1614170" cy="219075"/>
              <wp:effectExtent l="0" t="0" r="5080" b="952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417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2" o:spid="_x0000_s1026" style="position:absolute;margin-left:397.1pt;margin-top:23.85pt;width:127.1pt;height:17.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" fillcolor="#004194" stroked="f" strokeweight="2pt">
              <v:path arrowok="t"/>
            </v:rect>
          </w:pict>
        </mc:Fallback>
      </mc:AlternateContent>
    </w:r>
    <w:r>
      <w:rPr>
        <w:noProof/>
      </w:rPr>
      <mc:AlternateContent>
        <mc:Choice Requires="wps">
          <w:drawing>
            <wp:anchor distT="0" distB="0" distL="114300" distR="114300" simplePos="0" relativeHeight="251705344" behindDoc="0" locked="0" layoutInCell="1" allowOverlap="1" wp14:anchorId="4F01CE83" wp14:editId="135C606B">
              <wp:simplePos x="0" y="0"/>
              <wp:positionH relativeFrom="column">
                <wp:posOffset>-900430</wp:posOffset>
              </wp:positionH>
              <wp:positionV relativeFrom="paragraph">
                <wp:posOffset>302895</wp:posOffset>
              </wp:positionV>
              <wp:extent cx="1691640" cy="219075"/>
              <wp:effectExtent l="0" t="0" r="3810" b="952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164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70.9pt;margin-top:23.85pt;width:133.2pt;height:17.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" fillcolor="#004194" stroked="f" strokeweight="2pt">
              <v:path arrowok="t"/>
            </v:rect>
          </w:pict>
        </mc:Fallback>
      </mc:AlternateContent>
    </w:r>
    <w:r>
      <w:rPr>
        <w:noProof/>
      </w:rPr>
      <mc:AlternateContent>
        <mc:Choice Requires="wps">
          <w:drawing>
            <wp:anchor distT="0" distB="0" distL="114300" distR="114300" simplePos="0" relativeHeight="251707392" behindDoc="0" locked="0" layoutInCell="1" allowOverlap="1" wp14:anchorId="59EBA0C4" wp14:editId="3F836C60">
              <wp:simplePos x="0" y="0"/>
              <wp:positionH relativeFrom="column">
                <wp:posOffset>-900430</wp:posOffset>
              </wp:positionH>
              <wp:positionV relativeFrom="paragraph">
                <wp:posOffset>630555</wp:posOffset>
              </wp:positionV>
              <wp:extent cx="7559675" cy="45720"/>
              <wp:effectExtent l="0" t="19050" r="0" b="1143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E201F7" w:rsidRDefault="00E201F7">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6" type="#_x0000_t202" style="position:absolute;left:0;text-align:left;margin-left:-70.9pt;margin-top:49.65pt;width:595.25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" filled="f" stroked="f">
              <v:textbox>
                <w:txbxContent>
                  <w:p w:rsidR="00E201F7" w:rsidRDefault="00E201F7">
                    <w:pPr>
                      <w:pStyle w:val="Priorities"/>
                      <w:ind w:right="555"/>
                      <w:jc w:val="both"/>
                      <w:rPr>
                        <w:color w:val="808080"/>
                        <w:lang w:val="de-DE"/>
                      </w:rPr>
                    </w:pP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2FE16B4E" wp14:editId="75DE4D4C">
              <wp:simplePos x="0" y="0"/>
              <wp:positionH relativeFrom="column">
                <wp:posOffset>-900430</wp:posOffset>
              </wp:positionH>
              <wp:positionV relativeFrom="paragraph">
                <wp:posOffset>222250</wp:posOffset>
              </wp:positionV>
              <wp:extent cx="7557135" cy="40894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rsidR="00E201F7" w:rsidRDefault="00E24EFF">
                          <w:pPr>
                            <w:tabs>
                              <w:tab w:val="left" w:pos="4111"/>
                            </w:tabs>
                            <w:spacing w:after="0"/>
                            <w:jc w:val="center"/>
                            <w:rPr>
                              <w:rFonts w:ascii="Arial" w:hAnsi="Arial"/>
                              <w:color w:val="004194"/>
                              <w:sz w:val="20"/>
                            </w:rPr>
                          </w:pPr>
                          <w:r>
                            <w:rPr>
                              <w:rFonts w:ascii="Arial" w:hAnsi="Arial"/>
                              <w:color w:val="004194"/>
                              <w:sz w:val="20"/>
                            </w:rPr>
                            <w:t xml:space="preserve">Monitoring the application of European Union law </w:t>
                          </w:r>
                        </w:p>
                        <w:p w:rsidR="00E201F7" w:rsidRDefault="00E24EFF">
                          <w:pPr>
                            <w:tabs>
                              <w:tab w:val="left" w:pos="4111"/>
                            </w:tabs>
                            <w:spacing w:after="0"/>
                            <w:jc w:val="center"/>
                            <w:rPr>
                              <w:rFonts w:ascii="Arial" w:hAnsi="Arial"/>
                              <w:color w:val="004194"/>
                              <w:sz w:val="20"/>
                            </w:rPr>
                          </w:pPr>
                          <w:r>
                            <w:rPr>
                              <w:rFonts w:ascii="Arial" w:hAnsi="Arial"/>
                              <w:color w:val="004194"/>
                              <w:sz w:val="20"/>
                            </w:rPr>
                            <w:t>2017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70.9pt;margin-top:17.5pt;width:595.05pt;height:32.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" filled="f" stroked="f">
              <v:textbox>
                <w:txbxContent>
                  <w:p w:rsidR="00E201F7" w:rsidRDefault="00E24EFF">
                    <w:pPr>
                      <w:tabs>
                        <w:tab w:val="left" w:pos="4111"/>
                      </w:tabs>
                      <w:spacing w:after="0"/>
                      <w:jc w:val="center"/>
                      <w:rPr>
                        <w:rFonts w:ascii="Arial" w:hAnsi="Arial"/>
                        <w:color w:val="004194"/>
                        <w:sz w:val="20"/>
                      </w:rPr>
                    </w:pPr>
                    <w:r>
                      <w:rPr>
                        <w:rFonts w:ascii="Arial" w:hAnsi="Arial"/>
                        <w:color w:val="004194"/>
                        <w:sz w:val="20"/>
                      </w:rPr>
                      <w:t xml:space="preserve">Monitoring the application of European Union law </w:t>
                    </w:r>
                  </w:p>
                  <w:p w:rsidR="00E201F7" w:rsidRDefault="00E24EFF">
                    <w:pPr>
                      <w:tabs>
                        <w:tab w:val="left" w:pos="4111"/>
                      </w:tabs>
                      <w:spacing w:after="0"/>
                      <w:jc w:val="center"/>
                      <w:rPr>
                        <w:rFonts w:ascii="Arial" w:hAnsi="Arial"/>
                        <w:color w:val="004194"/>
                        <w:sz w:val="20"/>
                      </w:rPr>
                    </w:pPr>
                    <w:r>
                      <w:rPr>
                        <w:rFonts w:ascii="Arial" w:hAnsi="Arial"/>
                        <w:color w:val="004194"/>
                        <w:sz w:val="20"/>
                      </w:rPr>
                      <w:t>2017 Annual Report</w:t>
                    </w:r>
                  </w:p>
                </w:txbxContent>
              </v:textbox>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01F7">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tabs>
        <w:tab w:val="center" w:pos="4153"/>
        <w:tab w:val="left" w:pos="7513"/>
        <w:tab w:val="right" w:pos="8306"/>
      </w:tabs>
      <w:spacing w:after="0"/>
      <w:ind w:left="4153" w:hanging="4153"/>
      <w:jc w:val="center"/>
    </w:pPr>
    <w:r>
      <w:rPr>
        <w:noProof/>
      </w:rPr>
      <mc:AlternateContent>
        <mc:Choice Requires="wps">
          <w:drawing>
            <wp:anchor distT="0" distB="0" distL="114300" distR="114300" simplePos="0" relativeHeight="251682816" behindDoc="0" locked="0" layoutInCell="1" allowOverlap="1" wp14:anchorId="6C486520" wp14:editId="305C7AE1">
              <wp:simplePos x="0" y="0"/>
              <wp:positionH relativeFrom="column">
                <wp:posOffset>4814570</wp:posOffset>
              </wp:positionH>
              <wp:positionV relativeFrom="paragraph">
                <wp:posOffset>300355</wp:posOffset>
              </wp:positionV>
              <wp:extent cx="1835150" cy="219075"/>
              <wp:effectExtent l="0" t="0" r="0" b="952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5" o:spid="_x0000_s1026" style="position:absolute;margin-left:379.1pt;margin-top:23.65pt;width:144.5pt;height:17.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" fillcolor="#004194" stroked="f" strokeweight="2pt">
              <v:path arrowok="t"/>
            </v:rect>
          </w:pict>
        </mc:Fallback>
      </mc:AlternateContent>
    </w:r>
    <w:r>
      <w:rPr>
        <w:noProof/>
      </w:rPr>
      <mc:AlternateContent>
        <mc:Choice Requires="wps">
          <w:drawing>
            <wp:anchor distT="0" distB="0" distL="114300" distR="114300" simplePos="0" relativeHeight="251681792" behindDoc="0" locked="0" layoutInCell="1" allowOverlap="1" wp14:anchorId="66E2E61F" wp14:editId="29A3320B">
              <wp:simplePos x="0" y="0"/>
              <wp:positionH relativeFrom="column">
                <wp:posOffset>-900430</wp:posOffset>
              </wp:positionH>
              <wp:positionV relativeFrom="paragraph">
                <wp:posOffset>300355</wp:posOffset>
              </wp:positionV>
              <wp:extent cx="1803400" cy="219075"/>
              <wp:effectExtent l="0" t="0" r="6350" b="95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70.9pt;margin-top:23.65pt;width:142pt;height:17.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" fillcolor="#004194" stroked="f" strokeweight="2pt">
              <v:path arrowok="t"/>
            </v:rect>
          </w:pict>
        </mc:Fallback>
      </mc:AlternateContent>
    </w:r>
  </w:p>
  <w:p w:rsidR="00E201F7" w:rsidRDefault="00E24EFF">
    <w:pPr>
      <w:pStyle w:val="Header"/>
    </w:pPr>
    <w:r>
      <w:rPr>
        <w:noProof/>
      </w:rPr>
      <mc:AlternateContent>
        <mc:Choice Requires="wps">
          <w:drawing>
            <wp:anchor distT="0" distB="0" distL="114300" distR="114300" simplePos="0" relativeHeight="251680768" behindDoc="0" locked="0" layoutInCell="1" allowOverlap="1" wp14:anchorId="74C3905B" wp14:editId="0D85F463">
              <wp:simplePos x="0" y="0"/>
              <wp:positionH relativeFrom="column">
                <wp:posOffset>138430</wp:posOffset>
              </wp:positionH>
              <wp:positionV relativeFrom="paragraph">
                <wp:posOffset>73660</wp:posOffset>
              </wp:positionV>
              <wp:extent cx="5473700" cy="56070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0" cy="560705"/>
                      </a:xfrm>
                      <a:prstGeom prst="rect">
                        <a:avLst/>
                      </a:prstGeom>
                      <a:noFill/>
                      <a:ln w="9525">
                        <a:noFill/>
                        <a:miter lim="800000"/>
                        <a:headEnd/>
                        <a:tailEnd/>
                      </a:ln>
                    </wps:spPr>
                    <wps:txbx>
                      <w:txbxContent>
                        <w:p w:rsidR="00E201F7" w:rsidRDefault="00E24EFF">
                          <w:pPr>
                            <w:spacing w:after="0"/>
                            <w:jc w:val="center"/>
                            <w:rPr>
                              <w:rFonts w:cs="Arial"/>
                              <w:b/>
                              <w:color w:val="004194"/>
                            </w:rPr>
                          </w:pPr>
                          <w:r>
                            <w:rPr>
                              <w:rFonts w:cs="Arial"/>
                              <w:b/>
                              <w:color w:val="004194"/>
                            </w:rPr>
                            <w:t>Monitoring the Application of European Union Law</w:t>
                          </w:r>
                        </w:p>
                        <w:p w:rsidR="00E201F7" w:rsidRDefault="00E24EFF">
                          <w:pPr>
                            <w:spacing w:after="0"/>
                            <w:jc w:val="center"/>
                            <w:rPr>
                              <w:rFonts w:cs="Arial"/>
                              <w:b/>
                              <w:color w:val="004194"/>
                            </w:rPr>
                          </w:pPr>
                          <w:r>
                            <w:rPr>
                              <w:rFonts w:cs="Arial"/>
                              <w:b/>
                              <w:color w:val="004194"/>
                            </w:rPr>
                            <w:t>2016 Annual Report</w:t>
                          </w:r>
                        </w:p>
                        <w:p w:rsidR="00E201F7" w:rsidRDefault="00E24EFF">
                          <w:pPr>
                            <w:spacing w:after="0"/>
                            <w:jc w:val="center"/>
                            <w:rPr>
                              <w:rFonts w:cs="Arial"/>
                              <w:b/>
                              <w:caps/>
                              <w:color w:val="A6A6A6"/>
                            </w:rPr>
                          </w:pPr>
                          <w:r>
                            <w:rPr>
                              <w:caps/>
                              <w:color w:val="A6A6A6"/>
                            </w:rPr>
                            <w:t>Methodology and expLanations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8" type="#_x0000_t202" style="position:absolute;left:0;text-align:left;margin-left:10.9pt;margin-top:5.8pt;width:431pt;height:44.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" filled="f" stroked="f">
              <v:textbox>
                <w:txbxContent>
                  <w:p w:rsidR="00E201F7" w:rsidRDefault="00E24EFF">
                    <w:pPr>
                      <w:spacing w:after="0"/>
                      <w:jc w:val="center"/>
                      <w:rPr>
                        <w:rFonts w:cs="Arial"/>
                        <w:b/>
                        <w:color w:val="004194"/>
                      </w:rPr>
                    </w:pPr>
                    <w:r>
                      <w:rPr>
                        <w:rFonts w:cs="Arial"/>
                        <w:b/>
                        <w:color w:val="004194"/>
                      </w:rPr>
                      <w:t>Monitoring the Application of European Union Law</w:t>
                    </w:r>
                  </w:p>
                  <w:p w:rsidR="00E201F7" w:rsidRDefault="00E24EFF">
                    <w:pPr>
                      <w:spacing w:after="0"/>
                      <w:jc w:val="center"/>
                      <w:rPr>
                        <w:rFonts w:cs="Arial"/>
                        <w:b/>
                        <w:color w:val="004194"/>
                      </w:rPr>
                    </w:pPr>
                    <w:r>
                      <w:rPr>
                        <w:rFonts w:cs="Arial"/>
                        <w:b/>
                        <w:color w:val="004194"/>
                      </w:rPr>
                      <w:t>2016 Annual Report</w:t>
                    </w:r>
                  </w:p>
                  <w:p w:rsidR="00E201F7" w:rsidRDefault="00E24EFF">
                    <w:pPr>
                      <w:spacing w:after="0"/>
                      <w:jc w:val="center"/>
                      <w:rPr>
                        <w:rFonts w:cs="Arial"/>
                        <w:b/>
                        <w:caps/>
                        <w:color w:val="A6A6A6"/>
                      </w:rPr>
                    </w:pPr>
                    <w:r>
                      <w:rPr>
                        <w:caps/>
                        <w:color w:val="A6A6A6"/>
                      </w:rPr>
                      <w:t>Methodology and expLanations</w:t>
                    </w:r>
                  </w:p>
                </w:txbxContent>
              </v:textbox>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tabs>
        <w:tab w:val="center" w:pos="4153"/>
        <w:tab w:val="left" w:pos="7513"/>
        <w:tab w:val="right" w:pos="8306"/>
      </w:tabs>
      <w:spacing w:after="0"/>
      <w:ind w:left="4153" w:hanging="4153"/>
      <w:jc w:val="center"/>
    </w:pPr>
    <w:r>
      <w:rPr>
        <w:noProof/>
      </w:rPr>
      <mc:AlternateContent>
        <mc:Choice Requires="wps">
          <w:drawing>
            <wp:anchor distT="0" distB="0" distL="114300" distR="114300" simplePos="0" relativeHeight="251679744" behindDoc="0" locked="0" layoutInCell="1" allowOverlap="1" wp14:anchorId="66FD4112" wp14:editId="1CB637D7">
              <wp:simplePos x="0" y="0"/>
              <wp:positionH relativeFrom="column">
                <wp:posOffset>4814570</wp:posOffset>
              </wp:positionH>
              <wp:positionV relativeFrom="paragraph">
                <wp:posOffset>300355</wp:posOffset>
              </wp:positionV>
              <wp:extent cx="1835150" cy="219075"/>
              <wp:effectExtent l="0" t="0" r="0" b="952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8" o:spid="_x0000_s1026" style="position:absolute;margin-left:379.1pt;margin-top:23.65pt;width:144.5pt;height:17.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" fillcolor="#004194" stroked="f" strokeweight="2pt">
              <v:path arrowok="t"/>
            </v:rect>
          </w:pict>
        </mc:Fallback>
      </mc:AlternateContent>
    </w:r>
    <w:r>
      <w:rPr>
        <w:noProof/>
      </w:rPr>
      <mc:AlternateContent>
        <mc:Choice Requires="wps">
          <w:drawing>
            <wp:anchor distT="0" distB="0" distL="114300" distR="114300" simplePos="0" relativeHeight="251678720" behindDoc="0" locked="0" layoutInCell="1" allowOverlap="1" wp14:anchorId="158906F4" wp14:editId="44DC7BEF">
              <wp:simplePos x="0" y="0"/>
              <wp:positionH relativeFrom="column">
                <wp:posOffset>-900430</wp:posOffset>
              </wp:positionH>
              <wp:positionV relativeFrom="paragraph">
                <wp:posOffset>300355</wp:posOffset>
              </wp:positionV>
              <wp:extent cx="1803400" cy="219075"/>
              <wp:effectExtent l="0" t="0" r="6350" b="952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70.9pt;margin-top:23.65pt;width:142pt;height:17.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ZJSDymMCAADMBAAADgAAAAAAAAAAAAAAAAAuAgAAZHJz&#10;L2Uyb0RvYy54bWxQSwECLQAUAAYACAAAACEAh1CjS+AAAAAKAQAADwAAAAAAAAAAAAAAAAC9BAAA&#10;ZHJzL2Rvd25yZXYueG1sUEsFBgAAAAAEAAQA8wAAAMoFAAAAAA==&#10;" fillcolor="#004194" stroked="f" strokeweight="2pt">
              <v:path arrowok="t"/>
            </v:rect>
          </w:pict>
        </mc:Fallback>
      </mc:AlternateContent>
    </w:r>
    <w:r>
      <w:rPr>
        <w:noProof/>
      </w:rPr>
      <mc:AlternateContent>
        <mc:Choice Requires="wps">
          <w:drawing>
            <wp:anchor distT="0" distB="0" distL="114300" distR="114300" simplePos="0" relativeHeight="251677696" behindDoc="0" locked="0" layoutInCell="1" allowOverlap="1" wp14:anchorId="598B49A1" wp14:editId="4F947C1B">
              <wp:simplePos x="0" y="0"/>
              <wp:positionH relativeFrom="column">
                <wp:posOffset>140970</wp:posOffset>
              </wp:positionH>
              <wp:positionV relativeFrom="paragraph">
                <wp:posOffset>249555</wp:posOffset>
              </wp:positionV>
              <wp:extent cx="5473700" cy="4445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0" cy="444500"/>
                      </a:xfrm>
                      <a:prstGeom prst="rect">
                        <a:avLst/>
                      </a:prstGeom>
                      <a:noFill/>
                      <a:ln w="9525">
                        <a:noFill/>
                        <a:miter lim="800000"/>
                        <a:headEnd/>
                        <a:tailEnd/>
                      </a:ln>
                    </wps:spPr>
                    <wps:txbx>
                      <w:txbxContent>
                        <w:p w:rsidR="00E201F7" w:rsidRDefault="00E24EFF">
                          <w:pPr>
                            <w:spacing w:after="0"/>
                            <w:jc w:val="center"/>
                            <w:rPr>
                              <w:rFonts w:ascii="Arial" w:hAnsi="Arial"/>
                              <w:color w:val="004194"/>
                              <w:sz w:val="20"/>
                            </w:rPr>
                          </w:pPr>
                          <w:r>
                            <w:rPr>
                              <w:rFonts w:ascii="Arial" w:hAnsi="Arial"/>
                              <w:color w:val="004194"/>
                              <w:sz w:val="20"/>
                            </w:rPr>
                            <w:t>Monitoring the application of European Union law</w:t>
                          </w:r>
                        </w:p>
                        <w:p w:rsidR="00E201F7" w:rsidRDefault="00E24EFF">
                          <w:pPr>
                            <w:spacing w:after="0"/>
                            <w:jc w:val="center"/>
                            <w:rPr>
                              <w:rFonts w:ascii="Arial" w:hAnsi="Arial"/>
                              <w:color w:val="004194"/>
                              <w:sz w:val="20"/>
                            </w:rPr>
                          </w:pPr>
                          <w:r>
                            <w:rPr>
                              <w:rFonts w:ascii="Arial" w:hAnsi="Arial"/>
                              <w:color w:val="004194"/>
                              <w:sz w:val="20"/>
                            </w:rPr>
                            <w:t>2017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9" type="#_x0000_t202" style="position:absolute;left:0;text-align:left;margin-left:11.1pt;margin-top:19.65pt;width:431pt;height: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" filled="f" stroked="f">
              <v:textbox>
                <w:txbxContent>
                  <w:p w:rsidR="00E201F7" w:rsidRDefault="00E24EFF">
                    <w:pPr>
                      <w:spacing w:after="0"/>
                      <w:jc w:val="center"/>
                      <w:rPr>
                        <w:rFonts w:ascii="Arial" w:hAnsi="Arial"/>
                        <w:color w:val="004194"/>
                        <w:sz w:val="20"/>
                      </w:rPr>
                    </w:pPr>
                    <w:r>
                      <w:rPr>
                        <w:rFonts w:ascii="Arial" w:hAnsi="Arial"/>
                        <w:color w:val="004194"/>
                        <w:sz w:val="20"/>
                      </w:rPr>
                      <w:t>Monitoring the application of European Union law</w:t>
                    </w:r>
                  </w:p>
                  <w:p w:rsidR="00E201F7" w:rsidRDefault="00E24EFF">
                    <w:pPr>
                      <w:spacing w:after="0"/>
                      <w:jc w:val="center"/>
                      <w:rPr>
                        <w:rFonts w:ascii="Arial" w:hAnsi="Arial"/>
                        <w:color w:val="004194"/>
                        <w:sz w:val="20"/>
                      </w:rPr>
                    </w:pPr>
                    <w:r>
                      <w:rPr>
                        <w:rFonts w:ascii="Arial" w:hAnsi="Arial"/>
                        <w:color w:val="004194"/>
                        <w:sz w:val="20"/>
                      </w:rPr>
                      <w:t>2017 Annual Report</w:t>
                    </w:r>
                  </w:p>
                </w:txbxContent>
              </v:textbox>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01F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pStyle w:val="Header"/>
      <w:jc w:val="center"/>
    </w:pPr>
    <w:r>
      <w:rPr>
        <w:noProof/>
      </w:rPr>
      <mc:AlternateContent>
        <mc:Choice Requires="wps">
          <w:drawing>
            <wp:anchor distT="0" distB="0" distL="114300" distR="114300" simplePos="0" relativeHeight="251708416" behindDoc="0" locked="0" layoutInCell="1" allowOverlap="1" wp14:anchorId="0F3C6E58" wp14:editId="1C61D9AC">
              <wp:simplePos x="0" y="0"/>
              <wp:positionH relativeFrom="column">
                <wp:posOffset>140970</wp:posOffset>
              </wp:positionH>
              <wp:positionV relativeFrom="paragraph">
                <wp:posOffset>252730</wp:posOffset>
              </wp:positionV>
              <wp:extent cx="5474335" cy="771525"/>
              <wp:effectExtent l="0" t="0" r="0" b="0"/>
              <wp:wrapNone/>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771525"/>
                      </a:xfrm>
                      <a:prstGeom prst="rect">
                        <a:avLst/>
                      </a:prstGeom>
                      <a:noFill/>
                      <a:ln w="9525">
                        <a:noFill/>
                        <a:miter lim="800000"/>
                        <a:headEnd/>
                        <a:tailEnd/>
                      </a:ln>
                    </wps:spPr>
                    <wps:txbx>
                      <w:txbxContent>
                        <w:p w:rsidR="00E201F7" w:rsidRDefault="00E201F7">
                          <w:pPr>
                            <w:spacing w:after="0"/>
                            <w:jc w:val="center"/>
                            <w:rPr>
                              <w:rFonts w:cs="Arial"/>
                              <w:b/>
                              <w:color w:val="A6A6A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1pt;margin-top:19.9pt;width:431.05pt;height:60.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" filled="f" stroked="f">
              <v:textbox>
                <w:txbxContent>
                  <w:p w:rsidR="00E201F7" w:rsidRDefault="00E201F7">
                    <w:pPr>
                      <w:spacing w:after="0"/>
                      <w:jc w:val="center"/>
                      <w:rPr>
                        <w:rFonts w:cs="Arial"/>
                        <w:b/>
                        <w:color w:val="A6A6A6"/>
                      </w:rPr>
                    </w:pPr>
                  </w:p>
                </w:txbxContent>
              </v:textbox>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tabs>
        <w:tab w:val="center" w:pos="4153"/>
        <w:tab w:val="left" w:pos="7513"/>
        <w:tab w:val="right" w:pos="8306"/>
      </w:tabs>
      <w:spacing w:after="0"/>
      <w:ind w:left="4153" w:hanging="4153"/>
      <w:jc w:val="center"/>
    </w:pPr>
    <w:r>
      <w:rPr>
        <w:noProof/>
      </w:rPr>
      <mc:AlternateContent>
        <mc:Choice Requires="wps">
          <w:drawing>
            <wp:anchor distT="0" distB="0" distL="114300" distR="114300" simplePos="0" relativeHeight="251614208" behindDoc="0" locked="0" layoutInCell="1" allowOverlap="1">
              <wp:simplePos x="0" y="0"/>
              <wp:positionH relativeFrom="column">
                <wp:posOffset>4814570</wp:posOffset>
              </wp:positionH>
              <wp:positionV relativeFrom="paragraph">
                <wp:posOffset>300355</wp:posOffset>
              </wp:positionV>
              <wp:extent cx="1835150" cy="219075"/>
              <wp:effectExtent l="0" t="0" r="0" b="952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2" o:spid="_x0000_s1026" style="position:absolute;margin-left:379.1pt;margin-top:23.65pt;width:144.5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" fillcolor="#004194" stroked="f" strokeweight="2pt">
              <v:path arrowok="t"/>
            </v:rect>
          </w:pict>
        </mc:Fallback>
      </mc:AlternateContent>
    </w:r>
    <w:r>
      <w:rPr>
        <w:noProof/>
      </w:rPr>
      <mc:AlternateContent>
        <mc:Choice Requires="wps">
          <w:drawing>
            <wp:anchor distT="0" distB="0" distL="114300" distR="114300" simplePos="0" relativeHeight="251612160"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70.9pt;margin-top:23.65pt;width:142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yL9kSWMCAADMBAAADgAAAAAAAAAAAAAAAAAuAgAAZHJz&#10;L2Uyb0RvYy54bWxQSwECLQAUAAYACAAAACEAh1CjS+AAAAAKAQAADwAAAAAAAAAAAAAAAAC9BAAA&#10;ZHJzL2Rvd25yZXYueG1sUEsFBgAAAAAEAAQA8wAAAMoFAAAAAA==&#10;" fillcolor="#004194" stroked="f" strokeweight="2pt">
              <v:path arrowok="t"/>
            </v:rect>
          </w:pict>
        </mc:Fallback>
      </mc:AlternateContent>
    </w:r>
  </w:p>
  <w:p w:rsidR="00E201F7" w:rsidRDefault="00E24EFF">
    <w:pPr>
      <w:pStyle w:val="Header"/>
    </w:pPr>
    <w:r>
      <w:rPr>
        <w:noProof/>
      </w:rPr>
      <mc:AlternateContent>
        <mc:Choice Requires="wps">
          <w:drawing>
            <wp:anchor distT="0" distB="0" distL="114300" distR="114300" simplePos="0" relativeHeight="251610112" behindDoc="0" locked="0" layoutInCell="1" allowOverlap="1">
              <wp:simplePos x="0" y="0"/>
              <wp:positionH relativeFrom="column">
                <wp:posOffset>138430</wp:posOffset>
              </wp:positionH>
              <wp:positionV relativeFrom="paragraph">
                <wp:posOffset>73660</wp:posOffset>
              </wp:positionV>
              <wp:extent cx="5473700" cy="560705"/>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0" cy="560705"/>
                      </a:xfrm>
                      <a:prstGeom prst="rect">
                        <a:avLst/>
                      </a:prstGeom>
                      <a:noFill/>
                      <a:ln w="9525">
                        <a:noFill/>
                        <a:miter lim="800000"/>
                        <a:headEnd/>
                        <a:tailEnd/>
                      </a:ln>
                    </wps:spPr>
                    <wps:txbx>
                      <w:txbxContent>
                        <w:p w:rsidR="00E201F7" w:rsidRDefault="00E24EFF">
                          <w:pPr>
                            <w:spacing w:after="0"/>
                            <w:jc w:val="center"/>
                            <w:rPr>
                              <w:rFonts w:ascii="Arial" w:hAnsi="Arial"/>
                              <w:color w:val="004194"/>
                              <w:sz w:val="20"/>
                            </w:rPr>
                          </w:pPr>
                          <w:r>
                            <w:rPr>
                              <w:rFonts w:ascii="Arial" w:hAnsi="Arial"/>
                              <w:color w:val="004194"/>
                              <w:sz w:val="20"/>
                            </w:rPr>
                            <w:t xml:space="preserve">Monitoring the </w:t>
                          </w:r>
                          <w:r>
                            <w:rPr>
                              <w:rFonts w:ascii="Arial" w:hAnsi="Arial"/>
                              <w:color w:val="004194"/>
                              <w:sz w:val="20"/>
                            </w:rPr>
                            <w:t>Application of European Union Law</w:t>
                          </w:r>
                        </w:p>
                        <w:p w:rsidR="00E201F7" w:rsidRDefault="00E24EFF">
                          <w:pPr>
                            <w:spacing w:after="0"/>
                            <w:jc w:val="center"/>
                            <w:rPr>
                              <w:rFonts w:ascii="Arial" w:hAnsi="Arial"/>
                              <w:color w:val="004194"/>
                              <w:sz w:val="20"/>
                            </w:rPr>
                          </w:pPr>
                          <w:r>
                            <w:rPr>
                              <w:rFonts w:ascii="Arial" w:hAnsi="Arial"/>
                              <w:color w:val="004194"/>
                              <w:sz w:val="20"/>
                            </w:rPr>
                            <w:t>2017 Annual Report</w:t>
                          </w:r>
                        </w:p>
                        <w:p w:rsidR="00E201F7" w:rsidRDefault="00E24EFF">
                          <w:pPr>
                            <w:spacing w:after="0"/>
                            <w:jc w:val="center"/>
                            <w:rPr>
                              <w:rFonts w:cs="Arial"/>
                              <w:b/>
                              <w:color w:val="A6A6A6"/>
                            </w:rPr>
                          </w:pPr>
                          <w:r>
                            <w:rPr>
                              <w:color w:val="A6A6A6"/>
                            </w:rPr>
                            <w:t>Methodology and explanations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0" type="#_x0000_t202" style="position:absolute;left:0;text-align:left;margin-left:10.9pt;margin-top:5.8pt;width:431pt;height:44.1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" filled="f" stroked="f">
              <v:textbox>
                <w:txbxContent>
                  <w:p w:rsidR="00E201F7" w:rsidRDefault="00E24EFF">
                    <w:pPr>
                      <w:spacing w:after="0"/>
                      <w:jc w:val="center"/>
                      <w:rPr>
                        <w:rFonts w:ascii="Arial" w:hAnsi="Arial"/>
                        <w:color w:val="004194"/>
                        <w:sz w:val="20"/>
                      </w:rPr>
                    </w:pPr>
                    <w:r>
                      <w:rPr>
                        <w:rFonts w:ascii="Arial" w:hAnsi="Arial"/>
                        <w:color w:val="004194"/>
                        <w:sz w:val="20"/>
                      </w:rPr>
                      <w:t xml:space="preserve">Monitoring the </w:t>
                    </w:r>
                    <w:r>
                      <w:rPr>
                        <w:rFonts w:ascii="Arial" w:hAnsi="Arial"/>
                        <w:color w:val="004194"/>
                        <w:sz w:val="20"/>
                      </w:rPr>
                      <w:t>Application of European Union Law</w:t>
                    </w:r>
                  </w:p>
                  <w:p w:rsidR="00E201F7" w:rsidRDefault="00E24EFF">
                    <w:pPr>
                      <w:spacing w:after="0"/>
                      <w:jc w:val="center"/>
                      <w:rPr>
                        <w:rFonts w:ascii="Arial" w:hAnsi="Arial"/>
                        <w:color w:val="004194"/>
                        <w:sz w:val="20"/>
                      </w:rPr>
                    </w:pPr>
                    <w:r>
                      <w:rPr>
                        <w:rFonts w:ascii="Arial" w:hAnsi="Arial"/>
                        <w:color w:val="004194"/>
                        <w:sz w:val="20"/>
                      </w:rPr>
                      <w:t>2017 Annual Report</w:t>
                    </w:r>
                  </w:p>
                  <w:p w:rsidR="00E201F7" w:rsidRDefault="00E24EFF">
                    <w:pPr>
                      <w:spacing w:after="0"/>
                      <w:jc w:val="center"/>
                      <w:rPr>
                        <w:rFonts w:cs="Arial"/>
                        <w:b/>
                        <w:color w:val="A6A6A6"/>
                      </w:rPr>
                    </w:pPr>
                    <w:r>
                      <w:rPr>
                        <w:color w:val="A6A6A6"/>
                      </w:rPr>
                      <w:t>Methodology and explanations</w:t>
                    </w:r>
                  </w:p>
                </w:txbxContent>
              </v:textbox>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tabs>
        <w:tab w:val="center" w:pos="4153"/>
        <w:tab w:val="left" w:pos="7513"/>
        <w:tab w:val="right" w:pos="8306"/>
      </w:tabs>
      <w:spacing w:after="0"/>
      <w:ind w:left="4153" w:hanging="4153"/>
      <w:jc w:val="center"/>
    </w:pPr>
    <w:r>
      <w:rPr>
        <w:noProof/>
      </w:rPr>
      <mc:AlternateContent>
        <mc:Choice Requires="wps">
          <w:drawing>
            <wp:anchor distT="0" distB="0" distL="114300" distR="114300" simplePos="0" relativeHeight="251603968" behindDoc="0" locked="0" layoutInCell="1" allowOverlap="1">
              <wp:simplePos x="0" y="0"/>
              <wp:positionH relativeFrom="column">
                <wp:posOffset>144145</wp:posOffset>
              </wp:positionH>
              <wp:positionV relativeFrom="paragraph">
                <wp:posOffset>251460</wp:posOffset>
              </wp:positionV>
              <wp:extent cx="5473700" cy="57912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0" cy="579120"/>
                      </a:xfrm>
                      <a:prstGeom prst="rect">
                        <a:avLst/>
                      </a:prstGeom>
                      <a:noFill/>
                      <a:ln w="9525">
                        <a:noFill/>
                        <a:miter lim="800000"/>
                        <a:headEnd/>
                        <a:tailEnd/>
                      </a:ln>
                    </wps:spPr>
                    <wps:txbx>
                      <w:txbxContent>
                        <w:p w:rsidR="00E201F7" w:rsidRDefault="00E24EFF">
                          <w:pPr>
                            <w:spacing w:after="0"/>
                            <w:jc w:val="center"/>
                            <w:rPr>
                              <w:rFonts w:ascii="Arial" w:hAnsi="Arial"/>
                              <w:color w:val="004194"/>
                              <w:sz w:val="22"/>
                            </w:rPr>
                          </w:pPr>
                          <w:r>
                            <w:rPr>
                              <w:rFonts w:ascii="Arial" w:hAnsi="Arial"/>
                              <w:color w:val="004194"/>
                              <w:sz w:val="22"/>
                            </w:rPr>
                            <w:t>Monitoring the application of European Union law</w:t>
                          </w:r>
                        </w:p>
                        <w:p w:rsidR="00E201F7" w:rsidRDefault="00E24EFF">
                          <w:pPr>
                            <w:spacing w:after="0"/>
                            <w:jc w:val="center"/>
                            <w:rPr>
                              <w:rFonts w:ascii="Arial" w:hAnsi="Arial"/>
                              <w:color w:val="004194"/>
                              <w:sz w:val="22"/>
                            </w:rPr>
                          </w:pPr>
                          <w:r>
                            <w:rPr>
                              <w:rFonts w:ascii="Arial" w:hAnsi="Arial"/>
                              <w:color w:val="004194"/>
                              <w:sz w:val="22"/>
                            </w:rPr>
                            <w:t>2017 Annual Report</w:t>
                          </w:r>
                        </w:p>
                        <w:p w:rsidR="00E201F7" w:rsidRDefault="00E24EFF">
                          <w:pPr>
                            <w:spacing w:after="0"/>
                            <w:jc w:val="center"/>
                            <w:rPr>
                              <w:rFonts w:cs="Arial"/>
                              <w:b/>
                              <w:color w:val="A6A6A6"/>
                            </w:rPr>
                          </w:pPr>
                          <w:r>
                            <w:rPr>
                              <w:color w:val="A6A6A6"/>
                            </w:rPr>
                            <w:t>Methodology and explanations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1" type="#_x0000_t202" style="position:absolute;left:0;text-align:left;margin-left:11.35pt;margin-top:19.8pt;width:431pt;height:45.6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" filled="f" stroked="f">
              <v:textbox>
                <w:txbxContent>
                  <w:p w:rsidR="00E201F7" w:rsidRDefault="00E24EFF">
                    <w:pPr>
                      <w:spacing w:after="0"/>
                      <w:jc w:val="center"/>
                      <w:rPr>
                        <w:rFonts w:ascii="Arial" w:hAnsi="Arial"/>
                        <w:color w:val="004194"/>
                        <w:sz w:val="22"/>
                      </w:rPr>
                    </w:pPr>
                    <w:r>
                      <w:rPr>
                        <w:rFonts w:ascii="Arial" w:hAnsi="Arial"/>
                        <w:color w:val="004194"/>
                        <w:sz w:val="22"/>
                      </w:rPr>
                      <w:t>Monitoring the application of European Union law</w:t>
                    </w:r>
                  </w:p>
                  <w:p w:rsidR="00E201F7" w:rsidRDefault="00E24EFF">
                    <w:pPr>
                      <w:spacing w:after="0"/>
                      <w:jc w:val="center"/>
                      <w:rPr>
                        <w:rFonts w:ascii="Arial" w:hAnsi="Arial"/>
                        <w:color w:val="004194"/>
                        <w:sz w:val="22"/>
                      </w:rPr>
                    </w:pPr>
                    <w:r>
                      <w:rPr>
                        <w:rFonts w:ascii="Arial" w:hAnsi="Arial"/>
                        <w:color w:val="004194"/>
                        <w:sz w:val="22"/>
                      </w:rPr>
                      <w:t>2017 Annual Report</w:t>
                    </w:r>
                  </w:p>
                  <w:p w:rsidR="00E201F7" w:rsidRDefault="00E24EFF">
                    <w:pPr>
                      <w:spacing w:after="0"/>
                      <w:jc w:val="center"/>
                      <w:rPr>
                        <w:rFonts w:cs="Arial"/>
                        <w:b/>
                        <w:color w:val="A6A6A6"/>
                      </w:rPr>
                    </w:pPr>
                    <w:r>
                      <w:rPr>
                        <w:color w:val="A6A6A6"/>
                      </w:rPr>
                      <w:t>Methodology and explanations</w:t>
                    </w:r>
                  </w:p>
                </w:txbxContent>
              </v:textbox>
            </v:shape>
          </w:pict>
        </mc:Fallback>
      </mc:AlternateContent>
    </w:r>
    <w:r>
      <w:rPr>
        <w:noProof/>
      </w:rPr>
      <mc:AlternateContent>
        <mc:Choice Requires="wps">
          <w:drawing>
            <wp:anchor distT="0" distB="0" distL="114300" distR="114300" simplePos="0" relativeHeight="251608064" behindDoc="0" locked="0" layoutInCell="1" allowOverlap="1">
              <wp:simplePos x="0" y="0"/>
              <wp:positionH relativeFrom="column">
                <wp:posOffset>4814570</wp:posOffset>
              </wp:positionH>
              <wp:positionV relativeFrom="paragraph">
                <wp:posOffset>300355</wp:posOffset>
              </wp:positionV>
              <wp:extent cx="1835150" cy="219075"/>
              <wp:effectExtent l="0" t="0" r="0" b="952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4" o:spid="_x0000_s1026" style="position:absolute;margin-left:379.1pt;margin-top:23.65pt;width:144.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" fillcolor="#004194" stroked="f" strokeweight="2pt">
              <v:path arrowok="t"/>
            </v:rect>
          </w:pict>
        </mc:Fallback>
      </mc:AlternateContent>
    </w:r>
    <w:r>
      <w:rPr>
        <w:noProof/>
      </w:rPr>
      <mc:AlternateContent>
        <mc:Choice Requires="wps">
          <w:drawing>
            <wp:anchor distT="0" distB="0" distL="114300" distR="114300" simplePos="0" relativeHeight="251606016"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70.9pt;margin-top:23.65pt;width:142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" fillcolor="#004194" stroked="f" strokeweight="2pt">
              <v:path arrowok="t"/>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pStyle w:val="Header"/>
      <w:tabs>
        <w:tab w:val="left" w:pos="7513"/>
      </w:tabs>
      <w:spacing w:after="0"/>
      <w:ind w:left="4153" w:hanging="4153"/>
      <w:jc w:val="center"/>
    </w:pPr>
    <w:r>
      <w:rPr>
        <w:noProof/>
      </w:rPr>
      <mc:AlternateContent>
        <mc:Choice Requires="wps">
          <w:drawing>
            <wp:anchor distT="0" distB="0" distL="114300" distR="114300" simplePos="0" relativeHeight="251709440" behindDoc="0" locked="0" layoutInCell="1" allowOverlap="1" wp14:anchorId="70E85BB2" wp14:editId="1D12AF0E">
              <wp:simplePos x="0" y="0"/>
              <wp:positionH relativeFrom="column">
                <wp:posOffset>-953770</wp:posOffset>
              </wp:positionH>
              <wp:positionV relativeFrom="paragraph">
                <wp:posOffset>219075</wp:posOffset>
              </wp:positionV>
              <wp:extent cx="7610475" cy="40894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0475" cy="408940"/>
                      </a:xfrm>
                      <a:prstGeom prst="rect">
                        <a:avLst/>
                      </a:prstGeom>
                      <a:noFill/>
                      <a:ln w="9525">
                        <a:noFill/>
                        <a:miter lim="800000"/>
                        <a:headEnd/>
                        <a:tailEnd/>
                      </a:ln>
                    </wps:spPr>
                    <wps:txbx>
                      <w:txbxContent>
                        <w:p w:rsidR="00E201F7" w:rsidRDefault="00E24EFF">
                          <w:pPr>
                            <w:tabs>
                              <w:tab w:val="left" w:pos="4111"/>
                            </w:tabs>
                            <w:spacing w:after="0"/>
                            <w:jc w:val="center"/>
                            <w:rPr>
                              <w:rFonts w:ascii="Arial" w:hAnsi="Arial" w:cs="Arial"/>
                              <w:color w:val="004194"/>
                              <w:sz w:val="18"/>
                              <w:szCs w:val="18"/>
                            </w:rPr>
                          </w:pPr>
                          <w:r>
                            <w:rPr>
                              <w:rFonts w:ascii="Arial" w:hAnsi="Arial" w:cs="Arial"/>
                              <w:color w:val="004194"/>
                              <w:sz w:val="18"/>
                              <w:szCs w:val="18"/>
                            </w:rPr>
                            <w:t>Monitoring the application of European Union law</w:t>
                          </w:r>
                        </w:p>
                        <w:p w:rsidR="00E201F7" w:rsidRDefault="00E24EFF">
                          <w:pPr>
                            <w:tabs>
                              <w:tab w:val="left" w:pos="4111"/>
                            </w:tabs>
                            <w:spacing w:after="0"/>
                            <w:jc w:val="center"/>
                            <w:rPr>
                              <w:rFonts w:ascii="Arial" w:hAnsi="Arial" w:cs="Arial"/>
                              <w:color w:val="004194"/>
                              <w:sz w:val="18"/>
                              <w:szCs w:val="18"/>
                            </w:rPr>
                          </w:pPr>
                          <w:r>
                            <w:rPr>
                              <w:rFonts w:ascii="Arial" w:hAnsi="Arial" w:cs="Arial"/>
                              <w:color w:val="004194"/>
                              <w:sz w:val="18"/>
                              <w:szCs w:val="18"/>
                            </w:rPr>
                            <w:t>2017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75.1pt;margin-top:17.25pt;width:599.25pt;height:32.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" filled="f" stroked="f">
              <v:textbox>
                <w:txbxContent>
                  <w:p w:rsidR="00E201F7" w:rsidRDefault="00E24EFF">
                    <w:pPr>
                      <w:tabs>
                        <w:tab w:val="left" w:pos="4111"/>
                      </w:tabs>
                      <w:spacing w:after="0"/>
                      <w:jc w:val="center"/>
                      <w:rPr>
                        <w:rFonts w:ascii="Arial" w:hAnsi="Arial" w:cs="Arial"/>
                        <w:color w:val="004194"/>
                        <w:sz w:val="18"/>
                        <w:szCs w:val="18"/>
                      </w:rPr>
                    </w:pPr>
                    <w:r>
                      <w:rPr>
                        <w:rFonts w:ascii="Arial" w:hAnsi="Arial" w:cs="Arial"/>
                        <w:color w:val="004194"/>
                        <w:sz w:val="18"/>
                        <w:szCs w:val="18"/>
                      </w:rPr>
                      <w:t>Monitoring the application of European Union law</w:t>
                    </w:r>
                  </w:p>
                  <w:p w:rsidR="00E201F7" w:rsidRDefault="00E24EFF">
                    <w:pPr>
                      <w:tabs>
                        <w:tab w:val="left" w:pos="4111"/>
                      </w:tabs>
                      <w:spacing w:after="0"/>
                      <w:jc w:val="center"/>
                      <w:rPr>
                        <w:rFonts w:ascii="Arial" w:hAnsi="Arial" w:cs="Arial"/>
                        <w:color w:val="004194"/>
                        <w:sz w:val="18"/>
                        <w:szCs w:val="18"/>
                      </w:rPr>
                    </w:pPr>
                    <w:r>
                      <w:rPr>
                        <w:rFonts w:ascii="Arial" w:hAnsi="Arial" w:cs="Arial"/>
                        <w:color w:val="004194"/>
                        <w:sz w:val="18"/>
                        <w:szCs w:val="18"/>
                      </w:rPr>
                      <w:t>2017 Annual Report</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70D27B6F" wp14:editId="55D638E0">
              <wp:simplePos x="0" y="0"/>
              <wp:positionH relativeFrom="column">
                <wp:posOffset>5043169</wp:posOffset>
              </wp:positionH>
              <wp:positionV relativeFrom="paragraph">
                <wp:posOffset>302895</wp:posOffset>
              </wp:positionV>
              <wp:extent cx="1616075" cy="219075"/>
              <wp:effectExtent l="0" t="0" r="3175" b="9525"/>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6075"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12" o:spid="_x0000_s1026" style="position:absolute;margin-left:397.1pt;margin-top:23.85pt;width:127.25pt;height:17.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" fillcolor="#004194" stroked="f" strokeweight="2pt">
              <v:path arrowok="t"/>
            </v:rect>
          </w:pict>
        </mc:Fallback>
      </mc:AlternateContent>
    </w:r>
    <w:r>
      <w:rPr>
        <w:noProof/>
      </w:rPr>
      <mc:AlternateContent>
        <mc:Choice Requires="wps">
          <w:drawing>
            <wp:anchor distT="0" distB="0" distL="114300" distR="114300" simplePos="0" relativeHeight="251710464" behindDoc="0" locked="0" layoutInCell="1" allowOverlap="1" wp14:anchorId="1650C444" wp14:editId="338624D8">
              <wp:simplePos x="0" y="0"/>
              <wp:positionH relativeFrom="column">
                <wp:posOffset>-900430</wp:posOffset>
              </wp:positionH>
              <wp:positionV relativeFrom="paragraph">
                <wp:posOffset>302895</wp:posOffset>
              </wp:positionV>
              <wp:extent cx="1691640" cy="219075"/>
              <wp:effectExtent l="0" t="0" r="3810" b="9525"/>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164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 o:spid="_x0000_s1026" style="position:absolute;margin-left:-70.9pt;margin-top:23.85pt;width:133.2pt;height:17.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" fillcolor="#004194" stroked="f" strokeweight="2pt">
              <v:path arrowok="t"/>
            </v:rect>
          </w:pict>
        </mc:Fallback>
      </mc:AlternateContent>
    </w:r>
    <w:r>
      <w:rPr>
        <w:noProof/>
      </w:rPr>
      <mc:AlternateContent>
        <mc:Choice Requires="wps">
          <w:drawing>
            <wp:anchor distT="0" distB="0" distL="114300" distR="114300" simplePos="0" relativeHeight="251712512" behindDoc="0" locked="0" layoutInCell="1" allowOverlap="1" wp14:anchorId="3C403887" wp14:editId="06C56684">
              <wp:simplePos x="0" y="0"/>
              <wp:positionH relativeFrom="column">
                <wp:posOffset>-900430</wp:posOffset>
              </wp:positionH>
              <wp:positionV relativeFrom="paragraph">
                <wp:posOffset>630555</wp:posOffset>
              </wp:positionV>
              <wp:extent cx="7559675" cy="45720"/>
              <wp:effectExtent l="0" t="19050" r="0" b="1143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E201F7" w:rsidRDefault="00E201F7">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0.9pt;margin-top:49.65pt;width:595.25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" filled="f" stroked="f">
              <v:textbox>
                <w:txbxContent>
                  <w:p w:rsidR="00E201F7" w:rsidRDefault="00E201F7">
                    <w:pPr>
                      <w:pStyle w:val="Priorities"/>
                      <w:ind w:right="555"/>
                      <w:jc w:val="both"/>
                      <w:rPr>
                        <w:color w:val="808080"/>
                        <w:lang w:val="de-DE"/>
                      </w:rPr>
                    </w:pP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01F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pStyle w:val="Header"/>
      <w:jc w:val="center"/>
    </w:pPr>
    <w:r>
      <w:rPr>
        <w:noProof/>
      </w:rPr>
      <mc:AlternateContent>
        <mc:Choice Requires="wps">
          <w:drawing>
            <wp:anchor distT="0" distB="0" distL="114300" distR="114300" simplePos="0" relativeHeight="251685888" behindDoc="0" locked="0" layoutInCell="1" allowOverlap="1" wp14:anchorId="5DFA96C4" wp14:editId="7176BB9C">
              <wp:simplePos x="0" y="0"/>
              <wp:positionH relativeFrom="column">
                <wp:posOffset>5005070</wp:posOffset>
              </wp:positionH>
              <wp:positionV relativeFrom="paragraph">
                <wp:posOffset>302895</wp:posOffset>
              </wp:positionV>
              <wp:extent cx="1659890" cy="219075"/>
              <wp:effectExtent l="0" t="0" r="0" b="952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989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8" o:spid="_x0000_s1026" style="position:absolute;margin-left:394.1pt;margin-top:23.85pt;width:130.7pt;height:17.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" fillcolor="#004194" stroked="f" strokeweight="2pt">
              <v:path arrowok="t"/>
            </v:rect>
          </w:pict>
        </mc:Fallback>
      </mc:AlternateContent>
    </w:r>
    <w:r>
      <w:rPr>
        <w:noProof/>
      </w:rPr>
      <mc:AlternateContent>
        <mc:Choice Requires="wps">
          <w:drawing>
            <wp:anchor distT="0" distB="0" distL="114300" distR="114300" simplePos="0" relativeHeight="251684864" behindDoc="0" locked="0" layoutInCell="1" allowOverlap="1" wp14:anchorId="73084AC7" wp14:editId="20299EEB">
              <wp:simplePos x="0" y="0"/>
              <wp:positionH relativeFrom="column">
                <wp:posOffset>-900430</wp:posOffset>
              </wp:positionH>
              <wp:positionV relativeFrom="paragraph">
                <wp:posOffset>302895</wp:posOffset>
              </wp:positionV>
              <wp:extent cx="1684020" cy="219075"/>
              <wp:effectExtent l="0" t="0" r="0" b="952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402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26" style="position:absolute;margin-left:-70.9pt;margin-top:23.85pt;width:132.6pt;height:17.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" fillcolor="#004194" stroked="f" strokeweight="2pt">
              <v:path arrowok="t"/>
            </v:rect>
          </w:pict>
        </mc:Fallback>
      </mc:AlternateContent>
    </w:r>
    <w:r>
      <w:rPr>
        <w:noProof/>
      </w:rPr>
      <mc:AlternateContent>
        <mc:Choice Requires="wps">
          <w:drawing>
            <wp:anchor distT="0" distB="0" distL="114300" distR="114300" simplePos="0" relativeHeight="251683840" behindDoc="0" locked="0" layoutInCell="1" allowOverlap="1" wp14:anchorId="77C26320" wp14:editId="7761C6F2">
              <wp:simplePos x="0" y="0"/>
              <wp:positionH relativeFrom="column">
                <wp:posOffset>140970</wp:posOffset>
              </wp:positionH>
              <wp:positionV relativeFrom="paragraph">
                <wp:posOffset>252730</wp:posOffset>
              </wp:positionV>
              <wp:extent cx="5474335" cy="771525"/>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771525"/>
                      </a:xfrm>
                      <a:prstGeom prst="rect">
                        <a:avLst/>
                      </a:prstGeom>
                      <a:noFill/>
                      <a:ln w="9525">
                        <a:noFill/>
                        <a:miter lim="800000"/>
                        <a:headEnd/>
                        <a:tailEnd/>
                      </a:ln>
                    </wps:spPr>
                    <wps:txbx>
                      <w:txbxContent>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2017 Annual Report</w:t>
                          </w:r>
                        </w:p>
                        <w:p w:rsidR="00E201F7" w:rsidRDefault="00E24EFF">
                          <w:pPr>
                            <w:spacing w:after="0"/>
                            <w:jc w:val="center"/>
                            <w:rPr>
                              <w:rFonts w:ascii="Arial" w:hAnsi="Arial" w:cs="Arial"/>
                              <w:b/>
                              <w:color w:val="A6A6A6"/>
                              <w:sz w:val="22"/>
                            </w:rPr>
                          </w:pPr>
                          <w:r>
                            <w:rPr>
                              <w:rFonts w:ascii="Arial" w:hAnsi="Arial" w:cs="Arial"/>
                              <w:color w:val="A6A6A6"/>
                              <w:sz w:val="22"/>
                            </w:rPr>
                            <w:t>Agriculture and rural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11.1pt;margin-top:19.9pt;width:431.05pt;height:6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" filled="f" stroked="f">
              <v:textbox>
                <w:txbxContent>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2017 Annual Report</w:t>
                    </w:r>
                  </w:p>
                  <w:p w:rsidR="00E201F7" w:rsidRDefault="00E24EFF">
                    <w:pPr>
                      <w:spacing w:after="0"/>
                      <w:jc w:val="center"/>
                      <w:rPr>
                        <w:rFonts w:ascii="Arial" w:hAnsi="Arial" w:cs="Arial"/>
                        <w:b/>
                        <w:color w:val="A6A6A6"/>
                        <w:sz w:val="22"/>
                      </w:rPr>
                    </w:pPr>
                    <w:r>
                      <w:rPr>
                        <w:rFonts w:ascii="Arial" w:hAnsi="Arial" w:cs="Arial"/>
                        <w:color w:val="A6A6A6"/>
                        <w:sz w:val="22"/>
                      </w:rPr>
                      <w:t>Agriculture and rural development</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F7" w:rsidRDefault="00E24EFF">
    <w:pPr>
      <w:pStyle w:val="Header"/>
      <w:tabs>
        <w:tab w:val="left" w:pos="7513"/>
      </w:tabs>
      <w:spacing w:after="0"/>
      <w:ind w:left="4153" w:hanging="4153"/>
      <w:jc w:val="center"/>
    </w:pPr>
    <w:r>
      <w:rPr>
        <w:noProof/>
      </w:rPr>
      <mc:AlternateContent>
        <mc:Choice Requires="wps">
          <w:drawing>
            <wp:anchor distT="0" distB="0" distL="114300" distR="114300" simplePos="0" relativeHeight="251607040" behindDoc="0" locked="0" layoutInCell="1" allowOverlap="1" wp14:anchorId="7D1A2992" wp14:editId="6FB9C963">
              <wp:simplePos x="0" y="0"/>
              <wp:positionH relativeFrom="column">
                <wp:posOffset>5043170</wp:posOffset>
              </wp:positionH>
              <wp:positionV relativeFrom="paragraph">
                <wp:posOffset>302895</wp:posOffset>
              </wp:positionV>
              <wp:extent cx="1614170" cy="219075"/>
              <wp:effectExtent l="0" t="0" r="5080" b="952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417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5" o:spid="_x0000_s1026" style="position:absolute;margin-left:397.1pt;margin-top:23.85pt;width:127.1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" fillcolor="#004194" stroked="f" strokeweight="2pt">
              <v:path arrowok="t"/>
            </v:rect>
          </w:pict>
        </mc:Fallback>
      </mc:AlternateContent>
    </w:r>
    <w:r>
      <w:rPr>
        <w:noProof/>
      </w:rPr>
      <mc:AlternateContent>
        <mc:Choice Requires="wps">
          <w:drawing>
            <wp:anchor distT="0" distB="0" distL="114300" distR="114300" simplePos="0" relativeHeight="251604992" behindDoc="0" locked="0" layoutInCell="1" allowOverlap="1" wp14:anchorId="456FC4D7" wp14:editId="6BDF38E8">
              <wp:simplePos x="0" y="0"/>
              <wp:positionH relativeFrom="column">
                <wp:posOffset>-900430</wp:posOffset>
              </wp:positionH>
              <wp:positionV relativeFrom="paragraph">
                <wp:posOffset>302895</wp:posOffset>
              </wp:positionV>
              <wp:extent cx="1691640" cy="219075"/>
              <wp:effectExtent l="0" t="0" r="3810" b="952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164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70.9pt;margin-top:23.85pt;width:133.2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" fillcolor="#004194" stroked="f" strokeweight="2pt">
              <v:path arrowok="t"/>
            </v:rect>
          </w:pict>
        </mc:Fallback>
      </mc:AlternateContent>
    </w:r>
    <w:r>
      <w:rPr>
        <w:noProof/>
      </w:rPr>
      <mc:AlternateContent>
        <mc:Choice Requires="wps">
          <w:drawing>
            <wp:anchor distT="0" distB="0" distL="114300" distR="114300" simplePos="0" relativeHeight="251609088" behindDoc="0" locked="0" layoutInCell="1" allowOverlap="1" wp14:anchorId="6D96FD16" wp14:editId="547828E8">
              <wp:simplePos x="0" y="0"/>
              <wp:positionH relativeFrom="column">
                <wp:posOffset>-900430</wp:posOffset>
              </wp:positionH>
              <wp:positionV relativeFrom="paragraph">
                <wp:posOffset>630555</wp:posOffset>
              </wp:positionV>
              <wp:extent cx="7559675" cy="45720"/>
              <wp:effectExtent l="0" t="19050" r="0" b="1143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E201F7" w:rsidRDefault="00E201F7">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70.9pt;margin-top:49.65pt;width:595.25pt;height:3.6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" filled="f" stroked="f">
              <v:textbox>
                <w:txbxContent>
                  <w:p w:rsidR="00E201F7" w:rsidRDefault="00E201F7">
                    <w:pPr>
                      <w:pStyle w:val="Priorities"/>
                      <w:ind w:right="555"/>
                      <w:jc w:val="both"/>
                      <w:rPr>
                        <w:color w:val="808080"/>
                        <w:lang w:val="de-DE"/>
                      </w:rPr>
                    </w:pPr>
                  </w:p>
                </w:txbxContent>
              </v:textbox>
            </v:shape>
          </w:pict>
        </mc:Fallback>
      </mc:AlternateContent>
    </w:r>
    <w:r>
      <w:rPr>
        <w:noProof/>
      </w:rPr>
      <mc:AlternateContent>
        <mc:Choice Requires="wps">
          <w:drawing>
            <wp:anchor distT="0" distB="0" distL="114300" distR="114300" simplePos="0" relativeHeight="251602944" behindDoc="0" locked="0" layoutInCell="1" allowOverlap="1" wp14:anchorId="20C6261F" wp14:editId="6CB144EE">
              <wp:simplePos x="0" y="0"/>
              <wp:positionH relativeFrom="column">
                <wp:posOffset>-900430</wp:posOffset>
              </wp:positionH>
              <wp:positionV relativeFrom="paragraph">
                <wp:posOffset>222250</wp:posOffset>
              </wp:positionV>
              <wp:extent cx="7557135" cy="40894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 xml:space="preserve">Monitoring the application of </w:t>
                          </w:r>
                          <w:r>
                            <w:rPr>
                              <w:rFonts w:ascii="Arial" w:hAnsi="Arial" w:cs="Arial"/>
                              <w:color w:val="004194"/>
                              <w:sz w:val="20"/>
                            </w:rPr>
                            <w:t>European Union law</w:t>
                          </w:r>
                        </w:p>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2017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70.9pt;margin-top:17.5pt;width:595.05pt;height:32.2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" filled="f" stroked="f">
              <v:textbox>
                <w:txbxContent>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 xml:space="preserve">Monitoring the application of </w:t>
                    </w:r>
                    <w:r>
                      <w:rPr>
                        <w:rFonts w:ascii="Arial" w:hAnsi="Arial" w:cs="Arial"/>
                        <w:color w:val="004194"/>
                        <w:sz w:val="20"/>
                      </w:rPr>
                      <w:t>European Union law</w:t>
                    </w:r>
                  </w:p>
                  <w:p w:rsidR="00E201F7" w:rsidRDefault="00E24EFF">
                    <w:pPr>
                      <w:tabs>
                        <w:tab w:val="left" w:pos="4111"/>
                      </w:tabs>
                      <w:spacing w:after="0"/>
                      <w:jc w:val="center"/>
                      <w:rPr>
                        <w:rFonts w:ascii="Arial" w:hAnsi="Arial" w:cs="Arial"/>
                        <w:color w:val="004194"/>
                        <w:sz w:val="20"/>
                      </w:rPr>
                    </w:pPr>
                    <w:r>
                      <w:rPr>
                        <w:rFonts w:ascii="Arial" w:hAnsi="Arial" w:cs="Arial"/>
                        <w:color w:val="004194"/>
                        <w:sz w:val="20"/>
                      </w:rPr>
                      <w:t>2017 Annual Report</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8092"/>
        </w:tabs>
        <w:ind w:left="80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0643B67"/>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4723EE5"/>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4795616"/>
    <w:multiLevelType w:val="hybridMultilevel"/>
    <w:tmpl w:val="324E631A"/>
    <w:lvl w:ilvl="0" w:tplc="63C05504">
      <w:start w:val="1"/>
      <w:numFmt w:val="decimal"/>
      <w:lvlText w:val="%1."/>
      <w:lvlJc w:val="left"/>
      <w:pPr>
        <w:ind w:left="720" w:hanging="360"/>
      </w:pPr>
      <w:rPr>
        <w:rFonts w:ascii="Arial" w:hAnsi="Arial" w:cs="Arial"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4BE2271"/>
    <w:multiLevelType w:val="hybridMultilevel"/>
    <w:tmpl w:val="80CC80F8"/>
    <w:lvl w:ilvl="0" w:tplc="5DF4D3AA">
      <w:start w:val="1"/>
      <w:numFmt w:val="lowerLetter"/>
      <w:lvlText w:val="%1)"/>
      <w:lvlJc w:val="left"/>
      <w:pPr>
        <w:ind w:left="1419" w:hanging="705"/>
      </w:pPr>
      <w:rPr>
        <w:rFonts w:hint="default"/>
        <w:b w:val="0"/>
      </w:r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6">
    <w:nsid w:val="05106359"/>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53E3A8A"/>
    <w:multiLevelType w:val="hybridMultilevel"/>
    <w:tmpl w:val="83340452"/>
    <w:lvl w:ilvl="0" w:tplc="5DF4D3AA">
      <w:start w:val="1"/>
      <w:numFmt w:val="lowerLetter"/>
      <w:lvlText w:val="%1)"/>
      <w:lvlJc w:val="left"/>
      <w:pPr>
        <w:ind w:left="1419" w:hanging="705"/>
      </w:pPr>
      <w:rPr>
        <w:rFonts w:hint="default"/>
        <w:b w:val="0"/>
      </w:rPr>
    </w:lvl>
    <w:lvl w:ilvl="1" w:tplc="08130019" w:tentative="1">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8">
    <w:nsid w:val="0770004C"/>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87C3C73"/>
    <w:multiLevelType w:val="hybridMultilevel"/>
    <w:tmpl w:val="83340452"/>
    <w:lvl w:ilvl="0" w:tplc="5DF4D3AA">
      <w:start w:val="1"/>
      <w:numFmt w:val="lowerLetter"/>
      <w:lvlText w:val="%1)"/>
      <w:lvlJc w:val="left"/>
      <w:pPr>
        <w:ind w:left="1419" w:hanging="705"/>
      </w:pPr>
      <w:rPr>
        <w:rFonts w:hint="default"/>
        <w:b w:val="0"/>
      </w:rPr>
    </w:lvl>
    <w:lvl w:ilvl="1" w:tplc="08130019" w:tentative="1">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10">
    <w:nsid w:val="0DD55A83"/>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E74356A"/>
    <w:multiLevelType w:val="hybridMultilevel"/>
    <w:tmpl w:val="61904FB2"/>
    <w:lvl w:ilvl="0" w:tplc="08090001">
      <w:start w:val="1"/>
      <w:numFmt w:val="bullet"/>
      <w:lvlText w:val=""/>
      <w:lvlJc w:val="left"/>
      <w:pPr>
        <w:ind w:left="2066" w:hanging="360"/>
      </w:pPr>
      <w:rPr>
        <w:rFonts w:ascii="Symbol" w:hAnsi="Symbol" w:hint="default"/>
      </w:rPr>
    </w:lvl>
    <w:lvl w:ilvl="1" w:tplc="08090003">
      <w:start w:val="1"/>
      <w:numFmt w:val="bullet"/>
      <w:lvlText w:val="o"/>
      <w:lvlJc w:val="left"/>
      <w:pPr>
        <w:ind w:left="2786" w:hanging="360"/>
      </w:pPr>
      <w:rPr>
        <w:rFonts w:ascii="Courier New" w:hAnsi="Courier New" w:cs="Courier New" w:hint="default"/>
      </w:rPr>
    </w:lvl>
    <w:lvl w:ilvl="2" w:tplc="08090005" w:tentative="1">
      <w:start w:val="1"/>
      <w:numFmt w:val="bullet"/>
      <w:lvlText w:val=""/>
      <w:lvlJc w:val="left"/>
      <w:pPr>
        <w:ind w:left="3506" w:hanging="360"/>
      </w:pPr>
      <w:rPr>
        <w:rFonts w:ascii="Wingdings" w:hAnsi="Wingdings" w:hint="default"/>
      </w:rPr>
    </w:lvl>
    <w:lvl w:ilvl="3" w:tplc="08090001" w:tentative="1">
      <w:start w:val="1"/>
      <w:numFmt w:val="bullet"/>
      <w:lvlText w:val=""/>
      <w:lvlJc w:val="left"/>
      <w:pPr>
        <w:ind w:left="4226" w:hanging="360"/>
      </w:pPr>
      <w:rPr>
        <w:rFonts w:ascii="Symbol" w:hAnsi="Symbol" w:hint="default"/>
      </w:rPr>
    </w:lvl>
    <w:lvl w:ilvl="4" w:tplc="08090003" w:tentative="1">
      <w:start w:val="1"/>
      <w:numFmt w:val="bullet"/>
      <w:lvlText w:val="o"/>
      <w:lvlJc w:val="left"/>
      <w:pPr>
        <w:ind w:left="4946" w:hanging="360"/>
      </w:pPr>
      <w:rPr>
        <w:rFonts w:ascii="Courier New" w:hAnsi="Courier New" w:cs="Courier New" w:hint="default"/>
      </w:rPr>
    </w:lvl>
    <w:lvl w:ilvl="5" w:tplc="08090005" w:tentative="1">
      <w:start w:val="1"/>
      <w:numFmt w:val="bullet"/>
      <w:lvlText w:val=""/>
      <w:lvlJc w:val="left"/>
      <w:pPr>
        <w:ind w:left="5666" w:hanging="360"/>
      </w:pPr>
      <w:rPr>
        <w:rFonts w:ascii="Wingdings" w:hAnsi="Wingdings" w:hint="default"/>
      </w:rPr>
    </w:lvl>
    <w:lvl w:ilvl="6" w:tplc="08090001" w:tentative="1">
      <w:start w:val="1"/>
      <w:numFmt w:val="bullet"/>
      <w:lvlText w:val=""/>
      <w:lvlJc w:val="left"/>
      <w:pPr>
        <w:ind w:left="6386" w:hanging="360"/>
      </w:pPr>
      <w:rPr>
        <w:rFonts w:ascii="Symbol" w:hAnsi="Symbol" w:hint="default"/>
      </w:rPr>
    </w:lvl>
    <w:lvl w:ilvl="7" w:tplc="08090003" w:tentative="1">
      <w:start w:val="1"/>
      <w:numFmt w:val="bullet"/>
      <w:lvlText w:val="o"/>
      <w:lvlJc w:val="left"/>
      <w:pPr>
        <w:ind w:left="7106" w:hanging="360"/>
      </w:pPr>
      <w:rPr>
        <w:rFonts w:ascii="Courier New" w:hAnsi="Courier New" w:cs="Courier New" w:hint="default"/>
      </w:rPr>
    </w:lvl>
    <w:lvl w:ilvl="8" w:tplc="08090005" w:tentative="1">
      <w:start w:val="1"/>
      <w:numFmt w:val="bullet"/>
      <w:lvlText w:val=""/>
      <w:lvlJc w:val="left"/>
      <w:pPr>
        <w:ind w:left="7826" w:hanging="360"/>
      </w:pPr>
      <w:rPr>
        <w:rFonts w:ascii="Wingdings" w:hAnsi="Wingdings" w:hint="default"/>
      </w:rPr>
    </w:lvl>
  </w:abstractNum>
  <w:abstractNum w:abstractNumId="12">
    <w:nsid w:val="0F75379B"/>
    <w:multiLevelType w:val="hybridMultilevel"/>
    <w:tmpl w:val="80CC80F8"/>
    <w:lvl w:ilvl="0" w:tplc="5DF4D3AA">
      <w:start w:val="1"/>
      <w:numFmt w:val="lowerLetter"/>
      <w:lvlText w:val="%1)"/>
      <w:lvlJc w:val="left"/>
      <w:pPr>
        <w:ind w:left="1419" w:hanging="705"/>
      </w:pPr>
      <w:rPr>
        <w:rFonts w:hint="default"/>
        <w:b w:val="0"/>
      </w:r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13">
    <w:nsid w:val="101E0203"/>
    <w:multiLevelType w:val="hybridMultilevel"/>
    <w:tmpl w:val="80CC80F8"/>
    <w:lvl w:ilvl="0" w:tplc="5DF4D3AA">
      <w:start w:val="1"/>
      <w:numFmt w:val="lowerLetter"/>
      <w:lvlText w:val="%1)"/>
      <w:lvlJc w:val="left"/>
      <w:pPr>
        <w:ind w:left="1419" w:hanging="705"/>
      </w:pPr>
      <w:rPr>
        <w:rFonts w:hint="default"/>
        <w:b w:val="0"/>
      </w:r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14">
    <w:nsid w:val="1048426E"/>
    <w:multiLevelType w:val="hybridMultilevel"/>
    <w:tmpl w:val="F76EC6AC"/>
    <w:lvl w:ilvl="0" w:tplc="1DBAE22A">
      <w:start w:val="1"/>
      <w:numFmt w:val="bullet"/>
      <w:pStyle w:val="Bulletpoint1"/>
      <w:lvlText w:val=""/>
      <w:lvlJc w:val="left"/>
      <w:pPr>
        <w:ind w:left="717" w:hanging="360"/>
      </w:pPr>
      <w:rPr>
        <w:rFonts w:ascii="Symbol" w:hAnsi="Symbol" w:hint="default"/>
        <w:color w:val="00AE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07F112C"/>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11929A5"/>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1435EAA"/>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60C0AF8"/>
    <w:multiLevelType w:val="hybridMultilevel"/>
    <w:tmpl w:val="679413E6"/>
    <w:lvl w:ilvl="0" w:tplc="AE36BE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17913C18"/>
    <w:multiLevelType w:val="hybridMultilevel"/>
    <w:tmpl w:val="80CC80F8"/>
    <w:lvl w:ilvl="0" w:tplc="5DF4D3AA">
      <w:start w:val="1"/>
      <w:numFmt w:val="lowerLetter"/>
      <w:lvlText w:val="%1)"/>
      <w:lvlJc w:val="left"/>
      <w:pPr>
        <w:ind w:left="1419" w:hanging="705"/>
      </w:pPr>
      <w:rPr>
        <w:rFonts w:hint="default"/>
        <w:b w:val="0"/>
      </w:r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20">
    <w:nsid w:val="17913F37"/>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19580226"/>
    <w:multiLevelType w:val="hybridMultilevel"/>
    <w:tmpl w:val="80CC80F8"/>
    <w:lvl w:ilvl="0" w:tplc="5DF4D3AA">
      <w:start w:val="1"/>
      <w:numFmt w:val="lowerLetter"/>
      <w:lvlText w:val="%1)"/>
      <w:lvlJc w:val="left"/>
      <w:pPr>
        <w:ind w:left="1419" w:hanging="705"/>
      </w:pPr>
      <w:rPr>
        <w:rFonts w:hint="default"/>
        <w:b w:val="0"/>
      </w:r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22">
    <w:nsid w:val="198D62EA"/>
    <w:multiLevelType w:val="hybridMultilevel"/>
    <w:tmpl w:val="80CC80F8"/>
    <w:lvl w:ilvl="0" w:tplc="5DF4D3AA">
      <w:start w:val="1"/>
      <w:numFmt w:val="lowerLetter"/>
      <w:lvlText w:val="%1)"/>
      <w:lvlJc w:val="left"/>
      <w:pPr>
        <w:ind w:left="1419" w:hanging="705"/>
      </w:pPr>
      <w:rPr>
        <w:rFonts w:hint="default"/>
        <w:b w:val="0"/>
      </w:r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23">
    <w:nsid w:val="1A880460"/>
    <w:multiLevelType w:val="hybridMultilevel"/>
    <w:tmpl w:val="83340452"/>
    <w:lvl w:ilvl="0" w:tplc="5DF4D3AA">
      <w:start w:val="1"/>
      <w:numFmt w:val="lowerLetter"/>
      <w:lvlText w:val="%1)"/>
      <w:lvlJc w:val="left"/>
      <w:pPr>
        <w:ind w:left="1419" w:hanging="705"/>
      </w:pPr>
      <w:rPr>
        <w:rFonts w:hint="default"/>
        <w:b w:val="0"/>
      </w:rPr>
    </w:lvl>
    <w:lvl w:ilvl="1" w:tplc="08130019" w:tentative="1">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24">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1BC62A19"/>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1C703256"/>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1C8975B8"/>
    <w:multiLevelType w:val="hybridMultilevel"/>
    <w:tmpl w:val="BDDC4A1C"/>
    <w:lvl w:ilvl="0" w:tplc="08090001">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28">
    <w:nsid w:val="1E415FA5"/>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1F734306"/>
    <w:multiLevelType w:val="multilevel"/>
    <w:tmpl w:val="406E0E74"/>
    <w:lvl w:ilvl="0">
      <w:start w:val="1"/>
      <w:numFmt w:val="decimal"/>
      <w:lvlText w:val="%1."/>
      <w:lvlJc w:val="left"/>
      <w:pPr>
        <w:tabs>
          <w:tab w:val="num" w:pos="480"/>
        </w:tabs>
        <w:ind w:left="480"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1FEB2419"/>
    <w:multiLevelType w:val="hybridMultilevel"/>
    <w:tmpl w:val="F2E0013E"/>
    <w:lvl w:ilvl="0" w:tplc="A0C2CF64">
      <w:start w:val="1"/>
      <w:numFmt w:val="bullet"/>
      <w:lvlText w:val=""/>
      <w:lvlJc w:val="left"/>
      <w:pPr>
        <w:ind w:left="2137" w:hanging="360"/>
      </w:pPr>
      <w:rPr>
        <w:rFonts w:ascii="Symbol" w:hAnsi="Symbol" w:hint="default"/>
      </w:rPr>
    </w:lvl>
    <w:lvl w:ilvl="1" w:tplc="08090003" w:tentative="1">
      <w:start w:val="1"/>
      <w:numFmt w:val="bullet"/>
      <w:lvlText w:val="o"/>
      <w:lvlJc w:val="left"/>
      <w:pPr>
        <w:ind w:left="2857" w:hanging="360"/>
      </w:pPr>
      <w:rPr>
        <w:rFonts w:ascii="Courier New" w:hAnsi="Courier New" w:cs="Courier New" w:hint="default"/>
      </w:rPr>
    </w:lvl>
    <w:lvl w:ilvl="2" w:tplc="08090005" w:tentative="1">
      <w:start w:val="1"/>
      <w:numFmt w:val="bullet"/>
      <w:lvlText w:val=""/>
      <w:lvlJc w:val="left"/>
      <w:pPr>
        <w:ind w:left="3577" w:hanging="360"/>
      </w:pPr>
      <w:rPr>
        <w:rFonts w:ascii="Wingdings" w:hAnsi="Wingdings" w:hint="default"/>
      </w:rPr>
    </w:lvl>
    <w:lvl w:ilvl="3" w:tplc="08090001" w:tentative="1">
      <w:start w:val="1"/>
      <w:numFmt w:val="bullet"/>
      <w:lvlText w:val=""/>
      <w:lvlJc w:val="left"/>
      <w:pPr>
        <w:ind w:left="4297" w:hanging="360"/>
      </w:pPr>
      <w:rPr>
        <w:rFonts w:ascii="Symbol" w:hAnsi="Symbol" w:hint="default"/>
      </w:rPr>
    </w:lvl>
    <w:lvl w:ilvl="4" w:tplc="08090003" w:tentative="1">
      <w:start w:val="1"/>
      <w:numFmt w:val="bullet"/>
      <w:lvlText w:val="o"/>
      <w:lvlJc w:val="left"/>
      <w:pPr>
        <w:ind w:left="5017" w:hanging="360"/>
      </w:pPr>
      <w:rPr>
        <w:rFonts w:ascii="Courier New" w:hAnsi="Courier New" w:cs="Courier New" w:hint="default"/>
      </w:rPr>
    </w:lvl>
    <w:lvl w:ilvl="5" w:tplc="08090005" w:tentative="1">
      <w:start w:val="1"/>
      <w:numFmt w:val="bullet"/>
      <w:lvlText w:val=""/>
      <w:lvlJc w:val="left"/>
      <w:pPr>
        <w:ind w:left="5737" w:hanging="360"/>
      </w:pPr>
      <w:rPr>
        <w:rFonts w:ascii="Wingdings" w:hAnsi="Wingdings" w:hint="default"/>
      </w:rPr>
    </w:lvl>
    <w:lvl w:ilvl="6" w:tplc="08090001" w:tentative="1">
      <w:start w:val="1"/>
      <w:numFmt w:val="bullet"/>
      <w:lvlText w:val=""/>
      <w:lvlJc w:val="left"/>
      <w:pPr>
        <w:ind w:left="6457" w:hanging="360"/>
      </w:pPr>
      <w:rPr>
        <w:rFonts w:ascii="Symbol" w:hAnsi="Symbol" w:hint="default"/>
      </w:rPr>
    </w:lvl>
    <w:lvl w:ilvl="7" w:tplc="08090003" w:tentative="1">
      <w:start w:val="1"/>
      <w:numFmt w:val="bullet"/>
      <w:lvlText w:val="o"/>
      <w:lvlJc w:val="left"/>
      <w:pPr>
        <w:ind w:left="7177" w:hanging="360"/>
      </w:pPr>
      <w:rPr>
        <w:rFonts w:ascii="Courier New" w:hAnsi="Courier New" w:cs="Courier New" w:hint="default"/>
      </w:rPr>
    </w:lvl>
    <w:lvl w:ilvl="8" w:tplc="08090005" w:tentative="1">
      <w:start w:val="1"/>
      <w:numFmt w:val="bullet"/>
      <w:lvlText w:val=""/>
      <w:lvlJc w:val="left"/>
      <w:pPr>
        <w:ind w:left="7897" w:hanging="360"/>
      </w:pPr>
      <w:rPr>
        <w:rFonts w:ascii="Wingdings" w:hAnsi="Wingdings" w:hint="default"/>
      </w:rPr>
    </w:lvl>
  </w:abstractNum>
  <w:abstractNum w:abstractNumId="31">
    <w:nsid w:val="206D21AB"/>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2087237E"/>
    <w:multiLevelType w:val="hybridMultilevel"/>
    <w:tmpl w:val="679413E6"/>
    <w:lvl w:ilvl="0" w:tplc="AE36BE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211B3BEF"/>
    <w:multiLevelType w:val="hybridMultilevel"/>
    <w:tmpl w:val="679413E6"/>
    <w:lvl w:ilvl="0" w:tplc="AE36BE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23B2124B"/>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23B46CD0"/>
    <w:multiLevelType w:val="hybridMultilevel"/>
    <w:tmpl w:val="59EC4AFE"/>
    <w:lvl w:ilvl="0" w:tplc="08090001">
      <w:start w:val="1"/>
      <w:numFmt w:val="bullet"/>
      <w:lvlText w:val=""/>
      <w:lvlJc w:val="left"/>
      <w:pPr>
        <w:ind w:left="2495" w:hanging="360"/>
      </w:pPr>
      <w:rPr>
        <w:rFonts w:ascii="Symbol" w:hAnsi="Symbol" w:hint="default"/>
      </w:rPr>
    </w:lvl>
    <w:lvl w:ilvl="1" w:tplc="08090003" w:tentative="1">
      <w:start w:val="1"/>
      <w:numFmt w:val="bullet"/>
      <w:lvlText w:val="o"/>
      <w:lvlJc w:val="left"/>
      <w:pPr>
        <w:ind w:left="3215" w:hanging="360"/>
      </w:pPr>
      <w:rPr>
        <w:rFonts w:ascii="Courier New" w:hAnsi="Courier New" w:cs="Courier New" w:hint="default"/>
      </w:rPr>
    </w:lvl>
    <w:lvl w:ilvl="2" w:tplc="08090005" w:tentative="1">
      <w:start w:val="1"/>
      <w:numFmt w:val="bullet"/>
      <w:lvlText w:val=""/>
      <w:lvlJc w:val="left"/>
      <w:pPr>
        <w:ind w:left="3935" w:hanging="360"/>
      </w:pPr>
      <w:rPr>
        <w:rFonts w:ascii="Wingdings" w:hAnsi="Wingdings" w:hint="default"/>
      </w:rPr>
    </w:lvl>
    <w:lvl w:ilvl="3" w:tplc="08090001" w:tentative="1">
      <w:start w:val="1"/>
      <w:numFmt w:val="bullet"/>
      <w:lvlText w:val=""/>
      <w:lvlJc w:val="left"/>
      <w:pPr>
        <w:ind w:left="4655" w:hanging="360"/>
      </w:pPr>
      <w:rPr>
        <w:rFonts w:ascii="Symbol" w:hAnsi="Symbol" w:hint="default"/>
      </w:rPr>
    </w:lvl>
    <w:lvl w:ilvl="4" w:tplc="08090003" w:tentative="1">
      <w:start w:val="1"/>
      <w:numFmt w:val="bullet"/>
      <w:lvlText w:val="o"/>
      <w:lvlJc w:val="left"/>
      <w:pPr>
        <w:ind w:left="5375" w:hanging="360"/>
      </w:pPr>
      <w:rPr>
        <w:rFonts w:ascii="Courier New" w:hAnsi="Courier New" w:cs="Courier New" w:hint="default"/>
      </w:rPr>
    </w:lvl>
    <w:lvl w:ilvl="5" w:tplc="08090005" w:tentative="1">
      <w:start w:val="1"/>
      <w:numFmt w:val="bullet"/>
      <w:lvlText w:val=""/>
      <w:lvlJc w:val="left"/>
      <w:pPr>
        <w:ind w:left="6095" w:hanging="360"/>
      </w:pPr>
      <w:rPr>
        <w:rFonts w:ascii="Wingdings" w:hAnsi="Wingdings" w:hint="default"/>
      </w:rPr>
    </w:lvl>
    <w:lvl w:ilvl="6" w:tplc="08090001" w:tentative="1">
      <w:start w:val="1"/>
      <w:numFmt w:val="bullet"/>
      <w:lvlText w:val=""/>
      <w:lvlJc w:val="left"/>
      <w:pPr>
        <w:ind w:left="6815" w:hanging="360"/>
      </w:pPr>
      <w:rPr>
        <w:rFonts w:ascii="Symbol" w:hAnsi="Symbol" w:hint="default"/>
      </w:rPr>
    </w:lvl>
    <w:lvl w:ilvl="7" w:tplc="08090003" w:tentative="1">
      <w:start w:val="1"/>
      <w:numFmt w:val="bullet"/>
      <w:lvlText w:val="o"/>
      <w:lvlJc w:val="left"/>
      <w:pPr>
        <w:ind w:left="7535" w:hanging="360"/>
      </w:pPr>
      <w:rPr>
        <w:rFonts w:ascii="Courier New" w:hAnsi="Courier New" w:cs="Courier New" w:hint="default"/>
      </w:rPr>
    </w:lvl>
    <w:lvl w:ilvl="8" w:tplc="08090005" w:tentative="1">
      <w:start w:val="1"/>
      <w:numFmt w:val="bullet"/>
      <w:lvlText w:val=""/>
      <w:lvlJc w:val="left"/>
      <w:pPr>
        <w:ind w:left="8255" w:hanging="360"/>
      </w:pPr>
      <w:rPr>
        <w:rFonts w:ascii="Wingdings" w:hAnsi="Wingdings" w:hint="default"/>
      </w:rPr>
    </w:lvl>
  </w:abstractNum>
  <w:abstractNum w:abstractNumId="37">
    <w:nsid w:val="23C9183D"/>
    <w:multiLevelType w:val="hybridMultilevel"/>
    <w:tmpl w:val="679413E6"/>
    <w:lvl w:ilvl="0" w:tplc="AE36BE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25903639"/>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26356CFA"/>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26C74F4F"/>
    <w:multiLevelType w:val="hybridMultilevel"/>
    <w:tmpl w:val="96D261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nsid w:val="27AF0CC8"/>
    <w:multiLevelType w:val="hybridMultilevel"/>
    <w:tmpl w:val="679413E6"/>
    <w:lvl w:ilvl="0" w:tplc="AE36BE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29904303"/>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2A861A25"/>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2B144668"/>
    <w:multiLevelType w:val="hybridMultilevel"/>
    <w:tmpl w:val="83340452"/>
    <w:lvl w:ilvl="0" w:tplc="5DF4D3AA">
      <w:start w:val="1"/>
      <w:numFmt w:val="lowerLetter"/>
      <w:lvlText w:val="%1)"/>
      <w:lvlJc w:val="left"/>
      <w:pPr>
        <w:ind w:left="1419" w:hanging="705"/>
      </w:pPr>
      <w:rPr>
        <w:rFonts w:hint="default"/>
        <w:b w:val="0"/>
      </w:rPr>
    </w:lvl>
    <w:lvl w:ilvl="1" w:tplc="08130019" w:tentative="1">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45">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46">
    <w:nsid w:val="2B7F565A"/>
    <w:multiLevelType w:val="hybridMultilevel"/>
    <w:tmpl w:val="80CC80F8"/>
    <w:lvl w:ilvl="0" w:tplc="5DF4D3AA">
      <w:start w:val="1"/>
      <w:numFmt w:val="lowerLetter"/>
      <w:lvlText w:val="%1)"/>
      <w:lvlJc w:val="left"/>
      <w:pPr>
        <w:ind w:left="1419" w:hanging="705"/>
      </w:pPr>
      <w:rPr>
        <w:rFonts w:hint="default"/>
        <w:b w:val="0"/>
      </w:r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47">
    <w:nsid w:val="2BB60E30"/>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2C560A99"/>
    <w:multiLevelType w:val="multilevel"/>
    <w:tmpl w:val="C5481260"/>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nsid w:val="2D293CE3"/>
    <w:multiLevelType w:val="multilevel"/>
    <w:tmpl w:val="8D7C4D2A"/>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3"/>
        </w:tabs>
        <w:ind w:left="953" w:hanging="477"/>
      </w:pPr>
      <w:rPr>
        <w:rFonts w:hint="default"/>
      </w:rPr>
    </w:lvl>
    <w:lvl w:ilvl="2">
      <w:start w:val="1"/>
      <w:numFmt w:val="lowerRoman"/>
      <w:pStyle w:val="LegalNumPar3"/>
      <w:lvlText w:val="%3."/>
      <w:lvlJc w:val="left"/>
      <w:pPr>
        <w:tabs>
          <w:tab w:val="num" w:pos="1429"/>
        </w:tabs>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nsid w:val="305F5D84"/>
    <w:multiLevelType w:val="hybridMultilevel"/>
    <w:tmpl w:val="7DD0F3E4"/>
    <w:lvl w:ilvl="0" w:tplc="367A2F80">
      <w:start w:val="1"/>
      <w:numFmt w:val="bullet"/>
      <w:lvlText w:val=""/>
      <w:lvlJc w:val="left"/>
      <w:pPr>
        <w:ind w:left="1440" w:hanging="360"/>
      </w:pPr>
      <w:rPr>
        <w:rFonts w:ascii="Symbol" w:hAnsi="Symbol" w:hint="default"/>
        <w:sz w:val="20"/>
        <w:szCs w:val="2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nsid w:val="30736404"/>
    <w:multiLevelType w:val="hybridMultilevel"/>
    <w:tmpl w:val="81A4F8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3">
    <w:nsid w:val="317F1D7C"/>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32CA24F5"/>
    <w:multiLevelType w:val="hybridMultilevel"/>
    <w:tmpl w:val="464E8E90"/>
    <w:lvl w:ilvl="0" w:tplc="08090001">
      <w:start w:val="1"/>
      <w:numFmt w:val="bullet"/>
      <w:lvlText w:val=""/>
      <w:lvlJc w:val="left"/>
      <w:pPr>
        <w:ind w:left="2520" w:hanging="360"/>
      </w:pPr>
      <w:rPr>
        <w:rFonts w:ascii="Symbol" w:hAnsi="Symbol" w:hint="default"/>
      </w:rPr>
    </w:lvl>
    <w:lvl w:ilvl="1" w:tplc="08090003">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55">
    <w:nsid w:val="32F64FFF"/>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57">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8">
    <w:nsid w:val="37980C0C"/>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38B9570D"/>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39A77A08"/>
    <w:multiLevelType w:val="hybridMultilevel"/>
    <w:tmpl w:val="91866382"/>
    <w:lvl w:ilvl="0" w:tplc="08090001">
      <w:start w:val="1"/>
      <w:numFmt w:val="bullet"/>
      <w:lvlText w:val=""/>
      <w:lvlJc w:val="left"/>
      <w:pPr>
        <w:ind w:left="1440" w:hanging="360"/>
      </w:pPr>
      <w:rPr>
        <w:rFonts w:ascii="Symbol" w:hAnsi="Symbol" w:hint="default"/>
      </w:rPr>
    </w:lvl>
    <w:lvl w:ilvl="1" w:tplc="995E2D6E">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1">
    <w:nsid w:val="3A8F518E"/>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63">
    <w:nsid w:val="3B4D3131"/>
    <w:multiLevelType w:val="hybridMultilevel"/>
    <w:tmpl w:val="3BFEDBC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4">
    <w:nsid w:val="3BBC5448"/>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3BBF53B7"/>
    <w:multiLevelType w:val="hybridMultilevel"/>
    <w:tmpl w:val="5DC83F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6">
    <w:nsid w:val="3BD47E2A"/>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3C885C77"/>
    <w:multiLevelType w:val="hybridMultilevel"/>
    <w:tmpl w:val="80CC80F8"/>
    <w:lvl w:ilvl="0" w:tplc="5DF4D3AA">
      <w:start w:val="1"/>
      <w:numFmt w:val="lowerLetter"/>
      <w:lvlText w:val="%1)"/>
      <w:lvlJc w:val="left"/>
      <w:pPr>
        <w:ind w:left="1419" w:hanging="705"/>
      </w:pPr>
      <w:rPr>
        <w:rFonts w:hint="default"/>
        <w:b w:val="0"/>
      </w:r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68">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69">
    <w:nsid w:val="3E005375"/>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3EE75908"/>
    <w:multiLevelType w:val="hybridMultilevel"/>
    <w:tmpl w:val="80CC80F8"/>
    <w:lvl w:ilvl="0" w:tplc="5DF4D3AA">
      <w:start w:val="1"/>
      <w:numFmt w:val="lowerLetter"/>
      <w:lvlText w:val="%1)"/>
      <w:lvlJc w:val="left"/>
      <w:pPr>
        <w:ind w:left="1419" w:hanging="705"/>
      </w:pPr>
      <w:rPr>
        <w:rFonts w:hint="default"/>
        <w:b w:val="0"/>
      </w:r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71">
    <w:nsid w:val="3FC70734"/>
    <w:multiLevelType w:val="hybridMultilevel"/>
    <w:tmpl w:val="22B281EE"/>
    <w:lvl w:ilvl="0" w:tplc="08090017">
      <w:start w:val="1"/>
      <w:numFmt w:val="lowerLetter"/>
      <w:lvlText w:val="%1)"/>
      <w:lvlJc w:val="left"/>
      <w:pPr>
        <w:ind w:left="2203" w:hanging="360"/>
      </w:pPr>
      <w:rPr>
        <w:rFonts w:hint="default"/>
      </w:rPr>
    </w:lvl>
    <w:lvl w:ilvl="1" w:tplc="EDDCC440">
      <w:start w:val="1"/>
      <w:numFmt w:val="bullet"/>
      <w:lvlText w:val="o"/>
      <w:lvlJc w:val="left"/>
      <w:pPr>
        <w:ind w:left="2028" w:hanging="360"/>
      </w:pPr>
      <w:rPr>
        <w:rFonts w:ascii="Courier New" w:hAnsi="Courier New" w:cs="Courier New" w:hint="default"/>
      </w:rPr>
    </w:lvl>
    <w:lvl w:ilvl="2" w:tplc="08130005">
      <w:start w:val="1"/>
      <w:numFmt w:val="bullet"/>
      <w:lvlText w:val=""/>
      <w:lvlJc w:val="left"/>
      <w:pPr>
        <w:ind w:left="2748" w:hanging="360"/>
      </w:pPr>
      <w:rPr>
        <w:rFonts w:ascii="Wingdings" w:hAnsi="Wingdings" w:hint="default"/>
      </w:rPr>
    </w:lvl>
    <w:lvl w:ilvl="3" w:tplc="08130001" w:tentative="1">
      <w:start w:val="1"/>
      <w:numFmt w:val="bullet"/>
      <w:lvlText w:val=""/>
      <w:lvlJc w:val="left"/>
      <w:pPr>
        <w:ind w:left="3468" w:hanging="360"/>
      </w:pPr>
      <w:rPr>
        <w:rFonts w:ascii="Symbol" w:hAnsi="Symbol" w:hint="default"/>
      </w:rPr>
    </w:lvl>
    <w:lvl w:ilvl="4" w:tplc="08130003" w:tentative="1">
      <w:start w:val="1"/>
      <w:numFmt w:val="bullet"/>
      <w:lvlText w:val="o"/>
      <w:lvlJc w:val="left"/>
      <w:pPr>
        <w:ind w:left="4188" w:hanging="360"/>
      </w:pPr>
      <w:rPr>
        <w:rFonts w:ascii="Courier New" w:hAnsi="Courier New" w:cs="Courier New" w:hint="default"/>
      </w:rPr>
    </w:lvl>
    <w:lvl w:ilvl="5" w:tplc="08130005" w:tentative="1">
      <w:start w:val="1"/>
      <w:numFmt w:val="bullet"/>
      <w:lvlText w:val=""/>
      <w:lvlJc w:val="left"/>
      <w:pPr>
        <w:ind w:left="4908" w:hanging="360"/>
      </w:pPr>
      <w:rPr>
        <w:rFonts w:ascii="Wingdings" w:hAnsi="Wingdings" w:hint="default"/>
      </w:rPr>
    </w:lvl>
    <w:lvl w:ilvl="6" w:tplc="08130001" w:tentative="1">
      <w:start w:val="1"/>
      <w:numFmt w:val="bullet"/>
      <w:lvlText w:val=""/>
      <w:lvlJc w:val="left"/>
      <w:pPr>
        <w:ind w:left="5628" w:hanging="360"/>
      </w:pPr>
      <w:rPr>
        <w:rFonts w:ascii="Symbol" w:hAnsi="Symbol" w:hint="default"/>
      </w:rPr>
    </w:lvl>
    <w:lvl w:ilvl="7" w:tplc="08130003" w:tentative="1">
      <w:start w:val="1"/>
      <w:numFmt w:val="bullet"/>
      <w:lvlText w:val="o"/>
      <w:lvlJc w:val="left"/>
      <w:pPr>
        <w:ind w:left="6348" w:hanging="360"/>
      </w:pPr>
      <w:rPr>
        <w:rFonts w:ascii="Courier New" w:hAnsi="Courier New" w:cs="Courier New" w:hint="default"/>
      </w:rPr>
    </w:lvl>
    <w:lvl w:ilvl="8" w:tplc="08130005" w:tentative="1">
      <w:start w:val="1"/>
      <w:numFmt w:val="bullet"/>
      <w:lvlText w:val=""/>
      <w:lvlJc w:val="left"/>
      <w:pPr>
        <w:ind w:left="7068" w:hanging="360"/>
      </w:pPr>
      <w:rPr>
        <w:rFonts w:ascii="Wingdings" w:hAnsi="Wingdings" w:hint="default"/>
      </w:rPr>
    </w:lvl>
  </w:abstractNum>
  <w:abstractNum w:abstractNumId="72">
    <w:nsid w:val="40DB549A"/>
    <w:multiLevelType w:val="hybridMultilevel"/>
    <w:tmpl w:val="83340452"/>
    <w:lvl w:ilvl="0" w:tplc="5DF4D3AA">
      <w:start w:val="1"/>
      <w:numFmt w:val="lowerLetter"/>
      <w:lvlText w:val="%1)"/>
      <w:lvlJc w:val="left"/>
      <w:pPr>
        <w:ind w:left="1419" w:hanging="705"/>
      </w:pPr>
      <w:rPr>
        <w:rFonts w:hint="default"/>
        <w:b w:val="0"/>
      </w:rPr>
    </w:lvl>
    <w:lvl w:ilvl="1" w:tplc="08130019" w:tentative="1">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73">
    <w:nsid w:val="40F82FBD"/>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427D6544"/>
    <w:multiLevelType w:val="hybridMultilevel"/>
    <w:tmpl w:val="6114AC6E"/>
    <w:lvl w:ilvl="0" w:tplc="24BCC12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nsid w:val="42EF1343"/>
    <w:multiLevelType w:val="hybridMultilevel"/>
    <w:tmpl w:val="53DEC3D0"/>
    <w:lvl w:ilvl="0" w:tplc="A0C2CF64">
      <w:start w:val="1"/>
      <w:numFmt w:val="bullet"/>
      <w:lvlText w:val=""/>
      <w:lvlJc w:val="left"/>
      <w:pPr>
        <w:ind w:left="2160" w:hanging="360"/>
      </w:pPr>
      <w:rPr>
        <w:rFonts w:ascii="Symbol" w:hAnsi="Symbol" w:hint="default"/>
      </w:rPr>
    </w:lvl>
    <w:lvl w:ilvl="1" w:tplc="A0C2CF64">
      <w:start w:val="1"/>
      <w:numFmt w:val="bullet"/>
      <w:lvlText w:val=""/>
      <w:lvlJc w:val="left"/>
      <w:pPr>
        <w:ind w:left="2880" w:hanging="360"/>
      </w:pPr>
      <w:rPr>
        <w:rFonts w:ascii="Symbol" w:hAnsi="Symbol"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6">
    <w:nsid w:val="431F2BB7"/>
    <w:multiLevelType w:val="hybridMultilevel"/>
    <w:tmpl w:val="80CC80F8"/>
    <w:lvl w:ilvl="0" w:tplc="5DF4D3AA">
      <w:start w:val="1"/>
      <w:numFmt w:val="lowerLetter"/>
      <w:lvlText w:val="%1)"/>
      <w:lvlJc w:val="left"/>
      <w:pPr>
        <w:ind w:left="1419" w:hanging="705"/>
      </w:pPr>
      <w:rPr>
        <w:rFonts w:hint="default"/>
        <w:b w:val="0"/>
      </w:r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77">
    <w:nsid w:val="43251C9B"/>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nsid w:val="44E24EF6"/>
    <w:multiLevelType w:val="hybridMultilevel"/>
    <w:tmpl w:val="4E0EFCE2"/>
    <w:lvl w:ilvl="0" w:tplc="30DCDC42">
      <w:start w:val="1"/>
      <w:numFmt w:val="bullet"/>
      <w:lvlText w:val=""/>
      <w:lvlJc w:val="left"/>
      <w:pPr>
        <w:ind w:left="2160" w:hanging="360"/>
      </w:pPr>
      <w:rPr>
        <w:rFonts w:ascii="Symbol" w:hAnsi="Symbol" w:hint="default"/>
        <w:sz w:val="20"/>
        <w:szCs w:val="20"/>
      </w:rPr>
    </w:lvl>
    <w:lvl w:ilvl="1" w:tplc="08090001">
      <w:start w:val="1"/>
      <w:numFmt w:val="bullet"/>
      <w:lvlText w:val=""/>
      <w:lvlJc w:val="left"/>
      <w:pPr>
        <w:ind w:left="2880" w:hanging="360"/>
      </w:pPr>
      <w:rPr>
        <w:rFonts w:ascii="Symbol" w:hAnsi="Symbol"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9">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80">
    <w:nsid w:val="48DB34B8"/>
    <w:multiLevelType w:val="hybridMultilevel"/>
    <w:tmpl w:val="83340452"/>
    <w:lvl w:ilvl="0" w:tplc="5DF4D3AA">
      <w:start w:val="1"/>
      <w:numFmt w:val="lowerLetter"/>
      <w:lvlText w:val="%1)"/>
      <w:lvlJc w:val="left"/>
      <w:pPr>
        <w:ind w:left="1419" w:hanging="705"/>
      </w:pPr>
      <w:rPr>
        <w:rFonts w:hint="default"/>
        <w:b w:val="0"/>
      </w:rPr>
    </w:lvl>
    <w:lvl w:ilvl="1" w:tplc="08130019" w:tentative="1">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81">
    <w:nsid w:val="4A2D640D"/>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4A8F0ACC"/>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nsid w:val="4B4A1CE1"/>
    <w:multiLevelType w:val="hybridMultilevel"/>
    <w:tmpl w:val="2EEA4DF0"/>
    <w:lvl w:ilvl="0" w:tplc="508EE518">
      <w:start w:val="1"/>
      <w:numFmt w:val="bullet"/>
      <w:pStyle w:val="BulletPoint2"/>
      <w:lvlText w:val=""/>
      <w:lvlJc w:val="left"/>
      <w:pPr>
        <w:ind w:left="1080" w:hanging="360"/>
      </w:pPr>
      <w:rPr>
        <w:rFonts w:ascii="Symbol" w:hAnsi="Symbol" w:hint="default"/>
        <w:color w:val="7F7F7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4BC755A6"/>
    <w:multiLevelType w:val="hybridMultilevel"/>
    <w:tmpl w:val="138AD65C"/>
    <w:lvl w:ilvl="0" w:tplc="A0C2CF64">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5">
    <w:nsid w:val="4C0B0C9D"/>
    <w:multiLevelType w:val="hybridMultilevel"/>
    <w:tmpl w:val="105256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6">
    <w:nsid w:val="4C907484"/>
    <w:multiLevelType w:val="hybridMultilevel"/>
    <w:tmpl w:val="94D42FD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7">
    <w:nsid w:val="4CA23AE4"/>
    <w:multiLevelType w:val="hybridMultilevel"/>
    <w:tmpl w:val="12825C0C"/>
    <w:lvl w:ilvl="0" w:tplc="37B8FAA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nsid w:val="4D416E4E"/>
    <w:multiLevelType w:val="hybridMultilevel"/>
    <w:tmpl w:val="0A580D1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9">
    <w:nsid w:val="4D6D185B"/>
    <w:multiLevelType w:val="hybridMultilevel"/>
    <w:tmpl w:val="679413E6"/>
    <w:lvl w:ilvl="0" w:tplc="AE36BE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nsid w:val="4D7E2B99"/>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nsid w:val="4D876B71"/>
    <w:multiLevelType w:val="hybridMultilevel"/>
    <w:tmpl w:val="E460DD12"/>
    <w:lvl w:ilvl="0" w:tplc="A0C42ADE">
      <w:start w:val="1"/>
      <w:numFmt w:val="upperRoman"/>
      <w:pStyle w:val="Title1"/>
      <w:lvlText w:val="%1."/>
      <w:lvlJc w:val="right"/>
      <w:pPr>
        <w:ind w:left="4755"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nsid w:val="4E66689E"/>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nsid w:val="4E8D3084"/>
    <w:multiLevelType w:val="hybridMultilevel"/>
    <w:tmpl w:val="D8B4EFBA"/>
    <w:lvl w:ilvl="0" w:tplc="E83E1136">
      <w:start w:val="1"/>
      <w:numFmt w:val="decimal"/>
      <w:pStyle w:val="Title2"/>
      <w:lvlText w:val="%1.1"/>
      <w:lvlJc w:val="left"/>
      <w:pPr>
        <w:ind w:left="1202" w:hanging="360"/>
      </w:pPr>
      <w:rPr>
        <w:rFonts w:hint="default"/>
      </w:rPr>
    </w:lvl>
    <w:lvl w:ilvl="1" w:tplc="08130019" w:tentative="1">
      <w:start w:val="1"/>
      <w:numFmt w:val="lowerLetter"/>
      <w:lvlText w:val="%2."/>
      <w:lvlJc w:val="left"/>
      <w:pPr>
        <w:ind w:left="1922" w:hanging="360"/>
      </w:pPr>
    </w:lvl>
    <w:lvl w:ilvl="2" w:tplc="0813001B" w:tentative="1">
      <w:start w:val="1"/>
      <w:numFmt w:val="lowerRoman"/>
      <w:lvlText w:val="%3."/>
      <w:lvlJc w:val="right"/>
      <w:pPr>
        <w:ind w:left="2642" w:hanging="180"/>
      </w:pPr>
    </w:lvl>
    <w:lvl w:ilvl="3" w:tplc="0813000F" w:tentative="1">
      <w:start w:val="1"/>
      <w:numFmt w:val="decimal"/>
      <w:lvlText w:val="%4."/>
      <w:lvlJc w:val="left"/>
      <w:pPr>
        <w:ind w:left="3362" w:hanging="360"/>
      </w:pPr>
    </w:lvl>
    <w:lvl w:ilvl="4" w:tplc="08130019" w:tentative="1">
      <w:start w:val="1"/>
      <w:numFmt w:val="lowerLetter"/>
      <w:lvlText w:val="%5."/>
      <w:lvlJc w:val="left"/>
      <w:pPr>
        <w:ind w:left="4082" w:hanging="360"/>
      </w:pPr>
    </w:lvl>
    <w:lvl w:ilvl="5" w:tplc="0813001B" w:tentative="1">
      <w:start w:val="1"/>
      <w:numFmt w:val="lowerRoman"/>
      <w:lvlText w:val="%6."/>
      <w:lvlJc w:val="right"/>
      <w:pPr>
        <w:ind w:left="4802" w:hanging="180"/>
      </w:pPr>
    </w:lvl>
    <w:lvl w:ilvl="6" w:tplc="0813000F" w:tentative="1">
      <w:start w:val="1"/>
      <w:numFmt w:val="decimal"/>
      <w:lvlText w:val="%7."/>
      <w:lvlJc w:val="left"/>
      <w:pPr>
        <w:ind w:left="5522" w:hanging="360"/>
      </w:pPr>
    </w:lvl>
    <w:lvl w:ilvl="7" w:tplc="08130019" w:tentative="1">
      <w:start w:val="1"/>
      <w:numFmt w:val="lowerLetter"/>
      <w:lvlText w:val="%8."/>
      <w:lvlJc w:val="left"/>
      <w:pPr>
        <w:ind w:left="6242" w:hanging="360"/>
      </w:pPr>
    </w:lvl>
    <w:lvl w:ilvl="8" w:tplc="0813001B" w:tentative="1">
      <w:start w:val="1"/>
      <w:numFmt w:val="lowerRoman"/>
      <w:lvlText w:val="%9."/>
      <w:lvlJc w:val="right"/>
      <w:pPr>
        <w:ind w:left="6962" w:hanging="180"/>
      </w:pPr>
    </w:lvl>
  </w:abstractNum>
  <w:abstractNum w:abstractNumId="94">
    <w:nsid w:val="4EB778B8"/>
    <w:multiLevelType w:val="hybridMultilevel"/>
    <w:tmpl w:val="80CC80F8"/>
    <w:lvl w:ilvl="0" w:tplc="5DF4D3AA">
      <w:start w:val="1"/>
      <w:numFmt w:val="lowerLetter"/>
      <w:lvlText w:val="%1)"/>
      <w:lvlJc w:val="left"/>
      <w:pPr>
        <w:ind w:left="1419" w:hanging="705"/>
      </w:pPr>
      <w:rPr>
        <w:rFonts w:hint="default"/>
        <w:b w:val="0"/>
      </w:r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95">
    <w:nsid w:val="4EBF349D"/>
    <w:multiLevelType w:val="hybridMultilevel"/>
    <w:tmpl w:val="375E8F88"/>
    <w:lvl w:ilvl="0" w:tplc="08090001">
      <w:start w:val="1"/>
      <w:numFmt w:val="bullet"/>
      <w:lvlText w:val=""/>
      <w:lvlJc w:val="left"/>
      <w:pPr>
        <w:ind w:left="1779" w:hanging="360"/>
      </w:pPr>
      <w:rPr>
        <w:rFonts w:ascii="Symbol" w:hAnsi="Symbol" w:hint="default"/>
      </w:rPr>
    </w:lvl>
    <w:lvl w:ilvl="1" w:tplc="08090003" w:tentative="1">
      <w:start w:val="1"/>
      <w:numFmt w:val="bullet"/>
      <w:lvlText w:val="o"/>
      <w:lvlJc w:val="left"/>
      <w:pPr>
        <w:ind w:left="2499" w:hanging="360"/>
      </w:pPr>
      <w:rPr>
        <w:rFonts w:ascii="Courier New" w:hAnsi="Courier New" w:cs="Courier New" w:hint="default"/>
      </w:rPr>
    </w:lvl>
    <w:lvl w:ilvl="2" w:tplc="08090005" w:tentative="1">
      <w:start w:val="1"/>
      <w:numFmt w:val="bullet"/>
      <w:lvlText w:val=""/>
      <w:lvlJc w:val="left"/>
      <w:pPr>
        <w:ind w:left="3219" w:hanging="360"/>
      </w:pPr>
      <w:rPr>
        <w:rFonts w:ascii="Wingdings" w:hAnsi="Wingdings" w:hint="default"/>
      </w:rPr>
    </w:lvl>
    <w:lvl w:ilvl="3" w:tplc="08090001" w:tentative="1">
      <w:start w:val="1"/>
      <w:numFmt w:val="bullet"/>
      <w:lvlText w:val=""/>
      <w:lvlJc w:val="left"/>
      <w:pPr>
        <w:ind w:left="3939" w:hanging="360"/>
      </w:pPr>
      <w:rPr>
        <w:rFonts w:ascii="Symbol" w:hAnsi="Symbol" w:hint="default"/>
      </w:rPr>
    </w:lvl>
    <w:lvl w:ilvl="4" w:tplc="08090003" w:tentative="1">
      <w:start w:val="1"/>
      <w:numFmt w:val="bullet"/>
      <w:lvlText w:val="o"/>
      <w:lvlJc w:val="left"/>
      <w:pPr>
        <w:ind w:left="4659" w:hanging="360"/>
      </w:pPr>
      <w:rPr>
        <w:rFonts w:ascii="Courier New" w:hAnsi="Courier New" w:cs="Courier New" w:hint="default"/>
      </w:rPr>
    </w:lvl>
    <w:lvl w:ilvl="5" w:tplc="08090005" w:tentative="1">
      <w:start w:val="1"/>
      <w:numFmt w:val="bullet"/>
      <w:lvlText w:val=""/>
      <w:lvlJc w:val="left"/>
      <w:pPr>
        <w:ind w:left="5379" w:hanging="360"/>
      </w:pPr>
      <w:rPr>
        <w:rFonts w:ascii="Wingdings" w:hAnsi="Wingdings" w:hint="default"/>
      </w:rPr>
    </w:lvl>
    <w:lvl w:ilvl="6" w:tplc="08090001" w:tentative="1">
      <w:start w:val="1"/>
      <w:numFmt w:val="bullet"/>
      <w:lvlText w:val=""/>
      <w:lvlJc w:val="left"/>
      <w:pPr>
        <w:ind w:left="6099" w:hanging="360"/>
      </w:pPr>
      <w:rPr>
        <w:rFonts w:ascii="Symbol" w:hAnsi="Symbol" w:hint="default"/>
      </w:rPr>
    </w:lvl>
    <w:lvl w:ilvl="7" w:tplc="08090003" w:tentative="1">
      <w:start w:val="1"/>
      <w:numFmt w:val="bullet"/>
      <w:lvlText w:val="o"/>
      <w:lvlJc w:val="left"/>
      <w:pPr>
        <w:ind w:left="6819" w:hanging="360"/>
      </w:pPr>
      <w:rPr>
        <w:rFonts w:ascii="Courier New" w:hAnsi="Courier New" w:cs="Courier New" w:hint="default"/>
      </w:rPr>
    </w:lvl>
    <w:lvl w:ilvl="8" w:tplc="08090005" w:tentative="1">
      <w:start w:val="1"/>
      <w:numFmt w:val="bullet"/>
      <w:lvlText w:val=""/>
      <w:lvlJc w:val="left"/>
      <w:pPr>
        <w:ind w:left="7539" w:hanging="360"/>
      </w:pPr>
      <w:rPr>
        <w:rFonts w:ascii="Wingdings" w:hAnsi="Wingdings" w:hint="default"/>
      </w:rPr>
    </w:lvl>
  </w:abstractNum>
  <w:abstractNum w:abstractNumId="96">
    <w:nsid w:val="52F54A66"/>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nsid w:val="539B35BF"/>
    <w:multiLevelType w:val="hybridMultilevel"/>
    <w:tmpl w:val="2618E5F4"/>
    <w:lvl w:ilvl="0" w:tplc="08090001">
      <w:start w:val="1"/>
      <w:numFmt w:val="bullet"/>
      <w:lvlText w:val=""/>
      <w:lvlJc w:val="left"/>
      <w:pPr>
        <w:ind w:left="2132" w:hanging="360"/>
      </w:pPr>
      <w:rPr>
        <w:rFonts w:ascii="Symbol" w:hAnsi="Symbol" w:hint="default"/>
      </w:rPr>
    </w:lvl>
    <w:lvl w:ilvl="1" w:tplc="08090003" w:tentative="1">
      <w:start w:val="1"/>
      <w:numFmt w:val="bullet"/>
      <w:lvlText w:val="o"/>
      <w:lvlJc w:val="left"/>
      <w:pPr>
        <w:ind w:left="2852" w:hanging="360"/>
      </w:pPr>
      <w:rPr>
        <w:rFonts w:ascii="Courier New" w:hAnsi="Courier New" w:cs="Courier New" w:hint="default"/>
      </w:rPr>
    </w:lvl>
    <w:lvl w:ilvl="2" w:tplc="08090005" w:tentative="1">
      <w:start w:val="1"/>
      <w:numFmt w:val="bullet"/>
      <w:lvlText w:val=""/>
      <w:lvlJc w:val="left"/>
      <w:pPr>
        <w:ind w:left="3572" w:hanging="360"/>
      </w:pPr>
      <w:rPr>
        <w:rFonts w:ascii="Wingdings" w:hAnsi="Wingdings" w:hint="default"/>
      </w:rPr>
    </w:lvl>
    <w:lvl w:ilvl="3" w:tplc="08090001" w:tentative="1">
      <w:start w:val="1"/>
      <w:numFmt w:val="bullet"/>
      <w:lvlText w:val=""/>
      <w:lvlJc w:val="left"/>
      <w:pPr>
        <w:ind w:left="4292" w:hanging="360"/>
      </w:pPr>
      <w:rPr>
        <w:rFonts w:ascii="Symbol" w:hAnsi="Symbol" w:hint="default"/>
      </w:rPr>
    </w:lvl>
    <w:lvl w:ilvl="4" w:tplc="08090003" w:tentative="1">
      <w:start w:val="1"/>
      <w:numFmt w:val="bullet"/>
      <w:lvlText w:val="o"/>
      <w:lvlJc w:val="left"/>
      <w:pPr>
        <w:ind w:left="5012" w:hanging="360"/>
      </w:pPr>
      <w:rPr>
        <w:rFonts w:ascii="Courier New" w:hAnsi="Courier New" w:cs="Courier New" w:hint="default"/>
      </w:rPr>
    </w:lvl>
    <w:lvl w:ilvl="5" w:tplc="08090005" w:tentative="1">
      <w:start w:val="1"/>
      <w:numFmt w:val="bullet"/>
      <w:lvlText w:val=""/>
      <w:lvlJc w:val="left"/>
      <w:pPr>
        <w:ind w:left="5732" w:hanging="360"/>
      </w:pPr>
      <w:rPr>
        <w:rFonts w:ascii="Wingdings" w:hAnsi="Wingdings" w:hint="default"/>
      </w:rPr>
    </w:lvl>
    <w:lvl w:ilvl="6" w:tplc="08090001" w:tentative="1">
      <w:start w:val="1"/>
      <w:numFmt w:val="bullet"/>
      <w:lvlText w:val=""/>
      <w:lvlJc w:val="left"/>
      <w:pPr>
        <w:ind w:left="6452" w:hanging="360"/>
      </w:pPr>
      <w:rPr>
        <w:rFonts w:ascii="Symbol" w:hAnsi="Symbol" w:hint="default"/>
      </w:rPr>
    </w:lvl>
    <w:lvl w:ilvl="7" w:tplc="08090003" w:tentative="1">
      <w:start w:val="1"/>
      <w:numFmt w:val="bullet"/>
      <w:lvlText w:val="o"/>
      <w:lvlJc w:val="left"/>
      <w:pPr>
        <w:ind w:left="7172" w:hanging="360"/>
      </w:pPr>
      <w:rPr>
        <w:rFonts w:ascii="Courier New" w:hAnsi="Courier New" w:cs="Courier New" w:hint="default"/>
      </w:rPr>
    </w:lvl>
    <w:lvl w:ilvl="8" w:tplc="08090005" w:tentative="1">
      <w:start w:val="1"/>
      <w:numFmt w:val="bullet"/>
      <w:lvlText w:val=""/>
      <w:lvlJc w:val="left"/>
      <w:pPr>
        <w:ind w:left="7892" w:hanging="360"/>
      </w:pPr>
      <w:rPr>
        <w:rFonts w:ascii="Wingdings" w:hAnsi="Wingdings" w:hint="default"/>
      </w:rPr>
    </w:lvl>
  </w:abstractNum>
  <w:abstractNum w:abstractNumId="98">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99">
    <w:nsid w:val="551A11C0"/>
    <w:multiLevelType w:val="hybridMultilevel"/>
    <w:tmpl w:val="A38A6718"/>
    <w:lvl w:ilvl="0" w:tplc="5DF4D3AA">
      <w:start w:val="1"/>
      <w:numFmt w:val="lowerLetter"/>
      <w:lvlText w:val="%1)"/>
      <w:lvlJc w:val="left"/>
      <w:pPr>
        <w:ind w:left="1419" w:hanging="705"/>
      </w:pPr>
      <w:rPr>
        <w:rFonts w:hint="default"/>
        <w:b w:val="0"/>
      </w:r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100">
    <w:nsid w:val="565D7DFE"/>
    <w:multiLevelType w:val="hybridMultilevel"/>
    <w:tmpl w:val="12825C0C"/>
    <w:lvl w:ilvl="0" w:tplc="37B8FAA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nsid w:val="5767434B"/>
    <w:multiLevelType w:val="hybridMultilevel"/>
    <w:tmpl w:val="A6F0F8CC"/>
    <w:lvl w:ilvl="0" w:tplc="08090001">
      <w:start w:val="1"/>
      <w:numFmt w:val="bullet"/>
      <w:lvlText w:val=""/>
      <w:lvlJc w:val="left"/>
      <w:pPr>
        <w:ind w:left="3281" w:hanging="360"/>
      </w:pPr>
      <w:rPr>
        <w:rFonts w:ascii="Symbol" w:hAnsi="Symbol" w:hint="default"/>
      </w:rPr>
    </w:lvl>
    <w:lvl w:ilvl="1" w:tplc="08090003" w:tentative="1">
      <w:start w:val="1"/>
      <w:numFmt w:val="bullet"/>
      <w:lvlText w:val="o"/>
      <w:lvlJc w:val="left"/>
      <w:pPr>
        <w:ind w:left="4001" w:hanging="360"/>
      </w:pPr>
      <w:rPr>
        <w:rFonts w:ascii="Courier New" w:hAnsi="Courier New" w:cs="Courier New" w:hint="default"/>
      </w:rPr>
    </w:lvl>
    <w:lvl w:ilvl="2" w:tplc="08090005" w:tentative="1">
      <w:start w:val="1"/>
      <w:numFmt w:val="bullet"/>
      <w:lvlText w:val=""/>
      <w:lvlJc w:val="left"/>
      <w:pPr>
        <w:ind w:left="4721" w:hanging="360"/>
      </w:pPr>
      <w:rPr>
        <w:rFonts w:ascii="Wingdings" w:hAnsi="Wingdings" w:hint="default"/>
      </w:rPr>
    </w:lvl>
    <w:lvl w:ilvl="3" w:tplc="08090001" w:tentative="1">
      <w:start w:val="1"/>
      <w:numFmt w:val="bullet"/>
      <w:lvlText w:val=""/>
      <w:lvlJc w:val="left"/>
      <w:pPr>
        <w:ind w:left="5441" w:hanging="360"/>
      </w:pPr>
      <w:rPr>
        <w:rFonts w:ascii="Symbol" w:hAnsi="Symbol" w:hint="default"/>
      </w:rPr>
    </w:lvl>
    <w:lvl w:ilvl="4" w:tplc="08090003" w:tentative="1">
      <w:start w:val="1"/>
      <w:numFmt w:val="bullet"/>
      <w:lvlText w:val="o"/>
      <w:lvlJc w:val="left"/>
      <w:pPr>
        <w:ind w:left="6161" w:hanging="360"/>
      </w:pPr>
      <w:rPr>
        <w:rFonts w:ascii="Courier New" w:hAnsi="Courier New" w:cs="Courier New" w:hint="default"/>
      </w:rPr>
    </w:lvl>
    <w:lvl w:ilvl="5" w:tplc="08090005" w:tentative="1">
      <w:start w:val="1"/>
      <w:numFmt w:val="bullet"/>
      <w:lvlText w:val=""/>
      <w:lvlJc w:val="left"/>
      <w:pPr>
        <w:ind w:left="6881" w:hanging="360"/>
      </w:pPr>
      <w:rPr>
        <w:rFonts w:ascii="Wingdings" w:hAnsi="Wingdings" w:hint="default"/>
      </w:rPr>
    </w:lvl>
    <w:lvl w:ilvl="6" w:tplc="08090001" w:tentative="1">
      <w:start w:val="1"/>
      <w:numFmt w:val="bullet"/>
      <w:lvlText w:val=""/>
      <w:lvlJc w:val="left"/>
      <w:pPr>
        <w:ind w:left="7601" w:hanging="360"/>
      </w:pPr>
      <w:rPr>
        <w:rFonts w:ascii="Symbol" w:hAnsi="Symbol" w:hint="default"/>
      </w:rPr>
    </w:lvl>
    <w:lvl w:ilvl="7" w:tplc="08090003" w:tentative="1">
      <w:start w:val="1"/>
      <w:numFmt w:val="bullet"/>
      <w:lvlText w:val="o"/>
      <w:lvlJc w:val="left"/>
      <w:pPr>
        <w:ind w:left="8321" w:hanging="360"/>
      </w:pPr>
      <w:rPr>
        <w:rFonts w:ascii="Courier New" w:hAnsi="Courier New" w:cs="Courier New" w:hint="default"/>
      </w:rPr>
    </w:lvl>
    <w:lvl w:ilvl="8" w:tplc="08090005" w:tentative="1">
      <w:start w:val="1"/>
      <w:numFmt w:val="bullet"/>
      <w:lvlText w:val=""/>
      <w:lvlJc w:val="left"/>
      <w:pPr>
        <w:ind w:left="9041" w:hanging="360"/>
      </w:pPr>
      <w:rPr>
        <w:rFonts w:ascii="Wingdings" w:hAnsi="Wingdings" w:hint="default"/>
      </w:rPr>
    </w:lvl>
  </w:abstractNum>
  <w:abstractNum w:abstractNumId="102">
    <w:nsid w:val="58C716B9"/>
    <w:multiLevelType w:val="hybridMultilevel"/>
    <w:tmpl w:val="A3B01472"/>
    <w:lvl w:ilvl="0" w:tplc="58DA404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nsid w:val="5A274CAF"/>
    <w:multiLevelType w:val="hybridMultilevel"/>
    <w:tmpl w:val="80CC80F8"/>
    <w:lvl w:ilvl="0" w:tplc="5DF4D3AA">
      <w:start w:val="1"/>
      <w:numFmt w:val="lowerLetter"/>
      <w:lvlText w:val="%1)"/>
      <w:lvlJc w:val="left"/>
      <w:pPr>
        <w:ind w:left="1419" w:hanging="705"/>
      </w:pPr>
      <w:rPr>
        <w:rFonts w:hint="default"/>
        <w:b w:val="0"/>
      </w:r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104">
    <w:nsid w:val="5B1F6E21"/>
    <w:multiLevelType w:val="hybridMultilevel"/>
    <w:tmpl w:val="82D49930"/>
    <w:lvl w:ilvl="0" w:tplc="08090001">
      <w:start w:val="1"/>
      <w:numFmt w:val="bullet"/>
      <w:lvlText w:val=""/>
      <w:lvlJc w:val="left"/>
      <w:pPr>
        <w:ind w:left="2137" w:hanging="360"/>
      </w:pPr>
      <w:rPr>
        <w:rFonts w:ascii="Symbol" w:hAnsi="Symbol" w:hint="default"/>
      </w:rPr>
    </w:lvl>
    <w:lvl w:ilvl="1" w:tplc="08090003" w:tentative="1">
      <w:start w:val="1"/>
      <w:numFmt w:val="bullet"/>
      <w:lvlText w:val="o"/>
      <w:lvlJc w:val="left"/>
      <w:pPr>
        <w:ind w:left="2857" w:hanging="360"/>
      </w:pPr>
      <w:rPr>
        <w:rFonts w:ascii="Courier New" w:hAnsi="Courier New" w:cs="Courier New" w:hint="default"/>
      </w:rPr>
    </w:lvl>
    <w:lvl w:ilvl="2" w:tplc="08090005" w:tentative="1">
      <w:start w:val="1"/>
      <w:numFmt w:val="bullet"/>
      <w:lvlText w:val=""/>
      <w:lvlJc w:val="left"/>
      <w:pPr>
        <w:ind w:left="3577" w:hanging="360"/>
      </w:pPr>
      <w:rPr>
        <w:rFonts w:ascii="Wingdings" w:hAnsi="Wingdings" w:hint="default"/>
      </w:rPr>
    </w:lvl>
    <w:lvl w:ilvl="3" w:tplc="08090001" w:tentative="1">
      <w:start w:val="1"/>
      <w:numFmt w:val="bullet"/>
      <w:lvlText w:val=""/>
      <w:lvlJc w:val="left"/>
      <w:pPr>
        <w:ind w:left="4297" w:hanging="360"/>
      </w:pPr>
      <w:rPr>
        <w:rFonts w:ascii="Symbol" w:hAnsi="Symbol" w:hint="default"/>
      </w:rPr>
    </w:lvl>
    <w:lvl w:ilvl="4" w:tplc="08090003" w:tentative="1">
      <w:start w:val="1"/>
      <w:numFmt w:val="bullet"/>
      <w:lvlText w:val="o"/>
      <w:lvlJc w:val="left"/>
      <w:pPr>
        <w:ind w:left="5017" w:hanging="360"/>
      </w:pPr>
      <w:rPr>
        <w:rFonts w:ascii="Courier New" w:hAnsi="Courier New" w:cs="Courier New" w:hint="default"/>
      </w:rPr>
    </w:lvl>
    <w:lvl w:ilvl="5" w:tplc="08090005" w:tentative="1">
      <w:start w:val="1"/>
      <w:numFmt w:val="bullet"/>
      <w:lvlText w:val=""/>
      <w:lvlJc w:val="left"/>
      <w:pPr>
        <w:ind w:left="5737" w:hanging="360"/>
      </w:pPr>
      <w:rPr>
        <w:rFonts w:ascii="Wingdings" w:hAnsi="Wingdings" w:hint="default"/>
      </w:rPr>
    </w:lvl>
    <w:lvl w:ilvl="6" w:tplc="08090001" w:tentative="1">
      <w:start w:val="1"/>
      <w:numFmt w:val="bullet"/>
      <w:lvlText w:val=""/>
      <w:lvlJc w:val="left"/>
      <w:pPr>
        <w:ind w:left="6457" w:hanging="360"/>
      </w:pPr>
      <w:rPr>
        <w:rFonts w:ascii="Symbol" w:hAnsi="Symbol" w:hint="default"/>
      </w:rPr>
    </w:lvl>
    <w:lvl w:ilvl="7" w:tplc="08090003" w:tentative="1">
      <w:start w:val="1"/>
      <w:numFmt w:val="bullet"/>
      <w:lvlText w:val="o"/>
      <w:lvlJc w:val="left"/>
      <w:pPr>
        <w:ind w:left="7177" w:hanging="360"/>
      </w:pPr>
      <w:rPr>
        <w:rFonts w:ascii="Courier New" w:hAnsi="Courier New" w:cs="Courier New" w:hint="default"/>
      </w:rPr>
    </w:lvl>
    <w:lvl w:ilvl="8" w:tplc="08090005" w:tentative="1">
      <w:start w:val="1"/>
      <w:numFmt w:val="bullet"/>
      <w:lvlText w:val=""/>
      <w:lvlJc w:val="left"/>
      <w:pPr>
        <w:ind w:left="7897" w:hanging="360"/>
      </w:pPr>
      <w:rPr>
        <w:rFonts w:ascii="Wingdings" w:hAnsi="Wingdings" w:hint="default"/>
      </w:rPr>
    </w:lvl>
  </w:abstractNum>
  <w:abstractNum w:abstractNumId="105">
    <w:nsid w:val="5DA1380C"/>
    <w:multiLevelType w:val="hybridMultilevel"/>
    <w:tmpl w:val="C16CE132"/>
    <w:lvl w:ilvl="0" w:tplc="00BEF056">
      <w:start w:val="1"/>
      <w:numFmt w:val="bullet"/>
      <w:lvlText w:val=""/>
      <w:lvlJc w:val="left"/>
      <w:pPr>
        <w:ind w:left="2160" w:hanging="360"/>
      </w:pPr>
      <w:rPr>
        <w:rFonts w:ascii="Symbol" w:hAnsi="Symbol" w:hint="default"/>
        <w:sz w:val="20"/>
        <w:szCs w:val="20"/>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6">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07">
    <w:nsid w:val="5E941EE5"/>
    <w:multiLevelType w:val="hybridMultilevel"/>
    <w:tmpl w:val="83340452"/>
    <w:lvl w:ilvl="0" w:tplc="5DF4D3AA">
      <w:start w:val="1"/>
      <w:numFmt w:val="lowerLetter"/>
      <w:lvlText w:val="%1)"/>
      <w:lvlJc w:val="left"/>
      <w:pPr>
        <w:ind w:left="1419" w:hanging="705"/>
      </w:pPr>
      <w:rPr>
        <w:rFonts w:hint="default"/>
        <w:b w:val="0"/>
      </w:rPr>
    </w:lvl>
    <w:lvl w:ilvl="1" w:tplc="08130019" w:tentative="1">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108">
    <w:nsid w:val="5EA36AE3"/>
    <w:multiLevelType w:val="hybridMultilevel"/>
    <w:tmpl w:val="46686C3A"/>
    <w:lvl w:ilvl="0" w:tplc="BF86F04E">
      <w:start w:val="1"/>
      <w:numFmt w:val="bullet"/>
      <w:pStyle w:val="Lijstje2"/>
      <w:lvlText w:val=""/>
      <w:lvlJc w:val="left"/>
      <w:pPr>
        <w:ind w:left="2061" w:hanging="360"/>
      </w:pPr>
      <w:rPr>
        <w:rFonts w:ascii="Symbol" w:hAnsi="Symbol" w:hint="default"/>
      </w:rPr>
    </w:lvl>
    <w:lvl w:ilvl="1" w:tplc="EDDCC440">
      <w:start w:val="1"/>
      <w:numFmt w:val="bullet"/>
      <w:pStyle w:val="Lijstje3"/>
      <w:lvlText w:val="o"/>
      <w:lvlJc w:val="left"/>
      <w:pPr>
        <w:ind w:left="1886" w:hanging="360"/>
      </w:pPr>
      <w:rPr>
        <w:rFonts w:ascii="Courier New" w:hAnsi="Courier New" w:cs="Courier New" w:hint="default"/>
      </w:rPr>
    </w:lvl>
    <w:lvl w:ilvl="2" w:tplc="08130005">
      <w:start w:val="1"/>
      <w:numFmt w:val="bullet"/>
      <w:lvlText w:val=""/>
      <w:lvlJc w:val="left"/>
      <w:pPr>
        <w:ind w:left="2606" w:hanging="360"/>
      </w:pPr>
      <w:rPr>
        <w:rFonts w:ascii="Wingdings" w:hAnsi="Wingdings" w:hint="default"/>
      </w:rPr>
    </w:lvl>
    <w:lvl w:ilvl="3" w:tplc="08130001" w:tentative="1">
      <w:start w:val="1"/>
      <w:numFmt w:val="bullet"/>
      <w:lvlText w:val=""/>
      <w:lvlJc w:val="left"/>
      <w:pPr>
        <w:ind w:left="3326" w:hanging="360"/>
      </w:pPr>
      <w:rPr>
        <w:rFonts w:ascii="Symbol" w:hAnsi="Symbol" w:hint="default"/>
      </w:rPr>
    </w:lvl>
    <w:lvl w:ilvl="4" w:tplc="08130003" w:tentative="1">
      <w:start w:val="1"/>
      <w:numFmt w:val="bullet"/>
      <w:lvlText w:val="o"/>
      <w:lvlJc w:val="left"/>
      <w:pPr>
        <w:ind w:left="4046" w:hanging="360"/>
      </w:pPr>
      <w:rPr>
        <w:rFonts w:ascii="Courier New" w:hAnsi="Courier New" w:cs="Courier New" w:hint="default"/>
      </w:rPr>
    </w:lvl>
    <w:lvl w:ilvl="5" w:tplc="08130005" w:tentative="1">
      <w:start w:val="1"/>
      <w:numFmt w:val="bullet"/>
      <w:lvlText w:val=""/>
      <w:lvlJc w:val="left"/>
      <w:pPr>
        <w:ind w:left="4766" w:hanging="360"/>
      </w:pPr>
      <w:rPr>
        <w:rFonts w:ascii="Wingdings" w:hAnsi="Wingdings" w:hint="default"/>
      </w:rPr>
    </w:lvl>
    <w:lvl w:ilvl="6" w:tplc="08130001" w:tentative="1">
      <w:start w:val="1"/>
      <w:numFmt w:val="bullet"/>
      <w:lvlText w:val=""/>
      <w:lvlJc w:val="left"/>
      <w:pPr>
        <w:ind w:left="5486" w:hanging="360"/>
      </w:pPr>
      <w:rPr>
        <w:rFonts w:ascii="Symbol" w:hAnsi="Symbol" w:hint="default"/>
      </w:rPr>
    </w:lvl>
    <w:lvl w:ilvl="7" w:tplc="08130003" w:tentative="1">
      <w:start w:val="1"/>
      <w:numFmt w:val="bullet"/>
      <w:lvlText w:val="o"/>
      <w:lvlJc w:val="left"/>
      <w:pPr>
        <w:ind w:left="6206" w:hanging="360"/>
      </w:pPr>
      <w:rPr>
        <w:rFonts w:ascii="Courier New" w:hAnsi="Courier New" w:cs="Courier New" w:hint="default"/>
      </w:rPr>
    </w:lvl>
    <w:lvl w:ilvl="8" w:tplc="08130005" w:tentative="1">
      <w:start w:val="1"/>
      <w:numFmt w:val="bullet"/>
      <w:lvlText w:val=""/>
      <w:lvlJc w:val="left"/>
      <w:pPr>
        <w:ind w:left="6926" w:hanging="360"/>
      </w:pPr>
      <w:rPr>
        <w:rFonts w:ascii="Wingdings" w:hAnsi="Wingdings" w:hint="default"/>
      </w:rPr>
    </w:lvl>
  </w:abstractNum>
  <w:abstractNum w:abstractNumId="109">
    <w:nsid w:val="5F3253F2"/>
    <w:multiLevelType w:val="hybridMultilevel"/>
    <w:tmpl w:val="B4C0D216"/>
    <w:lvl w:ilvl="0" w:tplc="178EF846">
      <w:start w:val="1"/>
      <w:numFmt w:val="upperRoman"/>
      <w:pStyle w:val="kop2"/>
      <w:lvlText w:val="%1."/>
      <w:lvlJc w:val="righ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0">
    <w:nsid w:val="5FAE5AB4"/>
    <w:multiLevelType w:val="hybridMultilevel"/>
    <w:tmpl w:val="83340452"/>
    <w:lvl w:ilvl="0" w:tplc="5DF4D3AA">
      <w:start w:val="1"/>
      <w:numFmt w:val="lowerLetter"/>
      <w:lvlText w:val="%1)"/>
      <w:lvlJc w:val="left"/>
      <w:pPr>
        <w:ind w:left="1419" w:hanging="705"/>
      </w:pPr>
      <w:rPr>
        <w:rFonts w:hint="default"/>
        <w:b w:val="0"/>
      </w:rPr>
    </w:lvl>
    <w:lvl w:ilvl="1" w:tplc="08130019" w:tentative="1">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111">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12">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113">
    <w:nsid w:val="64CA61B0"/>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nsid w:val="64FF5BB9"/>
    <w:multiLevelType w:val="hybridMultilevel"/>
    <w:tmpl w:val="80CC80F8"/>
    <w:lvl w:ilvl="0" w:tplc="5DF4D3AA">
      <w:start w:val="1"/>
      <w:numFmt w:val="lowerLetter"/>
      <w:lvlText w:val="%1)"/>
      <w:lvlJc w:val="left"/>
      <w:pPr>
        <w:ind w:left="1419" w:hanging="705"/>
      </w:pPr>
      <w:rPr>
        <w:rFonts w:hint="default"/>
        <w:b w:val="0"/>
      </w:r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115">
    <w:nsid w:val="65AD767B"/>
    <w:multiLevelType w:val="hybridMultilevel"/>
    <w:tmpl w:val="2950556C"/>
    <w:lvl w:ilvl="0" w:tplc="08090001">
      <w:start w:val="1"/>
      <w:numFmt w:val="bullet"/>
      <w:lvlText w:val=""/>
      <w:lvlJc w:val="left"/>
      <w:pPr>
        <w:ind w:left="2139" w:hanging="360"/>
      </w:pPr>
      <w:rPr>
        <w:rFonts w:ascii="Symbol" w:hAnsi="Symbol" w:hint="default"/>
      </w:rPr>
    </w:lvl>
    <w:lvl w:ilvl="1" w:tplc="08090003" w:tentative="1">
      <w:start w:val="1"/>
      <w:numFmt w:val="bullet"/>
      <w:lvlText w:val="o"/>
      <w:lvlJc w:val="left"/>
      <w:pPr>
        <w:ind w:left="2859" w:hanging="360"/>
      </w:pPr>
      <w:rPr>
        <w:rFonts w:ascii="Courier New" w:hAnsi="Courier New" w:cs="Courier New" w:hint="default"/>
      </w:rPr>
    </w:lvl>
    <w:lvl w:ilvl="2" w:tplc="08090005" w:tentative="1">
      <w:start w:val="1"/>
      <w:numFmt w:val="bullet"/>
      <w:lvlText w:val=""/>
      <w:lvlJc w:val="left"/>
      <w:pPr>
        <w:ind w:left="3579" w:hanging="360"/>
      </w:pPr>
      <w:rPr>
        <w:rFonts w:ascii="Wingdings" w:hAnsi="Wingdings" w:hint="default"/>
      </w:rPr>
    </w:lvl>
    <w:lvl w:ilvl="3" w:tplc="08090001" w:tentative="1">
      <w:start w:val="1"/>
      <w:numFmt w:val="bullet"/>
      <w:lvlText w:val=""/>
      <w:lvlJc w:val="left"/>
      <w:pPr>
        <w:ind w:left="4299" w:hanging="360"/>
      </w:pPr>
      <w:rPr>
        <w:rFonts w:ascii="Symbol" w:hAnsi="Symbol" w:hint="default"/>
      </w:rPr>
    </w:lvl>
    <w:lvl w:ilvl="4" w:tplc="08090003" w:tentative="1">
      <w:start w:val="1"/>
      <w:numFmt w:val="bullet"/>
      <w:lvlText w:val="o"/>
      <w:lvlJc w:val="left"/>
      <w:pPr>
        <w:ind w:left="5019" w:hanging="360"/>
      </w:pPr>
      <w:rPr>
        <w:rFonts w:ascii="Courier New" w:hAnsi="Courier New" w:cs="Courier New" w:hint="default"/>
      </w:rPr>
    </w:lvl>
    <w:lvl w:ilvl="5" w:tplc="08090005" w:tentative="1">
      <w:start w:val="1"/>
      <w:numFmt w:val="bullet"/>
      <w:lvlText w:val=""/>
      <w:lvlJc w:val="left"/>
      <w:pPr>
        <w:ind w:left="5739" w:hanging="360"/>
      </w:pPr>
      <w:rPr>
        <w:rFonts w:ascii="Wingdings" w:hAnsi="Wingdings" w:hint="default"/>
      </w:rPr>
    </w:lvl>
    <w:lvl w:ilvl="6" w:tplc="08090001" w:tentative="1">
      <w:start w:val="1"/>
      <w:numFmt w:val="bullet"/>
      <w:lvlText w:val=""/>
      <w:lvlJc w:val="left"/>
      <w:pPr>
        <w:ind w:left="6459" w:hanging="360"/>
      </w:pPr>
      <w:rPr>
        <w:rFonts w:ascii="Symbol" w:hAnsi="Symbol" w:hint="default"/>
      </w:rPr>
    </w:lvl>
    <w:lvl w:ilvl="7" w:tplc="08090003" w:tentative="1">
      <w:start w:val="1"/>
      <w:numFmt w:val="bullet"/>
      <w:lvlText w:val="o"/>
      <w:lvlJc w:val="left"/>
      <w:pPr>
        <w:ind w:left="7179" w:hanging="360"/>
      </w:pPr>
      <w:rPr>
        <w:rFonts w:ascii="Courier New" w:hAnsi="Courier New" w:cs="Courier New" w:hint="default"/>
      </w:rPr>
    </w:lvl>
    <w:lvl w:ilvl="8" w:tplc="08090005" w:tentative="1">
      <w:start w:val="1"/>
      <w:numFmt w:val="bullet"/>
      <w:lvlText w:val=""/>
      <w:lvlJc w:val="left"/>
      <w:pPr>
        <w:ind w:left="7899" w:hanging="360"/>
      </w:pPr>
      <w:rPr>
        <w:rFonts w:ascii="Wingdings" w:hAnsi="Wingdings" w:hint="default"/>
      </w:rPr>
    </w:lvl>
  </w:abstractNum>
  <w:abstractNum w:abstractNumId="116">
    <w:nsid w:val="66A92F84"/>
    <w:multiLevelType w:val="hybridMultilevel"/>
    <w:tmpl w:val="13643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nsid w:val="68361FF7"/>
    <w:multiLevelType w:val="hybridMultilevel"/>
    <w:tmpl w:val="A3B01472"/>
    <w:lvl w:ilvl="0" w:tplc="58DA404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nsid w:val="687A591D"/>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nsid w:val="69A816D7"/>
    <w:multiLevelType w:val="hybridMultilevel"/>
    <w:tmpl w:val="54EC3662"/>
    <w:lvl w:ilvl="0" w:tplc="08090001">
      <w:start w:val="1"/>
      <w:numFmt w:val="bullet"/>
      <w:lvlText w:val=""/>
      <w:lvlJc w:val="left"/>
      <w:pPr>
        <w:ind w:left="1446" w:hanging="360"/>
      </w:pPr>
      <w:rPr>
        <w:rFonts w:ascii="Symbol" w:hAnsi="Symbol" w:hint="default"/>
      </w:rPr>
    </w:lvl>
    <w:lvl w:ilvl="1" w:tplc="08090001">
      <w:start w:val="1"/>
      <w:numFmt w:val="bullet"/>
      <w:lvlText w:val=""/>
      <w:lvlJc w:val="left"/>
      <w:pPr>
        <w:ind w:left="2166" w:hanging="360"/>
      </w:pPr>
      <w:rPr>
        <w:rFonts w:ascii="Symbol" w:hAnsi="Symbol"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120">
    <w:nsid w:val="6A1E4E24"/>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nsid w:val="6A9657AE"/>
    <w:multiLevelType w:val="hybridMultilevel"/>
    <w:tmpl w:val="3DF2E974"/>
    <w:lvl w:ilvl="0" w:tplc="8584AE9C">
      <w:start w:val="1"/>
      <w:numFmt w:val="lowerLetter"/>
      <w:lvlText w:val="%1)"/>
      <w:lvlJc w:val="left"/>
      <w:pPr>
        <w:ind w:left="1419" w:hanging="705"/>
      </w:pPr>
      <w:rPr>
        <w:rFonts w:hint="default"/>
        <w:b w:val="0"/>
      </w:rPr>
    </w:lvl>
    <w:lvl w:ilvl="1" w:tplc="08130019" w:tentative="1">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122">
    <w:nsid w:val="6BF6000C"/>
    <w:multiLevelType w:val="hybridMultilevel"/>
    <w:tmpl w:val="FF888C3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3">
    <w:nsid w:val="6C926853"/>
    <w:multiLevelType w:val="hybridMultilevel"/>
    <w:tmpl w:val="679413E6"/>
    <w:lvl w:ilvl="0" w:tplc="AE36BE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nsid w:val="6DCD2E65"/>
    <w:multiLevelType w:val="hybridMultilevel"/>
    <w:tmpl w:val="679413E6"/>
    <w:lvl w:ilvl="0" w:tplc="AE36BE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126">
    <w:nsid w:val="6EB56CF4"/>
    <w:multiLevelType w:val="hybridMultilevel"/>
    <w:tmpl w:val="679413E6"/>
    <w:lvl w:ilvl="0" w:tplc="AE36BE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nsid w:val="702E6ADA"/>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nsid w:val="70680FA0"/>
    <w:multiLevelType w:val="hybridMultilevel"/>
    <w:tmpl w:val="CE38CA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9">
    <w:nsid w:val="70DC7952"/>
    <w:multiLevelType w:val="hybridMultilevel"/>
    <w:tmpl w:val="83340452"/>
    <w:lvl w:ilvl="0" w:tplc="5DF4D3AA">
      <w:start w:val="1"/>
      <w:numFmt w:val="lowerLetter"/>
      <w:lvlText w:val="%1)"/>
      <w:lvlJc w:val="left"/>
      <w:pPr>
        <w:ind w:left="1419" w:hanging="705"/>
      </w:pPr>
      <w:rPr>
        <w:rFonts w:hint="default"/>
        <w:b w:val="0"/>
      </w:rPr>
    </w:lvl>
    <w:lvl w:ilvl="1" w:tplc="08130019" w:tentative="1">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130">
    <w:nsid w:val="71A21D69"/>
    <w:multiLevelType w:val="hybridMultilevel"/>
    <w:tmpl w:val="84D6A86C"/>
    <w:lvl w:ilvl="0" w:tplc="08090001">
      <w:start w:val="1"/>
      <w:numFmt w:val="bullet"/>
      <w:lvlText w:val=""/>
      <w:lvlJc w:val="left"/>
      <w:pPr>
        <w:ind w:left="2160" w:hanging="360"/>
      </w:pPr>
      <w:rPr>
        <w:rFonts w:ascii="Symbol" w:hAnsi="Symbol" w:hint="default"/>
      </w:rPr>
    </w:lvl>
    <w:lvl w:ilvl="1" w:tplc="08090001">
      <w:start w:val="1"/>
      <w:numFmt w:val="bullet"/>
      <w:lvlText w:val=""/>
      <w:lvlJc w:val="left"/>
      <w:pPr>
        <w:ind w:left="2880" w:hanging="360"/>
      </w:pPr>
      <w:rPr>
        <w:rFonts w:ascii="Symbol" w:hAnsi="Symbol"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1">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2">
    <w:nsid w:val="72CE0F3A"/>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nsid w:val="74EE246C"/>
    <w:multiLevelType w:val="hybridMultilevel"/>
    <w:tmpl w:val="01B6DE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4">
    <w:nsid w:val="76B957FA"/>
    <w:multiLevelType w:val="hybridMultilevel"/>
    <w:tmpl w:val="B1827570"/>
    <w:lvl w:ilvl="0" w:tplc="08090001">
      <w:start w:val="1"/>
      <w:numFmt w:val="bullet"/>
      <w:lvlText w:val=""/>
      <w:lvlJc w:val="left"/>
      <w:pPr>
        <w:ind w:left="2520" w:hanging="360"/>
      </w:pPr>
      <w:rPr>
        <w:rFonts w:ascii="Symbol" w:hAnsi="Symbol" w:hint="default"/>
      </w:rPr>
    </w:lvl>
    <w:lvl w:ilvl="1" w:tplc="08090003">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35">
    <w:nsid w:val="76E61C65"/>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nsid w:val="771541D1"/>
    <w:multiLevelType w:val="hybridMultilevel"/>
    <w:tmpl w:val="44106F62"/>
    <w:lvl w:ilvl="0" w:tplc="E85E15B4">
      <w:start w:val="1"/>
      <w:numFmt w:val="decimal"/>
      <w:pStyle w:val="kop3"/>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7">
    <w:nsid w:val="77DD292D"/>
    <w:multiLevelType w:val="hybridMultilevel"/>
    <w:tmpl w:val="B3FA2EFA"/>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nsid w:val="78937B44"/>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nsid w:val="7AF301D8"/>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nsid w:val="7B425BE6"/>
    <w:multiLevelType w:val="hybridMultilevel"/>
    <w:tmpl w:val="B4F013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nsid w:val="7B430490"/>
    <w:multiLevelType w:val="hybridMultilevel"/>
    <w:tmpl w:val="679413E6"/>
    <w:lvl w:ilvl="0" w:tplc="AE36BE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7B757935"/>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9"/>
  </w:num>
  <w:num w:numId="4">
    <w:abstractNumId w:val="68"/>
  </w:num>
  <w:num w:numId="5">
    <w:abstractNumId w:val="45"/>
  </w:num>
  <w:num w:numId="6">
    <w:abstractNumId w:val="62"/>
  </w:num>
  <w:num w:numId="7">
    <w:abstractNumId w:val="112"/>
  </w:num>
  <w:num w:numId="8">
    <w:abstractNumId w:val="125"/>
  </w:num>
  <w:num w:numId="9">
    <w:abstractNumId w:val="56"/>
  </w:num>
  <w:num w:numId="10">
    <w:abstractNumId w:val="111"/>
  </w:num>
  <w:num w:numId="11">
    <w:abstractNumId w:val="106"/>
  </w:num>
  <w:num w:numId="12">
    <w:abstractNumId w:val="79"/>
  </w:num>
  <w:num w:numId="13">
    <w:abstractNumId w:val="98"/>
  </w:num>
  <w:num w:numId="14">
    <w:abstractNumId w:val="34"/>
  </w:num>
  <w:num w:numId="15">
    <w:abstractNumId w:val="57"/>
  </w:num>
  <w:num w:numId="16">
    <w:abstractNumId w:val="24"/>
  </w:num>
  <w:num w:numId="17">
    <w:abstractNumId w:val="49"/>
  </w:num>
  <w:num w:numId="18">
    <w:abstractNumId w:val="131"/>
  </w:num>
  <w:num w:numId="19">
    <w:abstractNumId w:val="83"/>
  </w:num>
  <w:num w:numId="20">
    <w:abstractNumId w:val="14"/>
  </w:num>
  <w:num w:numId="21">
    <w:abstractNumId w:val="93"/>
  </w:num>
  <w:num w:numId="22">
    <w:abstractNumId w:val="109"/>
  </w:num>
  <w:num w:numId="23">
    <w:abstractNumId w:val="136"/>
  </w:num>
  <w:num w:numId="24">
    <w:abstractNumId w:val="108"/>
  </w:num>
  <w:num w:numId="25">
    <w:abstractNumId w:val="130"/>
  </w:num>
  <w:num w:numId="26">
    <w:abstractNumId w:val="99"/>
  </w:num>
  <w:num w:numId="27">
    <w:abstractNumId w:val="63"/>
  </w:num>
  <w:num w:numId="28">
    <w:abstractNumId w:val="105"/>
  </w:num>
  <w:num w:numId="29">
    <w:abstractNumId w:val="91"/>
    <w:lvlOverride w:ilvl="0">
      <w:startOverride w:val="1"/>
    </w:lvlOverride>
  </w:num>
  <w:num w:numId="30">
    <w:abstractNumId w:val="51"/>
  </w:num>
  <w:num w:numId="31">
    <w:abstractNumId w:val="113"/>
  </w:num>
  <w:num w:numId="32">
    <w:abstractNumId w:val="137"/>
  </w:num>
  <w:num w:numId="33">
    <w:abstractNumId w:val="17"/>
  </w:num>
  <w:num w:numId="34">
    <w:abstractNumId w:val="55"/>
  </w:num>
  <w:num w:numId="35">
    <w:abstractNumId w:val="3"/>
  </w:num>
  <w:num w:numId="36">
    <w:abstractNumId w:val="6"/>
  </w:num>
  <w:num w:numId="37">
    <w:abstractNumId w:val="90"/>
  </w:num>
  <w:num w:numId="38">
    <w:abstractNumId w:val="16"/>
  </w:num>
  <w:num w:numId="39">
    <w:abstractNumId w:val="58"/>
  </w:num>
  <w:num w:numId="40">
    <w:abstractNumId w:val="101"/>
  </w:num>
  <w:num w:numId="41">
    <w:abstractNumId w:val="54"/>
  </w:num>
  <w:num w:numId="42">
    <w:abstractNumId w:val="67"/>
  </w:num>
  <w:num w:numId="43">
    <w:abstractNumId w:val="12"/>
  </w:num>
  <w:num w:numId="44">
    <w:abstractNumId w:val="76"/>
  </w:num>
  <w:num w:numId="45">
    <w:abstractNumId w:val="5"/>
  </w:num>
  <w:num w:numId="46">
    <w:abstractNumId w:val="94"/>
  </w:num>
  <w:num w:numId="47">
    <w:abstractNumId w:val="70"/>
  </w:num>
  <w:num w:numId="48">
    <w:abstractNumId w:val="103"/>
  </w:num>
  <w:num w:numId="49">
    <w:abstractNumId w:val="19"/>
  </w:num>
  <w:num w:numId="50">
    <w:abstractNumId w:val="114"/>
  </w:num>
  <w:num w:numId="51">
    <w:abstractNumId w:val="13"/>
  </w:num>
  <w:num w:numId="52">
    <w:abstractNumId w:val="46"/>
  </w:num>
  <w:num w:numId="53">
    <w:abstractNumId w:val="121"/>
  </w:num>
  <w:num w:numId="54">
    <w:abstractNumId w:val="107"/>
  </w:num>
  <w:num w:numId="55">
    <w:abstractNumId w:val="9"/>
  </w:num>
  <w:num w:numId="56">
    <w:abstractNumId w:val="72"/>
  </w:num>
  <w:num w:numId="57">
    <w:abstractNumId w:val="80"/>
  </w:num>
  <w:num w:numId="58">
    <w:abstractNumId w:val="110"/>
  </w:num>
  <w:num w:numId="59">
    <w:abstractNumId w:val="7"/>
  </w:num>
  <w:num w:numId="60">
    <w:abstractNumId w:val="44"/>
  </w:num>
  <w:num w:numId="61">
    <w:abstractNumId w:val="129"/>
  </w:num>
  <w:num w:numId="62">
    <w:abstractNumId w:val="116"/>
  </w:num>
  <w:num w:numId="63">
    <w:abstractNumId w:val="48"/>
  </w:num>
  <w:num w:numId="64">
    <w:abstractNumId w:val="23"/>
  </w:num>
  <w:num w:numId="65">
    <w:abstractNumId w:val="104"/>
  </w:num>
  <w:num w:numId="66">
    <w:abstractNumId w:val="60"/>
  </w:num>
  <w:num w:numId="67">
    <w:abstractNumId w:val="86"/>
  </w:num>
  <w:num w:numId="68">
    <w:abstractNumId w:val="134"/>
  </w:num>
  <w:num w:numId="69">
    <w:abstractNumId w:val="11"/>
  </w:num>
  <w:num w:numId="70">
    <w:abstractNumId w:val="133"/>
  </w:num>
  <w:num w:numId="71">
    <w:abstractNumId w:val="95"/>
  </w:num>
  <w:num w:numId="72">
    <w:abstractNumId w:val="115"/>
  </w:num>
  <w:num w:numId="73">
    <w:abstractNumId w:val="65"/>
  </w:num>
  <w:num w:numId="74">
    <w:abstractNumId w:val="40"/>
  </w:num>
  <w:num w:numId="75">
    <w:abstractNumId w:val="128"/>
  </w:num>
  <w:num w:numId="76">
    <w:abstractNumId w:val="88"/>
  </w:num>
  <w:num w:numId="77">
    <w:abstractNumId w:val="119"/>
  </w:num>
  <w:num w:numId="78">
    <w:abstractNumId w:val="97"/>
  </w:num>
  <w:num w:numId="79">
    <w:abstractNumId w:val="109"/>
    <w:lvlOverride w:ilvl="0">
      <w:startOverride w:val="1"/>
    </w:lvlOverride>
  </w:num>
  <w:num w:numId="80">
    <w:abstractNumId w:val="85"/>
  </w:num>
  <w:num w:numId="81">
    <w:abstractNumId w:val="52"/>
  </w:num>
  <w:num w:numId="82">
    <w:abstractNumId w:val="109"/>
    <w:lvlOverride w:ilvl="0">
      <w:startOverride w:val="1"/>
    </w:lvlOverride>
  </w:num>
  <w:num w:numId="83">
    <w:abstractNumId w:val="109"/>
    <w:lvlOverride w:ilvl="0">
      <w:startOverride w:val="1"/>
    </w:lvlOverride>
  </w:num>
  <w:num w:numId="84">
    <w:abstractNumId w:val="109"/>
    <w:lvlOverride w:ilvl="0">
      <w:startOverride w:val="1"/>
    </w:lvlOverride>
  </w:num>
  <w:num w:numId="85">
    <w:abstractNumId w:val="109"/>
    <w:lvlOverride w:ilvl="0">
      <w:startOverride w:val="1"/>
    </w:lvlOverride>
  </w:num>
  <w:num w:numId="86">
    <w:abstractNumId w:val="109"/>
    <w:lvlOverride w:ilvl="0">
      <w:startOverride w:val="1"/>
    </w:lvlOverride>
  </w:num>
  <w:num w:numId="87">
    <w:abstractNumId w:val="109"/>
    <w:lvlOverride w:ilvl="0">
      <w:startOverride w:val="1"/>
    </w:lvlOverride>
  </w:num>
  <w:num w:numId="88">
    <w:abstractNumId w:val="109"/>
    <w:lvlOverride w:ilvl="0">
      <w:startOverride w:val="1"/>
    </w:lvlOverride>
  </w:num>
  <w:num w:numId="89">
    <w:abstractNumId w:val="109"/>
    <w:lvlOverride w:ilvl="0">
      <w:startOverride w:val="1"/>
    </w:lvlOverride>
  </w:num>
  <w:num w:numId="90">
    <w:abstractNumId w:val="109"/>
    <w:lvlOverride w:ilvl="0">
      <w:startOverride w:val="1"/>
    </w:lvlOverride>
  </w:num>
  <w:num w:numId="91">
    <w:abstractNumId w:val="141"/>
  </w:num>
  <w:num w:numId="92">
    <w:abstractNumId w:val="32"/>
  </w:num>
  <w:num w:numId="93">
    <w:abstractNumId w:val="4"/>
  </w:num>
  <w:num w:numId="94">
    <w:abstractNumId w:val="89"/>
  </w:num>
  <w:num w:numId="95">
    <w:abstractNumId w:val="124"/>
  </w:num>
  <w:num w:numId="96">
    <w:abstractNumId w:val="109"/>
    <w:lvlOverride w:ilvl="0">
      <w:startOverride w:val="1"/>
    </w:lvlOverride>
  </w:num>
  <w:num w:numId="97">
    <w:abstractNumId w:val="18"/>
  </w:num>
  <w:num w:numId="98">
    <w:abstractNumId w:val="33"/>
  </w:num>
  <w:num w:numId="99">
    <w:abstractNumId w:val="37"/>
  </w:num>
  <w:num w:numId="100">
    <w:abstractNumId w:val="126"/>
  </w:num>
  <w:num w:numId="101">
    <w:abstractNumId w:val="123"/>
  </w:num>
  <w:num w:numId="102">
    <w:abstractNumId w:val="41"/>
  </w:num>
  <w:num w:numId="103">
    <w:abstractNumId w:val="74"/>
  </w:num>
  <w:num w:numId="104">
    <w:abstractNumId w:val="87"/>
  </w:num>
  <w:num w:numId="105">
    <w:abstractNumId w:val="100"/>
  </w:num>
  <w:num w:numId="106">
    <w:abstractNumId w:val="39"/>
  </w:num>
  <w:num w:numId="107">
    <w:abstractNumId w:val="28"/>
  </w:num>
  <w:num w:numId="108">
    <w:abstractNumId w:val="8"/>
  </w:num>
  <w:num w:numId="109">
    <w:abstractNumId w:val="10"/>
  </w:num>
  <w:num w:numId="110">
    <w:abstractNumId w:val="140"/>
  </w:num>
  <w:num w:numId="111">
    <w:abstractNumId w:val="64"/>
  </w:num>
  <w:num w:numId="112">
    <w:abstractNumId w:val="77"/>
  </w:num>
  <w:num w:numId="113">
    <w:abstractNumId w:val="36"/>
  </w:num>
  <w:num w:numId="114">
    <w:abstractNumId w:val="78"/>
  </w:num>
  <w:num w:numId="115">
    <w:abstractNumId w:val="42"/>
  </w:num>
  <w:num w:numId="116">
    <w:abstractNumId w:val="102"/>
  </w:num>
  <w:num w:numId="117">
    <w:abstractNumId w:val="117"/>
  </w:num>
  <w:num w:numId="118">
    <w:abstractNumId w:val="21"/>
  </w:num>
  <w:num w:numId="119">
    <w:abstractNumId w:val="82"/>
  </w:num>
  <w:num w:numId="120">
    <w:abstractNumId w:val="2"/>
  </w:num>
  <w:num w:numId="121">
    <w:abstractNumId w:val="120"/>
  </w:num>
  <w:num w:numId="122">
    <w:abstractNumId w:val="20"/>
  </w:num>
  <w:num w:numId="123">
    <w:abstractNumId w:val="53"/>
  </w:num>
  <w:num w:numId="124">
    <w:abstractNumId w:val="132"/>
  </w:num>
  <w:num w:numId="125">
    <w:abstractNumId w:val="61"/>
  </w:num>
  <w:num w:numId="126">
    <w:abstractNumId w:val="96"/>
  </w:num>
  <w:num w:numId="127">
    <w:abstractNumId w:val="38"/>
  </w:num>
  <w:num w:numId="128">
    <w:abstractNumId w:val="43"/>
  </w:num>
  <w:num w:numId="129">
    <w:abstractNumId w:val="26"/>
  </w:num>
  <w:num w:numId="130">
    <w:abstractNumId w:val="25"/>
  </w:num>
  <w:num w:numId="131">
    <w:abstractNumId w:val="15"/>
  </w:num>
  <w:num w:numId="132">
    <w:abstractNumId w:val="138"/>
  </w:num>
  <w:num w:numId="133">
    <w:abstractNumId w:val="139"/>
  </w:num>
  <w:num w:numId="134">
    <w:abstractNumId w:val="122"/>
  </w:num>
  <w:num w:numId="135">
    <w:abstractNumId w:val="135"/>
  </w:num>
  <w:num w:numId="136">
    <w:abstractNumId w:val="27"/>
  </w:num>
  <w:num w:numId="137">
    <w:abstractNumId w:val="73"/>
  </w:num>
  <w:num w:numId="138">
    <w:abstractNumId w:val="59"/>
  </w:num>
  <w:num w:numId="139">
    <w:abstractNumId w:val="92"/>
  </w:num>
  <w:num w:numId="140">
    <w:abstractNumId w:val="35"/>
  </w:num>
  <w:num w:numId="141">
    <w:abstractNumId w:val="31"/>
  </w:num>
  <w:num w:numId="142">
    <w:abstractNumId w:val="127"/>
  </w:num>
  <w:num w:numId="143">
    <w:abstractNumId w:val="47"/>
  </w:num>
  <w:num w:numId="144">
    <w:abstractNumId w:val="66"/>
  </w:num>
  <w:num w:numId="145">
    <w:abstractNumId w:val="81"/>
  </w:num>
  <w:num w:numId="146">
    <w:abstractNumId w:val="118"/>
  </w:num>
  <w:num w:numId="147">
    <w:abstractNumId w:val="142"/>
  </w:num>
  <w:num w:numId="148">
    <w:abstractNumId w:val="22"/>
  </w:num>
  <w:num w:numId="149">
    <w:abstractNumId w:val="69"/>
  </w:num>
  <w:num w:numId="150">
    <w:abstractNumId w:val="30"/>
  </w:num>
  <w:num w:numId="151">
    <w:abstractNumId w:val="84"/>
  </w:num>
  <w:num w:numId="152">
    <w:abstractNumId w:val="75"/>
  </w:num>
  <w:num w:numId="153">
    <w:abstractNumId w:val="71"/>
  </w:num>
  <w:num w:numId="154">
    <w:abstractNumId w:val="109"/>
    <w:lvlOverride w:ilvl="0">
      <w:startOverride w:val="1"/>
    </w:lvlOverride>
  </w:num>
  <w:num w:numId="155">
    <w:abstractNumId w:val="109"/>
    <w:lvlOverride w:ilvl="0">
      <w:startOverride w:val="1"/>
    </w:lvlOverride>
  </w:num>
  <w:num w:numId="156">
    <w:abstractNumId w:val="50"/>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44CF7CA1-B0B8-443F-A8C7-F0A5EE3ECAE8"/>
    <w:docVar w:name="LW_COVERPAGE_TYPE" w:val="1"/>
    <w:docVar w:name="LW_CROSSREFERENCE" w:val="{COM(2018) 540 final}_x000d__x000a_{SWD(2018) 377 final}_x000d__x000a_{SWD(2018) 379 final}"/>
    <w:docVar w:name="LW_DocType" w:val="NORMAL"/>
    <w:docVar w:name="LW_EMISSION" w:val="12.7.2018"/>
    <w:docVar w:name="LW_EMISSION_ISODATE" w:val="2018-07-12"/>
    <w:docVar w:name="LW_EMISSION_LOCATION" w:val="BRX"/>
    <w:docVar w:name="LW_EMISSION_PREFIX" w:val="Brussels,"/>
    <w:docVar w:name="LW_EMISSION_SUFFIX" w:val="&lt;EMPTY&gt;"/>
    <w:docVar w:name="LW_ID_DOCTYPE_NONLW" w:val="CP-025"/>
    <w:docVar w:name="LW_LANGUE" w:val="EN"/>
    <w:docVar w:name="LW_LEVEL_OF_SENSITIVITY" w:val="Standard treatment"/>
    <w:docVar w:name="LW_NOM.INST" w:val="EUROPEAN COMMISSION"/>
    <w:docVar w:name="LW_NOM.INST_JOINTDOC" w:val="&lt;EMPTY&gt;"/>
    <w:docVar w:name="LW_OBJETACTEPRINCIPAL.CP" w:val="Monitoring the application of European Union law_x000b_2017 Annual Report"/>
    <w:docVar w:name="LW_PART_NBR" w:val="1"/>
    <w:docVar w:name="LW_PART_NBR_TOTAL" w:val="1"/>
    <w:docVar w:name="LW_REF.INST.NEW" w:val="SWD"/>
    <w:docVar w:name="LW_REF.INST.NEW_ADOPTED" w:val="final"/>
    <w:docVar w:name="LW_REF.INST.NEW_TEXT" w:val="(2018) 37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Part II: Policy areas"/>
    <w:docVar w:name="LW_TYPE.DOC.CP" w:val="COMMISSION STAFF WORKING DOCUMENT"/>
    <w:docVar w:name="LW_TYPEACTEPRINCIPAL.CP" w:val="REPORT FROM THE EUROPEAN COMMISSION"/>
  </w:docVars>
  <w:rsids>
    <w:rsidRoot w:val="00E201F7"/>
    <w:rsid w:val="00E201F7"/>
    <w:rsid w:val="00E24E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footer" w:uiPriority="99"/>
    <w:lsdException w:name="caption" w:qFormat="1"/>
    <w:lsdException w:name="footnote reference" w:uiPriority="99" w:qFormat="1"/>
    <w:lsdException w:name="annotation reference" w:uiPriority="99"/>
    <w:lsdException w:name="line number" w:uiPriority="99"/>
    <w:lsdException w:name="pag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9"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text"/>
    <w:qFormat/>
    <w:pPr>
      <w:spacing w:after="240" w:line="240" w:lineRule="auto"/>
      <w:jc w:val="both"/>
    </w:pPr>
    <w:rPr>
      <w:rFonts w:ascii="Times New Roman" w:eastAsia="Times New Roman" w:hAnsi="Times New Roman" w:cs="Times New Roman"/>
      <w:sz w:val="24"/>
      <w:lang w:eastAsia="en-GB"/>
    </w:rPr>
  </w:style>
  <w:style w:type="paragraph" w:styleId="Heading1">
    <w:name w:val="heading 1"/>
    <w:basedOn w:val="Normal"/>
    <w:next w:val="MemberStateHeader"/>
    <w:link w:val="Heading1Char"/>
    <w:qFormat/>
    <w:pPr>
      <w:keepNext/>
      <w:ind w:left="482"/>
      <w:jc w:val="center"/>
      <w:outlineLvl w:val="0"/>
    </w:pPr>
    <w:rPr>
      <w:color w:val="A6A6A6"/>
    </w:rPr>
  </w:style>
  <w:style w:type="paragraph" w:styleId="Heading2">
    <w:name w:val="heading 2"/>
    <w:basedOn w:val="Normal"/>
    <w:next w:val="Text2"/>
    <w:link w:val="Heading2Char"/>
    <w:qFormat/>
    <w:pPr>
      <w:keepNext/>
      <w:numPr>
        <w:ilvl w:val="1"/>
        <w:numId w:val="3"/>
      </w:numPr>
      <w:outlineLvl w:val="1"/>
    </w:pPr>
    <w:rPr>
      <w:b/>
    </w:rPr>
  </w:style>
  <w:style w:type="paragraph" w:styleId="Heading3">
    <w:name w:val="heading 3"/>
    <w:basedOn w:val="Normal"/>
    <w:next w:val="Text3"/>
    <w:link w:val="Heading3Char"/>
    <w:qFormat/>
    <w:pPr>
      <w:keepNext/>
      <w:numPr>
        <w:ilvl w:val="2"/>
        <w:numId w:val="3"/>
      </w:numPr>
      <w:outlineLvl w:val="2"/>
    </w:pPr>
    <w:rPr>
      <w:i/>
    </w:rPr>
  </w:style>
  <w:style w:type="paragraph" w:styleId="Heading4">
    <w:name w:val="heading 4"/>
    <w:basedOn w:val="Normal"/>
    <w:next w:val="Text4"/>
    <w:link w:val="Heading4Char"/>
    <w:qFormat/>
    <w:pPr>
      <w:keepNext/>
      <w:numPr>
        <w:ilvl w:val="3"/>
        <w:numId w:val="3"/>
      </w:numPr>
      <w:outlineLvl w:val="3"/>
    </w:pPr>
  </w:style>
  <w:style w:type="paragraph" w:styleId="Heading5">
    <w:name w:val="heading 5"/>
    <w:basedOn w:val="Normal"/>
    <w:next w:val="Normal"/>
    <w:link w:val="Heading5Char"/>
    <w:qFormat/>
    <w:pPr>
      <w:tabs>
        <w:tab w:val="num" w:pos="0"/>
      </w:tabs>
      <w:spacing w:before="240" w:after="60"/>
      <w:outlineLvl w:val="4"/>
    </w:pPr>
  </w:style>
  <w:style w:type="paragraph" w:styleId="Heading6">
    <w:name w:val="heading 6"/>
    <w:basedOn w:val="Normal"/>
    <w:next w:val="Normal"/>
    <w:link w:val="Heading6Char"/>
    <w:qFormat/>
    <w:pPr>
      <w:tabs>
        <w:tab w:val="num" w:pos="0"/>
      </w:tabs>
      <w:spacing w:before="240" w:after="60"/>
      <w:outlineLvl w:val="5"/>
    </w:pPr>
    <w:rPr>
      <w:i/>
    </w:rPr>
  </w:style>
  <w:style w:type="paragraph" w:styleId="Heading7">
    <w:name w:val="heading 7"/>
    <w:basedOn w:val="Normal"/>
    <w:next w:val="Normal"/>
    <w:link w:val="Heading7Char"/>
    <w:qFormat/>
    <w:pPr>
      <w:tabs>
        <w:tab w:val="num" w:pos="0"/>
      </w:tabs>
      <w:spacing w:before="240" w:after="60"/>
      <w:outlineLvl w:val="6"/>
    </w:pPr>
    <w:rPr>
      <w:sz w:val="20"/>
    </w:rPr>
  </w:style>
  <w:style w:type="paragraph" w:styleId="Heading8">
    <w:name w:val="heading 8"/>
    <w:basedOn w:val="Normal"/>
    <w:next w:val="Normal"/>
    <w:link w:val="Heading8Char"/>
    <w:qFormat/>
    <w:pPr>
      <w:tabs>
        <w:tab w:val="num" w:pos="0"/>
      </w:tabs>
      <w:spacing w:before="240" w:after="60"/>
      <w:outlineLvl w:val="7"/>
    </w:pPr>
    <w:rPr>
      <w:i/>
      <w:sz w:val="20"/>
    </w:rPr>
  </w:style>
  <w:style w:type="paragraph" w:styleId="Heading9">
    <w:name w:val="heading 9"/>
    <w:basedOn w:val="Normal"/>
    <w:next w:val="Normal"/>
    <w:link w:val="Heading9Char"/>
    <w:qFormat/>
    <w:pPr>
      <w:tabs>
        <w:tab w:val="num" w:pos="0"/>
      </w:tabs>
      <w:spacing w:before="240" w:after="60"/>
      <w:outlineLvl w:val="8"/>
    </w:pPr>
    <w:rPr>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Times New Roman" w:hAnsi="Times New Roman" w:cs="Times New Roman"/>
      <w:color w:val="A6A6A6"/>
      <w:sz w:val="24"/>
      <w:lang w:eastAsia="en-GB"/>
    </w:rPr>
  </w:style>
  <w:style w:type="character" w:customStyle="1" w:styleId="Heading2Char">
    <w:name w:val="Heading 2 Char"/>
    <w:basedOn w:val="DefaultParagraphFont"/>
    <w:link w:val="Heading2"/>
    <w:rPr>
      <w:rFonts w:ascii="Times New Roman" w:eastAsia="Times New Roman" w:hAnsi="Times New Roman" w:cs="Times New Roman"/>
      <w:b/>
      <w:sz w:val="24"/>
      <w:lang w:eastAsia="en-GB"/>
    </w:rPr>
  </w:style>
  <w:style w:type="character" w:customStyle="1" w:styleId="Heading3Char">
    <w:name w:val="Heading 3 Char"/>
    <w:basedOn w:val="DefaultParagraphFont"/>
    <w:link w:val="Heading3"/>
    <w:rPr>
      <w:rFonts w:ascii="Times New Roman" w:eastAsia="Times New Roman" w:hAnsi="Times New Roman" w:cs="Times New Roman"/>
      <w:i/>
      <w:sz w:val="24"/>
      <w:lang w:eastAsia="en-GB"/>
    </w:rPr>
  </w:style>
  <w:style w:type="character" w:customStyle="1" w:styleId="Heading4Char">
    <w:name w:val="Heading 4 Char"/>
    <w:basedOn w:val="DefaultParagraphFont"/>
    <w:link w:val="Heading4"/>
    <w:rPr>
      <w:rFonts w:ascii="Times New Roman" w:eastAsia="Times New Roman" w:hAnsi="Times New Roman" w:cs="Times New Roman"/>
      <w:sz w:val="24"/>
      <w:lang w:eastAsia="en-GB"/>
    </w:rPr>
  </w:style>
  <w:style w:type="character" w:customStyle="1" w:styleId="Heading5Char">
    <w:name w:val="Heading 5 Char"/>
    <w:basedOn w:val="DefaultParagraphFont"/>
    <w:link w:val="Heading5"/>
    <w:rPr>
      <w:rFonts w:ascii="Times New Roman" w:eastAsia="Times New Roman" w:hAnsi="Times New Roman" w:cs="Times New Roman"/>
      <w:sz w:val="24"/>
      <w:lang w:eastAsia="en-GB"/>
    </w:rPr>
  </w:style>
  <w:style w:type="character" w:customStyle="1" w:styleId="Heading6Char">
    <w:name w:val="Heading 6 Char"/>
    <w:basedOn w:val="DefaultParagraphFont"/>
    <w:link w:val="Heading6"/>
    <w:rPr>
      <w:rFonts w:ascii="Times New Roman" w:eastAsia="Times New Roman" w:hAnsi="Times New Roman" w:cs="Times New Roman"/>
      <w:i/>
      <w:sz w:val="24"/>
      <w:lang w:eastAsia="en-GB"/>
    </w:rPr>
  </w:style>
  <w:style w:type="character" w:customStyle="1" w:styleId="Heading7Char">
    <w:name w:val="Heading 7 Char"/>
    <w:basedOn w:val="DefaultParagraphFont"/>
    <w:link w:val="Heading7"/>
    <w:rPr>
      <w:rFonts w:ascii="Times New Roman" w:eastAsia="Times New Roman" w:hAnsi="Times New Roman" w:cs="Times New Roman"/>
      <w:sz w:val="20"/>
      <w:lang w:eastAsia="en-GB"/>
    </w:rPr>
  </w:style>
  <w:style w:type="character" w:customStyle="1" w:styleId="Heading8Char">
    <w:name w:val="Heading 8 Char"/>
    <w:basedOn w:val="DefaultParagraphFont"/>
    <w:link w:val="Heading8"/>
    <w:rPr>
      <w:rFonts w:ascii="Times New Roman" w:eastAsia="Times New Roman" w:hAnsi="Times New Roman" w:cs="Times New Roman"/>
      <w:i/>
      <w:sz w:val="20"/>
      <w:lang w:eastAsia="en-GB"/>
    </w:rPr>
  </w:style>
  <w:style w:type="character" w:customStyle="1" w:styleId="Heading9Char">
    <w:name w:val="Heading 9 Char"/>
    <w:basedOn w:val="DefaultParagraphFont"/>
    <w:link w:val="Heading9"/>
    <w:rPr>
      <w:rFonts w:ascii="Times New Roman" w:eastAsia="Times New Roman" w:hAnsi="Times New Roman" w:cs="Times New Roman"/>
      <w:i/>
      <w:sz w:val="18"/>
      <w:lang w:eastAsia="en-GB"/>
    </w:rPr>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ascii="Times New Roman" w:eastAsia="Times New Roman" w:hAnsi="Times New Roman" w:cs="Times New Roman"/>
      <w:sz w:val="24"/>
      <w:lang w:eastAsia="en-GB"/>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Times New Roman" w:eastAsia="Times New Roman" w:hAnsi="Times New Roman" w:cs="Times New Roman"/>
      <w:sz w:val="24"/>
      <w:lang w:eastAsia="en-GB"/>
    </w:rPr>
  </w:style>
  <w:style w:type="paragraph" w:styleId="BodyText3">
    <w:name w:val="Body Text 3"/>
    <w:basedOn w:val="Normal"/>
    <w:link w:val="BodyText3Char"/>
    <w:pPr>
      <w:spacing w:after="120"/>
    </w:pPr>
    <w:rPr>
      <w:sz w:val="16"/>
    </w:rPr>
  </w:style>
  <w:style w:type="character" w:customStyle="1" w:styleId="BodyText3Char">
    <w:name w:val="Body Text 3 Char"/>
    <w:basedOn w:val="DefaultParagraphFont"/>
    <w:link w:val="BodyText3"/>
    <w:rPr>
      <w:rFonts w:ascii="Times New Roman" w:eastAsia="Times New Roman" w:hAnsi="Times New Roman" w:cs="Times New Roman"/>
      <w:sz w:val="16"/>
      <w:lang w:eastAsia="en-GB"/>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lang w:eastAsia="en-GB"/>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Pr>
      <w:rFonts w:ascii="Times New Roman" w:eastAsia="Times New Roman" w:hAnsi="Times New Roman" w:cs="Times New Roman"/>
      <w:sz w:val="24"/>
      <w:lang w:eastAsia="en-GB"/>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lang w:eastAsia="en-GB"/>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lang w:eastAsia="en-GB"/>
    </w:rPr>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lang w:eastAsia="en-GB"/>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character" w:customStyle="1" w:styleId="ClosingChar">
    <w:name w:val="Closing Char"/>
    <w:basedOn w:val="DefaultParagraphFont"/>
    <w:link w:val="Closing"/>
    <w:rPr>
      <w:rFonts w:ascii="Times New Roman" w:eastAsia="Times New Roman" w:hAnsi="Times New Roman" w:cs="Times New Roman"/>
      <w:sz w:val="24"/>
      <w:lang w:eastAsia="en-GB"/>
    </w:rPr>
  </w:style>
  <w:style w:type="paragraph" w:styleId="CommentText">
    <w:name w:val="annotation text"/>
    <w:basedOn w:val="Normal"/>
    <w:link w:val="CommentTextChar"/>
    <w:uiPriority w:val="99"/>
    <w:semiHidden/>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lang w:eastAsia="en-GB"/>
    </w:rPr>
  </w:style>
  <w:style w:type="paragraph" w:styleId="Date">
    <w:name w:val="Date"/>
    <w:basedOn w:val="Normal"/>
    <w:next w:val="References"/>
    <w:link w:val="DateChar"/>
    <w:pPr>
      <w:spacing w:after="0"/>
      <w:ind w:left="5103" w:right="-567"/>
      <w:jc w:val="left"/>
    </w:pPr>
  </w:style>
  <w:style w:type="character" w:customStyle="1" w:styleId="DateChar">
    <w:name w:val="Date Char"/>
    <w:basedOn w:val="DefaultParagraphFont"/>
    <w:link w:val="Date"/>
    <w:rPr>
      <w:rFonts w:ascii="Times New Roman" w:eastAsia="Times New Roman" w:hAnsi="Times New Roman" w:cs="Times New Roman"/>
      <w:sz w:val="24"/>
      <w:lang w:eastAsia="en-GB"/>
    </w:rPr>
  </w:style>
  <w:style w:type="paragraph" w:customStyle="1" w:styleId="References">
    <w:name w:val="References"/>
    <w:basedOn w:val="Normal"/>
    <w:next w:val="AddressTR"/>
    <w:pPr>
      <w:ind w:left="5103"/>
      <w:jc w:val="left"/>
    </w:pPr>
    <w:rPr>
      <w:sz w:val="20"/>
    </w:rPr>
  </w:style>
  <w:style w:type="paragraph" w:styleId="DocumentMap">
    <w:name w:val="Document Map"/>
    <w:basedOn w:val="Normal"/>
    <w:link w:val="DocumentMapChar"/>
    <w:semiHidden/>
    <w:pPr>
      <w:shd w:val="clear" w:color="auto" w:fill="000080"/>
    </w:pPr>
    <w:rPr>
      <w:rFonts w:ascii="Tahoma" w:hAnsi="Tahoma"/>
    </w:rPr>
  </w:style>
  <w:style w:type="character" w:customStyle="1" w:styleId="DocumentMapChar">
    <w:name w:val="Document Map Char"/>
    <w:basedOn w:val="DefaultParagraphFont"/>
    <w:link w:val="DocumentMap"/>
    <w:semiHidden/>
    <w:rPr>
      <w:rFonts w:ascii="Tahoma" w:eastAsia="Times New Roman" w:hAnsi="Tahoma" w:cs="Times New Roman"/>
      <w:sz w:val="24"/>
      <w:shd w:val="clear" w:color="auto" w:fill="000080"/>
      <w:lang w:eastAsia="en-GB"/>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semiHidden/>
    <w:rPr>
      <w:sz w:val="20"/>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lang w:eastAsia="en-GB"/>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Calibri"/>
    </w:rPr>
  </w:style>
  <w:style w:type="character" w:customStyle="1" w:styleId="FooterChar">
    <w:name w:val="Footer Char"/>
    <w:basedOn w:val="DefaultParagraphFont"/>
    <w:link w:val="Footer"/>
    <w:uiPriority w:val="99"/>
    <w:rPr>
      <w:rFonts w:ascii="Times New Roman" w:eastAsia="Calibri" w:hAnsi="Times New Roman" w:cs="Times New Roman"/>
      <w:sz w:val="24"/>
      <w:lang w:eastAsia="en-GB"/>
    </w:rPr>
  </w:style>
  <w:style w:type="paragraph" w:styleId="FootnoteText">
    <w:name w:val="footnote text"/>
    <w:aliases w:val="Footnote,Fußnote,Fotnotstext1,fn,Footnote Text Char2 Char,Footnote Text Char Char Char1,Footnote Text Char1 Char Char Char,Footnote Text Char2 Char Char Char Char,Footnote Text Char1 Char1 Char Char Char Char,footnote te,Voetnootteks,f,Ch"/>
    <w:basedOn w:val="Normal"/>
    <w:link w:val="FootnoteTextChar"/>
    <w:autoRedefine/>
    <w:qFormat/>
    <w:pPr>
      <w:spacing w:after="0"/>
      <w:ind w:left="425" w:hanging="425"/>
    </w:pPr>
    <w:rPr>
      <w:rFonts w:ascii="Arial" w:hAnsi="Arial" w:cs="Arial"/>
      <w:sz w:val="18"/>
      <w:szCs w:val="18"/>
    </w:rPr>
  </w:style>
  <w:style w:type="character" w:customStyle="1" w:styleId="FootnoteTextChar">
    <w:name w:val="Footnote Text Char"/>
    <w:aliases w:val="Footnote Char,Fußnote Char,Fotnotstext1 Char,fn Char,Footnote Text Char2 Char Char,Footnote Text Char Char Char1 Char,Footnote Text Char1 Char Char Char Char,Footnote Text Char2 Char Char Char Char Char,footnote te Char,f Char,Ch Char"/>
    <w:basedOn w:val="DefaultParagraphFont"/>
    <w:link w:val="FootnoteText"/>
    <w:rPr>
      <w:rFonts w:ascii="Arial" w:eastAsia="Times New Roman" w:hAnsi="Arial" w:cs="Arial"/>
      <w:sz w:val="18"/>
      <w:szCs w:val="18"/>
      <w:lang w:eastAsia="en-GB"/>
    </w:rPr>
  </w:style>
  <w:style w:type="paragraph" w:styleId="Header">
    <w:name w:val="header"/>
    <w:basedOn w:val="Normal"/>
    <w:link w:val="HeaderChar"/>
    <w:uiPriority w:val="99"/>
    <w:unhideWhenUsed/>
    <w:pPr>
      <w:tabs>
        <w:tab w:val="center" w:pos="4535"/>
        <w:tab w:val="right" w:pos="9071"/>
      </w:tabs>
      <w:spacing w:after="120"/>
    </w:pPr>
    <w:rPr>
      <w:rFonts w:eastAsia="Calibri"/>
    </w:rPr>
  </w:style>
  <w:style w:type="character" w:customStyle="1" w:styleId="HeaderChar">
    <w:name w:val="Header Char"/>
    <w:basedOn w:val="DefaultParagraphFont"/>
    <w:link w:val="Header"/>
    <w:uiPriority w:val="99"/>
    <w:rPr>
      <w:rFonts w:ascii="Times New Roman" w:eastAsia="Calibri" w:hAnsi="Times New Roman" w:cs="Times New Roman"/>
      <w:sz w:val="24"/>
      <w:lang w:eastAsia="en-GB"/>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18"/>
    </w:rPr>
  </w:style>
  <w:style w:type="character" w:customStyle="1" w:styleId="MacroTextChar">
    <w:name w:val="Macro Text Char"/>
    <w:basedOn w:val="DefaultParagraphFont"/>
    <w:link w:val="MacroText"/>
    <w:semiHidden/>
    <w:rPr>
      <w:rFonts w:ascii="Courier New" w:eastAsia="Times New Roman" w:hAnsi="Courier New" w:cs="Times New Roman"/>
      <w:sz w:val="18"/>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style>
  <w:style w:type="character" w:customStyle="1" w:styleId="MessageHeaderChar">
    <w:name w:val="Message Header Char"/>
    <w:basedOn w:val="DefaultParagraphFont"/>
    <w:link w:val="MessageHeader"/>
    <w:rPr>
      <w:rFonts w:ascii="Times New Roman" w:eastAsia="Times New Roman" w:hAnsi="Times New Roman" w:cs="Times New Roman"/>
      <w:sz w:val="24"/>
      <w:shd w:val="pct20" w:color="auto" w:fill="auto"/>
      <w:lang w:eastAsia="en-GB"/>
    </w:rPr>
  </w:style>
  <w:style w:type="paragraph" w:styleId="NormalIndent">
    <w:name w:val="Normal Indent"/>
    <w:basedOn w:val="Normal"/>
    <w:link w:val="NormalIndentChar"/>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ascii="Times New Roman" w:eastAsia="Times New Roman" w:hAnsi="Times New Roman" w:cs="Times New Roman"/>
      <w:sz w:val="24"/>
      <w:lang w:eastAsia="en-GB"/>
    </w:r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outlineLvl w:val="9"/>
    </w:pPr>
    <w:rPr>
      <w:b/>
      <w:smallCaps/>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rPr>
      <w:rFonts w:ascii="Courier New" w:hAnsi="Courier New"/>
      <w:sz w:val="20"/>
    </w:rPr>
  </w:style>
  <w:style w:type="character" w:customStyle="1" w:styleId="PlainTextChar">
    <w:name w:val="Plain Text Char"/>
    <w:basedOn w:val="DefaultParagraphFont"/>
    <w:link w:val="PlainText"/>
    <w:rPr>
      <w:rFonts w:ascii="Courier New" w:eastAsia="Times New Roman" w:hAnsi="Courier New" w:cs="Times New Roman"/>
      <w:sz w:val="20"/>
      <w:lang w:eastAsia="en-GB"/>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rPr>
      <w:rFonts w:ascii="Times New Roman" w:eastAsia="Times New Roman" w:hAnsi="Times New Roman" w:cs="Times New Roman"/>
      <w:sz w:val="24"/>
      <w:lang w:eastAsia="en-GB"/>
    </w:rPr>
  </w:style>
  <w:style w:type="paragraph" w:styleId="Signature">
    <w:name w:val="Signature"/>
    <w:basedOn w:val="Normal"/>
    <w:next w:val="Enclosures"/>
    <w:link w:val="SignatureChar"/>
    <w:pPr>
      <w:tabs>
        <w:tab w:val="left" w:pos="5103"/>
      </w:tabs>
      <w:spacing w:before="1200" w:after="0"/>
      <w:ind w:left="5103"/>
      <w:jc w:val="center"/>
    </w:pPr>
  </w:style>
  <w:style w:type="character" w:customStyle="1" w:styleId="SignatureChar">
    <w:name w:val="Signature Char"/>
    <w:basedOn w:val="DefaultParagraphFont"/>
    <w:link w:val="Signature"/>
    <w:rPr>
      <w:rFonts w:ascii="Times New Roman" w:eastAsia="Times New Roman" w:hAnsi="Times New Roman" w:cs="Times New Roman"/>
      <w:sz w:val="24"/>
      <w:lang w:eastAsia="en-GB"/>
    </w:rPr>
  </w:style>
  <w:style w:type="paragraph" w:styleId="Subtitle">
    <w:name w:val="Subtitle"/>
    <w:basedOn w:val="Normal"/>
    <w:link w:val="SubtitleChar"/>
    <w:autoRedefine/>
    <w:qFormat/>
    <w:pPr>
      <w:spacing w:before="120" w:after="120"/>
      <w:ind w:left="357"/>
      <w:jc w:val="left"/>
      <w:outlineLvl w:val="1"/>
    </w:pPr>
    <w:rPr>
      <w:rFonts w:ascii="Arial" w:hAnsi="Arial" w:cs="Arial"/>
      <w:color w:val="002060"/>
      <w:sz w:val="22"/>
    </w:rPr>
  </w:style>
  <w:style w:type="character" w:customStyle="1" w:styleId="SubtitleChar">
    <w:name w:val="Subtitle Char"/>
    <w:basedOn w:val="DefaultParagraphFont"/>
    <w:link w:val="Subtitle"/>
    <w:rPr>
      <w:rFonts w:ascii="Arial" w:eastAsia="Times New Roman" w:hAnsi="Arial" w:cs="Arial"/>
      <w:color w:val="002060"/>
      <w:lang w:eastAsia="en-GB"/>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qFormat/>
    <w:pPr>
      <w:spacing w:after="480"/>
      <w:jc w:val="center"/>
    </w:pPr>
    <w:rPr>
      <w:b/>
      <w:kern w:val="28"/>
      <w:sz w:val="48"/>
    </w:rPr>
  </w:style>
  <w:style w:type="character" w:customStyle="1" w:styleId="TitleChar">
    <w:name w:val="Title Char"/>
    <w:basedOn w:val="DefaultParagraphFont"/>
    <w:link w:val="Title"/>
    <w:rPr>
      <w:rFonts w:ascii="Times New Roman" w:eastAsia="Times New Roman" w:hAnsi="Times New Roman" w:cs="Times New Roman"/>
      <w:b/>
      <w:kern w:val="28"/>
      <w:sz w:val="48"/>
      <w:lang w:eastAsia="en-GB"/>
    </w:rPr>
  </w:style>
  <w:style w:type="paragraph" w:styleId="TOAHeading">
    <w:name w:val="toa heading"/>
    <w:basedOn w:val="Normal"/>
    <w:next w:val="Normal"/>
    <w:semiHidden/>
    <w:pPr>
      <w:spacing w:before="120"/>
    </w:pPr>
    <w:rPr>
      <w:b/>
    </w:rPr>
  </w:style>
  <w:style w:type="paragraph" w:styleId="TOC1">
    <w:name w:val="toc 1"/>
    <w:basedOn w:val="Normal"/>
    <w:next w:val="Normal"/>
    <w:uiPriority w:val="39"/>
    <w:pPr>
      <w:tabs>
        <w:tab w:val="right" w:leader="dot" w:pos="8640"/>
      </w:tabs>
      <w:spacing w:before="120" w:after="120"/>
      <w:ind w:left="482" w:right="720" w:hanging="482"/>
    </w:pPr>
    <w:rPr>
      <w:rFonts w:ascii="Verdana" w:hAnsi="Verdana"/>
      <w:caps/>
      <w:sz w:val="18"/>
    </w:rPr>
  </w:style>
  <w:style w:type="paragraph" w:styleId="TOC2">
    <w:name w:val="toc 2"/>
    <w:basedOn w:val="Normal"/>
    <w:next w:val="Normal"/>
    <w:uiPriority w:val="39"/>
    <w:pPr>
      <w:tabs>
        <w:tab w:val="right" w:leader="dot" w:pos="8640"/>
      </w:tabs>
      <w:spacing w:before="60" w:after="60"/>
      <w:ind w:left="1077" w:right="720" w:hanging="595"/>
    </w:pPr>
    <w:rPr>
      <w:rFonts w:ascii="Verdana" w:hAnsi="Verdana"/>
      <w:sz w:val="18"/>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customStyle="1" w:styleId="TOCHeading1">
    <w:name w:val="TOC Heading1"/>
    <w:basedOn w:val="Normal"/>
    <w:next w:val="Normal"/>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ZComEL41">
    <w:name w:val="Z_Com (EL 4.1)"/>
    <w:basedOn w:val="Normal"/>
    <w:next w:val="ZDGNameEL41"/>
    <w:pPr>
      <w:widowControl w:val="0"/>
      <w:autoSpaceDE w:val="0"/>
      <w:autoSpaceDN w:val="0"/>
      <w:spacing w:after="0"/>
      <w:ind w:right="85"/>
    </w:pPr>
    <w:rPr>
      <w:rFonts w:cs="Arial"/>
      <w:szCs w:val="24"/>
    </w:rPr>
  </w:style>
  <w:style w:type="paragraph" w:customStyle="1" w:styleId="ZDGNameEL41">
    <w:name w:val="Z_DGName (EL 4.1)"/>
    <w:basedOn w:val="Normal"/>
    <w:pPr>
      <w:widowControl w:val="0"/>
      <w:autoSpaceDE w:val="0"/>
      <w:autoSpaceDN w:val="0"/>
      <w:spacing w:after="0"/>
      <w:ind w:right="85"/>
      <w:jc w:val="left"/>
    </w:pPr>
    <w:rPr>
      <w:rFonts w:cs="Arial"/>
      <w:sz w:val="16"/>
      <w:szCs w:val="16"/>
    </w:rPr>
  </w:style>
  <w:style w:type="character" w:styleId="Hyperlink">
    <w:name w:val="Hyperlink"/>
    <w:uiPriority w:val="99"/>
    <w:rPr>
      <w:color w:val="0000FF"/>
      <w:u w:val="single"/>
    </w:rPr>
  </w:style>
  <w:style w:type="character" w:styleId="FootnoteReference">
    <w:name w:val="footnote reference"/>
    <w:aliases w:val="Footnote number,Footnote symbol,fr,o,de nota al pie,Ref,Char,SUPERS,Voetnootmarkering,Char1,Nota,(NECG) Footnote Reference, Char, Char1,Ref Char,de nota al pie Char,Footnote number Char,Footnote symbol Char,note TESI Char,Nota Ch,FR"/>
    <w:uiPriority w:val="99"/>
    <w:qFormat/>
    <w:rPr>
      <w:vertAlign w:val="superscript"/>
    </w:rPr>
  </w:style>
  <w:style w:type="table" w:styleId="ColorfulGrid-Accent3">
    <w:name w:val="Colorful Grid Accent 3"/>
    <w:basedOn w:val="TableNormal"/>
    <w:uiPriority w:val="69"/>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basedOn w:val="DefaultParagraphFont"/>
    <w:link w:val="BalloonText"/>
    <w:semiHidden/>
    <w:rPr>
      <w:rFonts w:ascii="Tahoma" w:eastAsia="Times New Roman" w:hAnsi="Tahoma" w:cs="Tahoma"/>
      <w:sz w:val="16"/>
      <w:szCs w:val="16"/>
      <w:lang w:eastAsia="en-GB"/>
    </w:rPr>
  </w:style>
  <w:style w:type="paragraph" w:customStyle="1" w:styleId="DocumentTitle">
    <w:name w:val="Document Title"/>
    <w:basedOn w:val="Normal"/>
    <w:link w:val="DocumentTitleChar"/>
    <w:pPr>
      <w:jc w:val="center"/>
    </w:pPr>
    <w:rPr>
      <w:rFonts w:ascii="Verdana" w:hAnsi="Verdana"/>
      <w:b/>
      <w:sz w:val="52"/>
    </w:rPr>
  </w:style>
  <w:style w:type="paragraph" w:customStyle="1" w:styleId="Footerapproval">
    <w:name w:val="Footer approval"/>
    <w:basedOn w:val="Footer"/>
    <w:link w:val="ApprovalfooterChar"/>
    <w:pPr>
      <w:tabs>
        <w:tab w:val="left" w:pos="6804"/>
      </w:tabs>
    </w:pPr>
    <w:rPr>
      <w:rFonts w:ascii="Verdana" w:hAnsi="Verdana"/>
      <w:sz w:val="13"/>
      <w:lang w:val="fr-BE"/>
    </w:rPr>
  </w:style>
  <w:style w:type="character" w:customStyle="1" w:styleId="DocumentTitleChar">
    <w:name w:val="Document Title Char"/>
    <w:link w:val="DocumentTitle"/>
    <w:rPr>
      <w:rFonts w:ascii="Verdana" w:eastAsia="Times New Roman" w:hAnsi="Verdana" w:cs="Times New Roman"/>
      <w:b/>
      <w:sz w:val="52"/>
      <w:lang w:eastAsia="en-GB"/>
    </w:rPr>
  </w:style>
  <w:style w:type="paragraph" w:customStyle="1" w:styleId="FooterDate">
    <w:name w:val="Footer Date"/>
    <w:basedOn w:val="Footer"/>
    <w:link w:val="FooterDateChar"/>
    <w:pPr>
      <w:tabs>
        <w:tab w:val="right" w:pos="9240"/>
      </w:tabs>
    </w:pPr>
    <w:rPr>
      <w:rFonts w:ascii="Verdana" w:hAnsi="Verdana"/>
      <w:lang w:val="it-IT"/>
    </w:rPr>
  </w:style>
  <w:style w:type="character" w:customStyle="1" w:styleId="ApprovalfooterChar">
    <w:name w:val="Approval_footer Char"/>
    <w:link w:val="Footerapproval"/>
    <w:rPr>
      <w:rFonts w:ascii="Verdana" w:eastAsia="Calibri" w:hAnsi="Verdana" w:cs="Times New Roman"/>
      <w:sz w:val="13"/>
      <w:lang w:val="fr-BE" w:eastAsia="en-GB"/>
    </w:rPr>
  </w:style>
  <w:style w:type="paragraph" w:customStyle="1" w:styleId="PageNumber1">
    <w:name w:val="Page Number1"/>
    <w:basedOn w:val="Footer"/>
    <w:link w:val="PagenumberChar"/>
    <w:pPr>
      <w:tabs>
        <w:tab w:val="right" w:pos="9240"/>
      </w:tabs>
      <w:ind w:right="-622"/>
    </w:pPr>
    <w:rPr>
      <w:rFonts w:ascii="Verdana" w:hAnsi="Verdana"/>
      <w:lang w:val="fr-BE"/>
    </w:rPr>
  </w:style>
  <w:style w:type="character" w:customStyle="1" w:styleId="FooterDateChar">
    <w:name w:val="Footer Date Char"/>
    <w:link w:val="FooterDate"/>
    <w:rPr>
      <w:rFonts w:ascii="Verdana" w:eastAsia="Calibri" w:hAnsi="Verdana" w:cs="Times New Roman"/>
      <w:sz w:val="24"/>
      <w:lang w:val="it-IT" w:eastAsia="en-GB"/>
    </w:rPr>
  </w:style>
  <w:style w:type="character" w:customStyle="1" w:styleId="PagenumberChar">
    <w:name w:val="Page number Char"/>
    <w:link w:val="PageNumber1"/>
    <w:rPr>
      <w:rFonts w:ascii="Verdana" w:eastAsia="Calibri" w:hAnsi="Verdana" w:cs="Times New Roman"/>
      <w:sz w:val="24"/>
      <w:lang w:val="fr-BE" w:eastAsia="en-GB"/>
    </w:rPr>
  </w:style>
  <w:style w:type="paragraph" w:customStyle="1" w:styleId="DocumentSubtitle">
    <w:name w:val="Document Subtitle"/>
    <w:basedOn w:val="DocumentTitle"/>
    <w:link w:val="DocumentSubtitleChar"/>
    <w:rPr>
      <w:b w:val="0"/>
      <w:sz w:val="32"/>
      <w:szCs w:val="36"/>
    </w:rPr>
  </w:style>
  <w:style w:type="paragraph" w:customStyle="1" w:styleId="HeaderTitle">
    <w:name w:val="Header Title"/>
    <w:basedOn w:val="Normal"/>
    <w:link w:val="HeaderTitleChar"/>
    <w:pPr>
      <w:jc w:val="center"/>
    </w:pPr>
    <w:rPr>
      <w:rFonts w:ascii="Verdana" w:hAnsi="Verdana"/>
      <w:b/>
      <w:color w:val="808080"/>
      <w:sz w:val="18"/>
      <w:szCs w:val="18"/>
    </w:rPr>
  </w:style>
  <w:style w:type="character" w:customStyle="1" w:styleId="DocumentSubtitleChar">
    <w:name w:val="Document Subtitle Char"/>
    <w:link w:val="DocumentSubtitle"/>
    <w:rPr>
      <w:rFonts w:ascii="Verdana" w:eastAsia="Times New Roman" w:hAnsi="Verdana" w:cs="Times New Roman"/>
      <w:sz w:val="32"/>
      <w:szCs w:val="36"/>
      <w:lang w:eastAsia="en-GB"/>
    </w:rPr>
  </w:style>
  <w:style w:type="paragraph" w:customStyle="1" w:styleId="Bulletpoint1">
    <w:name w:val="Bullet point1"/>
    <w:basedOn w:val="NormalIndent"/>
    <w:link w:val="Bulletpoint1Char"/>
    <w:pPr>
      <w:numPr>
        <w:numId w:val="20"/>
      </w:numPr>
      <w:spacing w:after="120"/>
      <w:jc w:val="left"/>
    </w:pPr>
    <w:rPr>
      <w:rFonts w:ascii="Verdana" w:hAnsi="Verdana"/>
      <w:sz w:val="18"/>
    </w:rPr>
  </w:style>
  <w:style w:type="character" w:customStyle="1" w:styleId="HeaderTitleChar">
    <w:name w:val="Header Title Char"/>
    <w:link w:val="HeaderTitle"/>
    <w:rPr>
      <w:rFonts w:ascii="Verdana" w:eastAsia="Times New Roman" w:hAnsi="Verdana" w:cs="Times New Roman"/>
      <w:b/>
      <w:color w:val="808080"/>
      <w:sz w:val="18"/>
      <w:szCs w:val="18"/>
      <w:lang w:eastAsia="en-GB"/>
    </w:rPr>
  </w:style>
  <w:style w:type="paragraph" w:customStyle="1" w:styleId="Heading">
    <w:name w:val="Heading"/>
    <w:basedOn w:val="TOC1"/>
    <w:link w:val="HeadingChar"/>
    <w:pPr>
      <w:widowControl w:val="0"/>
      <w:autoSpaceDE w:val="0"/>
      <w:autoSpaceDN w:val="0"/>
      <w:adjustRightInd w:val="0"/>
      <w:spacing w:after="0"/>
      <w:ind w:left="0" w:firstLine="0"/>
      <w:jc w:val="left"/>
    </w:pPr>
    <w:rPr>
      <w:b/>
      <w:sz w:val="20"/>
      <w:u w:val="single"/>
    </w:rPr>
  </w:style>
  <w:style w:type="character" w:customStyle="1" w:styleId="NormalIndentChar">
    <w:name w:val="Normal Indent Char"/>
    <w:link w:val="NormalIndent"/>
    <w:rPr>
      <w:rFonts w:ascii="Times New Roman" w:eastAsia="Times New Roman" w:hAnsi="Times New Roman" w:cs="Times New Roman"/>
      <w:sz w:val="24"/>
      <w:lang w:eastAsia="en-GB"/>
    </w:rPr>
  </w:style>
  <w:style w:type="character" w:customStyle="1" w:styleId="Bulletpoint1Char">
    <w:name w:val="Bullet point1 Char"/>
    <w:link w:val="Bulletpoint1"/>
    <w:rPr>
      <w:rFonts w:ascii="Verdana" w:eastAsia="Times New Roman" w:hAnsi="Verdana" w:cs="Times New Roman"/>
      <w:sz w:val="18"/>
      <w:lang w:eastAsia="en-GB"/>
    </w:rPr>
  </w:style>
  <w:style w:type="paragraph" w:customStyle="1" w:styleId="BulletPoint2">
    <w:name w:val="Bullet Point 2"/>
    <w:basedOn w:val="NormalIndent"/>
    <w:link w:val="BulletPoint2Char"/>
    <w:pPr>
      <w:numPr>
        <w:numId w:val="19"/>
      </w:numPr>
      <w:spacing w:after="120"/>
      <w:ind w:left="1077" w:hanging="357"/>
      <w:jc w:val="left"/>
    </w:pPr>
    <w:rPr>
      <w:rFonts w:ascii="Verdana" w:hAnsi="Verdana"/>
      <w:sz w:val="18"/>
    </w:rPr>
  </w:style>
  <w:style w:type="character" w:customStyle="1" w:styleId="HeadingChar">
    <w:name w:val="Heading Char"/>
    <w:link w:val="Heading"/>
    <w:rPr>
      <w:rFonts w:ascii="Verdana" w:eastAsia="Times New Roman" w:hAnsi="Verdana" w:cs="Times New Roman"/>
      <w:b/>
      <w:caps/>
      <w:sz w:val="20"/>
      <w:u w:val="single"/>
      <w:lang w:eastAsia="en-GB"/>
    </w:rPr>
  </w:style>
  <w:style w:type="paragraph" w:customStyle="1" w:styleId="Body">
    <w:name w:val="Body"/>
    <w:basedOn w:val="Normal"/>
    <w:link w:val="BodyChar"/>
    <w:qFormat/>
    <w:pPr>
      <w:ind w:firstLine="709"/>
    </w:pPr>
    <w:rPr>
      <w:rFonts w:ascii="Verdana" w:hAnsi="Verdana"/>
      <w:sz w:val="20"/>
      <w:lang w:val="en-US"/>
    </w:rPr>
  </w:style>
  <w:style w:type="character" w:customStyle="1" w:styleId="BulletPoint2Char">
    <w:name w:val="Bullet Point 2 Char"/>
    <w:link w:val="BulletPoint2"/>
    <w:rPr>
      <w:rFonts w:ascii="Verdana" w:eastAsia="Times New Roman" w:hAnsi="Verdana" w:cs="Times New Roman"/>
      <w:sz w:val="18"/>
      <w:lang w:eastAsia="en-GB"/>
    </w:rPr>
  </w:style>
  <w:style w:type="paragraph" w:customStyle="1" w:styleId="Heading20">
    <w:name w:val="Heading2"/>
    <w:basedOn w:val="Title2"/>
    <w:link w:val="Heading2Char0"/>
    <w:pPr>
      <w:numPr>
        <w:numId w:val="0"/>
      </w:numPr>
    </w:pPr>
    <w:rPr>
      <w:rFonts w:ascii="Verdana" w:hAnsi="Verdana"/>
      <w:b/>
      <w:i/>
    </w:rPr>
  </w:style>
  <w:style w:type="character" w:customStyle="1" w:styleId="BodyChar">
    <w:name w:val="Body Char"/>
    <w:link w:val="Body"/>
    <w:rPr>
      <w:rFonts w:ascii="Verdana" w:eastAsia="Times New Roman" w:hAnsi="Verdana" w:cs="Times New Roman"/>
      <w:sz w:val="20"/>
      <w:lang w:val="en-US" w:eastAsia="en-GB"/>
    </w:rPr>
  </w:style>
  <w:style w:type="table" w:styleId="TableGrid">
    <w:name w:val="Table Grid"/>
    <w:aliases w:val="Document Table"/>
    <w:basedOn w:val="TableNormal"/>
    <w:pPr>
      <w:spacing w:after="0" w:line="240" w:lineRule="auto"/>
    </w:pPr>
    <w:rPr>
      <w:rFonts w:ascii="Verdana" w:eastAsia="Times New Roman" w:hAnsi="Verdana" w:cs="Times New Roman"/>
      <w:sz w:val="20"/>
      <w:szCs w:val="20"/>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character" w:customStyle="1" w:styleId="Heading2Char0">
    <w:name w:val="Heading2 Char"/>
    <w:link w:val="Heading20"/>
    <w:rPr>
      <w:rFonts w:ascii="Verdana" w:eastAsia="Times New Roman" w:hAnsi="Verdana" w:cs="Times New Roman"/>
      <w:b/>
      <w:i/>
      <w:sz w:val="24"/>
      <w:lang w:eastAsia="en-GB"/>
    </w:rPr>
  </w:style>
  <w:style w:type="table" w:customStyle="1" w:styleId="Style1">
    <w:name w:val="Style1"/>
    <w:basedOn w:val="TableNormal"/>
    <w:pPr>
      <w:spacing w:after="0" w:line="240" w:lineRule="auto"/>
    </w:pPr>
    <w:rPr>
      <w:rFonts w:ascii="Times New Roman" w:eastAsia="Times New Roman" w:hAnsi="Times New Roman" w:cs="Times New Roman"/>
      <w:sz w:val="20"/>
      <w:szCs w:val="20"/>
      <w:lang w:eastAsia="en-GB"/>
    </w:rPr>
    <w:tblPr/>
  </w:style>
  <w:style w:type="table" w:styleId="TableElegant">
    <w:name w:val="Table Elegant"/>
    <w:basedOn w:val="TableNormal"/>
    <w:pPr>
      <w:spacing w:after="240" w:line="240" w:lineRule="auto"/>
      <w:jc w:val="both"/>
    </w:pPr>
    <w:rPr>
      <w:rFonts w:ascii="Times New Roman" w:eastAsia="Times New Roman" w:hAnsi="Times New Roman" w:cs="Times New Roman"/>
      <w:sz w:val="20"/>
      <w:szCs w:val="20"/>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pPr>
      <w:spacing w:after="0"/>
    </w:pPr>
    <w:rPr>
      <w:i/>
      <w:noProof/>
      <w:sz w:val="13"/>
    </w:rPr>
  </w:style>
  <w:style w:type="character" w:customStyle="1" w:styleId="FooterDocumentChar">
    <w:name w:val="Footer Document Char"/>
    <w:link w:val="FooterDocument"/>
    <w:rPr>
      <w:rFonts w:ascii="Verdana" w:eastAsia="Times New Roman" w:hAnsi="Verdana" w:cs="Times New Roman"/>
      <w:i/>
      <w:noProof/>
      <w:sz w:val="13"/>
      <w:lang w:val="en-US" w:eastAsia="en-GB"/>
    </w:rPr>
  </w:style>
  <w:style w:type="paragraph" w:styleId="TOCHeading">
    <w:name w:val="TOC Heading"/>
    <w:basedOn w:val="Heading1"/>
    <w:next w:val="Normal"/>
    <w:uiPriority w:val="39"/>
    <w:qFormat/>
    <w:pPr>
      <w:keepLines/>
      <w:spacing w:before="480" w:after="0" w:line="276" w:lineRule="auto"/>
      <w:ind w:left="0"/>
      <w:jc w:val="left"/>
      <w:outlineLvl w:val="9"/>
    </w:pPr>
    <w:rPr>
      <w:rFonts w:ascii="Cambria" w:eastAsia="MS Gothic" w:hAnsi="Cambria"/>
      <w:bCs/>
      <w:smallCaps/>
      <w:color w:val="435186"/>
      <w:sz w:val="28"/>
      <w:szCs w:val="28"/>
      <w:lang w:val="en-US"/>
    </w:rPr>
  </w:style>
  <w:style w:type="paragraph" w:customStyle="1" w:styleId="Title2">
    <w:name w:val="Title 2"/>
    <w:basedOn w:val="Normal"/>
    <w:pPr>
      <w:numPr>
        <w:numId w:val="21"/>
      </w:numPr>
    </w:pPr>
  </w:style>
  <w:style w:type="paragraph" w:customStyle="1" w:styleId="Subtitle0">
    <w:name w:val="Subtitle_"/>
    <w:basedOn w:val="TOC2"/>
    <w:link w:val="SubtitleChar0"/>
    <w:pPr>
      <w:ind w:left="0" w:firstLine="0"/>
    </w:pPr>
    <w:rPr>
      <w:b/>
      <w:i/>
      <w:sz w:val="20"/>
    </w:rPr>
  </w:style>
  <w:style w:type="character" w:customStyle="1" w:styleId="SubtitleChar0">
    <w:name w:val="Subtitle_ Char"/>
    <w:link w:val="Subtitle0"/>
    <w:rPr>
      <w:rFonts w:ascii="Verdana" w:eastAsia="Times New Roman" w:hAnsi="Verdana" w:cs="Times New Roman"/>
      <w:b/>
      <w:i/>
      <w:sz w:val="20"/>
      <w:lang w:eastAsia="en-GB"/>
    </w:rPr>
  </w:style>
  <w:style w:type="paragraph" w:customStyle="1" w:styleId="HeadingBody">
    <w:name w:val="Heading Body"/>
    <w:basedOn w:val="Normal"/>
    <w:link w:val="HeadingBodyChar"/>
    <w:pPr>
      <w:spacing w:after="120"/>
    </w:pPr>
    <w:rPr>
      <w:rFonts w:ascii="Verdana" w:hAnsi="Verdana"/>
      <w:b/>
      <w:sz w:val="20"/>
      <w:szCs w:val="18"/>
    </w:rPr>
  </w:style>
  <w:style w:type="paragraph" w:customStyle="1" w:styleId="Titlepublication">
    <w:name w:val="Title publication"/>
    <w:basedOn w:val="Normal"/>
    <w:link w:val="TitlepublicationChar"/>
    <w:pPr>
      <w:jc w:val="center"/>
    </w:pPr>
    <w:rPr>
      <w:rFonts w:ascii="Verdana" w:hAnsi="Verdana"/>
      <w:b/>
      <w:color w:val="FF0000"/>
      <w:sz w:val="52"/>
      <w:szCs w:val="52"/>
    </w:rPr>
  </w:style>
  <w:style w:type="character" w:customStyle="1" w:styleId="HeadingBodyChar">
    <w:name w:val="Heading Body Char"/>
    <w:link w:val="HeadingBody"/>
    <w:rPr>
      <w:rFonts w:ascii="Verdana" w:eastAsia="Times New Roman" w:hAnsi="Verdana" w:cs="Times New Roman"/>
      <w:b/>
      <w:sz w:val="20"/>
      <w:szCs w:val="18"/>
      <w:lang w:eastAsia="en-GB"/>
    </w:rPr>
  </w:style>
  <w:style w:type="paragraph" w:customStyle="1" w:styleId="Subtitlepublication">
    <w:name w:val="Subtitle publication"/>
    <w:basedOn w:val="Normal"/>
    <w:link w:val="SubtitlepublicationChar"/>
    <w:pPr>
      <w:jc w:val="center"/>
    </w:pPr>
    <w:rPr>
      <w:rFonts w:ascii="Verdana" w:hAnsi="Verdana"/>
      <w:b/>
      <w:i/>
      <w:color w:val="FF0000"/>
      <w:sz w:val="32"/>
    </w:rPr>
  </w:style>
  <w:style w:type="character" w:customStyle="1" w:styleId="TitlepublicationChar">
    <w:name w:val="Title publication Char"/>
    <w:link w:val="Titlepublication"/>
    <w:rPr>
      <w:rFonts w:ascii="Verdana" w:eastAsia="Times New Roman" w:hAnsi="Verdana" w:cs="Times New Roman"/>
      <w:b/>
      <w:color w:val="FF0000"/>
      <w:sz w:val="52"/>
      <w:szCs w:val="52"/>
      <w:lang w:eastAsia="en-GB"/>
    </w:rPr>
  </w:style>
  <w:style w:type="paragraph" w:customStyle="1" w:styleId="Editorname">
    <w:name w:val="Editor name"/>
    <w:basedOn w:val="Normal"/>
    <w:link w:val="EditornameChar"/>
    <w:pPr>
      <w:jc w:val="center"/>
    </w:pPr>
    <w:rPr>
      <w:rFonts w:ascii="Verdana" w:hAnsi="Verdana"/>
      <w:color w:val="FF0000"/>
    </w:rPr>
  </w:style>
  <w:style w:type="character" w:customStyle="1" w:styleId="SubtitlepublicationChar">
    <w:name w:val="Subtitle publication Char"/>
    <w:link w:val="Subtitlepublication"/>
    <w:rPr>
      <w:rFonts w:ascii="Verdana" w:eastAsia="Times New Roman" w:hAnsi="Verdana" w:cs="Times New Roman"/>
      <w:b/>
      <w:i/>
      <w:color w:val="FF0000"/>
      <w:sz w:val="32"/>
      <w:lang w:eastAsia="en-GB"/>
    </w:rPr>
  </w:style>
  <w:style w:type="paragraph" w:customStyle="1" w:styleId="Backcoversummary">
    <w:name w:val="Backcover_summary"/>
    <w:basedOn w:val="Normal"/>
    <w:link w:val="BackcoversummaryChar"/>
    <w:rPr>
      <w:rFonts w:ascii="Verdana" w:hAnsi="Verdana"/>
      <w:color w:val="FF0000"/>
    </w:rPr>
  </w:style>
  <w:style w:type="character" w:customStyle="1" w:styleId="EditornameChar">
    <w:name w:val="Editor name Char"/>
    <w:link w:val="Editorname"/>
    <w:rPr>
      <w:rFonts w:ascii="Verdana" w:eastAsia="Times New Roman" w:hAnsi="Verdana" w:cs="Times New Roman"/>
      <w:color w:val="FF0000"/>
      <w:sz w:val="24"/>
      <w:lang w:eastAsia="en-GB"/>
    </w:rPr>
  </w:style>
  <w:style w:type="paragraph" w:customStyle="1" w:styleId="Backcovercategory">
    <w:name w:val="Backcover_category"/>
    <w:basedOn w:val="Normal"/>
    <w:link w:val="BackcovercategoryChar"/>
    <w:pPr>
      <w:ind w:right="28"/>
    </w:pPr>
    <w:rPr>
      <w:rFonts w:ascii="Verdana" w:hAnsi="Verdana"/>
      <w:i/>
      <w:color w:val="FF0000"/>
      <w:sz w:val="18"/>
    </w:rPr>
  </w:style>
  <w:style w:type="character" w:customStyle="1" w:styleId="BackcoversummaryChar">
    <w:name w:val="Backcover_summary Char"/>
    <w:link w:val="Backcoversummary"/>
    <w:rPr>
      <w:rFonts w:ascii="Verdana" w:eastAsia="Times New Roman" w:hAnsi="Verdana" w:cs="Times New Roman"/>
      <w:color w:val="FF0000"/>
      <w:sz w:val="24"/>
      <w:lang w:eastAsia="en-GB"/>
    </w:rPr>
  </w:style>
  <w:style w:type="character" w:customStyle="1" w:styleId="BackcovercategoryChar">
    <w:name w:val="Backcover_category Char"/>
    <w:link w:val="Backcovercategory"/>
    <w:rPr>
      <w:rFonts w:ascii="Verdana" w:eastAsia="Times New Roman" w:hAnsi="Verdana" w:cs="Times New Roman"/>
      <w:i/>
      <w:color w:val="FF0000"/>
      <w:sz w:val="18"/>
      <w:lang w:eastAsia="en-GB"/>
    </w:rPr>
  </w:style>
  <w:style w:type="paragraph" w:customStyle="1" w:styleId="kop2">
    <w:name w:val="kop 2"/>
    <w:basedOn w:val="Normal"/>
    <w:next w:val="Normal"/>
    <w:link w:val="kop2Char"/>
    <w:autoRedefine/>
    <w:uiPriority w:val="1"/>
    <w:unhideWhenUsed/>
    <w:qFormat/>
    <w:pPr>
      <w:keepNext/>
      <w:keepLines/>
      <w:numPr>
        <w:numId w:val="22"/>
      </w:numPr>
      <w:spacing w:before="240" w:after="60" w:line="276" w:lineRule="auto"/>
      <w:ind w:left="714" w:hanging="357"/>
      <w:jc w:val="left"/>
      <w:outlineLvl w:val="1"/>
    </w:pPr>
    <w:rPr>
      <w:rFonts w:ascii="Arial" w:eastAsia="MS Gothic" w:hAnsi="Arial" w:cs="Arial"/>
      <w:caps/>
      <w:color w:val="4F81BD"/>
      <w:kern w:val="20"/>
      <w:szCs w:val="24"/>
    </w:rPr>
  </w:style>
  <w:style w:type="paragraph" w:customStyle="1" w:styleId="kop3">
    <w:name w:val="kop 3"/>
    <w:basedOn w:val="Normal"/>
    <w:next w:val="Normal"/>
    <w:link w:val="kop3Char"/>
    <w:uiPriority w:val="1"/>
    <w:unhideWhenUsed/>
    <w:qFormat/>
    <w:pPr>
      <w:keepNext/>
      <w:keepLines/>
      <w:numPr>
        <w:numId w:val="23"/>
      </w:numPr>
      <w:spacing w:after="120"/>
      <w:outlineLvl w:val="2"/>
    </w:pPr>
    <w:rPr>
      <w:rFonts w:ascii="Verdana" w:eastAsia="MS Gothic" w:hAnsi="Verdana"/>
      <w:bCs/>
      <w:color w:val="006FB4"/>
      <w:kern w:val="20"/>
      <w:lang w:val="nl-NL"/>
    </w:rPr>
  </w:style>
  <w:style w:type="character" w:customStyle="1" w:styleId="kop2Char">
    <w:name w:val="kop 2 Char"/>
    <w:link w:val="kop2"/>
    <w:uiPriority w:val="1"/>
    <w:rPr>
      <w:rFonts w:ascii="Arial" w:eastAsia="MS Gothic" w:hAnsi="Arial" w:cs="Arial"/>
      <w:caps/>
      <w:color w:val="4F81BD"/>
      <w:kern w:val="20"/>
      <w:sz w:val="24"/>
      <w:szCs w:val="24"/>
      <w:lang w:eastAsia="en-GB"/>
    </w:rPr>
  </w:style>
  <w:style w:type="character" w:customStyle="1" w:styleId="kop3Char">
    <w:name w:val="kop 3 Char"/>
    <w:link w:val="kop3"/>
    <w:uiPriority w:val="1"/>
    <w:rPr>
      <w:rFonts w:ascii="Verdana" w:eastAsia="MS Gothic" w:hAnsi="Verdana" w:cs="Times New Roman"/>
      <w:bCs/>
      <w:color w:val="006FB4"/>
      <w:kern w:val="20"/>
      <w:sz w:val="24"/>
      <w:lang w:val="nl-NL" w:eastAsia="en-GB"/>
    </w:rPr>
  </w:style>
  <w:style w:type="paragraph" w:customStyle="1" w:styleId="Lijstje">
    <w:name w:val="Lijstje"/>
    <w:basedOn w:val="NoSpacing"/>
    <w:uiPriority w:val="1"/>
    <w:unhideWhenUsed/>
    <w:qFormat/>
    <w:locked/>
    <w:pPr>
      <w:spacing w:after="240"/>
      <w:ind w:left="1419" w:hanging="705"/>
    </w:pPr>
    <w:rPr>
      <w:rFonts w:ascii="Verdana" w:eastAsia="Calibri" w:hAnsi="Verdana"/>
      <w:kern w:val="20"/>
      <w:sz w:val="20"/>
      <w:lang w:val="en-US"/>
    </w:rPr>
  </w:style>
  <w:style w:type="paragraph" w:customStyle="1" w:styleId="Lijstje3">
    <w:name w:val="Lijstje 3"/>
    <w:basedOn w:val="Lijstje2"/>
    <w:uiPriority w:val="1"/>
    <w:unhideWhenUsed/>
    <w:locked/>
    <w:pPr>
      <w:numPr>
        <w:ilvl w:val="1"/>
      </w:numPr>
      <w:tabs>
        <w:tab w:val="num" w:pos="765"/>
      </w:tabs>
    </w:pPr>
  </w:style>
  <w:style w:type="paragraph" w:customStyle="1" w:styleId="Lijstje2">
    <w:name w:val="Lijstje2"/>
    <w:basedOn w:val="ListParagraph"/>
    <w:uiPriority w:val="1"/>
    <w:unhideWhenUsed/>
    <w:qFormat/>
    <w:locked/>
    <w:pPr>
      <w:numPr>
        <w:numId w:val="24"/>
      </w:numPr>
      <w:spacing w:after="200"/>
    </w:pPr>
    <w:rPr>
      <w:rFonts w:ascii="Verdana" w:eastAsia="Calibri" w:hAnsi="Verdana"/>
      <w:kern w:val="20"/>
      <w:sz w:val="20"/>
      <w:lang w:val="nl-NL"/>
    </w:rPr>
  </w:style>
  <w:style w:type="paragraph" w:customStyle="1" w:styleId="Koptekstmetarcering">
    <w:name w:val="Koptekst met arcering"/>
    <w:basedOn w:val="Normal"/>
    <w:uiPriority w:val="19"/>
    <w:locked/>
    <w:pPr>
      <w:pBdr>
        <w:top w:val="single" w:sz="2" w:space="2" w:color="5F70AF"/>
        <w:left w:val="single" w:sz="2" w:space="6" w:color="5F70AF"/>
        <w:bottom w:val="single" w:sz="2" w:space="2" w:color="5F70AF"/>
        <w:right w:val="single" w:sz="2" w:space="6" w:color="5F70AF"/>
      </w:pBdr>
      <w:shd w:val="clear" w:color="auto" w:fill="5F70AF"/>
      <w:spacing w:after="0"/>
      <w:ind w:left="-360" w:right="-360"/>
    </w:pPr>
    <w:rPr>
      <w:rFonts w:ascii="Cambria" w:eastAsia="MS Gothic" w:hAnsi="Cambria"/>
      <w:caps/>
      <w:color w:val="FFFFFF"/>
      <w:kern w:val="20"/>
      <w:sz w:val="48"/>
      <w:lang w:val="nl-NL"/>
    </w:rPr>
  </w:style>
  <w:style w:type="character" w:styleId="Strong">
    <w:name w:val="Strong"/>
    <w:aliases w:val="sub subtitle"/>
    <w:uiPriority w:val="22"/>
    <w:qFormat/>
    <w:rPr>
      <w:rFonts w:ascii="Arial" w:hAnsi="Arial"/>
      <w:i/>
      <w:color w:val="95B3D7"/>
      <w:sz w:val="20"/>
    </w:rPr>
  </w:style>
  <w:style w:type="paragraph" w:styleId="NoSpacing">
    <w:name w:val="No Spacing"/>
    <w:uiPriority w:val="1"/>
    <w:qFormat/>
    <w:pPr>
      <w:spacing w:after="0" w:line="240" w:lineRule="auto"/>
      <w:jc w:val="both"/>
    </w:pPr>
    <w:rPr>
      <w:rFonts w:ascii="Times New Roman" w:eastAsia="Times New Roman" w:hAnsi="Times New Roman" w:cs="Times New Roman"/>
      <w:sz w:val="24"/>
      <w:lang w:val="fr-FR"/>
    </w:rPr>
  </w:style>
  <w:style w:type="paragraph" w:styleId="ListParagraph">
    <w:name w:val="List Paragraph"/>
    <w:basedOn w:val="Normal"/>
    <w:uiPriority w:val="34"/>
    <w:qFormat/>
    <w:pPr>
      <w:ind w:left="720"/>
      <w:contextualSpacing/>
    </w:pPr>
  </w:style>
  <w:style w:type="paragraph" w:customStyle="1" w:styleId="kop1">
    <w:name w:val="kop 1"/>
    <w:basedOn w:val="Normal"/>
    <w:next w:val="Normal"/>
    <w:link w:val="Tekensvoorkop1"/>
    <w:uiPriority w:val="1"/>
    <w:locked/>
    <w:pPr>
      <w:pageBreakBefore/>
      <w:spacing w:after="360"/>
      <w:ind w:left="-360" w:right="-360"/>
      <w:outlineLvl w:val="0"/>
    </w:pPr>
    <w:rPr>
      <w:rFonts w:ascii="Calibri" w:eastAsia="Calibri" w:hAnsi="Calibri"/>
      <w:kern w:val="20"/>
      <w:sz w:val="36"/>
      <w:lang w:val="nl-NL"/>
    </w:rPr>
  </w:style>
  <w:style w:type="paragraph" w:customStyle="1" w:styleId="Geenregelafstand">
    <w:name w:val="Geen regelafstand"/>
    <w:link w:val="Tekensvoorgeenregelafstand"/>
    <w:uiPriority w:val="1"/>
    <w:locked/>
    <w:pPr>
      <w:spacing w:before="40" w:after="0" w:line="240" w:lineRule="auto"/>
    </w:pPr>
    <w:rPr>
      <w:rFonts w:ascii="Calibri" w:eastAsia="Calibri" w:hAnsi="Calibri" w:cs="Times New Roman"/>
      <w:color w:val="595959"/>
      <w:sz w:val="18"/>
      <w:lang w:val="nl-NL"/>
    </w:rPr>
  </w:style>
  <w:style w:type="character" w:customStyle="1" w:styleId="Tekensvoorkop1">
    <w:name w:val="Tekens voor kop 1"/>
    <w:link w:val="kop1"/>
    <w:uiPriority w:val="1"/>
    <w:rPr>
      <w:rFonts w:ascii="Calibri" w:eastAsia="Calibri" w:hAnsi="Calibri" w:cs="Times New Roman"/>
      <w:kern w:val="20"/>
      <w:sz w:val="36"/>
      <w:lang w:val="nl-NL" w:eastAsia="en-GB"/>
    </w:rPr>
  </w:style>
  <w:style w:type="character" w:customStyle="1" w:styleId="Extranadruk">
    <w:name w:val="Extra nadruk"/>
    <w:uiPriority w:val="1"/>
    <w:unhideWhenUsed/>
    <w:locked/>
    <w:rPr>
      <w:b/>
      <w:bCs/>
    </w:rPr>
  </w:style>
  <w:style w:type="character" w:customStyle="1" w:styleId="Tekensvoorgeenregelafstand">
    <w:name w:val="Tekens voor geen regelafstand"/>
    <w:link w:val="Geenregelafstand"/>
    <w:uiPriority w:val="1"/>
    <w:rPr>
      <w:rFonts w:ascii="Calibri" w:eastAsia="Calibri" w:hAnsi="Calibri" w:cs="Times New Roman"/>
      <w:color w:val="595959"/>
      <w:sz w:val="18"/>
      <w:lang w:val="nl-NL"/>
    </w:rPr>
  </w:style>
  <w:style w:type="paragraph" w:customStyle="1" w:styleId="Tabeltekst">
    <w:name w:val="Tabeltekst"/>
    <w:basedOn w:val="Normal"/>
    <w:uiPriority w:val="9"/>
    <w:locked/>
    <w:pPr>
      <w:spacing w:before="60" w:after="60"/>
      <w:ind w:left="144" w:right="144"/>
    </w:pPr>
    <w:rPr>
      <w:rFonts w:ascii="Calibri" w:eastAsia="Calibri" w:hAnsi="Calibri"/>
      <w:kern w:val="20"/>
      <w:lang w:val="nl-NL"/>
    </w:rPr>
  </w:style>
  <w:style w:type="paragraph" w:customStyle="1" w:styleId="Kopvooromgekeerdetabel">
    <w:name w:val="Kop voor omgekeerde tabel"/>
    <w:basedOn w:val="Normal"/>
    <w:uiPriority w:val="9"/>
    <w:locked/>
    <w:pPr>
      <w:spacing w:after="40"/>
      <w:ind w:left="144" w:right="144"/>
    </w:pPr>
    <w:rPr>
      <w:rFonts w:ascii="Cambria" w:eastAsia="MS Gothic" w:hAnsi="Cambria"/>
      <w:caps/>
      <w:color w:val="FFFFFF"/>
      <w:kern w:val="20"/>
      <w:lang w:val="nl-NL"/>
    </w:rPr>
  </w:style>
  <w:style w:type="character" w:styleId="CommentReference">
    <w:name w:val="annotation reference"/>
    <w:uiPriority w:val="99"/>
    <w:semiHidden/>
    <w:unhideWhenUsed/>
    <w:rPr>
      <w:sz w:val="16"/>
      <w:szCs w:val="16"/>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rFonts w:ascii="Times New Roman" w:eastAsia="Times New Roman" w:hAnsi="Times New Roman" w:cs="Times New Roman"/>
      <w:b/>
      <w:bCs/>
      <w:sz w:val="20"/>
      <w:lang w:eastAsia="en-GB"/>
    </w:rPr>
  </w:style>
  <w:style w:type="paragraph" w:styleId="Revision">
    <w:name w:val="Revision"/>
    <w:hidden/>
    <w:uiPriority w:val="99"/>
    <w:semiHidden/>
    <w:pPr>
      <w:spacing w:after="0" w:line="240" w:lineRule="auto"/>
    </w:pPr>
    <w:rPr>
      <w:rFonts w:ascii="Times New Roman" w:eastAsia="Times New Roman" w:hAnsi="Times New Roman" w:cs="Times New Roman"/>
      <w:sz w:val="24"/>
      <w:lang w:val="fr-FR"/>
    </w:rPr>
  </w:style>
  <w:style w:type="character" w:styleId="FollowedHyperlink">
    <w:name w:val="FollowedHyperlink"/>
    <w:semiHidden/>
    <w:unhideWhenUsed/>
    <w:rPr>
      <w:color w:val="3EBBF0"/>
      <w:u w:val="single"/>
    </w:rPr>
  </w:style>
  <w:style w:type="character" w:customStyle="1" w:styleId="affairetitle">
    <w:name w:val="affaire_title"/>
    <w:basedOn w:val="DefaultParagraphFont"/>
  </w:style>
  <w:style w:type="paragraph" w:customStyle="1" w:styleId="Kop4">
    <w:name w:val="Kop 4"/>
    <w:basedOn w:val="Normal"/>
    <w:link w:val="Kop4Char"/>
    <w:pPr>
      <w:spacing w:after="120"/>
      <w:ind w:left="709"/>
    </w:pPr>
    <w:rPr>
      <w:rFonts w:ascii="Verdana" w:hAnsi="Verdana"/>
      <w:color w:val="5AA2AE"/>
    </w:rPr>
  </w:style>
  <w:style w:type="paragraph" w:customStyle="1" w:styleId="Kop5">
    <w:name w:val="Kop 5"/>
    <w:basedOn w:val="Normal"/>
    <w:link w:val="Kop5Char"/>
    <w:pPr>
      <w:ind w:left="709"/>
    </w:pPr>
    <w:rPr>
      <w:rFonts w:ascii="Verdana" w:hAnsi="Verdana"/>
      <w:color w:val="7BCCFF"/>
    </w:rPr>
  </w:style>
  <w:style w:type="character" w:customStyle="1" w:styleId="Kop4Char">
    <w:name w:val="Kop 4 Char"/>
    <w:link w:val="Kop4"/>
    <w:rPr>
      <w:rFonts w:ascii="Verdana" w:eastAsia="Times New Roman" w:hAnsi="Verdana" w:cs="Times New Roman"/>
      <w:color w:val="5AA2AE"/>
      <w:sz w:val="24"/>
      <w:lang w:eastAsia="en-GB"/>
    </w:rPr>
  </w:style>
  <w:style w:type="character" w:customStyle="1" w:styleId="Kop5Char">
    <w:name w:val="Kop 5 Char"/>
    <w:link w:val="Kop5"/>
    <w:rPr>
      <w:rFonts w:ascii="Verdana" w:eastAsia="Times New Roman" w:hAnsi="Verdana" w:cs="Times New Roman"/>
      <w:color w:val="7BCCFF"/>
      <w:sz w:val="24"/>
      <w:lang w:eastAsia="en-GB"/>
    </w:rPr>
  </w:style>
  <w:style w:type="paragraph" w:customStyle="1" w:styleId="MemberStateHeader">
    <w:name w:val="Member State Header"/>
    <w:basedOn w:val="Normal"/>
    <w:link w:val="MemberStateHeaderChar"/>
    <w:qFormat/>
    <w:pPr>
      <w:jc w:val="center"/>
    </w:pPr>
    <w:rPr>
      <w:color w:val="BFBFBF"/>
      <w:szCs w:val="24"/>
    </w:rPr>
  </w:style>
  <w:style w:type="character" w:customStyle="1" w:styleId="MemberStateHeaderChar">
    <w:name w:val="Member State Header Char"/>
    <w:link w:val="MemberStateHeader"/>
    <w:rPr>
      <w:rFonts w:ascii="Times New Roman" w:eastAsia="Times New Roman" w:hAnsi="Times New Roman" w:cs="Times New Roman"/>
      <w:color w:val="BFBFBF"/>
      <w:sz w:val="24"/>
      <w:szCs w:val="24"/>
      <w:lang w:eastAsia="en-GB"/>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pPr>
    <w:rPr>
      <w:rFonts w:eastAsia="Calibri"/>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link w:val="FooterCoverPage"/>
    <w:rPr>
      <w:rFonts w:ascii="Times New Roman" w:eastAsia="Times New Roman" w:hAnsi="Times New Roman" w:cs="Times New Roman"/>
      <w:sz w:val="24"/>
      <w:lang w:eastAsia="en-GB"/>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link w:val="HeaderCoverPage"/>
    <w:rPr>
      <w:rFonts w:ascii="Times New Roman" w:eastAsia="Times New Roman" w:hAnsi="Times New Roman" w:cs="Times New Roman"/>
      <w:sz w:val="24"/>
      <w:lang w:eastAsia="en-GB"/>
    </w:rPr>
  </w:style>
  <w:style w:type="paragraph" w:customStyle="1" w:styleId="Priorities">
    <w:name w:val="Priorities"/>
    <w:basedOn w:val="Normal"/>
    <w:link w:val="PrioritiesChar"/>
    <w:qFormat/>
    <w:pPr>
      <w:spacing w:after="200" w:line="276" w:lineRule="auto"/>
      <w:jc w:val="center"/>
    </w:pPr>
    <w:rPr>
      <w:rFonts w:eastAsia="Calibri" w:cs="Arial"/>
      <w:b/>
      <w:color w:val="163E71"/>
      <w:sz w:val="28"/>
      <w:szCs w:val="28"/>
    </w:rPr>
  </w:style>
  <w:style w:type="character" w:customStyle="1" w:styleId="PrioritiesChar">
    <w:name w:val="Priorities Char"/>
    <w:link w:val="Priorities"/>
    <w:rPr>
      <w:rFonts w:ascii="Times New Roman" w:eastAsia="Calibri" w:hAnsi="Times New Roman" w:cs="Arial"/>
      <w:b/>
      <w:color w:val="163E71"/>
      <w:sz w:val="28"/>
      <w:szCs w:val="28"/>
      <w:lang w:eastAsia="en-GB"/>
    </w:rPr>
  </w:style>
  <w:style w:type="paragraph" w:customStyle="1" w:styleId="Basis">
    <w:name w:val="Basis"/>
    <w:basedOn w:val="Normal"/>
    <w:link w:val="BasisChar"/>
    <w:qFormat/>
    <w:pPr>
      <w:ind w:left="720"/>
    </w:pPr>
    <w:rPr>
      <w:rFonts w:ascii="Verdana" w:hAnsi="Verdana"/>
      <w:sz w:val="20"/>
      <w:lang w:val="en-US"/>
    </w:rPr>
  </w:style>
  <w:style w:type="character" w:customStyle="1" w:styleId="BasisChar">
    <w:name w:val="Basis Char"/>
    <w:link w:val="Basis"/>
    <w:rPr>
      <w:rFonts w:ascii="Verdana" w:eastAsia="Times New Roman" w:hAnsi="Verdana" w:cs="Times New Roman"/>
      <w:sz w:val="20"/>
      <w:lang w:val="en-US" w:eastAsia="en-GB"/>
    </w:rPr>
  </w:style>
  <w:style w:type="paragraph" w:customStyle="1" w:styleId="Title1">
    <w:name w:val="Title1"/>
    <w:basedOn w:val="Normal"/>
    <w:link w:val="TITLEChar0"/>
    <w:qFormat/>
    <w:pPr>
      <w:numPr>
        <w:numId w:val="29"/>
      </w:numPr>
      <w:jc w:val="left"/>
    </w:pPr>
    <w:rPr>
      <w:caps/>
      <w:color w:val="4F81BD"/>
      <w:szCs w:val="24"/>
    </w:rPr>
  </w:style>
  <w:style w:type="character" w:customStyle="1" w:styleId="TITLEChar0">
    <w:name w:val="TITLE Char"/>
    <w:link w:val="Title1"/>
    <w:rPr>
      <w:rFonts w:ascii="Times New Roman" w:eastAsia="Times New Roman" w:hAnsi="Times New Roman" w:cs="Times New Roman"/>
      <w:caps/>
      <w:color w:val="4F81BD"/>
      <w:sz w:val="24"/>
      <w:szCs w:val="24"/>
      <w:lang w:eastAsia="en-GB"/>
    </w:rPr>
  </w:style>
  <w:style w:type="table" w:customStyle="1" w:styleId="Style11">
    <w:name w:val="Style11"/>
    <w:basedOn w:val="TableNormal"/>
    <w:pPr>
      <w:spacing w:after="0" w:line="240" w:lineRule="auto"/>
    </w:pPr>
    <w:rPr>
      <w:rFonts w:ascii="Times New Roman" w:eastAsia="Times New Roman" w:hAnsi="Times New Roman" w:cs="Times New Roman"/>
      <w:sz w:val="20"/>
      <w:szCs w:val="20"/>
      <w:lang w:eastAsia="en-GB"/>
    </w:rPr>
    <w:tblPr/>
  </w:style>
  <w:style w:type="table" w:customStyle="1" w:styleId="Style12">
    <w:name w:val="Style12"/>
    <w:basedOn w:val="TableNormal"/>
    <w:pPr>
      <w:spacing w:after="0" w:line="240" w:lineRule="auto"/>
    </w:pPr>
    <w:rPr>
      <w:rFonts w:ascii="Times New Roman" w:eastAsia="Times New Roman" w:hAnsi="Times New Roman" w:cs="Times New Roman"/>
      <w:sz w:val="20"/>
      <w:szCs w:val="20"/>
      <w:lang w:eastAsia="en-GB"/>
    </w:rPr>
    <w:tblPr/>
  </w:style>
  <w:style w:type="table" w:customStyle="1" w:styleId="Style13">
    <w:name w:val="Style13"/>
    <w:basedOn w:val="TableNormal"/>
    <w:pPr>
      <w:spacing w:after="0" w:line="240" w:lineRule="auto"/>
    </w:pPr>
    <w:rPr>
      <w:rFonts w:ascii="Times New Roman" w:eastAsia="Times New Roman" w:hAnsi="Times New Roman" w:cs="Times New Roman"/>
      <w:sz w:val="20"/>
      <w:szCs w:val="20"/>
      <w:lang w:eastAsia="en-GB"/>
    </w:rPr>
    <w:tblPr/>
  </w:style>
  <w:style w:type="paragraph" w:styleId="NormalWeb">
    <w:name w:val="Normal (Web)"/>
    <w:basedOn w:val="Normal"/>
    <w:uiPriority w:val="99"/>
    <w:unhideWhenUsed/>
    <w:rPr>
      <w:szCs w:val="24"/>
    </w:rPr>
  </w:style>
  <w:style w:type="character" w:customStyle="1" w:styleId="st">
    <w:name w:val="st"/>
    <w:basedOn w:val="DefaultParagraphFont"/>
  </w:style>
  <w:style w:type="character" w:styleId="Emphasis">
    <w:name w:val="Emphasis"/>
    <w:uiPriority w:val="20"/>
    <w:qFormat/>
    <w:rPr>
      <w:i/>
      <w:iCs/>
    </w:rPr>
  </w:style>
  <w:style w:type="character" w:customStyle="1" w:styleId="prdnormal">
    <w:name w:val="prdnormal"/>
    <w:basedOn w:val="DefaultParagraphFont"/>
  </w:style>
  <w:style w:type="character" w:customStyle="1" w:styleId="text">
    <w:name w:val="text"/>
    <w:basedOn w:val="DefaultParagraphFont"/>
  </w:style>
  <w:style w:type="paragraph" w:customStyle="1" w:styleId="Default">
    <w:name w:val="Default"/>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st1">
    <w:name w:val="st1"/>
    <w:basedOn w:val="DefaultParagraphFont"/>
  </w:style>
  <w:style w:type="paragraph" w:customStyle="1" w:styleId="Declassification">
    <w:name w:val="Declassification"/>
    <w:basedOn w:val="Normal"/>
    <w:next w:val="Normal"/>
    <w:pPr>
      <w:spacing w:after="0"/>
    </w:pPr>
    <w:rPr>
      <w:rFonts w:eastAsia="Calibri"/>
    </w:rPr>
  </w:style>
  <w:style w:type="paragraph" w:customStyle="1" w:styleId="HeaderLandscape">
    <w:name w:val="HeaderLandscape"/>
    <w:basedOn w:val="Normal"/>
    <w:pPr>
      <w:tabs>
        <w:tab w:val="center" w:pos="7285"/>
        <w:tab w:val="right" w:pos="14003"/>
      </w:tabs>
      <w:spacing w:after="120"/>
    </w:pPr>
    <w:rPr>
      <w:rFonts w:eastAsia="Calibri"/>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Calibri"/>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Calibri"/>
    </w:rPr>
  </w:style>
  <w:style w:type="character" w:customStyle="1" w:styleId="bluetext11">
    <w:name w:val="bluetext11"/>
    <w:basedOn w:val="DefaultParagraphFont"/>
  </w:style>
  <w:style w:type="paragraph" w:customStyle="1" w:styleId="astandard3520normal">
    <w:name w:val="a_standard__35__20_normal"/>
    <w:basedOn w:val="Normal"/>
    <w:pPr>
      <w:spacing w:after="120"/>
      <w:ind w:right="57"/>
    </w:pPr>
    <w:rPr>
      <w:szCs w:val="24"/>
    </w:rPr>
  </w:style>
  <w:style w:type="character" w:customStyle="1" w:styleId="BodyPlaceholderText">
    <w:name w:val="BodyPlaceholderText"/>
    <w:uiPriority w:val="1"/>
    <w:semiHidden/>
    <w:rPr>
      <w:color w:val="3366CC"/>
    </w:rPr>
  </w:style>
  <w:style w:type="character" w:styleId="PlaceholderText">
    <w:name w:val="Placeholder Text"/>
    <w:basedOn w:val="DefaultParagraphFont"/>
    <w:uiPriority w:val="99"/>
    <w:semiHidden/>
    <w:rPr>
      <w:color w:val="2B8F6C"/>
    </w:rPr>
  </w:style>
  <w:style w:type="character" w:customStyle="1" w:styleId="bold">
    <w:name w:val="bold"/>
  </w:style>
  <w:style w:type="paragraph" w:customStyle="1" w:styleId="c30dispositifalinea">
    <w:name w:val="c30dispositifalinea"/>
    <w:basedOn w:val="Normal"/>
    <w:pPr>
      <w:spacing w:before="100" w:beforeAutospacing="1" w:after="100" w:afterAutospacing="1"/>
      <w:jc w:val="left"/>
    </w:pPr>
    <w:rPr>
      <w:szCs w:val="24"/>
    </w:rPr>
  </w:style>
  <w:style w:type="paragraph" w:customStyle="1" w:styleId="c77signatures">
    <w:name w:val="c77signatures"/>
    <w:basedOn w:val="Normal"/>
    <w:pPr>
      <w:spacing w:before="100" w:beforeAutospacing="1" w:after="100" w:afterAutospacing="1"/>
      <w:jc w:val="left"/>
    </w:pPr>
    <w:rPr>
      <w:szCs w:val="24"/>
    </w:rPr>
  </w:style>
  <w:style w:type="paragraph" w:customStyle="1" w:styleId="ConfidentialUE">
    <w:name w:val="Confidential UE"/>
    <w:basedOn w:val="Normal"/>
    <w:pPr>
      <w:spacing w:after="0"/>
      <w:jc w:val="center"/>
    </w:pPr>
    <w:rPr>
      <w:b/>
      <w:caps/>
      <w:sz w:val="32"/>
      <w:szCs w:val="20"/>
      <w:bdr w:val="single" w:sz="18" w:space="0" w:color="auto"/>
      <w:lang w:val="fr-BE" w:eastAsia="fr-BE"/>
    </w:rPr>
  </w:style>
  <w:style w:type="paragraph" w:customStyle="1" w:styleId="Designator">
    <w:name w:val="Designator"/>
    <w:basedOn w:val="Normal"/>
    <w:pPr>
      <w:spacing w:after="0"/>
      <w:jc w:val="center"/>
    </w:pPr>
    <w:rPr>
      <w:b/>
      <w:caps/>
      <w:sz w:val="32"/>
      <w:szCs w:val="20"/>
      <w:lang w:val="fr-BE" w:eastAsia="fr-BE"/>
    </w:rPr>
  </w:style>
  <w:style w:type="paragraph" w:customStyle="1" w:styleId="FooterLine">
    <w:name w:val="FooterLine"/>
    <w:basedOn w:val="Footer"/>
    <w:next w:val="Footer"/>
    <w:uiPriority w:val="99"/>
    <w:pPr>
      <w:tabs>
        <w:tab w:val="clear" w:pos="4535"/>
        <w:tab w:val="clear" w:pos="9071"/>
        <w:tab w:val="clear" w:pos="9921"/>
        <w:tab w:val="right" w:pos="8647"/>
      </w:tabs>
      <w:spacing w:before="120" w:line="264" w:lineRule="auto"/>
      <w:ind w:left="0" w:right="0"/>
      <w:jc w:val="both"/>
    </w:pPr>
    <w:rPr>
      <w:rFonts w:ascii="Arial" w:eastAsia="Times New Roman" w:hAnsi="Arial"/>
      <w:sz w:val="16"/>
      <w:lang w:val="fr-BE" w:eastAsia="fr-BE"/>
    </w:rPr>
  </w:style>
  <w:style w:type="character" w:customStyle="1" w:styleId="FootnoteFeference">
    <w:name w:val="Footnote Feference"/>
    <w:basedOn w:val="DefaultParagraphFont"/>
    <w:uiPriority w:val="99"/>
    <w:semiHidden/>
    <w:unhideWhenUsed/>
    <w:rPr>
      <w:vertAlign w:val="superscript"/>
    </w:rPr>
  </w:style>
  <w:style w:type="paragraph" w:customStyle="1" w:styleId="HistoryTable">
    <w:name w:val="HistoryTable"/>
    <w:basedOn w:val="Normal"/>
    <w:pPr>
      <w:spacing w:before="60" w:after="60"/>
      <w:jc w:val="left"/>
    </w:pPr>
    <w:rPr>
      <w:sz w:val="20"/>
      <w:lang w:val="fr-BE" w:eastAsia="fr-BE"/>
    </w:rPr>
  </w:style>
  <w:style w:type="paragraph" w:customStyle="1" w:styleId="HistTableHeading">
    <w:name w:val="HistTableHeading"/>
    <w:basedOn w:val="Normal"/>
    <w:next w:val="Normal"/>
    <w:pPr>
      <w:spacing w:before="240"/>
      <w:contextualSpacing/>
      <w:jc w:val="center"/>
    </w:pPr>
    <w:rPr>
      <w:rFonts w:ascii="Times New Roman Bold" w:hAnsi="Times New Roman Bold"/>
      <w:b/>
      <w:caps/>
      <w:lang w:val="fr-BE" w:eastAsia="fr-BE"/>
    </w:rPr>
  </w:style>
  <w:style w:type="paragraph" w:customStyle="1" w:styleId="LegalNumPar">
    <w:name w:val="LegalNumPar"/>
    <w:basedOn w:val="Normal"/>
    <w:qFormat/>
    <w:pPr>
      <w:numPr>
        <w:numId w:val="156"/>
      </w:numPr>
      <w:spacing w:line="360" w:lineRule="auto"/>
      <w:jc w:val="left"/>
    </w:pPr>
    <w:rPr>
      <w:rFonts w:eastAsiaTheme="minorHAnsi" w:cstheme="minorBidi"/>
      <w:lang w:val="fr-BE" w:eastAsia="fr-BE"/>
    </w:rPr>
  </w:style>
  <w:style w:type="paragraph" w:customStyle="1" w:styleId="LegalNumPar2">
    <w:name w:val="LegalNumPar2"/>
    <w:basedOn w:val="Normal"/>
    <w:pPr>
      <w:numPr>
        <w:ilvl w:val="1"/>
        <w:numId w:val="156"/>
      </w:numPr>
      <w:spacing w:line="360" w:lineRule="auto"/>
      <w:jc w:val="left"/>
    </w:pPr>
    <w:rPr>
      <w:rFonts w:eastAsiaTheme="minorHAnsi" w:cstheme="minorBidi"/>
      <w:lang w:val="fr-BE" w:eastAsia="fr-BE"/>
    </w:rPr>
  </w:style>
  <w:style w:type="paragraph" w:customStyle="1" w:styleId="LegalNumPar3">
    <w:name w:val="LegalNumPar3"/>
    <w:basedOn w:val="Normal"/>
    <w:pPr>
      <w:numPr>
        <w:ilvl w:val="2"/>
        <w:numId w:val="156"/>
      </w:numPr>
      <w:tabs>
        <w:tab w:val="clear" w:pos="1429"/>
      </w:tabs>
      <w:spacing w:line="360" w:lineRule="auto"/>
      <w:jc w:val="left"/>
    </w:pPr>
    <w:rPr>
      <w:rFonts w:eastAsiaTheme="minorHAnsi" w:cstheme="minorBidi"/>
      <w:lang w:val="fr-BE" w:eastAsia="fr-BE"/>
    </w:rPr>
  </w:style>
  <w:style w:type="paragraph" w:customStyle="1" w:styleId="Marking">
    <w:name w:val="Marking"/>
    <w:basedOn w:val="Normal"/>
    <w:pPr>
      <w:spacing w:line="276" w:lineRule="auto"/>
      <w:ind w:left="5115"/>
      <w:contextualSpacing/>
      <w:jc w:val="left"/>
    </w:pPr>
    <w:rPr>
      <w:rFonts w:eastAsia="Calibri"/>
      <w:i/>
      <w:sz w:val="32"/>
      <w:lang w:val="fr-BE" w:eastAsia="fr-BE"/>
    </w:rPr>
  </w:style>
  <w:style w:type="paragraph" w:customStyle="1" w:styleId="Releasable">
    <w:name w:val="Releasable"/>
    <w:basedOn w:val="Normal"/>
    <w:pPr>
      <w:spacing w:after="0"/>
      <w:jc w:val="center"/>
    </w:pPr>
    <w:rPr>
      <w:b/>
      <w:caps/>
      <w:sz w:val="32"/>
      <w:szCs w:val="20"/>
      <w:lang w:val="fr-BE" w:eastAsia="fr-BE"/>
    </w:rPr>
  </w:style>
  <w:style w:type="paragraph" w:customStyle="1" w:styleId="RUE">
    <w:name w:val="RUE"/>
    <w:basedOn w:val="Normal"/>
    <w:pPr>
      <w:spacing w:after="0"/>
      <w:jc w:val="center"/>
    </w:pPr>
    <w:rPr>
      <w:b/>
      <w:caps/>
      <w:sz w:val="32"/>
      <w:szCs w:val="20"/>
      <w:bdr w:val="single" w:sz="18" w:space="0" w:color="auto"/>
      <w:lang w:val="fr-BE" w:eastAsia="fr-BE"/>
    </w:rPr>
  </w:style>
  <w:style w:type="paragraph" w:customStyle="1" w:styleId="SecretUE">
    <w:name w:val="Secret UE"/>
    <w:basedOn w:val="Normal"/>
    <w:pPr>
      <w:spacing w:after="0"/>
      <w:jc w:val="center"/>
    </w:pPr>
    <w:rPr>
      <w:b/>
      <w:caps/>
      <w:color w:val="FF0000"/>
      <w:sz w:val="32"/>
      <w:szCs w:val="20"/>
      <w:bdr w:val="single" w:sz="18" w:space="0" w:color="FF0000"/>
      <w:lang w:val="fr-BE" w:eastAsia="fr-BE"/>
    </w:rPr>
  </w:style>
  <w:style w:type="paragraph" w:customStyle="1" w:styleId="SignatureL">
    <w:name w:val="SignatureL"/>
    <w:basedOn w:val="Normal"/>
    <w:next w:val="Normal"/>
    <w:uiPriority w:val="99"/>
    <w:pPr>
      <w:tabs>
        <w:tab w:val="left" w:pos="5103"/>
      </w:tabs>
      <w:spacing w:before="1200" w:after="0"/>
      <w:jc w:val="left"/>
    </w:pPr>
    <w:rPr>
      <w:szCs w:val="20"/>
      <w:lang w:val="fr-BE" w:eastAsia="fr-BE"/>
    </w:rPr>
  </w:style>
  <w:style w:type="table" w:customStyle="1" w:styleId="TableHistory">
    <w:name w:val="Table History"/>
    <w:basedOn w:val="TableNormal"/>
    <w:uiPriority w:val="99"/>
    <w:pPr>
      <w:spacing w:before="60" w:after="60" w:line="264" w:lineRule="auto"/>
    </w:pPr>
    <w:rPr>
      <w:rFonts w:ascii="Times New Roman" w:eastAsia="Times New Roman" w:hAnsi="Times New Roman" w:cs="Times New Roman"/>
      <w:lang w:val="fr-BE" w:eastAsia="fr-BE"/>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pPr>
      <w:spacing w:after="0" w:line="240" w:lineRule="auto"/>
    </w:pPr>
    <w:rPr>
      <w:rFonts w:ascii="Times New Roman" w:eastAsia="Times New Roman" w:hAnsi="Times New Roman" w:cs="Times New Roman"/>
      <w:sz w:val="20"/>
      <w:szCs w:val="20"/>
      <w:lang w:val="fr-BE" w:eastAsia="fr-BE"/>
    </w:rPr>
    <w:tblPr>
      <w:tblCellMar>
        <w:left w:w="0" w:type="dxa"/>
        <w:bottom w:w="340" w:type="dxa"/>
        <w:right w:w="0" w:type="dxa"/>
      </w:tblCellMar>
    </w:tblPr>
  </w:style>
  <w:style w:type="paragraph" w:customStyle="1" w:styleId="TrsSecretUE">
    <w:name w:val="Très Secret UE"/>
    <w:basedOn w:val="Normal"/>
    <w:pPr>
      <w:spacing w:after="0"/>
      <w:jc w:val="center"/>
    </w:pPr>
    <w:rPr>
      <w:b/>
      <w:caps/>
      <w:color w:val="FF0000"/>
      <w:sz w:val="32"/>
      <w:szCs w:val="20"/>
      <w:bdr w:val="single" w:sz="18" w:space="0" w:color="FF0000"/>
      <w:lang w:val="fr-BE" w:eastAsia="fr-BE"/>
    </w:rPr>
  </w:style>
  <w:style w:type="paragraph" w:customStyle="1" w:styleId="ZCom">
    <w:name w:val="Z_Com"/>
    <w:basedOn w:val="Normal"/>
    <w:next w:val="Normal"/>
    <w:uiPriority w:val="99"/>
    <w:semiHidden/>
    <w:pPr>
      <w:widowControl w:val="0"/>
      <w:autoSpaceDE w:val="0"/>
      <w:autoSpaceDN w:val="0"/>
      <w:spacing w:before="90" w:after="0"/>
      <w:ind w:right="85"/>
    </w:pPr>
    <w:rPr>
      <w:rFonts w:ascii="Arial" w:eastAsiaTheme="minorEastAsia" w:hAnsi="Arial" w:cs="Arial"/>
      <w:szCs w:val="24"/>
      <w:lang w:val="fr-BE" w:eastAsia="fr-BE"/>
    </w:rPr>
  </w:style>
  <w:style w:type="paragraph" w:customStyle="1" w:styleId="ZDGName">
    <w:name w:val="Z_DGName"/>
    <w:basedOn w:val="Normal"/>
    <w:uiPriority w:val="99"/>
    <w:semiHidden/>
    <w:pPr>
      <w:widowControl w:val="0"/>
      <w:autoSpaceDE w:val="0"/>
      <w:autoSpaceDN w:val="0"/>
      <w:spacing w:after="0"/>
      <w:ind w:right="85"/>
      <w:jc w:val="left"/>
    </w:pPr>
    <w:rPr>
      <w:rFonts w:ascii="Arial" w:eastAsiaTheme="minorEastAsia" w:hAnsi="Arial" w:cs="Arial"/>
      <w:sz w:val="16"/>
      <w:szCs w:val="16"/>
      <w:lang w:val="fr-BE" w:eastAsia="fr-BE"/>
    </w:rPr>
  </w:style>
  <w:style w:type="paragraph" w:customStyle="1" w:styleId="ZFlag">
    <w:name w:val="Z_Flag"/>
    <w:basedOn w:val="Normal"/>
    <w:next w:val="Normal"/>
    <w:uiPriority w:val="99"/>
    <w:semiHidden/>
    <w:pPr>
      <w:widowControl w:val="0"/>
      <w:autoSpaceDE w:val="0"/>
      <w:autoSpaceDN w:val="0"/>
      <w:spacing w:after="0"/>
      <w:ind w:right="85"/>
    </w:pPr>
    <w:rPr>
      <w:rFonts w:ascii="Arial" w:eastAsiaTheme="minorEastAsia" w:hAnsi="Arial" w:cs="Arial"/>
      <w:szCs w:val="24"/>
      <w:lang w:val="fr-BE" w:eastAsia="fr-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footer" w:uiPriority="99"/>
    <w:lsdException w:name="caption" w:qFormat="1"/>
    <w:lsdException w:name="footnote reference" w:uiPriority="99" w:qFormat="1"/>
    <w:lsdException w:name="annotation reference" w:uiPriority="99"/>
    <w:lsdException w:name="line number" w:uiPriority="99"/>
    <w:lsdException w:name="pag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9"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text"/>
    <w:qFormat/>
    <w:pPr>
      <w:spacing w:after="240" w:line="240" w:lineRule="auto"/>
      <w:jc w:val="both"/>
    </w:pPr>
    <w:rPr>
      <w:rFonts w:ascii="Times New Roman" w:eastAsia="Times New Roman" w:hAnsi="Times New Roman" w:cs="Times New Roman"/>
      <w:sz w:val="24"/>
      <w:lang w:eastAsia="en-GB"/>
    </w:rPr>
  </w:style>
  <w:style w:type="paragraph" w:styleId="Heading1">
    <w:name w:val="heading 1"/>
    <w:basedOn w:val="Normal"/>
    <w:next w:val="MemberStateHeader"/>
    <w:link w:val="Heading1Char"/>
    <w:qFormat/>
    <w:pPr>
      <w:keepNext/>
      <w:ind w:left="482"/>
      <w:jc w:val="center"/>
      <w:outlineLvl w:val="0"/>
    </w:pPr>
    <w:rPr>
      <w:color w:val="A6A6A6"/>
    </w:rPr>
  </w:style>
  <w:style w:type="paragraph" w:styleId="Heading2">
    <w:name w:val="heading 2"/>
    <w:basedOn w:val="Normal"/>
    <w:next w:val="Text2"/>
    <w:link w:val="Heading2Char"/>
    <w:qFormat/>
    <w:pPr>
      <w:keepNext/>
      <w:numPr>
        <w:ilvl w:val="1"/>
        <w:numId w:val="3"/>
      </w:numPr>
      <w:outlineLvl w:val="1"/>
    </w:pPr>
    <w:rPr>
      <w:b/>
    </w:rPr>
  </w:style>
  <w:style w:type="paragraph" w:styleId="Heading3">
    <w:name w:val="heading 3"/>
    <w:basedOn w:val="Normal"/>
    <w:next w:val="Text3"/>
    <w:link w:val="Heading3Char"/>
    <w:qFormat/>
    <w:pPr>
      <w:keepNext/>
      <w:numPr>
        <w:ilvl w:val="2"/>
        <w:numId w:val="3"/>
      </w:numPr>
      <w:outlineLvl w:val="2"/>
    </w:pPr>
    <w:rPr>
      <w:i/>
    </w:rPr>
  </w:style>
  <w:style w:type="paragraph" w:styleId="Heading4">
    <w:name w:val="heading 4"/>
    <w:basedOn w:val="Normal"/>
    <w:next w:val="Text4"/>
    <w:link w:val="Heading4Char"/>
    <w:qFormat/>
    <w:pPr>
      <w:keepNext/>
      <w:numPr>
        <w:ilvl w:val="3"/>
        <w:numId w:val="3"/>
      </w:numPr>
      <w:outlineLvl w:val="3"/>
    </w:pPr>
  </w:style>
  <w:style w:type="paragraph" w:styleId="Heading5">
    <w:name w:val="heading 5"/>
    <w:basedOn w:val="Normal"/>
    <w:next w:val="Normal"/>
    <w:link w:val="Heading5Char"/>
    <w:qFormat/>
    <w:pPr>
      <w:tabs>
        <w:tab w:val="num" w:pos="0"/>
      </w:tabs>
      <w:spacing w:before="240" w:after="60"/>
      <w:outlineLvl w:val="4"/>
    </w:pPr>
  </w:style>
  <w:style w:type="paragraph" w:styleId="Heading6">
    <w:name w:val="heading 6"/>
    <w:basedOn w:val="Normal"/>
    <w:next w:val="Normal"/>
    <w:link w:val="Heading6Char"/>
    <w:qFormat/>
    <w:pPr>
      <w:tabs>
        <w:tab w:val="num" w:pos="0"/>
      </w:tabs>
      <w:spacing w:before="240" w:after="60"/>
      <w:outlineLvl w:val="5"/>
    </w:pPr>
    <w:rPr>
      <w:i/>
    </w:rPr>
  </w:style>
  <w:style w:type="paragraph" w:styleId="Heading7">
    <w:name w:val="heading 7"/>
    <w:basedOn w:val="Normal"/>
    <w:next w:val="Normal"/>
    <w:link w:val="Heading7Char"/>
    <w:qFormat/>
    <w:pPr>
      <w:tabs>
        <w:tab w:val="num" w:pos="0"/>
      </w:tabs>
      <w:spacing w:before="240" w:after="60"/>
      <w:outlineLvl w:val="6"/>
    </w:pPr>
    <w:rPr>
      <w:sz w:val="20"/>
    </w:rPr>
  </w:style>
  <w:style w:type="paragraph" w:styleId="Heading8">
    <w:name w:val="heading 8"/>
    <w:basedOn w:val="Normal"/>
    <w:next w:val="Normal"/>
    <w:link w:val="Heading8Char"/>
    <w:qFormat/>
    <w:pPr>
      <w:tabs>
        <w:tab w:val="num" w:pos="0"/>
      </w:tabs>
      <w:spacing w:before="240" w:after="60"/>
      <w:outlineLvl w:val="7"/>
    </w:pPr>
    <w:rPr>
      <w:i/>
      <w:sz w:val="20"/>
    </w:rPr>
  </w:style>
  <w:style w:type="paragraph" w:styleId="Heading9">
    <w:name w:val="heading 9"/>
    <w:basedOn w:val="Normal"/>
    <w:next w:val="Normal"/>
    <w:link w:val="Heading9Char"/>
    <w:qFormat/>
    <w:pPr>
      <w:tabs>
        <w:tab w:val="num" w:pos="0"/>
      </w:tabs>
      <w:spacing w:before="240" w:after="60"/>
      <w:outlineLvl w:val="8"/>
    </w:pPr>
    <w:rPr>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Times New Roman" w:hAnsi="Times New Roman" w:cs="Times New Roman"/>
      <w:color w:val="A6A6A6"/>
      <w:sz w:val="24"/>
      <w:lang w:eastAsia="en-GB"/>
    </w:rPr>
  </w:style>
  <w:style w:type="character" w:customStyle="1" w:styleId="Heading2Char">
    <w:name w:val="Heading 2 Char"/>
    <w:basedOn w:val="DefaultParagraphFont"/>
    <w:link w:val="Heading2"/>
    <w:rPr>
      <w:rFonts w:ascii="Times New Roman" w:eastAsia="Times New Roman" w:hAnsi="Times New Roman" w:cs="Times New Roman"/>
      <w:b/>
      <w:sz w:val="24"/>
      <w:lang w:eastAsia="en-GB"/>
    </w:rPr>
  </w:style>
  <w:style w:type="character" w:customStyle="1" w:styleId="Heading3Char">
    <w:name w:val="Heading 3 Char"/>
    <w:basedOn w:val="DefaultParagraphFont"/>
    <w:link w:val="Heading3"/>
    <w:rPr>
      <w:rFonts w:ascii="Times New Roman" w:eastAsia="Times New Roman" w:hAnsi="Times New Roman" w:cs="Times New Roman"/>
      <w:i/>
      <w:sz w:val="24"/>
      <w:lang w:eastAsia="en-GB"/>
    </w:rPr>
  </w:style>
  <w:style w:type="character" w:customStyle="1" w:styleId="Heading4Char">
    <w:name w:val="Heading 4 Char"/>
    <w:basedOn w:val="DefaultParagraphFont"/>
    <w:link w:val="Heading4"/>
    <w:rPr>
      <w:rFonts w:ascii="Times New Roman" w:eastAsia="Times New Roman" w:hAnsi="Times New Roman" w:cs="Times New Roman"/>
      <w:sz w:val="24"/>
      <w:lang w:eastAsia="en-GB"/>
    </w:rPr>
  </w:style>
  <w:style w:type="character" w:customStyle="1" w:styleId="Heading5Char">
    <w:name w:val="Heading 5 Char"/>
    <w:basedOn w:val="DefaultParagraphFont"/>
    <w:link w:val="Heading5"/>
    <w:rPr>
      <w:rFonts w:ascii="Times New Roman" w:eastAsia="Times New Roman" w:hAnsi="Times New Roman" w:cs="Times New Roman"/>
      <w:sz w:val="24"/>
      <w:lang w:eastAsia="en-GB"/>
    </w:rPr>
  </w:style>
  <w:style w:type="character" w:customStyle="1" w:styleId="Heading6Char">
    <w:name w:val="Heading 6 Char"/>
    <w:basedOn w:val="DefaultParagraphFont"/>
    <w:link w:val="Heading6"/>
    <w:rPr>
      <w:rFonts w:ascii="Times New Roman" w:eastAsia="Times New Roman" w:hAnsi="Times New Roman" w:cs="Times New Roman"/>
      <w:i/>
      <w:sz w:val="24"/>
      <w:lang w:eastAsia="en-GB"/>
    </w:rPr>
  </w:style>
  <w:style w:type="character" w:customStyle="1" w:styleId="Heading7Char">
    <w:name w:val="Heading 7 Char"/>
    <w:basedOn w:val="DefaultParagraphFont"/>
    <w:link w:val="Heading7"/>
    <w:rPr>
      <w:rFonts w:ascii="Times New Roman" w:eastAsia="Times New Roman" w:hAnsi="Times New Roman" w:cs="Times New Roman"/>
      <w:sz w:val="20"/>
      <w:lang w:eastAsia="en-GB"/>
    </w:rPr>
  </w:style>
  <w:style w:type="character" w:customStyle="1" w:styleId="Heading8Char">
    <w:name w:val="Heading 8 Char"/>
    <w:basedOn w:val="DefaultParagraphFont"/>
    <w:link w:val="Heading8"/>
    <w:rPr>
      <w:rFonts w:ascii="Times New Roman" w:eastAsia="Times New Roman" w:hAnsi="Times New Roman" w:cs="Times New Roman"/>
      <w:i/>
      <w:sz w:val="20"/>
      <w:lang w:eastAsia="en-GB"/>
    </w:rPr>
  </w:style>
  <w:style w:type="character" w:customStyle="1" w:styleId="Heading9Char">
    <w:name w:val="Heading 9 Char"/>
    <w:basedOn w:val="DefaultParagraphFont"/>
    <w:link w:val="Heading9"/>
    <w:rPr>
      <w:rFonts w:ascii="Times New Roman" w:eastAsia="Times New Roman" w:hAnsi="Times New Roman" w:cs="Times New Roman"/>
      <w:i/>
      <w:sz w:val="18"/>
      <w:lang w:eastAsia="en-GB"/>
    </w:rPr>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ascii="Times New Roman" w:eastAsia="Times New Roman" w:hAnsi="Times New Roman" w:cs="Times New Roman"/>
      <w:sz w:val="24"/>
      <w:lang w:eastAsia="en-GB"/>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Times New Roman" w:eastAsia="Times New Roman" w:hAnsi="Times New Roman" w:cs="Times New Roman"/>
      <w:sz w:val="24"/>
      <w:lang w:eastAsia="en-GB"/>
    </w:rPr>
  </w:style>
  <w:style w:type="paragraph" w:styleId="BodyText3">
    <w:name w:val="Body Text 3"/>
    <w:basedOn w:val="Normal"/>
    <w:link w:val="BodyText3Char"/>
    <w:pPr>
      <w:spacing w:after="120"/>
    </w:pPr>
    <w:rPr>
      <w:sz w:val="16"/>
    </w:rPr>
  </w:style>
  <w:style w:type="character" w:customStyle="1" w:styleId="BodyText3Char">
    <w:name w:val="Body Text 3 Char"/>
    <w:basedOn w:val="DefaultParagraphFont"/>
    <w:link w:val="BodyText3"/>
    <w:rPr>
      <w:rFonts w:ascii="Times New Roman" w:eastAsia="Times New Roman" w:hAnsi="Times New Roman" w:cs="Times New Roman"/>
      <w:sz w:val="16"/>
      <w:lang w:eastAsia="en-GB"/>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lang w:eastAsia="en-GB"/>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Pr>
      <w:rFonts w:ascii="Times New Roman" w:eastAsia="Times New Roman" w:hAnsi="Times New Roman" w:cs="Times New Roman"/>
      <w:sz w:val="24"/>
      <w:lang w:eastAsia="en-GB"/>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lang w:eastAsia="en-GB"/>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lang w:eastAsia="en-GB"/>
    </w:rPr>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lang w:eastAsia="en-GB"/>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character" w:customStyle="1" w:styleId="ClosingChar">
    <w:name w:val="Closing Char"/>
    <w:basedOn w:val="DefaultParagraphFont"/>
    <w:link w:val="Closing"/>
    <w:rPr>
      <w:rFonts w:ascii="Times New Roman" w:eastAsia="Times New Roman" w:hAnsi="Times New Roman" w:cs="Times New Roman"/>
      <w:sz w:val="24"/>
      <w:lang w:eastAsia="en-GB"/>
    </w:rPr>
  </w:style>
  <w:style w:type="paragraph" w:styleId="CommentText">
    <w:name w:val="annotation text"/>
    <w:basedOn w:val="Normal"/>
    <w:link w:val="CommentTextChar"/>
    <w:uiPriority w:val="99"/>
    <w:semiHidden/>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lang w:eastAsia="en-GB"/>
    </w:rPr>
  </w:style>
  <w:style w:type="paragraph" w:styleId="Date">
    <w:name w:val="Date"/>
    <w:basedOn w:val="Normal"/>
    <w:next w:val="References"/>
    <w:link w:val="DateChar"/>
    <w:pPr>
      <w:spacing w:after="0"/>
      <w:ind w:left="5103" w:right="-567"/>
      <w:jc w:val="left"/>
    </w:pPr>
  </w:style>
  <w:style w:type="character" w:customStyle="1" w:styleId="DateChar">
    <w:name w:val="Date Char"/>
    <w:basedOn w:val="DefaultParagraphFont"/>
    <w:link w:val="Date"/>
    <w:rPr>
      <w:rFonts w:ascii="Times New Roman" w:eastAsia="Times New Roman" w:hAnsi="Times New Roman" w:cs="Times New Roman"/>
      <w:sz w:val="24"/>
      <w:lang w:eastAsia="en-GB"/>
    </w:rPr>
  </w:style>
  <w:style w:type="paragraph" w:customStyle="1" w:styleId="References">
    <w:name w:val="References"/>
    <w:basedOn w:val="Normal"/>
    <w:next w:val="AddressTR"/>
    <w:pPr>
      <w:ind w:left="5103"/>
      <w:jc w:val="left"/>
    </w:pPr>
    <w:rPr>
      <w:sz w:val="20"/>
    </w:rPr>
  </w:style>
  <w:style w:type="paragraph" w:styleId="DocumentMap">
    <w:name w:val="Document Map"/>
    <w:basedOn w:val="Normal"/>
    <w:link w:val="DocumentMapChar"/>
    <w:semiHidden/>
    <w:pPr>
      <w:shd w:val="clear" w:color="auto" w:fill="000080"/>
    </w:pPr>
    <w:rPr>
      <w:rFonts w:ascii="Tahoma" w:hAnsi="Tahoma"/>
    </w:rPr>
  </w:style>
  <w:style w:type="character" w:customStyle="1" w:styleId="DocumentMapChar">
    <w:name w:val="Document Map Char"/>
    <w:basedOn w:val="DefaultParagraphFont"/>
    <w:link w:val="DocumentMap"/>
    <w:semiHidden/>
    <w:rPr>
      <w:rFonts w:ascii="Tahoma" w:eastAsia="Times New Roman" w:hAnsi="Tahoma" w:cs="Times New Roman"/>
      <w:sz w:val="24"/>
      <w:shd w:val="clear" w:color="auto" w:fill="000080"/>
      <w:lang w:eastAsia="en-GB"/>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semiHidden/>
    <w:rPr>
      <w:sz w:val="20"/>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lang w:eastAsia="en-GB"/>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Calibri"/>
    </w:rPr>
  </w:style>
  <w:style w:type="character" w:customStyle="1" w:styleId="FooterChar">
    <w:name w:val="Footer Char"/>
    <w:basedOn w:val="DefaultParagraphFont"/>
    <w:link w:val="Footer"/>
    <w:uiPriority w:val="99"/>
    <w:rPr>
      <w:rFonts w:ascii="Times New Roman" w:eastAsia="Calibri" w:hAnsi="Times New Roman" w:cs="Times New Roman"/>
      <w:sz w:val="24"/>
      <w:lang w:eastAsia="en-GB"/>
    </w:rPr>
  </w:style>
  <w:style w:type="paragraph" w:styleId="FootnoteText">
    <w:name w:val="footnote text"/>
    <w:aliases w:val="Footnote,Fußnote,Fotnotstext1,fn,Footnote Text Char2 Char,Footnote Text Char Char Char1,Footnote Text Char1 Char Char Char,Footnote Text Char2 Char Char Char Char,Footnote Text Char1 Char1 Char Char Char Char,footnote te,Voetnootteks,f,Ch"/>
    <w:basedOn w:val="Normal"/>
    <w:link w:val="FootnoteTextChar"/>
    <w:autoRedefine/>
    <w:qFormat/>
    <w:pPr>
      <w:spacing w:after="0"/>
      <w:ind w:left="425" w:hanging="425"/>
    </w:pPr>
    <w:rPr>
      <w:rFonts w:ascii="Arial" w:hAnsi="Arial" w:cs="Arial"/>
      <w:sz w:val="18"/>
      <w:szCs w:val="18"/>
    </w:rPr>
  </w:style>
  <w:style w:type="character" w:customStyle="1" w:styleId="FootnoteTextChar">
    <w:name w:val="Footnote Text Char"/>
    <w:aliases w:val="Footnote Char,Fußnote Char,Fotnotstext1 Char,fn Char,Footnote Text Char2 Char Char,Footnote Text Char Char Char1 Char,Footnote Text Char1 Char Char Char Char,Footnote Text Char2 Char Char Char Char Char,footnote te Char,f Char,Ch Char"/>
    <w:basedOn w:val="DefaultParagraphFont"/>
    <w:link w:val="FootnoteText"/>
    <w:rPr>
      <w:rFonts w:ascii="Arial" w:eastAsia="Times New Roman" w:hAnsi="Arial" w:cs="Arial"/>
      <w:sz w:val="18"/>
      <w:szCs w:val="18"/>
      <w:lang w:eastAsia="en-GB"/>
    </w:rPr>
  </w:style>
  <w:style w:type="paragraph" w:styleId="Header">
    <w:name w:val="header"/>
    <w:basedOn w:val="Normal"/>
    <w:link w:val="HeaderChar"/>
    <w:uiPriority w:val="99"/>
    <w:unhideWhenUsed/>
    <w:pPr>
      <w:tabs>
        <w:tab w:val="center" w:pos="4535"/>
        <w:tab w:val="right" w:pos="9071"/>
      </w:tabs>
      <w:spacing w:after="120"/>
    </w:pPr>
    <w:rPr>
      <w:rFonts w:eastAsia="Calibri"/>
    </w:rPr>
  </w:style>
  <w:style w:type="character" w:customStyle="1" w:styleId="HeaderChar">
    <w:name w:val="Header Char"/>
    <w:basedOn w:val="DefaultParagraphFont"/>
    <w:link w:val="Header"/>
    <w:uiPriority w:val="99"/>
    <w:rPr>
      <w:rFonts w:ascii="Times New Roman" w:eastAsia="Calibri" w:hAnsi="Times New Roman" w:cs="Times New Roman"/>
      <w:sz w:val="24"/>
      <w:lang w:eastAsia="en-GB"/>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18"/>
    </w:rPr>
  </w:style>
  <w:style w:type="character" w:customStyle="1" w:styleId="MacroTextChar">
    <w:name w:val="Macro Text Char"/>
    <w:basedOn w:val="DefaultParagraphFont"/>
    <w:link w:val="MacroText"/>
    <w:semiHidden/>
    <w:rPr>
      <w:rFonts w:ascii="Courier New" w:eastAsia="Times New Roman" w:hAnsi="Courier New" w:cs="Times New Roman"/>
      <w:sz w:val="18"/>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style>
  <w:style w:type="character" w:customStyle="1" w:styleId="MessageHeaderChar">
    <w:name w:val="Message Header Char"/>
    <w:basedOn w:val="DefaultParagraphFont"/>
    <w:link w:val="MessageHeader"/>
    <w:rPr>
      <w:rFonts w:ascii="Times New Roman" w:eastAsia="Times New Roman" w:hAnsi="Times New Roman" w:cs="Times New Roman"/>
      <w:sz w:val="24"/>
      <w:shd w:val="pct20" w:color="auto" w:fill="auto"/>
      <w:lang w:eastAsia="en-GB"/>
    </w:rPr>
  </w:style>
  <w:style w:type="paragraph" w:styleId="NormalIndent">
    <w:name w:val="Normal Indent"/>
    <w:basedOn w:val="Normal"/>
    <w:link w:val="NormalIndentChar"/>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ascii="Times New Roman" w:eastAsia="Times New Roman" w:hAnsi="Times New Roman" w:cs="Times New Roman"/>
      <w:sz w:val="24"/>
      <w:lang w:eastAsia="en-GB"/>
    </w:r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outlineLvl w:val="9"/>
    </w:pPr>
    <w:rPr>
      <w:b/>
      <w:smallCaps/>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rPr>
      <w:rFonts w:ascii="Courier New" w:hAnsi="Courier New"/>
      <w:sz w:val="20"/>
    </w:rPr>
  </w:style>
  <w:style w:type="character" w:customStyle="1" w:styleId="PlainTextChar">
    <w:name w:val="Plain Text Char"/>
    <w:basedOn w:val="DefaultParagraphFont"/>
    <w:link w:val="PlainText"/>
    <w:rPr>
      <w:rFonts w:ascii="Courier New" w:eastAsia="Times New Roman" w:hAnsi="Courier New" w:cs="Times New Roman"/>
      <w:sz w:val="20"/>
      <w:lang w:eastAsia="en-GB"/>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rPr>
      <w:rFonts w:ascii="Times New Roman" w:eastAsia="Times New Roman" w:hAnsi="Times New Roman" w:cs="Times New Roman"/>
      <w:sz w:val="24"/>
      <w:lang w:eastAsia="en-GB"/>
    </w:rPr>
  </w:style>
  <w:style w:type="paragraph" w:styleId="Signature">
    <w:name w:val="Signature"/>
    <w:basedOn w:val="Normal"/>
    <w:next w:val="Enclosures"/>
    <w:link w:val="SignatureChar"/>
    <w:pPr>
      <w:tabs>
        <w:tab w:val="left" w:pos="5103"/>
      </w:tabs>
      <w:spacing w:before="1200" w:after="0"/>
      <w:ind w:left="5103"/>
      <w:jc w:val="center"/>
    </w:pPr>
  </w:style>
  <w:style w:type="character" w:customStyle="1" w:styleId="SignatureChar">
    <w:name w:val="Signature Char"/>
    <w:basedOn w:val="DefaultParagraphFont"/>
    <w:link w:val="Signature"/>
    <w:rPr>
      <w:rFonts w:ascii="Times New Roman" w:eastAsia="Times New Roman" w:hAnsi="Times New Roman" w:cs="Times New Roman"/>
      <w:sz w:val="24"/>
      <w:lang w:eastAsia="en-GB"/>
    </w:rPr>
  </w:style>
  <w:style w:type="paragraph" w:styleId="Subtitle">
    <w:name w:val="Subtitle"/>
    <w:basedOn w:val="Normal"/>
    <w:link w:val="SubtitleChar"/>
    <w:autoRedefine/>
    <w:qFormat/>
    <w:pPr>
      <w:spacing w:before="120" w:after="120"/>
      <w:ind w:left="357"/>
      <w:jc w:val="left"/>
      <w:outlineLvl w:val="1"/>
    </w:pPr>
    <w:rPr>
      <w:rFonts w:ascii="Arial" w:hAnsi="Arial" w:cs="Arial"/>
      <w:color w:val="002060"/>
      <w:sz w:val="22"/>
    </w:rPr>
  </w:style>
  <w:style w:type="character" w:customStyle="1" w:styleId="SubtitleChar">
    <w:name w:val="Subtitle Char"/>
    <w:basedOn w:val="DefaultParagraphFont"/>
    <w:link w:val="Subtitle"/>
    <w:rPr>
      <w:rFonts w:ascii="Arial" w:eastAsia="Times New Roman" w:hAnsi="Arial" w:cs="Arial"/>
      <w:color w:val="002060"/>
      <w:lang w:eastAsia="en-GB"/>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qFormat/>
    <w:pPr>
      <w:spacing w:after="480"/>
      <w:jc w:val="center"/>
    </w:pPr>
    <w:rPr>
      <w:b/>
      <w:kern w:val="28"/>
      <w:sz w:val="48"/>
    </w:rPr>
  </w:style>
  <w:style w:type="character" w:customStyle="1" w:styleId="TitleChar">
    <w:name w:val="Title Char"/>
    <w:basedOn w:val="DefaultParagraphFont"/>
    <w:link w:val="Title"/>
    <w:rPr>
      <w:rFonts w:ascii="Times New Roman" w:eastAsia="Times New Roman" w:hAnsi="Times New Roman" w:cs="Times New Roman"/>
      <w:b/>
      <w:kern w:val="28"/>
      <w:sz w:val="48"/>
      <w:lang w:eastAsia="en-GB"/>
    </w:rPr>
  </w:style>
  <w:style w:type="paragraph" w:styleId="TOAHeading">
    <w:name w:val="toa heading"/>
    <w:basedOn w:val="Normal"/>
    <w:next w:val="Normal"/>
    <w:semiHidden/>
    <w:pPr>
      <w:spacing w:before="120"/>
    </w:pPr>
    <w:rPr>
      <w:b/>
    </w:rPr>
  </w:style>
  <w:style w:type="paragraph" w:styleId="TOC1">
    <w:name w:val="toc 1"/>
    <w:basedOn w:val="Normal"/>
    <w:next w:val="Normal"/>
    <w:uiPriority w:val="39"/>
    <w:pPr>
      <w:tabs>
        <w:tab w:val="right" w:leader="dot" w:pos="8640"/>
      </w:tabs>
      <w:spacing w:before="120" w:after="120"/>
      <w:ind w:left="482" w:right="720" w:hanging="482"/>
    </w:pPr>
    <w:rPr>
      <w:rFonts w:ascii="Verdana" w:hAnsi="Verdana"/>
      <w:caps/>
      <w:sz w:val="18"/>
    </w:rPr>
  </w:style>
  <w:style w:type="paragraph" w:styleId="TOC2">
    <w:name w:val="toc 2"/>
    <w:basedOn w:val="Normal"/>
    <w:next w:val="Normal"/>
    <w:uiPriority w:val="39"/>
    <w:pPr>
      <w:tabs>
        <w:tab w:val="right" w:leader="dot" w:pos="8640"/>
      </w:tabs>
      <w:spacing w:before="60" w:after="60"/>
      <w:ind w:left="1077" w:right="720" w:hanging="595"/>
    </w:pPr>
    <w:rPr>
      <w:rFonts w:ascii="Verdana" w:hAnsi="Verdana"/>
      <w:sz w:val="18"/>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customStyle="1" w:styleId="TOCHeading1">
    <w:name w:val="TOC Heading1"/>
    <w:basedOn w:val="Normal"/>
    <w:next w:val="Normal"/>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ZComEL41">
    <w:name w:val="Z_Com (EL 4.1)"/>
    <w:basedOn w:val="Normal"/>
    <w:next w:val="ZDGNameEL41"/>
    <w:pPr>
      <w:widowControl w:val="0"/>
      <w:autoSpaceDE w:val="0"/>
      <w:autoSpaceDN w:val="0"/>
      <w:spacing w:after="0"/>
      <w:ind w:right="85"/>
    </w:pPr>
    <w:rPr>
      <w:rFonts w:cs="Arial"/>
      <w:szCs w:val="24"/>
    </w:rPr>
  </w:style>
  <w:style w:type="paragraph" w:customStyle="1" w:styleId="ZDGNameEL41">
    <w:name w:val="Z_DGName (EL 4.1)"/>
    <w:basedOn w:val="Normal"/>
    <w:pPr>
      <w:widowControl w:val="0"/>
      <w:autoSpaceDE w:val="0"/>
      <w:autoSpaceDN w:val="0"/>
      <w:spacing w:after="0"/>
      <w:ind w:right="85"/>
      <w:jc w:val="left"/>
    </w:pPr>
    <w:rPr>
      <w:rFonts w:cs="Arial"/>
      <w:sz w:val="16"/>
      <w:szCs w:val="16"/>
    </w:rPr>
  </w:style>
  <w:style w:type="character" w:styleId="Hyperlink">
    <w:name w:val="Hyperlink"/>
    <w:uiPriority w:val="99"/>
    <w:rPr>
      <w:color w:val="0000FF"/>
      <w:u w:val="single"/>
    </w:rPr>
  </w:style>
  <w:style w:type="character" w:styleId="FootnoteReference">
    <w:name w:val="footnote reference"/>
    <w:aliases w:val="Footnote number,Footnote symbol,fr,o,de nota al pie,Ref,Char,SUPERS,Voetnootmarkering,Char1,Nota,(NECG) Footnote Reference, Char, Char1,Ref Char,de nota al pie Char,Footnote number Char,Footnote symbol Char,note TESI Char,Nota Ch,FR"/>
    <w:uiPriority w:val="99"/>
    <w:qFormat/>
    <w:rPr>
      <w:vertAlign w:val="superscript"/>
    </w:rPr>
  </w:style>
  <w:style w:type="table" w:styleId="ColorfulGrid-Accent3">
    <w:name w:val="Colorful Grid Accent 3"/>
    <w:basedOn w:val="TableNormal"/>
    <w:uiPriority w:val="69"/>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basedOn w:val="DefaultParagraphFont"/>
    <w:link w:val="BalloonText"/>
    <w:semiHidden/>
    <w:rPr>
      <w:rFonts w:ascii="Tahoma" w:eastAsia="Times New Roman" w:hAnsi="Tahoma" w:cs="Tahoma"/>
      <w:sz w:val="16"/>
      <w:szCs w:val="16"/>
      <w:lang w:eastAsia="en-GB"/>
    </w:rPr>
  </w:style>
  <w:style w:type="paragraph" w:customStyle="1" w:styleId="DocumentTitle">
    <w:name w:val="Document Title"/>
    <w:basedOn w:val="Normal"/>
    <w:link w:val="DocumentTitleChar"/>
    <w:pPr>
      <w:jc w:val="center"/>
    </w:pPr>
    <w:rPr>
      <w:rFonts w:ascii="Verdana" w:hAnsi="Verdana"/>
      <w:b/>
      <w:sz w:val="52"/>
    </w:rPr>
  </w:style>
  <w:style w:type="paragraph" w:customStyle="1" w:styleId="Footerapproval">
    <w:name w:val="Footer approval"/>
    <w:basedOn w:val="Footer"/>
    <w:link w:val="ApprovalfooterChar"/>
    <w:pPr>
      <w:tabs>
        <w:tab w:val="left" w:pos="6804"/>
      </w:tabs>
    </w:pPr>
    <w:rPr>
      <w:rFonts w:ascii="Verdana" w:hAnsi="Verdana"/>
      <w:sz w:val="13"/>
      <w:lang w:val="fr-BE"/>
    </w:rPr>
  </w:style>
  <w:style w:type="character" w:customStyle="1" w:styleId="DocumentTitleChar">
    <w:name w:val="Document Title Char"/>
    <w:link w:val="DocumentTitle"/>
    <w:rPr>
      <w:rFonts w:ascii="Verdana" w:eastAsia="Times New Roman" w:hAnsi="Verdana" w:cs="Times New Roman"/>
      <w:b/>
      <w:sz w:val="52"/>
      <w:lang w:eastAsia="en-GB"/>
    </w:rPr>
  </w:style>
  <w:style w:type="paragraph" w:customStyle="1" w:styleId="FooterDate">
    <w:name w:val="Footer Date"/>
    <w:basedOn w:val="Footer"/>
    <w:link w:val="FooterDateChar"/>
    <w:pPr>
      <w:tabs>
        <w:tab w:val="right" w:pos="9240"/>
      </w:tabs>
    </w:pPr>
    <w:rPr>
      <w:rFonts w:ascii="Verdana" w:hAnsi="Verdana"/>
      <w:lang w:val="it-IT"/>
    </w:rPr>
  </w:style>
  <w:style w:type="character" w:customStyle="1" w:styleId="ApprovalfooterChar">
    <w:name w:val="Approval_footer Char"/>
    <w:link w:val="Footerapproval"/>
    <w:rPr>
      <w:rFonts w:ascii="Verdana" w:eastAsia="Calibri" w:hAnsi="Verdana" w:cs="Times New Roman"/>
      <w:sz w:val="13"/>
      <w:lang w:val="fr-BE" w:eastAsia="en-GB"/>
    </w:rPr>
  </w:style>
  <w:style w:type="paragraph" w:customStyle="1" w:styleId="PageNumber1">
    <w:name w:val="Page Number1"/>
    <w:basedOn w:val="Footer"/>
    <w:link w:val="PagenumberChar"/>
    <w:pPr>
      <w:tabs>
        <w:tab w:val="right" w:pos="9240"/>
      </w:tabs>
      <w:ind w:right="-622"/>
    </w:pPr>
    <w:rPr>
      <w:rFonts w:ascii="Verdana" w:hAnsi="Verdana"/>
      <w:lang w:val="fr-BE"/>
    </w:rPr>
  </w:style>
  <w:style w:type="character" w:customStyle="1" w:styleId="FooterDateChar">
    <w:name w:val="Footer Date Char"/>
    <w:link w:val="FooterDate"/>
    <w:rPr>
      <w:rFonts w:ascii="Verdana" w:eastAsia="Calibri" w:hAnsi="Verdana" w:cs="Times New Roman"/>
      <w:sz w:val="24"/>
      <w:lang w:val="it-IT" w:eastAsia="en-GB"/>
    </w:rPr>
  </w:style>
  <w:style w:type="character" w:customStyle="1" w:styleId="PagenumberChar">
    <w:name w:val="Page number Char"/>
    <w:link w:val="PageNumber1"/>
    <w:rPr>
      <w:rFonts w:ascii="Verdana" w:eastAsia="Calibri" w:hAnsi="Verdana" w:cs="Times New Roman"/>
      <w:sz w:val="24"/>
      <w:lang w:val="fr-BE" w:eastAsia="en-GB"/>
    </w:rPr>
  </w:style>
  <w:style w:type="paragraph" w:customStyle="1" w:styleId="DocumentSubtitle">
    <w:name w:val="Document Subtitle"/>
    <w:basedOn w:val="DocumentTitle"/>
    <w:link w:val="DocumentSubtitleChar"/>
    <w:rPr>
      <w:b w:val="0"/>
      <w:sz w:val="32"/>
      <w:szCs w:val="36"/>
    </w:rPr>
  </w:style>
  <w:style w:type="paragraph" w:customStyle="1" w:styleId="HeaderTitle">
    <w:name w:val="Header Title"/>
    <w:basedOn w:val="Normal"/>
    <w:link w:val="HeaderTitleChar"/>
    <w:pPr>
      <w:jc w:val="center"/>
    </w:pPr>
    <w:rPr>
      <w:rFonts w:ascii="Verdana" w:hAnsi="Verdana"/>
      <w:b/>
      <w:color w:val="808080"/>
      <w:sz w:val="18"/>
      <w:szCs w:val="18"/>
    </w:rPr>
  </w:style>
  <w:style w:type="character" w:customStyle="1" w:styleId="DocumentSubtitleChar">
    <w:name w:val="Document Subtitle Char"/>
    <w:link w:val="DocumentSubtitle"/>
    <w:rPr>
      <w:rFonts w:ascii="Verdana" w:eastAsia="Times New Roman" w:hAnsi="Verdana" w:cs="Times New Roman"/>
      <w:sz w:val="32"/>
      <w:szCs w:val="36"/>
      <w:lang w:eastAsia="en-GB"/>
    </w:rPr>
  </w:style>
  <w:style w:type="paragraph" w:customStyle="1" w:styleId="Bulletpoint1">
    <w:name w:val="Bullet point1"/>
    <w:basedOn w:val="NormalIndent"/>
    <w:link w:val="Bulletpoint1Char"/>
    <w:pPr>
      <w:numPr>
        <w:numId w:val="20"/>
      </w:numPr>
      <w:spacing w:after="120"/>
      <w:jc w:val="left"/>
    </w:pPr>
    <w:rPr>
      <w:rFonts w:ascii="Verdana" w:hAnsi="Verdana"/>
      <w:sz w:val="18"/>
    </w:rPr>
  </w:style>
  <w:style w:type="character" w:customStyle="1" w:styleId="HeaderTitleChar">
    <w:name w:val="Header Title Char"/>
    <w:link w:val="HeaderTitle"/>
    <w:rPr>
      <w:rFonts w:ascii="Verdana" w:eastAsia="Times New Roman" w:hAnsi="Verdana" w:cs="Times New Roman"/>
      <w:b/>
      <w:color w:val="808080"/>
      <w:sz w:val="18"/>
      <w:szCs w:val="18"/>
      <w:lang w:eastAsia="en-GB"/>
    </w:rPr>
  </w:style>
  <w:style w:type="paragraph" w:customStyle="1" w:styleId="Heading">
    <w:name w:val="Heading"/>
    <w:basedOn w:val="TOC1"/>
    <w:link w:val="HeadingChar"/>
    <w:pPr>
      <w:widowControl w:val="0"/>
      <w:autoSpaceDE w:val="0"/>
      <w:autoSpaceDN w:val="0"/>
      <w:adjustRightInd w:val="0"/>
      <w:spacing w:after="0"/>
      <w:ind w:left="0" w:firstLine="0"/>
      <w:jc w:val="left"/>
    </w:pPr>
    <w:rPr>
      <w:b/>
      <w:sz w:val="20"/>
      <w:u w:val="single"/>
    </w:rPr>
  </w:style>
  <w:style w:type="character" w:customStyle="1" w:styleId="NormalIndentChar">
    <w:name w:val="Normal Indent Char"/>
    <w:link w:val="NormalIndent"/>
    <w:rPr>
      <w:rFonts w:ascii="Times New Roman" w:eastAsia="Times New Roman" w:hAnsi="Times New Roman" w:cs="Times New Roman"/>
      <w:sz w:val="24"/>
      <w:lang w:eastAsia="en-GB"/>
    </w:rPr>
  </w:style>
  <w:style w:type="character" w:customStyle="1" w:styleId="Bulletpoint1Char">
    <w:name w:val="Bullet point1 Char"/>
    <w:link w:val="Bulletpoint1"/>
    <w:rPr>
      <w:rFonts w:ascii="Verdana" w:eastAsia="Times New Roman" w:hAnsi="Verdana" w:cs="Times New Roman"/>
      <w:sz w:val="18"/>
      <w:lang w:eastAsia="en-GB"/>
    </w:rPr>
  </w:style>
  <w:style w:type="paragraph" w:customStyle="1" w:styleId="BulletPoint2">
    <w:name w:val="Bullet Point 2"/>
    <w:basedOn w:val="NormalIndent"/>
    <w:link w:val="BulletPoint2Char"/>
    <w:pPr>
      <w:numPr>
        <w:numId w:val="19"/>
      </w:numPr>
      <w:spacing w:after="120"/>
      <w:ind w:left="1077" w:hanging="357"/>
      <w:jc w:val="left"/>
    </w:pPr>
    <w:rPr>
      <w:rFonts w:ascii="Verdana" w:hAnsi="Verdana"/>
      <w:sz w:val="18"/>
    </w:rPr>
  </w:style>
  <w:style w:type="character" w:customStyle="1" w:styleId="HeadingChar">
    <w:name w:val="Heading Char"/>
    <w:link w:val="Heading"/>
    <w:rPr>
      <w:rFonts w:ascii="Verdana" w:eastAsia="Times New Roman" w:hAnsi="Verdana" w:cs="Times New Roman"/>
      <w:b/>
      <w:caps/>
      <w:sz w:val="20"/>
      <w:u w:val="single"/>
      <w:lang w:eastAsia="en-GB"/>
    </w:rPr>
  </w:style>
  <w:style w:type="paragraph" w:customStyle="1" w:styleId="Body">
    <w:name w:val="Body"/>
    <w:basedOn w:val="Normal"/>
    <w:link w:val="BodyChar"/>
    <w:qFormat/>
    <w:pPr>
      <w:ind w:firstLine="709"/>
    </w:pPr>
    <w:rPr>
      <w:rFonts w:ascii="Verdana" w:hAnsi="Verdana"/>
      <w:sz w:val="20"/>
      <w:lang w:val="en-US"/>
    </w:rPr>
  </w:style>
  <w:style w:type="character" w:customStyle="1" w:styleId="BulletPoint2Char">
    <w:name w:val="Bullet Point 2 Char"/>
    <w:link w:val="BulletPoint2"/>
    <w:rPr>
      <w:rFonts w:ascii="Verdana" w:eastAsia="Times New Roman" w:hAnsi="Verdana" w:cs="Times New Roman"/>
      <w:sz w:val="18"/>
      <w:lang w:eastAsia="en-GB"/>
    </w:rPr>
  </w:style>
  <w:style w:type="paragraph" w:customStyle="1" w:styleId="Heading20">
    <w:name w:val="Heading2"/>
    <w:basedOn w:val="Title2"/>
    <w:link w:val="Heading2Char0"/>
    <w:pPr>
      <w:numPr>
        <w:numId w:val="0"/>
      </w:numPr>
    </w:pPr>
    <w:rPr>
      <w:rFonts w:ascii="Verdana" w:hAnsi="Verdana"/>
      <w:b/>
      <w:i/>
    </w:rPr>
  </w:style>
  <w:style w:type="character" w:customStyle="1" w:styleId="BodyChar">
    <w:name w:val="Body Char"/>
    <w:link w:val="Body"/>
    <w:rPr>
      <w:rFonts w:ascii="Verdana" w:eastAsia="Times New Roman" w:hAnsi="Verdana" w:cs="Times New Roman"/>
      <w:sz w:val="20"/>
      <w:lang w:val="en-US" w:eastAsia="en-GB"/>
    </w:rPr>
  </w:style>
  <w:style w:type="table" w:styleId="TableGrid">
    <w:name w:val="Table Grid"/>
    <w:aliases w:val="Document Table"/>
    <w:basedOn w:val="TableNormal"/>
    <w:pPr>
      <w:spacing w:after="0" w:line="240" w:lineRule="auto"/>
    </w:pPr>
    <w:rPr>
      <w:rFonts w:ascii="Verdana" w:eastAsia="Times New Roman" w:hAnsi="Verdana" w:cs="Times New Roman"/>
      <w:sz w:val="20"/>
      <w:szCs w:val="20"/>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character" w:customStyle="1" w:styleId="Heading2Char0">
    <w:name w:val="Heading2 Char"/>
    <w:link w:val="Heading20"/>
    <w:rPr>
      <w:rFonts w:ascii="Verdana" w:eastAsia="Times New Roman" w:hAnsi="Verdana" w:cs="Times New Roman"/>
      <w:b/>
      <w:i/>
      <w:sz w:val="24"/>
      <w:lang w:eastAsia="en-GB"/>
    </w:rPr>
  </w:style>
  <w:style w:type="table" w:customStyle="1" w:styleId="Style1">
    <w:name w:val="Style1"/>
    <w:basedOn w:val="TableNormal"/>
    <w:pPr>
      <w:spacing w:after="0" w:line="240" w:lineRule="auto"/>
    </w:pPr>
    <w:rPr>
      <w:rFonts w:ascii="Times New Roman" w:eastAsia="Times New Roman" w:hAnsi="Times New Roman" w:cs="Times New Roman"/>
      <w:sz w:val="20"/>
      <w:szCs w:val="20"/>
      <w:lang w:eastAsia="en-GB"/>
    </w:rPr>
    <w:tblPr/>
  </w:style>
  <w:style w:type="table" w:styleId="TableElegant">
    <w:name w:val="Table Elegant"/>
    <w:basedOn w:val="TableNormal"/>
    <w:pPr>
      <w:spacing w:after="240" w:line="240" w:lineRule="auto"/>
      <w:jc w:val="both"/>
    </w:pPr>
    <w:rPr>
      <w:rFonts w:ascii="Times New Roman" w:eastAsia="Times New Roman" w:hAnsi="Times New Roman" w:cs="Times New Roman"/>
      <w:sz w:val="20"/>
      <w:szCs w:val="20"/>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pPr>
      <w:spacing w:after="0"/>
    </w:pPr>
    <w:rPr>
      <w:i/>
      <w:noProof/>
      <w:sz w:val="13"/>
    </w:rPr>
  </w:style>
  <w:style w:type="character" w:customStyle="1" w:styleId="FooterDocumentChar">
    <w:name w:val="Footer Document Char"/>
    <w:link w:val="FooterDocument"/>
    <w:rPr>
      <w:rFonts w:ascii="Verdana" w:eastAsia="Times New Roman" w:hAnsi="Verdana" w:cs="Times New Roman"/>
      <w:i/>
      <w:noProof/>
      <w:sz w:val="13"/>
      <w:lang w:val="en-US" w:eastAsia="en-GB"/>
    </w:rPr>
  </w:style>
  <w:style w:type="paragraph" w:styleId="TOCHeading">
    <w:name w:val="TOC Heading"/>
    <w:basedOn w:val="Heading1"/>
    <w:next w:val="Normal"/>
    <w:uiPriority w:val="39"/>
    <w:qFormat/>
    <w:pPr>
      <w:keepLines/>
      <w:spacing w:before="480" w:after="0" w:line="276" w:lineRule="auto"/>
      <w:ind w:left="0"/>
      <w:jc w:val="left"/>
      <w:outlineLvl w:val="9"/>
    </w:pPr>
    <w:rPr>
      <w:rFonts w:ascii="Cambria" w:eastAsia="MS Gothic" w:hAnsi="Cambria"/>
      <w:bCs/>
      <w:smallCaps/>
      <w:color w:val="435186"/>
      <w:sz w:val="28"/>
      <w:szCs w:val="28"/>
      <w:lang w:val="en-US"/>
    </w:rPr>
  </w:style>
  <w:style w:type="paragraph" w:customStyle="1" w:styleId="Title2">
    <w:name w:val="Title 2"/>
    <w:basedOn w:val="Normal"/>
    <w:pPr>
      <w:numPr>
        <w:numId w:val="21"/>
      </w:numPr>
    </w:pPr>
  </w:style>
  <w:style w:type="paragraph" w:customStyle="1" w:styleId="Subtitle0">
    <w:name w:val="Subtitle_"/>
    <w:basedOn w:val="TOC2"/>
    <w:link w:val="SubtitleChar0"/>
    <w:pPr>
      <w:ind w:left="0" w:firstLine="0"/>
    </w:pPr>
    <w:rPr>
      <w:b/>
      <w:i/>
      <w:sz w:val="20"/>
    </w:rPr>
  </w:style>
  <w:style w:type="character" w:customStyle="1" w:styleId="SubtitleChar0">
    <w:name w:val="Subtitle_ Char"/>
    <w:link w:val="Subtitle0"/>
    <w:rPr>
      <w:rFonts w:ascii="Verdana" w:eastAsia="Times New Roman" w:hAnsi="Verdana" w:cs="Times New Roman"/>
      <w:b/>
      <w:i/>
      <w:sz w:val="20"/>
      <w:lang w:eastAsia="en-GB"/>
    </w:rPr>
  </w:style>
  <w:style w:type="paragraph" w:customStyle="1" w:styleId="HeadingBody">
    <w:name w:val="Heading Body"/>
    <w:basedOn w:val="Normal"/>
    <w:link w:val="HeadingBodyChar"/>
    <w:pPr>
      <w:spacing w:after="120"/>
    </w:pPr>
    <w:rPr>
      <w:rFonts w:ascii="Verdana" w:hAnsi="Verdana"/>
      <w:b/>
      <w:sz w:val="20"/>
      <w:szCs w:val="18"/>
    </w:rPr>
  </w:style>
  <w:style w:type="paragraph" w:customStyle="1" w:styleId="Titlepublication">
    <w:name w:val="Title publication"/>
    <w:basedOn w:val="Normal"/>
    <w:link w:val="TitlepublicationChar"/>
    <w:pPr>
      <w:jc w:val="center"/>
    </w:pPr>
    <w:rPr>
      <w:rFonts w:ascii="Verdana" w:hAnsi="Verdana"/>
      <w:b/>
      <w:color w:val="FF0000"/>
      <w:sz w:val="52"/>
      <w:szCs w:val="52"/>
    </w:rPr>
  </w:style>
  <w:style w:type="character" w:customStyle="1" w:styleId="HeadingBodyChar">
    <w:name w:val="Heading Body Char"/>
    <w:link w:val="HeadingBody"/>
    <w:rPr>
      <w:rFonts w:ascii="Verdana" w:eastAsia="Times New Roman" w:hAnsi="Verdana" w:cs="Times New Roman"/>
      <w:b/>
      <w:sz w:val="20"/>
      <w:szCs w:val="18"/>
      <w:lang w:eastAsia="en-GB"/>
    </w:rPr>
  </w:style>
  <w:style w:type="paragraph" w:customStyle="1" w:styleId="Subtitlepublication">
    <w:name w:val="Subtitle publication"/>
    <w:basedOn w:val="Normal"/>
    <w:link w:val="SubtitlepublicationChar"/>
    <w:pPr>
      <w:jc w:val="center"/>
    </w:pPr>
    <w:rPr>
      <w:rFonts w:ascii="Verdana" w:hAnsi="Verdana"/>
      <w:b/>
      <w:i/>
      <w:color w:val="FF0000"/>
      <w:sz w:val="32"/>
    </w:rPr>
  </w:style>
  <w:style w:type="character" w:customStyle="1" w:styleId="TitlepublicationChar">
    <w:name w:val="Title publication Char"/>
    <w:link w:val="Titlepublication"/>
    <w:rPr>
      <w:rFonts w:ascii="Verdana" w:eastAsia="Times New Roman" w:hAnsi="Verdana" w:cs="Times New Roman"/>
      <w:b/>
      <w:color w:val="FF0000"/>
      <w:sz w:val="52"/>
      <w:szCs w:val="52"/>
      <w:lang w:eastAsia="en-GB"/>
    </w:rPr>
  </w:style>
  <w:style w:type="paragraph" w:customStyle="1" w:styleId="Editorname">
    <w:name w:val="Editor name"/>
    <w:basedOn w:val="Normal"/>
    <w:link w:val="EditornameChar"/>
    <w:pPr>
      <w:jc w:val="center"/>
    </w:pPr>
    <w:rPr>
      <w:rFonts w:ascii="Verdana" w:hAnsi="Verdana"/>
      <w:color w:val="FF0000"/>
    </w:rPr>
  </w:style>
  <w:style w:type="character" w:customStyle="1" w:styleId="SubtitlepublicationChar">
    <w:name w:val="Subtitle publication Char"/>
    <w:link w:val="Subtitlepublication"/>
    <w:rPr>
      <w:rFonts w:ascii="Verdana" w:eastAsia="Times New Roman" w:hAnsi="Verdana" w:cs="Times New Roman"/>
      <w:b/>
      <w:i/>
      <w:color w:val="FF0000"/>
      <w:sz w:val="32"/>
      <w:lang w:eastAsia="en-GB"/>
    </w:rPr>
  </w:style>
  <w:style w:type="paragraph" w:customStyle="1" w:styleId="Backcoversummary">
    <w:name w:val="Backcover_summary"/>
    <w:basedOn w:val="Normal"/>
    <w:link w:val="BackcoversummaryChar"/>
    <w:rPr>
      <w:rFonts w:ascii="Verdana" w:hAnsi="Verdana"/>
      <w:color w:val="FF0000"/>
    </w:rPr>
  </w:style>
  <w:style w:type="character" w:customStyle="1" w:styleId="EditornameChar">
    <w:name w:val="Editor name Char"/>
    <w:link w:val="Editorname"/>
    <w:rPr>
      <w:rFonts w:ascii="Verdana" w:eastAsia="Times New Roman" w:hAnsi="Verdana" w:cs="Times New Roman"/>
      <w:color w:val="FF0000"/>
      <w:sz w:val="24"/>
      <w:lang w:eastAsia="en-GB"/>
    </w:rPr>
  </w:style>
  <w:style w:type="paragraph" w:customStyle="1" w:styleId="Backcovercategory">
    <w:name w:val="Backcover_category"/>
    <w:basedOn w:val="Normal"/>
    <w:link w:val="BackcovercategoryChar"/>
    <w:pPr>
      <w:ind w:right="28"/>
    </w:pPr>
    <w:rPr>
      <w:rFonts w:ascii="Verdana" w:hAnsi="Verdana"/>
      <w:i/>
      <w:color w:val="FF0000"/>
      <w:sz w:val="18"/>
    </w:rPr>
  </w:style>
  <w:style w:type="character" w:customStyle="1" w:styleId="BackcoversummaryChar">
    <w:name w:val="Backcover_summary Char"/>
    <w:link w:val="Backcoversummary"/>
    <w:rPr>
      <w:rFonts w:ascii="Verdana" w:eastAsia="Times New Roman" w:hAnsi="Verdana" w:cs="Times New Roman"/>
      <w:color w:val="FF0000"/>
      <w:sz w:val="24"/>
      <w:lang w:eastAsia="en-GB"/>
    </w:rPr>
  </w:style>
  <w:style w:type="character" w:customStyle="1" w:styleId="BackcovercategoryChar">
    <w:name w:val="Backcover_category Char"/>
    <w:link w:val="Backcovercategory"/>
    <w:rPr>
      <w:rFonts w:ascii="Verdana" w:eastAsia="Times New Roman" w:hAnsi="Verdana" w:cs="Times New Roman"/>
      <w:i/>
      <w:color w:val="FF0000"/>
      <w:sz w:val="18"/>
      <w:lang w:eastAsia="en-GB"/>
    </w:rPr>
  </w:style>
  <w:style w:type="paragraph" w:customStyle="1" w:styleId="kop2">
    <w:name w:val="kop 2"/>
    <w:basedOn w:val="Normal"/>
    <w:next w:val="Normal"/>
    <w:link w:val="kop2Char"/>
    <w:autoRedefine/>
    <w:uiPriority w:val="1"/>
    <w:unhideWhenUsed/>
    <w:qFormat/>
    <w:pPr>
      <w:keepNext/>
      <w:keepLines/>
      <w:numPr>
        <w:numId w:val="22"/>
      </w:numPr>
      <w:spacing w:before="240" w:after="60" w:line="276" w:lineRule="auto"/>
      <w:ind w:left="714" w:hanging="357"/>
      <w:jc w:val="left"/>
      <w:outlineLvl w:val="1"/>
    </w:pPr>
    <w:rPr>
      <w:rFonts w:ascii="Arial" w:eastAsia="MS Gothic" w:hAnsi="Arial" w:cs="Arial"/>
      <w:caps/>
      <w:color w:val="4F81BD"/>
      <w:kern w:val="20"/>
      <w:szCs w:val="24"/>
    </w:rPr>
  </w:style>
  <w:style w:type="paragraph" w:customStyle="1" w:styleId="kop3">
    <w:name w:val="kop 3"/>
    <w:basedOn w:val="Normal"/>
    <w:next w:val="Normal"/>
    <w:link w:val="kop3Char"/>
    <w:uiPriority w:val="1"/>
    <w:unhideWhenUsed/>
    <w:qFormat/>
    <w:pPr>
      <w:keepNext/>
      <w:keepLines/>
      <w:numPr>
        <w:numId w:val="23"/>
      </w:numPr>
      <w:spacing w:after="120"/>
      <w:outlineLvl w:val="2"/>
    </w:pPr>
    <w:rPr>
      <w:rFonts w:ascii="Verdana" w:eastAsia="MS Gothic" w:hAnsi="Verdana"/>
      <w:bCs/>
      <w:color w:val="006FB4"/>
      <w:kern w:val="20"/>
      <w:lang w:val="nl-NL"/>
    </w:rPr>
  </w:style>
  <w:style w:type="character" w:customStyle="1" w:styleId="kop2Char">
    <w:name w:val="kop 2 Char"/>
    <w:link w:val="kop2"/>
    <w:uiPriority w:val="1"/>
    <w:rPr>
      <w:rFonts w:ascii="Arial" w:eastAsia="MS Gothic" w:hAnsi="Arial" w:cs="Arial"/>
      <w:caps/>
      <w:color w:val="4F81BD"/>
      <w:kern w:val="20"/>
      <w:sz w:val="24"/>
      <w:szCs w:val="24"/>
      <w:lang w:eastAsia="en-GB"/>
    </w:rPr>
  </w:style>
  <w:style w:type="character" w:customStyle="1" w:styleId="kop3Char">
    <w:name w:val="kop 3 Char"/>
    <w:link w:val="kop3"/>
    <w:uiPriority w:val="1"/>
    <w:rPr>
      <w:rFonts w:ascii="Verdana" w:eastAsia="MS Gothic" w:hAnsi="Verdana" w:cs="Times New Roman"/>
      <w:bCs/>
      <w:color w:val="006FB4"/>
      <w:kern w:val="20"/>
      <w:sz w:val="24"/>
      <w:lang w:val="nl-NL" w:eastAsia="en-GB"/>
    </w:rPr>
  </w:style>
  <w:style w:type="paragraph" w:customStyle="1" w:styleId="Lijstje">
    <w:name w:val="Lijstje"/>
    <w:basedOn w:val="NoSpacing"/>
    <w:uiPriority w:val="1"/>
    <w:unhideWhenUsed/>
    <w:qFormat/>
    <w:locked/>
    <w:pPr>
      <w:spacing w:after="240"/>
      <w:ind w:left="1419" w:hanging="705"/>
    </w:pPr>
    <w:rPr>
      <w:rFonts w:ascii="Verdana" w:eastAsia="Calibri" w:hAnsi="Verdana"/>
      <w:kern w:val="20"/>
      <w:sz w:val="20"/>
      <w:lang w:val="en-US"/>
    </w:rPr>
  </w:style>
  <w:style w:type="paragraph" w:customStyle="1" w:styleId="Lijstje3">
    <w:name w:val="Lijstje 3"/>
    <w:basedOn w:val="Lijstje2"/>
    <w:uiPriority w:val="1"/>
    <w:unhideWhenUsed/>
    <w:locked/>
    <w:pPr>
      <w:numPr>
        <w:ilvl w:val="1"/>
      </w:numPr>
      <w:tabs>
        <w:tab w:val="num" w:pos="765"/>
      </w:tabs>
    </w:pPr>
  </w:style>
  <w:style w:type="paragraph" w:customStyle="1" w:styleId="Lijstje2">
    <w:name w:val="Lijstje2"/>
    <w:basedOn w:val="ListParagraph"/>
    <w:uiPriority w:val="1"/>
    <w:unhideWhenUsed/>
    <w:qFormat/>
    <w:locked/>
    <w:pPr>
      <w:numPr>
        <w:numId w:val="24"/>
      </w:numPr>
      <w:spacing w:after="200"/>
    </w:pPr>
    <w:rPr>
      <w:rFonts w:ascii="Verdana" w:eastAsia="Calibri" w:hAnsi="Verdana"/>
      <w:kern w:val="20"/>
      <w:sz w:val="20"/>
      <w:lang w:val="nl-NL"/>
    </w:rPr>
  </w:style>
  <w:style w:type="paragraph" w:customStyle="1" w:styleId="Koptekstmetarcering">
    <w:name w:val="Koptekst met arcering"/>
    <w:basedOn w:val="Normal"/>
    <w:uiPriority w:val="19"/>
    <w:locked/>
    <w:pPr>
      <w:pBdr>
        <w:top w:val="single" w:sz="2" w:space="2" w:color="5F70AF"/>
        <w:left w:val="single" w:sz="2" w:space="6" w:color="5F70AF"/>
        <w:bottom w:val="single" w:sz="2" w:space="2" w:color="5F70AF"/>
        <w:right w:val="single" w:sz="2" w:space="6" w:color="5F70AF"/>
      </w:pBdr>
      <w:shd w:val="clear" w:color="auto" w:fill="5F70AF"/>
      <w:spacing w:after="0"/>
      <w:ind w:left="-360" w:right="-360"/>
    </w:pPr>
    <w:rPr>
      <w:rFonts w:ascii="Cambria" w:eastAsia="MS Gothic" w:hAnsi="Cambria"/>
      <w:caps/>
      <w:color w:val="FFFFFF"/>
      <w:kern w:val="20"/>
      <w:sz w:val="48"/>
      <w:lang w:val="nl-NL"/>
    </w:rPr>
  </w:style>
  <w:style w:type="character" w:styleId="Strong">
    <w:name w:val="Strong"/>
    <w:aliases w:val="sub subtitle"/>
    <w:uiPriority w:val="22"/>
    <w:qFormat/>
    <w:rPr>
      <w:rFonts w:ascii="Arial" w:hAnsi="Arial"/>
      <w:i/>
      <w:color w:val="95B3D7"/>
      <w:sz w:val="20"/>
    </w:rPr>
  </w:style>
  <w:style w:type="paragraph" w:styleId="NoSpacing">
    <w:name w:val="No Spacing"/>
    <w:uiPriority w:val="1"/>
    <w:qFormat/>
    <w:pPr>
      <w:spacing w:after="0" w:line="240" w:lineRule="auto"/>
      <w:jc w:val="both"/>
    </w:pPr>
    <w:rPr>
      <w:rFonts w:ascii="Times New Roman" w:eastAsia="Times New Roman" w:hAnsi="Times New Roman" w:cs="Times New Roman"/>
      <w:sz w:val="24"/>
      <w:lang w:val="fr-FR"/>
    </w:rPr>
  </w:style>
  <w:style w:type="paragraph" w:styleId="ListParagraph">
    <w:name w:val="List Paragraph"/>
    <w:basedOn w:val="Normal"/>
    <w:uiPriority w:val="34"/>
    <w:qFormat/>
    <w:pPr>
      <w:ind w:left="720"/>
      <w:contextualSpacing/>
    </w:pPr>
  </w:style>
  <w:style w:type="paragraph" w:customStyle="1" w:styleId="kop1">
    <w:name w:val="kop 1"/>
    <w:basedOn w:val="Normal"/>
    <w:next w:val="Normal"/>
    <w:link w:val="Tekensvoorkop1"/>
    <w:uiPriority w:val="1"/>
    <w:locked/>
    <w:pPr>
      <w:pageBreakBefore/>
      <w:spacing w:after="360"/>
      <w:ind w:left="-360" w:right="-360"/>
      <w:outlineLvl w:val="0"/>
    </w:pPr>
    <w:rPr>
      <w:rFonts w:ascii="Calibri" w:eastAsia="Calibri" w:hAnsi="Calibri"/>
      <w:kern w:val="20"/>
      <w:sz w:val="36"/>
      <w:lang w:val="nl-NL"/>
    </w:rPr>
  </w:style>
  <w:style w:type="paragraph" w:customStyle="1" w:styleId="Geenregelafstand">
    <w:name w:val="Geen regelafstand"/>
    <w:link w:val="Tekensvoorgeenregelafstand"/>
    <w:uiPriority w:val="1"/>
    <w:locked/>
    <w:pPr>
      <w:spacing w:before="40" w:after="0" w:line="240" w:lineRule="auto"/>
    </w:pPr>
    <w:rPr>
      <w:rFonts w:ascii="Calibri" w:eastAsia="Calibri" w:hAnsi="Calibri" w:cs="Times New Roman"/>
      <w:color w:val="595959"/>
      <w:sz w:val="18"/>
      <w:lang w:val="nl-NL"/>
    </w:rPr>
  </w:style>
  <w:style w:type="character" w:customStyle="1" w:styleId="Tekensvoorkop1">
    <w:name w:val="Tekens voor kop 1"/>
    <w:link w:val="kop1"/>
    <w:uiPriority w:val="1"/>
    <w:rPr>
      <w:rFonts w:ascii="Calibri" w:eastAsia="Calibri" w:hAnsi="Calibri" w:cs="Times New Roman"/>
      <w:kern w:val="20"/>
      <w:sz w:val="36"/>
      <w:lang w:val="nl-NL" w:eastAsia="en-GB"/>
    </w:rPr>
  </w:style>
  <w:style w:type="character" w:customStyle="1" w:styleId="Extranadruk">
    <w:name w:val="Extra nadruk"/>
    <w:uiPriority w:val="1"/>
    <w:unhideWhenUsed/>
    <w:locked/>
    <w:rPr>
      <w:b/>
      <w:bCs/>
    </w:rPr>
  </w:style>
  <w:style w:type="character" w:customStyle="1" w:styleId="Tekensvoorgeenregelafstand">
    <w:name w:val="Tekens voor geen regelafstand"/>
    <w:link w:val="Geenregelafstand"/>
    <w:uiPriority w:val="1"/>
    <w:rPr>
      <w:rFonts w:ascii="Calibri" w:eastAsia="Calibri" w:hAnsi="Calibri" w:cs="Times New Roman"/>
      <w:color w:val="595959"/>
      <w:sz w:val="18"/>
      <w:lang w:val="nl-NL"/>
    </w:rPr>
  </w:style>
  <w:style w:type="paragraph" w:customStyle="1" w:styleId="Tabeltekst">
    <w:name w:val="Tabeltekst"/>
    <w:basedOn w:val="Normal"/>
    <w:uiPriority w:val="9"/>
    <w:locked/>
    <w:pPr>
      <w:spacing w:before="60" w:after="60"/>
      <w:ind w:left="144" w:right="144"/>
    </w:pPr>
    <w:rPr>
      <w:rFonts w:ascii="Calibri" w:eastAsia="Calibri" w:hAnsi="Calibri"/>
      <w:kern w:val="20"/>
      <w:lang w:val="nl-NL"/>
    </w:rPr>
  </w:style>
  <w:style w:type="paragraph" w:customStyle="1" w:styleId="Kopvooromgekeerdetabel">
    <w:name w:val="Kop voor omgekeerde tabel"/>
    <w:basedOn w:val="Normal"/>
    <w:uiPriority w:val="9"/>
    <w:locked/>
    <w:pPr>
      <w:spacing w:after="40"/>
      <w:ind w:left="144" w:right="144"/>
    </w:pPr>
    <w:rPr>
      <w:rFonts w:ascii="Cambria" w:eastAsia="MS Gothic" w:hAnsi="Cambria"/>
      <w:caps/>
      <w:color w:val="FFFFFF"/>
      <w:kern w:val="20"/>
      <w:lang w:val="nl-NL"/>
    </w:rPr>
  </w:style>
  <w:style w:type="character" w:styleId="CommentReference">
    <w:name w:val="annotation reference"/>
    <w:uiPriority w:val="99"/>
    <w:semiHidden/>
    <w:unhideWhenUsed/>
    <w:rPr>
      <w:sz w:val="16"/>
      <w:szCs w:val="16"/>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rFonts w:ascii="Times New Roman" w:eastAsia="Times New Roman" w:hAnsi="Times New Roman" w:cs="Times New Roman"/>
      <w:b/>
      <w:bCs/>
      <w:sz w:val="20"/>
      <w:lang w:eastAsia="en-GB"/>
    </w:rPr>
  </w:style>
  <w:style w:type="paragraph" w:styleId="Revision">
    <w:name w:val="Revision"/>
    <w:hidden/>
    <w:uiPriority w:val="99"/>
    <w:semiHidden/>
    <w:pPr>
      <w:spacing w:after="0" w:line="240" w:lineRule="auto"/>
    </w:pPr>
    <w:rPr>
      <w:rFonts w:ascii="Times New Roman" w:eastAsia="Times New Roman" w:hAnsi="Times New Roman" w:cs="Times New Roman"/>
      <w:sz w:val="24"/>
      <w:lang w:val="fr-FR"/>
    </w:rPr>
  </w:style>
  <w:style w:type="character" w:styleId="FollowedHyperlink">
    <w:name w:val="FollowedHyperlink"/>
    <w:semiHidden/>
    <w:unhideWhenUsed/>
    <w:rPr>
      <w:color w:val="3EBBF0"/>
      <w:u w:val="single"/>
    </w:rPr>
  </w:style>
  <w:style w:type="character" w:customStyle="1" w:styleId="affairetitle">
    <w:name w:val="affaire_title"/>
    <w:basedOn w:val="DefaultParagraphFont"/>
  </w:style>
  <w:style w:type="paragraph" w:customStyle="1" w:styleId="Kop4">
    <w:name w:val="Kop 4"/>
    <w:basedOn w:val="Normal"/>
    <w:link w:val="Kop4Char"/>
    <w:pPr>
      <w:spacing w:after="120"/>
      <w:ind w:left="709"/>
    </w:pPr>
    <w:rPr>
      <w:rFonts w:ascii="Verdana" w:hAnsi="Verdana"/>
      <w:color w:val="5AA2AE"/>
    </w:rPr>
  </w:style>
  <w:style w:type="paragraph" w:customStyle="1" w:styleId="Kop5">
    <w:name w:val="Kop 5"/>
    <w:basedOn w:val="Normal"/>
    <w:link w:val="Kop5Char"/>
    <w:pPr>
      <w:ind w:left="709"/>
    </w:pPr>
    <w:rPr>
      <w:rFonts w:ascii="Verdana" w:hAnsi="Verdana"/>
      <w:color w:val="7BCCFF"/>
    </w:rPr>
  </w:style>
  <w:style w:type="character" w:customStyle="1" w:styleId="Kop4Char">
    <w:name w:val="Kop 4 Char"/>
    <w:link w:val="Kop4"/>
    <w:rPr>
      <w:rFonts w:ascii="Verdana" w:eastAsia="Times New Roman" w:hAnsi="Verdana" w:cs="Times New Roman"/>
      <w:color w:val="5AA2AE"/>
      <w:sz w:val="24"/>
      <w:lang w:eastAsia="en-GB"/>
    </w:rPr>
  </w:style>
  <w:style w:type="character" w:customStyle="1" w:styleId="Kop5Char">
    <w:name w:val="Kop 5 Char"/>
    <w:link w:val="Kop5"/>
    <w:rPr>
      <w:rFonts w:ascii="Verdana" w:eastAsia="Times New Roman" w:hAnsi="Verdana" w:cs="Times New Roman"/>
      <w:color w:val="7BCCFF"/>
      <w:sz w:val="24"/>
      <w:lang w:eastAsia="en-GB"/>
    </w:rPr>
  </w:style>
  <w:style w:type="paragraph" w:customStyle="1" w:styleId="MemberStateHeader">
    <w:name w:val="Member State Header"/>
    <w:basedOn w:val="Normal"/>
    <w:link w:val="MemberStateHeaderChar"/>
    <w:qFormat/>
    <w:pPr>
      <w:jc w:val="center"/>
    </w:pPr>
    <w:rPr>
      <w:color w:val="BFBFBF"/>
      <w:szCs w:val="24"/>
    </w:rPr>
  </w:style>
  <w:style w:type="character" w:customStyle="1" w:styleId="MemberStateHeaderChar">
    <w:name w:val="Member State Header Char"/>
    <w:link w:val="MemberStateHeader"/>
    <w:rPr>
      <w:rFonts w:ascii="Times New Roman" w:eastAsia="Times New Roman" w:hAnsi="Times New Roman" w:cs="Times New Roman"/>
      <w:color w:val="BFBFBF"/>
      <w:sz w:val="24"/>
      <w:szCs w:val="24"/>
      <w:lang w:eastAsia="en-GB"/>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pPr>
    <w:rPr>
      <w:rFonts w:eastAsia="Calibri"/>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link w:val="FooterCoverPage"/>
    <w:rPr>
      <w:rFonts w:ascii="Times New Roman" w:eastAsia="Times New Roman" w:hAnsi="Times New Roman" w:cs="Times New Roman"/>
      <w:sz w:val="24"/>
      <w:lang w:eastAsia="en-GB"/>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link w:val="HeaderCoverPage"/>
    <w:rPr>
      <w:rFonts w:ascii="Times New Roman" w:eastAsia="Times New Roman" w:hAnsi="Times New Roman" w:cs="Times New Roman"/>
      <w:sz w:val="24"/>
      <w:lang w:eastAsia="en-GB"/>
    </w:rPr>
  </w:style>
  <w:style w:type="paragraph" w:customStyle="1" w:styleId="Priorities">
    <w:name w:val="Priorities"/>
    <w:basedOn w:val="Normal"/>
    <w:link w:val="PrioritiesChar"/>
    <w:qFormat/>
    <w:pPr>
      <w:spacing w:after="200" w:line="276" w:lineRule="auto"/>
      <w:jc w:val="center"/>
    </w:pPr>
    <w:rPr>
      <w:rFonts w:eastAsia="Calibri" w:cs="Arial"/>
      <w:b/>
      <w:color w:val="163E71"/>
      <w:sz w:val="28"/>
      <w:szCs w:val="28"/>
    </w:rPr>
  </w:style>
  <w:style w:type="character" w:customStyle="1" w:styleId="PrioritiesChar">
    <w:name w:val="Priorities Char"/>
    <w:link w:val="Priorities"/>
    <w:rPr>
      <w:rFonts w:ascii="Times New Roman" w:eastAsia="Calibri" w:hAnsi="Times New Roman" w:cs="Arial"/>
      <w:b/>
      <w:color w:val="163E71"/>
      <w:sz w:val="28"/>
      <w:szCs w:val="28"/>
      <w:lang w:eastAsia="en-GB"/>
    </w:rPr>
  </w:style>
  <w:style w:type="paragraph" w:customStyle="1" w:styleId="Basis">
    <w:name w:val="Basis"/>
    <w:basedOn w:val="Normal"/>
    <w:link w:val="BasisChar"/>
    <w:qFormat/>
    <w:pPr>
      <w:ind w:left="720"/>
    </w:pPr>
    <w:rPr>
      <w:rFonts w:ascii="Verdana" w:hAnsi="Verdana"/>
      <w:sz w:val="20"/>
      <w:lang w:val="en-US"/>
    </w:rPr>
  </w:style>
  <w:style w:type="character" w:customStyle="1" w:styleId="BasisChar">
    <w:name w:val="Basis Char"/>
    <w:link w:val="Basis"/>
    <w:rPr>
      <w:rFonts w:ascii="Verdana" w:eastAsia="Times New Roman" w:hAnsi="Verdana" w:cs="Times New Roman"/>
      <w:sz w:val="20"/>
      <w:lang w:val="en-US" w:eastAsia="en-GB"/>
    </w:rPr>
  </w:style>
  <w:style w:type="paragraph" w:customStyle="1" w:styleId="Title1">
    <w:name w:val="Title1"/>
    <w:basedOn w:val="Normal"/>
    <w:link w:val="TITLEChar0"/>
    <w:qFormat/>
    <w:pPr>
      <w:numPr>
        <w:numId w:val="29"/>
      </w:numPr>
      <w:jc w:val="left"/>
    </w:pPr>
    <w:rPr>
      <w:caps/>
      <w:color w:val="4F81BD"/>
      <w:szCs w:val="24"/>
    </w:rPr>
  </w:style>
  <w:style w:type="character" w:customStyle="1" w:styleId="TITLEChar0">
    <w:name w:val="TITLE Char"/>
    <w:link w:val="Title1"/>
    <w:rPr>
      <w:rFonts w:ascii="Times New Roman" w:eastAsia="Times New Roman" w:hAnsi="Times New Roman" w:cs="Times New Roman"/>
      <w:caps/>
      <w:color w:val="4F81BD"/>
      <w:sz w:val="24"/>
      <w:szCs w:val="24"/>
      <w:lang w:eastAsia="en-GB"/>
    </w:rPr>
  </w:style>
  <w:style w:type="table" w:customStyle="1" w:styleId="Style11">
    <w:name w:val="Style11"/>
    <w:basedOn w:val="TableNormal"/>
    <w:pPr>
      <w:spacing w:after="0" w:line="240" w:lineRule="auto"/>
    </w:pPr>
    <w:rPr>
      <w:rFonts w:ascii="Times New Roman" w:eastAsia="Times New Roman" w:hAnsi="Times New Roman" w:cs="Times New Roman"/>
      <w:sz w:val="20"/>
      <w:szCs w:val="20"/>
      <w:lang w:eastAsia="en-GB"/>
    </w:rPr>
    <w:tblPr/>
  </w:style>
  <w:style w:type="table" w:customStyle="1" w:styleId="Style12">
    <w:name w:val="Style12"/>
    <w:basedOn w:val="TableNormal"/>
    <w:pPr>
      <w:spacing w:after="0" w:line="240" w:lineRule="auto"/>
    </w:pPr>
    <w:rPr>
      <w:rFonts w:ascii="Times New Roman" w:eastAsia="Times New Roman" w:hAnsi="Times New Roman" w:cs="Times New Roman"/>
      <w:sz w:val="20"/>
      <w:szCs w:val="20"/>
      <w:lang w:eastAsia="en-GB"/>
    </w:rPr>
    <w:tblPr/>
  </w:style>
  <w:style w:type="table" w:customStyle="1" w:styleId="Style13">
    <w:name w:val="Style13"/>
    <w:basedOn w:val="TableNormal"/>
    <w:pPr>
      <w:spacing w:after="0" w:line="240" w:lineRule="auto"/>
    </w:pPr>
    <w:rPr>
      <w:rFonts w:ascii="Times New Roman" w:eastAsia="Times New Roman" w:hAnsi="Times New Roman" w:cs="Times New Roman"/>
      <w:sz w:val="20"/>
      <w:szCs w:val="20"/>
      <w:lang w:eastAsia="en-GB"/>
    </w:rPr>
    <w:tblPr/>
  </w:style>
  <w:style w:type="paragraph" w:styleId="NormalWeb">
    <w:name w:val="Normal (Web)"/>
    <w:basedOn w:val="Normal"/>
    <w:uiPriority w:val="99"/>
    <w:unhideWhenUsed/>
    <w:rPr>
      <w:szCs w:val="24"/>
    </w:rPr>
  </w:style>
  <w:style w:type="character" w:customStyle="1" w:styleId="st">
    <w:name w:val="st"/>
    <w:basedOn w:val="DefaultParagraphFont"/>
  </w:style>
  <w:style w:type="character" w:styleId="Emphasis">
    <w:name w:val="Emphasis"/>
    <w:uiPriority w:val="20"/>
    <w:qFormat/>
    <w:rPr>
      <w:i/>
      <w:iCs/>
    </w:rPr>
  </w:style>
  <w:style w:type="character" w:customStyle="1" w:styleId="prdnormal">
    <w:name w:val="prdnormal"/>
    <w:basedOn w:val="DefaultParagraphFont"/>
  </w:style>
  <w:style w:type="character" w:customStyle="1" w:styleId="text">
    <w:name w:val="text"/>
    <w:basedOn w:val="DefaultParagraphFont"/>
  </w:style>
  <w:style w:type="paragraph" w:customStyle="1" w:styleId="Default">
    <w:name w:val="Default"/>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st1">
    <w:name w:val="st1"/>
    <w:basedOn w:val="DefaultParagraphFont"/>
  </w:style>
  <w:style w:type="paragraph" w:customStyle="1" w:styleId="Declassification">
    <w:name w:val="Declassification"/>
    <w:basedOn w:val="Normal"/>
    <w:next w:val="Normal"/>
    <w:pPr>
      <w:spacing w:after="0"/>
    </w:pPr>
    <w:rPr>
      <w:rFonts w:eastAsia="Calibri"/>
    </w:rPr>
  </w:style>
  <w:style w:type="paragraph" w:customStyle="1" w:styleId="HeaderLandscape">
    <w:name w:val="HeaderLandscape"/>
    <w:basedOn w:val="Normal"/>
    <w:pPr>
      <w:tabs>
        <w:tab w:val="center" w:pos="7285"/>
        <w:tab w:val="right" w:pos="14003"/>
      </w:tabs>
      <w:spacing w:after="120"/>
    </w:pPr>
    <w:rPr>
      <w:rFonts w:eastAsia="Calibri"/>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Calibri"/>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Calibri"/>
    </w:rPr>
  </w:style>
  <w:style w:type="character" w:customStyle="1" w:styleId="bluetext11">
    <w:name w:val="bluetext11"/>
    <w:basedOn w:val="DefaultParagraphFont"/>
  </w:style>
  <w:style w:type="paragraph" w:customStyle="1" w:styleId="astandard3520normal">
    <w:name w:val="a_standard__35__20_normal"/>
    <w:basedOn w:val="Normal"/>
    <w:pPr>
      <w:spacing w:after="120"/>
      <w:ind w:right="57"/>
    </w:pPr>
    <w:rPr>
      <w:szCs w:val="24"/>
    </w:rPr>
  </w:style>
  <w:style w:type="character" w:customStyle="1" w:styleId="BodyPlaceholderText">
    <w:name w:val="BodyPlaceholderText"/>
    <w:uiPriority w:val="1"/>
    <w:semiHidden/>
    <w:rPr>
      <w:color w:val="3366CC"/>
    </w:rPr>
  </w:style>
  <w:style w:type="character" w:styleId="PlaceholderText">
    <w:name w:val="Placeholder Text"/>
    <w:basedOn w:val="DefaultParagraphFont"/>
    <w:uiPriority w:val="99"/>
    <w:semiHidden/>
    <w:rPr>
      <w:color w:val="2B8F6C"/>
    </w:rPr>
  </w:style>
  <w:style w:type="character" w:customStyle="1" w:styleId="bold">
    <w:name w:val="bold"/>
  </w:style>
  <w:style w:type="paragraph" w:customStyle="1" w:styleId="c30dispositifalinea">
    <w:name w:val="c30dispositifalinea"/>
    <w:basedOn w:val="Normal"/>
    <w:pPr>
      <w:spacing w:before="100" w:beforeAutospacing="1" w:after="100" w:afterAutospacing="1"/>
      <w:jc w:val="left"/>
    </w:pPr>
    <w:rPr>
      <w:szCs w:val="24"/>
    </w:rPr>
  </w:style>
  <w:style w:type="paragraph" w:customStyle="1" w:styleId="c77signatures">
    <w:name w:val="c77signatures"/>
    <w:basedOn w:val="Normal"/>
    <w:pPr>
      <w:spacing w:before="100" w:beforeAutospacing="1" w:after="100" w:afterAutospacing="1"/>
      <w:jc w:val="left"/>
    </w:pPr>
    <w:rPr>
      <w:szCs w:val="24"/>
    </w:rPr>
  </w:style>
  <w:style w:type="paragraph" w:customStyle="1" w:styleId="ConfidentialUE">
    <w:name w:val="Confidential UE"/>
    <w:basedOn w:val="Normal"/>
    <w:pPr>
      <w:spacing w:after="0"/>
      <w:jc w:val="center"/>
    </w:pPr>
    <w:rPr>
      <w:b/>
      <w:caps/>
      <w:sz w:val="32"/>
      <w:szCs w:val="20"/>
      <w:bdr w:val="single" w:sz="18" w:space="0" w:color="auto"/>
      <w:lang w:val="fr-BE" w:eastAsia="fr-BE"/>
    </w:rPr>
  </w:style>
  <w:style w:type="paragraph" w:customStyle="1" w:styleId="Designator">
    <w:name w:val="Designator"/>
    <w:basedOn w:val="Normal"/>
    <w:pPr>
      <w:spacing w:after="0"/>
      <w:jc w:val="center"/>
    </w:pPr>
    <w:rPr>
      <w:b/>
      <w:caps/>
      <w:sz w:val="32"/>
      <w:szCs w:val="20"/>
      <w:lang w:val="fr-BE" w:eastAsia="fr-BE"/>
    </w:rPr>
  </w:style>
  <w:style w:type="paragraph" w:customStyle="1" w:styleId="FooterLine">
    <w:name w:val="FooterLine"/>
    <w:basedOn w:val="Footer"/>
    <w:next w:val="Footer"/>
    <w:uiPriority w:val="99"/>
    <w:pPr>
      <w:tabs>
        <w:tab w:val="clear" w:pos="4535"/>
        <w:tab w:val="clear" w:pos="9071"/>
        <w:tab w:val="clear" w:pos="9921"/>
        <w:tab w:val="right" w:pos="8647"/>
      </w:tabs>
      <w:spacing w:before="120" w:line="264" w:lineRule="auto"/>
      <w:ind w:left="0" w:right="0"/>
      <w:jc w:val="both"/>
    </w:pPr>
    <w:rPr>
      <w:rFonts w:ascii="Arial" w:eastAsia="Times New Roman" w:hAnsi="Arial"/>
      <w:sz w:val="16"/>
      <w:lang w:val="fr-BE" w:eastAsia="fr-BE"/>
    </w:rPr>
  </w:style>
  <w:style w:type="character" w:customStyle="1" w:styleId="FootnoteFeference">
    <w:name w:val="Footnote Feference"/>
    <w:basedOn w:val="DefaultParagraphFont"/>
    <w:uiPriority w:val="99"/>
    <w:semiHidden/>
    <w:unhideWhenUsed/>
    <w:rPr>
      <w:vertAlign w:val="superscript"/>
    </w:rPr>
  </w:style>
  <w:style w:type="paragraph" w:customStyle="1" w:styleId="HistoryTable">
    <w:name w:val="HistoryTable"/>
    <w:basedOn w:val="Normal"/>
    <w:pPr>
      <w:spacing w:before="60" w:after="60"/>
      <w:jc w:val="left"/>
    </w:pPr>
    <w:rPr>
      <w:sz w:val="20"/>
      <w:lang w:val="fr-BE" w:eastAsia="fr-BE"/>
    </w:rPr>
  </w:style>
  <w:style w:type="paragraph" w:customStyle="1" w:styleId="HistTableHeading">
    <w:name w:val="HistTableHeading"/>
    <w:basedOn w:val="Normal"/>
    <w:next w:val="Normal"/>
    <w:pPr>
      <w:spacing w:before="240"/>
      <w:contextualSpacing/>
      <w:jc w:val="center"/>
    </w:pPr>
    <w:rPr>
      <w:rFonts w:ascii="Times New Roman Bold" w:hAnsi="Times New Roman Bold"/>
      <w:b/>
      <w:caps/>
      <w:lang w:val="fr-BE" w:eastAsia="fr-BE"/>
    </w:rPr>
  </w:style>
  <w:style w:type="paragraph" w:customStyle="1" w:styleId="LegalNumPar">
    <w:name w:val="LegalNumPar"/>
    <w:basedOn w:val="Normal"/>
    <w:qFormat/>
    <w:pPr>
      <w:numPr>
        <w:numId w:val="156"/>
      </w:numPr>
      <w:spacing w:line="360" w:lineRule="auto"/>
      <w:jc w:val="left"/>
    </w:pPr>
    <w:rPr>
      <w:rFonts w:eastAsiaTheme="minorHAnsi" w:cstheme="minorBidi"/>
      <w:lang w:val="fr-BE" w:eastAsia="fr-BE"/>
    </w:rPr>
  </w:style>
  <w:style w:type="paragraph" w:customStyle="1" w:styleId="LegalNumPar2">
    <w:name w:val="LegalNumPar2"/>
    <w:basedOn w:val="Normal"/>
    <w:pPr>
      <w:numPr>
        <w:ilvl w:val="1"/>
        <w:numId w:val="156"/>
      </w:numPr>
      <w:spacing w:line="360" w:lineRule="auto"/>
      <w:jc w:val="left"/>
    </w:pPr>
    <w:rPr>
      <w:rFonts w:eastAsiaTheme="minorHAnsi" w:cstheme="minorBidi"/>
      <w:lang w:val="fr-BE" w:eastAsia="fr-BE"/>
    </w:rPr>
  </w:style>
  <w:style w:type="paragraph" w:customStyle="1" w:styleId="LegalNumPar3">
    <w:name w:val="LegalNumPar3"/>
    <w:basedOn w:val="Normal"/>
    <w:pPr>
      <w:numPr>
        <w:ilvl w:val="2"/>
        <w:numId w:val="156"/>
      </w:numPr>
      <w:tabs>
        <w:tab w:val="clear" w:pos="1429"/>
      </w:tabs>
      <w:spacing w:line="360" w:lineRule="auto"/>
      <w:jc w:val="left"/>
    </w:pPr>
    <w:rPr>
      <w:rFonts w:eastAsiaTheme="minorHAnsi" w:cstheme="minorBidi"/>
      <w:lang w:val="fr-BE" w:eastAsia="fr-BE"/>
    </w:rPr>
  </w:style>
  <w:style w:type="paragraph" w:customStyle="1" w:styleId="Marking">
    <w:name w:val="Marking"/>
    <w:basedOn w:val="Normal"/>
    <w:pPr>
      <w:spacing w:line="276" w:lineRule="auto"/>
      <w:ind w:left="5115"/>
      <w:contextualSpacing/>
      <w:jc w:val="left"/>
    </w:pPr>
    <w:rPr>
      <w:rFonts w:eastAsia="Calibri"/>
      <w:i/>
      <w:sz w:val="32"/>
      <w:lang w:val="fr-BE" w:eastAsia="fr-BE"/>
    </w:rPr>
  </w:style>
  <w:style w:type="paragraph" w:customStyle="1" w:styleId="Releasable">
    <w:name w:val="Releasable"/>
    <w:basedOn w:val="Normal"/>
    <w:pPr>
      <w:spacing w:after="0"/>
      <w:jc w:val="center"/>
    </w:pPr>
    <w:rPr>
      <w:b/>
      <w:caps/>
      <w:sz w:val="32"/>
      <w:szCs w:val="20"/>
      <w:lang w:val="fr-BE" w:eastAsia="fr-BE"/>
    </w:rPr>
  </w:style>
  <w:style w:type="paragraph" w:customStyle="1" w:styleId="RUE">
    <w:name w:val="RUE"/>
    <w:basedOn w:val="Normal"/>
    <w:pPr>
      <w:spacing w:after="0"/>
      <w:jc w:val="center"/>
    </w:pPr>
    <w:rPr>
      <w:b/>
      <w:caps/>
      <w:sz w:val="32"/>
      <w:szCs w:val="20"/>
      <w:bdr w:val="single" w:sz="18" w:space="0" w:color="auto"/>
      <w:lang w:val="fr-BE" w:eastAsia="fr-BE"/>
    </w:rPr>
  </w:style>
  <w:style w:type="paragraph" w:customStyle="1" w:styleId="SecretUE">
    <w:name w:val="Secret UE"/>
    <w:basedOn w:val="Normal"/>
    <w:pPr>
      <w:spacing w:after="0"/>
      <w:jc w:val="center"/>
    </w:pPr>
    <w:rPr>
      <w:b/>
      <w:caps/>
      <w:color w:val="FF0000"/>
      <w:sz w:val="32"/>
      <w:szCs w:val="20"/>
      <w:bdr w:val="single" w:sz="18" w:space="0" w:color="FF0000"/>
      <w:lang w:val="fr-BE" w:eastAsia="fr-BE"/>
    </w:rPr>
  </w:style>
  <w:style w:type="paragraph" w:customStyle="1" w:styleId="SignatureL">
    <w:name w:val="SignatureL"/>
    <w:basedOn w:val="Normal"/>
    <w:next w:val="Normal"/>
    <w:uiPriority w:val="99"/>
    <w:pPr>
      <w:tabs>
        <w:tab w:val="left" w:pos="5103"/>
      </w:tabs>
      <w:spacing w:before="1200" w:after="0"/>
      <w:jc w:val="left"/>
    </w:pPr>
    <w:rPr>
      <w:szCs w:val="20"/>
      <w:lang w:val="fr-BE" w:eastAsia="fr-BE"/>
    </w:rPr>
  </w:style>
  <w:style w:type="table" w:customStyle="1" w:styleId="TableHistory">
    <w:name w:val="Table History"/>
    <w:basedOn w:val="TableNormal"/>
    <w:uiPriority w:val="99"/>
    <w:pPr>
      <w:spacing w:before="60" w:after="60" w:line="264" w:lineRule="auto"/>
    </w:pPr>
    <w:rPr>
      <w:rFonts w:ascii="Times New Roman" w:eastAsia="Times New Roman" w:hAnsi="Times New Roman" w:cs="Times New Roman"/>
      <w:lang w:val="fr-BE" w:eastAsia="fr-BE"/>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pPr>
      <w:spacing w:after="0" w:line="240" w:lineRule="auto"/>
    </w:pPr>
    <w:rPr>
      <w:rFonts w:ascii="Times New Roman" w:eastAsia="Times New Roman" w:hAnsi="Times New Roman" w:cs="Times New Roman"/>
      <w:sz w:val="20"/>
      <w:szCs w:val="20"/>
      <w:lang w:val="fr-BE" w:eastAsia="fr-BE"/>
    </w:rPr>
    <w:tblPr>
      <w:tblCellMar>
        <w:left w:w="0" w:type="dxa"/>
        <w:bottom w:w="340" w:type="dxa"/>
        <w:right w:w="0" w:type="dxa"/>
      </w:tblCellMar>
    </w:tblPr>
  </w:style>
  <w:style w:type="paragraph" w:customStyle="1" w:styleId="TrsSecretUE">
    <w:name w:val="Très Secret UE"/>
    <w:basedOn w:val="Normal"/>
    <w:pPr>
      <w:spacing w:after="0"/>
      <w:jc w:val="center"/>
    </w:pPr>
    <w:rPr>
      <w:b/>
      <w:caps/>
      <w:color w:val="FF0000"/>
      <w:sz w:val="32"/>
      <w:szCs w:val="20"/>
      <w:bdr w:val="single" w:sz="18" w:space="0" w:color="FF0000"/>
      <w:lang w:val="fr-BE" w:eastAsia="fr-BE"/>
    </w:rPr>
  </w:style>
  <w:style w:type="paragraph" w:customStyle="1" w:styleId="ZCom">
    <w:name w:val="Z_Com"/>
    <w:basedOn w:val="Normal"/>
    <w:next w:val="Normal"/>
    <w:uiPriority w:val="99"/>
    <w:semiHidden/>
    <w:pPr>
      <w:widowControl w:val="0"/>
      <w:autoSpaceDE w:val="0"/>
      <w:autoSpaceDN w:val="0"/>
      <w:spacing w:before="90" w:after="0"/>
      <w:ind w:right="85"/>
    </w:pPr>
    <w:rPr>
      <w:rFonts w:ascii="Arial" w:eastAsiaTheme="minorEastAsia" w:hAnsi="Arial" w:cs="Arial"/>
      <w:szCs w:val="24"/>
      <w:lang w:val="fr-BE" w:eastAsia="fr-BE"/>
    </w:rPr>
  </w:style>
  <w:style w:type="paragraph" w:customStyle="1" w:styleId="ZDGName">
    <w:name w:val="Z_DGName"/>
    <w:basedOn w:val="Normal"/>
    <w:uiPriority w:val="99"/>
    <w:semiHidden/>
    <w:pPr>
      <w:widowControl w:val="0"/>
      <w:autoSpaceDE w:val="0"/>
      <w:autoSpaceDN w:val="0"/>
      <w:spacing w:after="0"/>
      <w:ind w:right="85"/>
      <w:jc w:val="left"/>
    </w:pPr>
    <w:rPr>
      <w:rFonts w:ascii="Arial" w:eastAsiaTheme="minorEastAsia" w:hAnsi="Arial" w:cs="Arial"/>
      <w:sz w:val="16"/>
      <w:szCs w:val="16"/>
      <w:lang w:val="fr-BE" w:eastAsia="fr-BE"/>
    </w:rPr>
  </w:style>
  <w:style w:type="paragraph" w:customStyle="1" w:styleId="ZFlag">
    <w:name w:val="Z_Flag"/>
    <w:basedOn w:val="Normal"/>
    <w:next w:val="Normal"/>
    <w:uiPriority w:val="99"/>
    <w:semiHidden/>
    <w:pPr>
      <w:widowControl w:val="0"/>
      <w:autoSpaceDE w:val="0"/>
      <w:autoSpaceDN w:val="0"/>
      <w:spacing w:after="0"/>
      <w:ind w:right="85"/>
    </w:pPr>
    <w:rPr>
      <w:rFonts w:ascii="Arial" w:eastAsiaTheme="minorEastAsia" w:hAnsi="Arial" w:cs="Arial"/>
      <w:szCs w:val="24"/>
      <w:lang w:val="fr-BE"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54.xml"/><Relationship Id="rId21" Type="http://schemas.openxmlformats.org/officeDocument/2006/relationships/chart" Target="charts/chart1.xml"/><Relationship Id="rId42" Type="http://schemas.openxmlformats.org/officeDocument/2006/relationships/footer" Target="footer10.xml"/><Relationship Id="rId63" Type="http://schemas.openxmlformats.org/officeDocument/2006/relationships/chart" Target="charts/chart25.xml"/><Relationship Id="rId84" Type="http://schemas.openxmlformats.org/officeDocument/2006/relationships/chart" Target="charts/chart39.xml"/><Relationship Id="rId138" Type="http://schemas.openxmlformats.org/officeDocument/2006/relationships/chart" Target="charts/chart63.xml"/><Relationship Id="rId159" Type="http://schemas.openxmlformats.org/officeDocument/2006/relationships/footer" Target="footer37.xml"/><Relationship Id="rId170" Type="http://schemas.openxmlformats.org/officeDocument/2006/relationships/chart" Target="charts/chart82.xml"/><Relationship Id="rId191" Type="http://schemas.openxmlformats.org/officeDocument/2006/relationships/footer" Target="footer44.xml"/><Relationship Id="rId205" Type="http://schemas.openxmlformats.org/officeDocument/2006/relationships/footer" Target="footer51.xml"/><Relationship Id="rId16" Type="http://schemas.openxmlformats.org/officeDocument/2006/relationships/header" Target="header5.xml"/><Relationship Id="rId107" Type="http://schemas.openxmlformats.org/officeDocument/2006/relationships/chart" Target="charts/chart50.xml"/><Relationship Id="rId11" Type="http://schemas.openxmlformats.org/officeDocument/2006/relationships/footer" Target="footer1.xml"/><Relationship Id="rId32" Type="http://schemas.openxmlformats.org/officeDocument/2006/relationships/chart" Target="charts/chart6.xml"/><Relationship Id="rId37" Type="http://schemas.openxmlformats.org/officeDocument/2006/relationships/chart" Target="charts/chart11.xml"/><Relationship Id="rId53" Type="http://schemas.openxmlformats.org/officeDocument/2006/relationships/header" Target="header13.xml"/><Relationship Id="rId58" Type="http://schemas.openxmlformats.org/officeDocument/2006/relationships/footer" Target="footer15.xml"/><Relationship Id="rId74" Type="http://schemas.openxmlformats.org/officeDocument/2006/relationships/chart" Target="charts/chart30.xml"/><Relationship Id="rId79" Type="http://schemas.openxmlformats.org/officeDocument/2006/relationships/hyperlink" Target="http://ec.europa.eu/environment/air/quality/legislation/existing_leg.htm" TargetMode="External"/><Relationship Id="rId102" Type="http://schemas.openxmlformats.org/officeDocument/2006/relationships/chart" Target="charts/chart45.xml"/><Relationship Id="rId123" Type="http://schemas.openxmlformats.org/officeDocument/2006/relationships/footer" Target="footer30.xml"/><Relationship Id="rId128" Type="http://schemas.openxmlformats.org/officeDocument/2006/relationships/chart" Target="charts/chart59.xml"/><Relationship Id="rId144" Type="http://schemas.openxmlformats.org/officeDocument/2006/relationships/footer" Target="footer34.xml"/><Relationship Id="rId149" Type="http://schemas.openxmlformats.org/officeDocument/2006/relationships/chart" Target="charts/chart67.xml"/><Relationship Id="rId5" Type="http://schemas.openxmlformats.org/officeDocument/2006/relationships/webSettings" Target="webSettings.xml"/><Relationship Id="rId90" Type="http://schemas.openxmlformats.org/officeDocument/2006/relationships/footer" Target="footer21.xml"/><Relationship Id="rId95" Type="http://schemas.openxmlformats.org/officeDocument/2006/relationships/header" Target="header22.xml"/><Relationship Id="rId160" Type="http://schemas.openxmlformats.org/officeDocument/2006/relationships/footer" Target="footer38.xml"/><Relationship Id="rId165" Type="http://schemas.openxmlformats.org/officeDocument/2006/relationships/chart" Target="charts/chart77.xml"/><Relationship Id="rId181" Type="http://schemas.openxmlformats.org/officeDocument/2006/relationships/chart" Target="charts/chart87.xml"/><Relationship Id="rId186" Type="http://schemas.openxmlformats.org/officeDocument/2006/relationships/chart" Target="charts/chart92.xml"/><Relationship Id="rId22" Type="http://schemas.openxmlformats.org/officeDocument/2006/relationships/chart" Target="charts/chart2.xml"/><Relationship Id="rId27" Type="http://schemas.openxmlformats.org/officeDocument/2006/relationships/footer" Target="footer7.xml"/><Relationship Id="rId43" Type="http://schemas.openxmlformats.org/officeDocument/2006/relationships/footer" Target="footer11.xml"/><Relationship Id="rId48" Type="http://schemas.openxmlformats.org/officeDocument/2006/relationships/chart" Target="charts/chart16.xml"/><Relationship Id="rId64" Type="http://schemas.openxmlformats.org/officeDocument/2006/relationships/chart" Target="charts/chart26.xml"/><Relationship Id="rId69" Type="http://schemas.openxmlformats.org/officeDocument/2006/relationships/header" Target="header17.xml"/><Relationship Id="rId113" Type="http://schemas.openxmlformats.org/officeDocument/2006/relationships/footer" Target="footer27.xml"/><Relationship Id="rId118" Type="http://schemas.openxmlformats.org/officeDocument/2006/relationships/header" Target="header28.xml"/><Relationship Id="rId134" Type="http://schemas.openxmlformats.org/officeDocument/2006/relationships/footer" Target="footer31.xml"/><Relationship Id="rId139" Type="http://schemas.openxmlformats.org/officeDocument/2006/relationships/chart" Target="charts/chart64.xml"/><Relationship Id="rId80" Type="http://schemas.openxmlformats.org/officeDocument/2006/relationships/chart" Target="charts/chart35.xml"/><Relationship Id="rId85" Type="http://schemas.openxmlformats.org/officeDocument/2006/relationships/header" Target="header19.xml"/><Relationship Id="rId150" Type="http://schemas.openxmlformats.org/officeDocument/2006/relationships/chart" Target="charts/chart68.xml"/><Relationship Id="rId155" Type="http://schemas.openxmlformats.org/officeDocument/2006/relationships/chart" Target="charts/chart73.xml"/><Relationship Id="rId171" Type="http://schemas.openxmlformats.org/officeDocument/2006/relationships/chart" Target="charts/chart83.xml"/><Relationship Id="rId176" Type="http://schemas.openxmlformats.org/officeDocument/2006/relationships/footer" Target="footer41.xml"/><Relationship Id="rId192" Type="http://schemas.openxmlformats.org/officeDocument/2006/relationships/header" Target="header45.xml"/><Relationship Id="rId197" Type="http://schemas.openxmlformats.org/officeDocument/2006/relationships/footer" Target="footer47.xml"/><Relationship Id="rId206" Type="http://schemas.openxmlformats.org/officeDocument/2006/relationships/fontTable" Target="fontTable.xml"/><Relationship Id="rId201" Type="http://schemas.openxmlformats.org/officeDocument/2006/relationships/header" Target="header50.xm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chart" Target="charts/chart7.xml"/><Relationship Id="rId38" Type="http://schemas.openxmlformats.org/officeDocument/2006/relationships/chart" Target="charts/chart12.xml"/><Relationship Id="rId59" Type="http://schemas.openxmlformats.org/officeDocument/2006/relationships/chart" Target="charts/chart21.xml"/><Relationship Id="rId103" Type="http://schemas.openxmlformats.org/officeDocument/2006/relationships/chart" Target="charts/chart46.xml"/><Relationship Id="rId108" Type="http://schemas.openxmlformats.org/officeDocument/2006/relationships/header" Target="header25.xml"/><Relationship Id="rId124" Type="http://schemas.openxmlformats.org/officeDocument/2006/relationships/chart" Target="charts/chart55.xml"/><Relationship Id="rId129" Type="http://schemas.openxmlformats.org/officeDocument/2006/relationships/chart" Target="charts/chart60.xml"/><Relationship Id="rId54" Type="http://schemas.openxmlformats.org/officeDocument/2006/relationships/header" Target="header14.xml"/><Relationship Id="rId70" Type="http://schemas.openxmlformats.org/officeDocument/2006/relationships/footer" Target="footer16.xml"/><Relationship Id="rId75" Type="http://schemas.openxmlformats.org/officeDocument/2006/relationships/chart" Target="charts/chart31.xml"/><Relationship Id="rId91" Type="http://schemas.openxmlformats.org/officeDocument/2006/relationships/chart" Target="charts/chart40.xml"/><Relationship Id="rId96" Type="http://schemas.openxmlformats.org/officeDocument/2006/relationships/header" Target="header23.xml"/><Relationship Id="rId140" Type="http://schemas.openxmlformats.org/officeDocument/2006/relationships/chart" Target="charts/chart65.xml"/><Relationship Id="rId145" Type="http://schemas.openxmlformats.org/officeDocument/2006/relationships/footer" Target="footer35.xml"/><Relationship Id="rId161" Type="http://schemas.openxmlformats.org/officeDocument/2006/relationships/header" Target="header39.xml"/><Relationship Id="rId166" Type="http://schemas.openxmlformats.org/officeDocument/2006/relationships/chart" Target="charts/chart78.xml"/><Relationship Id="rId182" Type="http://schemas.openxmlformats.org/officeDocument/2006/relationships/chart" Target="charts/chart88.xml"/><Relationship Id="rId187" Type="http://schemas.openxmlformats.org/officeDocument/2006/relationships/chart" Target="charts/chart93.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chart" Target="charts/chart3.xml"/><Relationship Id="rId28" Type="http://schemas.openxmlformats.org/officeDocument/2006/relationships/footer" Target="footer8.xml"/><Relationship Id="rId49" Type="http://schemas.openxmlformats.org/officeDocument/2006/relationships/chart" Target="charts/chart17.xml"/><Relationship Id="rId114" Type="http://schemas.openxmlformats.org/officeDocument/2006/relationships/chart" Target="charts/chart51.xml"/><Relationship Id="rId119" Type="http://schemas.openxmlformats.org/officeDocument/2006/relationships/header" Target="header29.xml"/><Relationship Id="rId44" Type="http://schemas.openxmlformats.org/officeDocument/2006/relationships/header" Target="header12.xml"/><Relationship Id="rId60" Type="http://schemas.openxmlformats.org/officeDocument/2006/relationships/chart" Target="charts/chart22.xml"/><Relationship Id="rId65" Type="http://schemas.openxmlformats.org/officeDocument/2006/relationships/chart" Target="charts/chart27.xml"/><Relationship Id="rId81" Type="http://schemas.openxmlformats.org/officeDocument/2006/relationships/chart" Target="charts/chart36.xml"/><Relationship Id="rId86" Type="http://schemas.openxmlformats.org/officeDocument/2006/relationships/header" Target="header20.xml"/><Relationship Id="rId130" Type="http://schemas.openxmlformats.org/officeDocument/2006/relationships/chart" Target="charts/chart61.xml"/><Relationship Id="rId135" Type="http://schemas.openxmlformats.org/officeDocument/2006/relationships/footer" Target="footer32.xml"/><Relationship Id="rId151" Type="http://schemas.openxmlformats.org/officeDocument/2006/relationships/chart" Target="charts/chart69.xml"/><Relationship Id="rId156" Type="http://schemas.openxmlformats.org/officeDocument/2006/relationships/chart" Target="charts/chart74.xml"/><Relationship Id="rId177" Type="http://schemas.openxmlformats.org/officeDocument/2006/relationships/header" Target="header42.xml"/><Relationship Id="rId198" Type="http://schemas.openxmlformats.org/officeDocument/2006/relationships/header" Target="header48.xml"/><Relationship Id="rId172" Type="http://schemas.openxmlformats.org/officeDocument/2006/relationships/chart" Target="charts/chart84.xml"/><Relationship Id="rId193" Type="http://schemas.openxmlformats.org/officeDocument/2006/relationships/footer" Target="footer45.xml"/><Relationship Id="rId202" Type="http://schemas.openxmlformats.org/officeDocument/2006/relationships/footer" Target="footer49.xml"/><Relationship Id="rId207" Type="http://schemas.openxmlformats.org/officeDocument/2006/relationships/theme" Target="theme/theme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chart" Target="charts/chart13.xml"/><Relationship Id="rId109" Type="http://schemas.openxmlformats.org/officeDocument/2006/relationships/header" Target="header26.xml"/><Relationship Id="rId34" Type="http://schemas.openxmlformats.org/officeDocument/2006/relationships/chart" Target="charts/chart8.xml"/><Relationship Id="rId50" Type="http://schemas.openxmlformats.org/officeDocument/2006/relationships/chart" Target="charts/chart18.xml"/><Relationship Id="rId55" Type="http://schemas.openxmlformats.org/officeDocument/2006/relationships/footer" Target="footer13.xml"/><Relationship Id="rId76" Type="http://schemas.openxmlformats.org/officeDocument/2006/relationships/chart" Target="charts/chart32.xml"/><Relationship Id="rId97" Type="http://schemas.openxmlformats.org/officeDocument/2006/relationships/footer" Target="footer22.xml"/><Relationship Id="rId104" Type="http://schemas.openxmlformats.org/officeDocument/2006/relationships/chart" Target="charts/chart47.xml"/><Relationship Id="rId120" Type="http://schemas.openxmlformats.org/officeDocument/2006/relationships/footer" Target="footer28.xml"/><Relationship Id="rId125" Type="http://schemas.openxmlformats.org/officeDocument/2006/relationships/chart" Target="charts/chart56.xml"/><Relationship Id="rId141" Type="http://schemas.openxmlformats.org/officeDocument/2006/relationships/hyperlink" Target="http://eur-lex.europa.eu/LexUriServ/LexUriServ.do?uri=OJ:L:2006:409:0011:0085:EN:PDF" TargetMode="External"/><Relationship Id="rId146" Type="http://schemas.openxmlformats.org/officeDocument/2006/relationships/header" Target="header36.xml"/><Relationship Id="rId167" Type="http://schemas.openxmlformats.org/officeDocument/2006/relationships/chart" Target="charts/chart79.xml"/><Relationship Id="rId188" Type="http://schemas.openxmlformats.org/officeDocument/2006/relationships/header" Target="header43.xml"/><Relationship Id="rId7" Type="http://schemas.openxmlformats.org/officeDocument/2006/relationships/endnotes" Target="endnotes.xml"/><Relationship Id="rId71" Type="http://schemas.openxmlformats.org/officeDocument/2006/relationships/footer" Target="footer17.xml"/><Relationship Id="rId92" Type="http://schemas.openxmlformats.org/officeDocument/2006/relationships/chart" Target="charts/chart41.xml"/><Relationship Id="rId162" Type="http://schemas.openxmlformats.org/officeDocument/2006/relationships/footer" Target="footer39.xml"/><Relationship Id="rId183" Type="http://schemas.openxmlformats.org/officeDocument/2006/relationships/chart" Target="charts/chart89.xml"/><Relationship Id="rId2" Type="http://schemas.openxmlformats.org/officeDocument/2006/relationships/styles" Target="styles.xml"/><Relationship Id="rId29" Type="http://schemas.openxmlformats.org/officeDocument/2006/relationships/header" Target="header9.xml"/><Relationship Id="rId24" Type="http://schemas.openxmlformats.org/officeDocument/2006/relationships/chart" Target="charts/chart4.xml"/><Relationship Id="rId40" Type="http://schemas.openxmlformats.org/officeDocument/2006/relationships/header" Target="header10.xml"/><Relationship Id="rId45" Type="http://schemas.openxmlformats.org/officeDocument/2006/relationships/footer" Target="footer12.xml"/><Relationship Id="rId66" Type="http://schemas.openxmlformats.org/officeDocument/2006/relationships/chart" Target="charts/chart28.xml"/><Relationship Id="rId87" Type="http://schemas.openxmlformats.org/officeDocument/2006/relationships/footer" Target="footer19.xml"/><Relationship Id="rId110" Type="http://schemas.openxmlformats.org/officeDocument/2006/relationships/footer" Target="footer25.xml"/><Relationship Id="rId115" Type="http://schemas.openxmlformats.org/officeDocument/2006/relationships/chart" Target="charts/chart52.xml"/><Relationship Id="rId131" Type="http://schemas.openxmlformats.org/officeDocument/2006/relationships/chart" Target="charts/chart62.xml"/><Relationship Id="rId136" Type="http://schemas.openxmlformats.org/officeDocument/2006/relationships/header" Target="header33.xml"/><Relationship Id="rId157" Type="http://schemas.openxmlformats.org/officeDocument/2006/relationships/header" Target="header37.xml"/><Relationship Id="rId178" Type="http://schemas.openxmlformats.org/officeDocument/2006/relationships/footer" Target="footer42.xml"/><Relationship Id="rId61" Type="http://schemas.openxmlformats.org/officeDocument/2006/relationships/chart" Target="charts/chart23.xml"/><Relationship Id="rId82" Type="http://schemas.openxmlformats.org/officeDocument/2006/relationships/chart" Target="charts/chart37.xml"/><Relationship Id="rId152" Type="http://schemas.openxmlformats.org/officeDocument/2006/relationships/chart" Target="charts/chart70.xml"/><Relationship Id="rId173" Type="http://schemas.openxmlformats.org/officeDocument/2006/relationships/header" Target="header40.xml"/><Relationship Id="rId194" Type="http://schemas.openxmlformats.org/officeDocument/2006/relationships/header" Target="header46.xml"/><Relationship Id="rId199" Type="http://schemas.openxmlformats.org/officeDocument/2006/relationships/footer" Target="footer48.xml"/><Relationship Id="rId203" Type="http://schemas.openxmlformats.org/officeDocument/2006/relationships/footer" Target="footer50.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footer" Target="footer9.xml"/><Relationship Id="rId35" Type="http://schemas.openxmlformats.org/officeDocument/2006/relationships/chart" Target="charts/chart9.xml"/><Relationship Id="rId56" Type="http://schemas.openxmlformats.org/officeDocument/2006/relationships/footer" Target="footer14.xml"/><Relationship Id="rId77" Type="http://schemas.openxmlformats.org/officeDocument/2006/relationships/chart" Target="charts/chart33.xml"/><Relationship Id="rId100" Type="http://schemas.openxmlformats.org/officeDocument/2006/relationships/footer" Target="footer24.xml"/><Relationship Id="rId105" Type="http://schemas.openxmlformats.org/officeDocument/2006/relationships/chart" Target="charts/chart48.xml"/><Relationship Id="rId126" Type="http://schemas.openxmlformats.org/officeDocument/2006/relationships/chart" Target="charts/chart57.xml"/><Relationship Id="rId147" Type="http://schemas.openxmlformats.org/officeDocument/2006/relationships/footer" Target="footer36.xml"/><Relationship Id="rId168" Type="http://schemas.openxmlformats.org/officeDocument/2006/relationships/chart" Target="charts/chart80.xml"/><Relationship Id="rId8" Type="http://schemas.openxmlformats.org/officeDocument/2006/relationships/image" Target="media/image1.emf"/><Relationship Id="rId51" Type="http://schemas.openxmlformats.org/officeDocument/2006/relationships/chart" Target="charts/chart19.xml"/><Relationship Id="rId72" Type="http://schemas.openxmlformats.org/officeDocument/2006/relationships/header" Target="header18.xml"/><Relationship Id="rId93" Type="http://schemas.openxmlformats.org/officeDocument/2006/relationships/chart" Target="charts/chart42.xml"/><Relationship Id="rId98" Type="http://schemas.openxmlformats.org/officeDocument/2006/relationships/footer" Target="footer23.xml"/><Relationship Id="rId121" Type="http://schemas.openxmlformats.org/officeDocument/2006/relationships/footer" Target="footer29.xml"/><Relationship Id="rId142" Type="http://schemas.openxmlformats.org/officeDocument/2006/relationships/header" Target="header34.xml"/><Relationship Id="rId163" Type="http://schemas.openxmlformats.org/officeDocument/2006/relationships/chart" Target="charts/chart75.xml"/><Relationship Id="rId184" Type="http://schemas.openxmlformats.org/officeDocument/2006/relationships/chart" Target="charts/chart90.xml"/><Relationship Id="rId189" Type="http://schemas.openxmlformats.org/officeDocument/2006/relationships/header" Target="header44.xml"/><Relationship Id="rId3" Type="http://schemas.microsoft.com/office/2007/relationships/stylesWithEffects" Target="stylesWithEffects.xml"/><Relationship Id="rId25" Type="http://schemas.openxmlformats.org/officeDocument/2006/relationships/header" Target="header7.xml"/><Relationship Id="rId46" Type="http://schemas.openxmlformats.org/officeDocument/2006/relationships/chart" Target="charts/chart14.xml"/><Relationship Id="rId67" Type="http://schemas.openxmlformats.org/officeDocument/2006/relationships/chart" Target="charts/chart29.xml"/><Relationship Id="rId116" Type="http://schemas.openxmlformats.org/officeDocument/2006/relationships/chart" Target="charts/chart53.xml"/><Relationship Id="rId137" Type="http://schemas.openxmlformats.org/officeDocument/2006/relationships/footer" Target="footer33.xml"/><Relationship Id="rId158" Type="http://schemas.openxmlformats.org/officeDocument/2006/relationships/header" Target="header38.xml"/><Relationship Id="rId20" Type="http://schemas.openxmlformats.org/officeDocument/2006/relationships/footer" Target="footer6.xml"/><Relationship Id="rId41" Type="http://schemas.openxmlformats.org/officeDocument/2006/relationships/header" Target="header11.xml"/><Relationship Id="rId62" Type="http://schemas.openxmlformats.org/officeDocument/2006/relationships/chart" Target="charts/chart24.xml"/><Relationship Id="rId83" Type="http://schemas.openxmlformats.org/officeDocument/2006/relationships/chart" Target="charts/chart38.xml"/><Relationship Id="rId88" Type="http://schemas.openxmlformats.org/officeDocument/2006/relationships/footer" Target="footer20.xml"/><Relationship Id="rId111" Type="http://schemas.openxmlformats.org/officeDocument/2006/relationships/footer" Target="footer26.xml"/><Relationship Id="rId132" Type="http://schemas.openxmlformats.org/officeDocument/2006/relationships/header" Target="header31.xml"/><Relationship Id="rId153" Type="http://schemas.openxmlformats.org/officeDocument/2006/relationships/chart" Target="charts/chart71.xml"/><Relationship Id="rId174" Type="http://schemas.openxmlformats.org/officeDocument/2006/relationships/header" Target="header41.xml"/><Relationship Id="rId179" Type="http://schemas.openxmlformats.org/officeDocument/2006/relationships/chart" Target="charts/chart85.xml"/><Relationship Id="rId195" Type="http://schemas.openxmlformats.org/officeDocument/2006/relationships/header" Target="header47.xml"/><Relationship Id="rId190" Type="http://schemas.openxmlformats.org/officeDocument/2006/relationships/footer" Target="footer43.xml"/><Relationship Id="rId204" Type="http://schemas.openxmlformats.org/officeDocument/2006/relationships/header" Target="header51.xml"/><Relationship Id="rId15" Type="http://schemas.openxmlformats.org/officeDocument/2006/relationships/header" Target="header4.xml"/><Relationship Id="rId36" Type="http://schemas.openxmlformats.org/officeDocument/2006/relationships/chart" Target="charts/chart10.xml"/><Relationship Id="rId57" Type="http://schemas.openxmlformats.org/officeDocument/2006/relationships/header" Target="header15.xml"/><Relationship Id="rId106" Type="http://schemas.openxmlformats.org/officeDocument/2006/relationships/chart" Target="charts/chart49.xml"/><Relationship Id="rId127" Type="http://schemas.openxmlformats.org/officeDocument/2006/relationships/chart" Target="charts/chart58.xml"/><Relationship Id="rId10" Type="http://schemas.openxmlformats.org/officeDocument/2006/relationships/header" Target="header2.xml"/><Relationship Id="rId31" Type="http://schemas.openxmlformats.org/officeDocument/2006/relationships/chart" Target="charts/chart5.xml"/><Relationship Id="rId52" Type="http://schemas.openxmlformats.org/officeDocument/2006/relationships/chart" Target="charts/chart20.xml"/><Relationship Id="rId73" Type="http://schemas.openxmlformats.org/officeDocument/2006/relationships/footer" Target="footer18.xml"/><Relationship Id="rId78" Type="http://schemas.openxmlformats.org/officeDocument/2006/relationships/chart" Target="charts/chart34.xml"/><Relationship Id="rId94" Type="http://schemas.openxmlformats.org/officeDocument/2006/relationships/chart" Target="charts/chart43.xml"/><Relationship Id="rId99" Type="http://schemas.openxmlformats.org/officeDocument/2006/relationships/header" Target="header24.xml"/><Relationship Id="rId101" Type="http://schemas.openxmlformats.org/officeDocument/2006/relationships/chart" Target="charts/chart44.xml"/><Relationship Id="rId122" Type="http://schemas.openxmlformats.org/officeDocument/2006/relationships/header" Target="header30.xml"/><Relationship Id="rId143" Type="http://schemas.openxmlformats.org/officeDocument/2006/relationships/header" Target="header35.xml"/><Relationship Id="rId148" Type="http://schemas.openxmlformats.org/officeDocument/2006/relationships/chart" Target="charts/chart66.xml"/><Relationship Id="rId164" Type="http://schemas.openxmlformats.org/officeDocument/2006/relationships/chart" Target="charts/chart76.xml"/><Relationship Id="rId169" Type="http://schemas.openxmlformats.org/officeDocument/2006/relationships/chart" Target="charts/chart81.xml"/><Relationship Id="rId185" Type="http://schemas.openxmlformats.org/officeDocument/2006/relationships/chart" Target="charts/chart91.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chart" Target="charts/chart86.xml"/><Relationship Id="rId26" Type="http://schemas.openxmlformats.org/officeDocument/2006/relationships/header" Target="header8.xml"/><Relationship Id="rId47" Type="http://schemas.openxmlformats.org/officeDocument/2006/relationships/chart" Target="charts/chart15.xml"/><Relationship Id="rId68" Type="http://schemas.openxmlformats.org/officeDocument/2006/relationships/header" Target="header16.xml"/><Relationship Id="rId89" Type="http://schemas.openxmlformats.org/officeDocument/2006/relationships/header" Target="header21.xml"/><Relationship Id="rId112" Type="http://schemas.openxmlformats.org/officeDocument/2006/relationships/header" Target="header27.xml"/><Relationship Id="rId133" Type="http://schemas.openxmlformats.org/officeDocument/2006/relationships/header" Target="header32.xml"/><Relationship Id="rId154" Type="http://schemas.openxmlformats.org/officeDocument/2006/relationships/chart" Target="charts/chart72.xml"/><Relationship Id="rId175" Type="http://schemas.openxmlformats.org/officeDocument/2006/relationships/footer" Target="footer40.xml"/><Relationship Id="rId196" Type="http://schemas.openxmlformats.org/officeDocument/2006/relationships/footer" Target="footer46.xml"/><Relationship Id="rId200" Type="http://schemas.openxmlformats.org/officeDocument/2006/relationships/header" Target="header49.xml"/></Relationships>
</file>

<file path=word/_rels/footnotes.xml.rels><?xml version="1.0" encoding="UTF-8" standalone="yes"?>
<Relationships xmlns="http://schemas.openxmlformats.org/package/2006/relationships"><Relationship Id="rId117" Type="http://schemas.openxmlformats.org/officeDocument/2006/relationships/hyperlink" Target="http://europa.eu/rapid/press-release_MEMO-17-3494_en.htm" TargetMode="External"/><Relationship Id="rId299" Type="http://schemas.openxmlformats.org/officeDocument/2006/relationships/hyperlink" Target="https://eur-lex.europa.eu/legal-content/EN/TXT/?qid=1521801252925&amp;uri=CELEX:32006L0123" TargetMode="External"/><Relationship Id="rId21" Type="http://schemas.openxmlformats.org/officeDocument/2006/relationships/hyperlink" Target="http://eur-lex.europa.eu/legal-content/EN/TXT/?qid=1521638028644&amp;uri=CELEX:32007L0065" TargetMode="External"/><Relationship Id="rId63" Type="http://schemas.openxmlformats.org/officeDocument/2006/relationships/hyperlink" Target="https://eur-lex.europa.eu/legal-content/EN/TXT/?uri=celex%3A31998L0024" TargetMode="External"/><Relationship Id="rId159" Type="http://schemas.openxmlformats.org/officeDocument/2006/relationships/hyperlink" Target="http://europa.eu/rapid/press-release_IP-17-1948_en.htm" TargetMode="External"/><Relationship Id="rId324" Type="http://schemas.openxmlformats.org/officeDocument/2006/relationships/hyperlink" Target="http://curia.europa.eu/juris/liste.jsf?language=en&amp;jur=C,T,F&amp;num=C-646/15&amp;td=ALL" TargetMode="External"/><Relationship Id="rId366" Type="http://schemas.openxmlformats.org/officeDocument/2006/relationships/hyperlink" Target="https://eur-lex.europa.eu/legal-content/EN/TXT/?qid=1521802144039&amp;uri=CELEX:32004L0038" TargetMode="External"/><Relationship Id="rId531" Type="http://schemas.openxmlformats.org/officeDocument/2006/relationships/hyperlink" Target="https://eur-lex.europa.eu/legal-content/EN/TXT/?qid=1521714562435&amp;uri=CELEX:32014L0094" TargetMode="External"/><Relationship Id="rId573" Type="http://schemas.openxmlformats.org/officeDocument/2006/relationships/hyperlink" Target="http://curia.europa.eu/juris/liste.jsf?language=en&amp;jur=C,T,F&amp;num=C-682/15&amp;td=ALL" TargetMode="External"/><Relationship Id="rId170" Type="http://schemas.openxmlformats.org/officeDocument/2006/relationships/hyperlink" Target="http://europa.eu/rapid/press-release_IP-16-3128_en.htm" TargetMode="External"/><Relationship Id="rId226" Type="http://schemas.openxmlformats.org/officeDocument/2006/relationships/hyperlink" Target="https://eur-lex.europa.eu/legal-content/EN/TXT/?qid=1521731575817&amp;uri=CELEX:32004L0035" TargetMode="External"/><Relationship Id="rId433" Type="http://schemas.openxmlformats.org/officeDocument/2006/relationships/hyperlink" Target="http://curia.europa.eu/juris/liste.jsf?language=en&amp;jur=C,T,F&amp;num=C-647/15&amp;td=ALL" TargetMode="External"/><Relationship Id="rId268" Type="http://schemas.openxmlformats.org/officeDocument/2006/relationships/hyperlink" Target="http://eur-lex.europa.eu/legal-content/EN/TXT/?qid=1521726500980&amp;uri=CELEX:32013L0050" TargetMode="External"/><Relationship Id="rId475" Type="http://schemas.openxmlformats.org/officeDocument/2006/relationships/hyperlink" Target="https://eur-lex.europa.eu/legal-content/EN/TXT/?qid=1521710565101&amp;uri=CELEX:32012L0034" TargetMode="External"/><Relationship Id="rId32" Type="http://schemas.openxmlformats.org/officeDocument/2006/relationships/hyperlink" Target="http://eur-lex.europa.eu/legal-content/EN/TXT/?qid=1521638856688&amp;uri=CELEX:32014L0112" TargetMode="External"/><Relationship Id="rId74" Type="http://schemas.openxmlformats.org/officeDocument/2006/relationships/hyperlink" Target="http://europa.eu/rapid/press-release_MEMO-17-1045_en.htm" TargetMode="External"/><Relationship Id="rId128" Type="http://schemas.openxmlformats.org/officeDocument/2006/relationships/hyperlink" Target="https://eur-lex.europa.eu/legal-content/EN/TXT/?qid=1521726852746&amp;uri=CELEX:32000L0060" TargetMode="External"/><Relationship Id="rId335" Type="http://schemas.openxmlformats.org/officeDocument/2006/relationships/hyperlink" Target="https://eur-lex.europa.eu/legal-content/EN/TXT/?qid=1521803965299&amp;uri=CELEX:32014L0041" TargetMode="External"/><Relationship Id="rId377" Type="http://schemas.openxmlformats.org/officeDocument/2006/relationships/hyperlink" Target="https://eur-lex.europa.eu/LexUriServ/LexUriServ.do?uri=OJ:L:2012:142:0001:0010:en:PDF" TargetMode="External"/><Relationship Id="rId500" Type="http://schemas.openxmlformats.org/officeDocument/2006/relationships/hyperlink" Target="https://eur-lex.europa.eu/legal-content/EN/TXT/?qid=1521712626680&amp;uri=CELEX:32015L2087" TargetMode="External"/><Relationship Id="rId542" Type="http://schemas.openxmlformats.org/officeDocument/2006/relationships/hyperlink" Target="http://curia.europa.eu/juris/liste.jsf?language=en&amp;jur=C,T,F&amp;num=C-503/17&amp;td=ALL" TargetMode="External"/><Relationship Id="rId5" Type="http://schemas.openxmlformats.org/officeDocument/2006/relationships/hyperlink" Target="http://curia.europa.eu/juris/liste.jsf?pro=&amp;nat=or&amp;oqp=&amp;dates=&amp;lg=&amp;language=en&amp;jur=C%2CT%2CF&amp;cit=none%252CC%252CCJ%252CR%252C2008E%252C%252C%252C%252C%252C%252C%252C%252C%252C%252Ctrue%252Cfalse%252Cfalse&amp;num=C-393%252F16&amp;td=%3BALL&amp;pcs=Oor&amp;avg=&amp;page=1&amp;mat=or&amp;jge=&amp;for=&amp;cid=316764" TargetMode="External"/><Relationship Id="rId181" Type="http://schemas.openxmlformats.org/officeDocument/2006/relationships/hyperlink" Target="https://eur-lex.europa.eu/legal-content/EN/TXT/?qid=1521729214979&amp;uri=CELEX:32016L2284" TargetMode="External"/><Relationship Id="rId237" Type="http://schemas.openxmlformats.org/officeDocument/2006/relationships/hyperlink" Target="https://eur-lex.europa.eu/legal-content/EN/TXT/?qid=1521732003334&amp;uri=CELEX:31999L0031" TargetMode="External"/><Relationship Id="rId402" Type="http://schemas.openxmlformats.org/officeDocument/2006/relationships/hyperlink" Target="http://europa.eu/rapid/press-release_IP-17-5023_en.htm" TargetMode="External"/><Relationship Id="rId279" Type="http://schemas.openxmlformats.org/officeDocument/2006/relationships/hyperlink" Target="http://curia.europa.eu/juris/liste.jsf?pro=&amp;nat=or&amp;oqp=&amp;dates=&amp;lg=&amp;language=en&amp;jur=C%2CT%2CF&amp;cit=none%252CC%252CCJ%252CR%252C2008E%252C%252C%252C%252C%252C%252C%252C%252C%252C%252Ctrue%252Cfalse%252Cfalse&amp;num=C-284%252F16&amp;td=%3BALL&amp;pcs=Oor&amp;avg=&amp;page=1&amp;mat=or&amp;jge=&amp;for=&amp;cid=684119" TargetMode="External"/><Relationship Id="rId444" Type="http://schemas.openxmlformats.org/officeDocument/2006/relationships/hyperlink" Target="http://curia.europa.eu/juris/liste.jsf?language=en&amp;jur=C,T,F&amp;num=C-449/16&amp;td=ALL" TargetMode="External"/><Relationship Id="rId486" Type="http://schemas.openxmlformats.org/officeDocument/2006/relationships/hyperlink" Target="https://eur-lex.europa.eu/legal-content/EN/TXT/?qid=1521712009861&amp;uri=CELEX:32006L0126" TargetMode="External"/><Relationship Id="rId43" Type="http://schemas.openxmlformats.org/officeDocument/2006/relationships/hyperlink" Target="http://eur-lex.europa.eu/legal-content/EN/TXT/?qid=1521639223499&amp;uri=CELEX:31998L0059" TargetMode="External"/><Relationship Id="rId139" Type="http://schemas.openxmlformats.org/officeDocument/2006/relationships/hyperlink" Target="http://europa.eu/rapid/press-release_MEMO-17-1936_en.htm" TargetMode="External"/><Relationship Id="rId290" Type="http://schemas.openxmlformats.org/officeDocument/2006/relationships/hyperlink" Target="http://eur-lex.europa.eu/legal-content/EN/TXT/?qid=1521729847394&amp;uri=CELEX:32014L0040" TargetMode="External"/><Relationship Id="rId304" Type="http://schemas.openxmlformats.org/officeDocument/2006/relationships/hyperlink" Target="http://curia.europa.eu/juris/liste.jsf?language=en&amp;jur=C,T,F&amp;num=C-526/17&amp;td=ALL" TargetMode="External"/><Relationship Id="rId346" Type="http://schemas.openxmlformats.org/officeDocument/2006/relationships/hyperlink" Target="https://curia.europa.eu/jcms/upload/docs/application/pdf/2017-12/cp170137en.pdf" TargetMode="External"/><Relationship Id="rId388" Type="http://schemas.openxmlformats.org/officeDocument/2006/relationships/hyperlink" Target="https://eur-lex.europa.eu/legal-content/EN/TXT/?qid=1521541590690&amp;uri=CELEX:32014L0089" TargetMode="External"/><Relationship Id="rId511" Type="http://schemas.openxmlformats.org/officeDocument/2006/relationships/hyperlink" Target="https://eur-lex.europa.eu/legal-content/EN/TXT/?qid=1521714224485&amp;uri=CELEX:32011L0076" TargetMode="External"/><Relationship Id="rId553" Type="http://schemas.openxmlformats.org/officeDocument/2006/relationships/hyperlink" Target="http://europa.eu/rapid/press-release_MEMO-15-5356_en.htm" TargetMode="External"/><Relationship Id="rId85" Type="http://schemas.openxmlformats.org/officeDocument/2006/relationships/hyperlink" Target="http://curia.europa.eu/juris/liste.jsf?language=en&amp;jur=C,T,F&amp;num=C-226/16&amp;td=ALL" TargetMode="External"/><Relationship Id="rId150" Type="http://schemas.openxmlformats.org/officeDocument/2006/relationships/hyperlink" Target="http://curia.europa.eu/juris/liste.jsf?language=en&amp;jur=C,T,F&amp;num=C-420/17&amp;td=ALL" TargetMode="External"/><Relationship Id="rId192" Type="http://schemas.openxmlformats.org/officeDocument/2006/relationships/hyperlink" Target="https://eur-lex.europa.eu/legal-content/EN/TXT/?qid=1521730352744&amp;uri=CELEX:32012L0018" TargetMode="External"/><Relationship Id="rId206" Type="http://schemas.openxmlformats.org/officeDocument/2006/relationships/hyperlink" Target="http://curia.europa.eu/juris/liste.jsf?language=en&amp;jur=C,T,F&amp;num=C-441/17%20R&amp;td=ALL" TargetMode="External"/><Relationship Id="rId413" Type="http://schemas.openxmlformats.org/officeDocument/2006/relationships/hyperlink" Target="https://eur-lex.europa.eu/legal-content/EN/TXT/?uri=celex:32014L0066" TargetMode="External"/><Relationship Id="rId248" Type="http://schemas.openxmlformats.org/officeDocument/2006/relationships/hyperlink" Target="http://eur-lex.europa.eu/legal-content/EN/TXT/?qid=1521649066340&amp;uri=CELEX:32015L2392" TargetMode="External"/><Relationship Id="rId455" Type="http://schemas.openxmlformats.org/officeDocument/2006/relationships/hyperlink" Target="https://eur-lex.europa.eu/legal-content/EN/TXT/?qid=1521558799225&amp;uri=CELEX:32016L0801" TargetMode="External"/><Relationship Id="rId497" Type="http://schemas.openxmlformats.org/officeDocument/2006/relationships/hyperlink" Target="https://eur-lex.europa.eu/legal-content/EN/TXT/?qid=1521712941901&amp;uri=CELEX:32014L0047" TargetMode="External"/><Relationship Id="rId12" Type="http://schemas.openxmlformats.org/officeDocument/2006/relationships/hyperlink" Target="http://eur-lex.europa.eu/legal-content/EN/TXT/?qid=1521637078931&amp;uri=CELEX:32002L0021" TargetMode="External"/><Relationship Id="rId108" Type="http://schemas.openxmlformats.org/officeDocument/2006/relationships/hyperlink" Target="http://europa.eu/rapid/press-release_MEMO-17-1281_en.htm" TargetMode="External"/><Relationship Id="rId315" Type="http://schemas.openxmlformats.org/officeDocument/2006/relationships/hyperlink" Target="https://eur-lex.europa.eu/legal-content/EN/TXT/?qid=1521805118103&amp;uri=CELEX:32014L0023" TargetMode="External"/><Relationship Id="rId357" Type="http://schemas.openxmlformats.org/officeDocument/2006/relationships/hyperlink" Target="https://eur-lex.europa.eu/legal-content/EN/TXT/?qid=1521803835612&amp;uri=CELEX:32012R1215" TargetMode="External"/><Relationship Id="rId522" Type="http://schemas.openxmlformats.org/officeDocument/2006/relationships/hyperlink" Target="http://curia.europa.eu/juris/liste.jsf?language=en&amp;jur=C,T,F&amp;num=C-665/15&amp;td=ALL" TargetMode="External"/><Relationship Id="rId54" Type="http://schemas.openxmlformats.org/officeDocument/2006/relationships/hyperlink" Target="https://eur-lex.europa.eu/legal-content/EN/TXT/?qid=1521645202002&amp;uri=CELEX:32014L0054" TargetMode="External"/><Relationship Id="rId96" Type="http://schemas.openxmlformats.org/officeDocument/2006/relationships/hyperlink" Target="https://eur-lex.europa.eu/legal-content/EN/TXT/?qid=1521717808641&amp;uri=CELEX:32008L0050" TargetMode="External"/><Relationship Id="rId161" Type="http://schemas.openxmlformats.org/officeDocument/2006/relationships/hyperlink" Target="https://curia.europa.eu/jcms/upload/docs/application/pdf/2017-11/cp170122en.pdf" TargetMode="External"/><Relationship Id="rId217" Type="http://schemas.openxmlformats.org/officeDocument/2006/relationships/hyperlink" Target="http://curia.europa.eu/juris/liste.jsf?language=en&amp;jur=C,T,F&amp;num=C-535/15&amp;td=ALL" TargetMode="External"/><Relationship Id="rId399" Type="http://schemas.openxmlformats.org/officeDocument/2006/relationships/hyperlink" Target="http://eur-lex.europa.eu/legal-content/EN/ALL/?uri=CELEX:32002D0192" TargetMode="External"/><Relationship Id="rId564" Type="http://schemas.openxmlformats.org/officeDocument/2006/relationships/hyperlink" Target="https://eur-lex.europa.eu/legal-content/EN/TXT/?qid=1521718542957&amp;uri=CELEX:32011L0096" TargetMode="External"/><Relationship Id="rId259" Type="http://schemas.openxmlformats.org/officeDocument/2006/relationships/hyperlink" Target="http://eur-lex.europa.eu/legal-content/EN/TXT/?qid=1521726081155&amp;uri=CELEX:32014L0017" TargetMode="External"/><Relationship Id="rId424" Type="http://schemas.openxmlformats.org/officeDocument/2006/relationships/hyperlink" Target="https://eur-lex.europa.eu/legal-content/EN/TXT/?qid=1521545219979&amp;uri=CELEX:32014L0066" TargetMode="External"/><Relationship Id="rId466" Type="http://schemas.openxmlformats.org/officeDocument/2006/relationships/hyperlink" Target="http://curia.europa.eu/juris/liste.jsf?language=en&amp;jur=C,T,F&amp;num=C-623/17.&amp;td=ALL" TargetMode="External"/><Relationship Id="rId23" Type="http://schemas.openxmlformats.org/officeDocument/2006/relationships/hyperlink" Target="http://eur-lex.europa.eu/legal-content/EN/TXT/?qid=1521638179294&amp;uri=CELEX:32001L0029" TargetMode="External"/><Relationship Id="rId119" Type="http://schemas.openxmlformats.org/officeDocument/2006/relationships/hyperlink" Target="http://europa.eu/rapid/press-release_MEMO-17-1936_en.htm" TargetMode="External"/><Relationship Id="rId270" Type="http://schemas.openxmlformats.org/officeDocument/2006/relationships/hyperlink" Target="http://curia.europa.eu/juris/liste.jsf?language=en&amp;jur=C,T,F&amp;num=C-375/15&amp;td=ALL" TargetMode="External"/><Relationship Id="rId326" Type="http://schemas.openxmlformats.org/officeDocument/2006/relationships/hyperlink" Target="https://eur-lex.europa.eu/legal-content/EN/TXT/?qid=1521804797520&amp;uri=CELEX:32016L0943" TargetMode="External"/><Relationship Id="rId533" Type="http://schemas.openxmlformats.org/officeDocument/2006/relationships/hyperlink" Target="http://curia.europa.eu/juris/liste.jsf?language=en&amp;jur=C,T,F&amp;num=C-110/17&amp;td=ALL" TargetMode="External"/><Relationship Id="rId65" Type="http://schemas.openxmlformats.org/officeDocument/2006/relationships/hyperlink" Target="https://eur-lex.europa.eu/legal-content/EN/TXT/?uri=uriserv%3AOJ.L_.2014.219.01.0042.01.ENG" TargetMode="External"/><Relationship Id="rId130" Type="http://schemas.openxmlformats.org/officeDocument/2006/relationships/hyperlink" Target="http://europa.eu/rapid/press-release_MEMO-17-1045_en.htm" TargetMode="External"/><Relationship Id="rId368" Type="http://schemas.openxmlformats.org/officeDocument/2006/relationships/hyperlink" Target="https://curia.europa.eu/jcms/upload/docs/application/pdf/2017-11/cp170121en.pdf" TargetMode="External"/><Relationship Id="rId575" Type="http://schemas.openxmlformats.org/officeDocument/2006/relationships/hyperlink" Target="http://curia.europa.eu/juris/liste.jsf?language=en&amp;jur=C,T,F&amp;num=C-435/15&amp;td=ALL" TargetMode="External"/><Relationship Id="rId172" Type="http://schemas.openxmlformats.org/officeDocument/2006/relationships/hyperlink" Target="http://curia.europa.eu/juris/liste.jsf?language=en&amp;jur=C,T,F&amp;num=C-205/17&amp;td=ALL" TargetMode="External"/><Relationship Id="rId228" Type="http://schemas.openxmlformats.org/officeDocument/2006/relationships/hyperlink" Target="http://eur-lex.europa.eu/legal-content/EN/TXT/?qid=1521796251493&amp;uri=CELEX:32001L0042" TargetMode="External"/><Relationship Id="rId435" Type="http://schemas.openxmlformats.org/officeDocument/2006/relationships/hyperlink" Target="http://curia.europa.eu/juris/liste.jsf?language=en&amp;jur=C,T,F&amp;num=C-573/14&amp;td=ALL" TargetMode="External"/><Relationship Id="rId477" Type="http://schemas.openxmlformats.org/officeDocument/2006/relationships/hyperlink" Target="http://europa.eu/rapid/press-release_IP-17-1053_en.htm" TargetMode="External"/><Relationship Id="rId281" Type="http://schemas.openxmlformats.org/officeDocument/2006/relationships/hyperlink" Target="http://eur-lex.europa.eu/legal-content/EN/TXT/?qid=1521728859951&amp;uri=CELEX:32014L0097" TargetMode="External"/><Relationship Id="rId337" Type="http://schemas.openxmlformats.org/officeDocument/2006/relationships/hyperlink" Target="https://eur-lex.europa.eu/legal-content/EN/TXT/?qid=1521804106335&amp;uri=CELEX:32013L0048" TargetMode="External"/><Relationship Id="rId502" Type="http://schemas.openxmlformats.org/officeDocument/2006/relationships/hyperlink" Target="http://eur-lex.europa.eu/legal-content/EN/TXT/?qid=1490114319540&amp;uri=CELEX:32016L0882" TargetMode="External"/><Relationship Id="rId34" Type="http://schemas.openxmlformats.org/officeDocument/2006/relationships/hyperlink" Target="http://eur-lex.europa.eu/legal-content/EN/TXT/?qid=1521638895462&amp;uri=CELEX:32003L0088" TargetMode="External"/><Relationship Id="rId76" Type="http://schemas.openxmlformats.org/officeDocument/2006/relationships/hyperlink" Target="http://eur-lex.europa.eu/legal-content/EN/TXT/?qid=1490109787212&amp;uri=CELEX:32013L0030" TargetMode="External"/><Relationship Id="rId141" Type="http://schemas.openxmlformats.org/officeDocument/2006/relationships/hyperlink" Target="http://curia.europa.eu/juris/liste.jsf?language=en&amp;jur=C,T,F&amp;num=C-97/17&amp;td=ALL" TargetMode="External"/><Relationship Id="rId379" Type="http://schemas.openxmlformats.org/officeDocument/2006/relationships/hyperlink" Target="http://curia.europa.eu/juris/liste.jsf?language=en&amp;jur=C,T,F&amp;num=C-673/16&amp;td=ALL" TargetMode="External"/><Relationship Id="rId544" Type="http://schemas.openxmlformats.org/officeDocument/2006/relationships/hyperlink" Target="https://eur-lex.europa.eu/legal-content/EN/TXT/?qid=1521724172749&amp;uri=CELEX:32011L0016" TargetMode="External"/><Relationship Id="rId7" Type="http://schemas.openxmlformats.org/officeDocument/2006/relationships/hyperlink" Target="http://curia.europa.eu/juris/liste.jsf?pro=&amp;nat=or&amp;oqp=&amp;dates=&amp;lg=&amp;language=en&amp;jur=C%2CT%2CF&amp;cit=none%252CC%252CCJ%252CR%252C2008E%252C%252C%252C%252C%252C%252C%252C%252C%252C%252Ctrue%252Cfalse%252Cfalse&amp;num=C-671%252F15&amp;td=%3BALL&amp;pcs=Oor&amp;avg=&amp;page=1&amp;mat=or&amp;jge=&amp;for=&amp;cid=316764" TargetMode="External"/><Relationship Id="rId183" Type="http://schemas.openxmlformats.org/officeDocument/2006/relationships/hyperlink" Target="https://eur-lex.europa.eu/legal-content/EN/TXT/?qid=1521729923621&amp;uri=CELEX:31994L0062" TargetMode="External"/><Relationship Id="rId239" Type="http://schemas.openxmlformats.org/officeDocument/2006/relationships/hyperlink" Target="https://eur-lex.europa.eu/legal-content/EN/TXT/?qid=1521734200636&amp;uri=CELEX:31992L0043" TargetMode="External"/><Relationship Id="rId390" Type="http://schemas.openxmlformats.org/officeDocument/2006/relationships/hyperlink" Target="https://eur-lex.europa.eu/legal-content/EN/TXT/?qid=1521541720492&amp;uri=CELEX:32009R1224" TargetMode="External"/><Relationship Id="rId404" Type="http://schemas.openxmlformats.org/officeDocument/2006/relationships/hyperlink" Target="http://europa.eu/rapid/press-release_MEMO-17-3494_en.htm" TargetMode="External"/><Relationship Id="rId446" Type="http://schemas.openxmlformats.org/officeDocument/2006/relationships/hyperlink" Target="http://curia.europa.eu/juris/liste.jsf?language=en&amp;jur=C,T,F&amp;num=C-225/16&amp;td=ALL" TargetMode="External"/><Relationship Id="rId250" Type="http://schemas.openxmlformats.org/officeDocument/2006/relationships/hyperlink" Target="http://europa.eu/rapid/press-release_IP-17-1950_en.htm" TargetMode="External"/><Relationship Id="rId292" Type="http://schemas.openxmlformats.org/officeDocument/2006/relationships/hyperlink" Target="http://eur-lex.europa.eu/legal-content/EN/TXT/?qid=1521730228590&amp;uri=CELEX:32013L0055" TargetMode="External"/><Relationship Id="rId306" Type="http://schemas.openxmlformats.org/officeDocument/2006/relationships/hyperlink" Target="https://eur-lex.europa.eu/legal-content/EN/TXT/?qid=1521801252925&amp;uri=CELEX:32006L0123" TargetMode="External"/><Relationship Id="rId488" Type="http://schemas.openxmlformats.org/officeDocument/2006/relationships/hyperlink" Target="http://europa.eu/rapid/press-release_IP-17-241_en.htm" TargetMode="External"/><Relationship Id="rId45" Type="http://schemas.openxmlformats.org/officeDocument/2006/relationships/hyperlink" Target="http://curia.europa.eu/juris/liste.jsf?language=en&amp;jur=C,T,F&amp;num=C-429/16&amp;td=ALL" TargetMode="External"/><Relationship Id="rId87" Type="http://schemas.openxmlformats.org/officeDocument/2006/relationships/hyperlink" Target="http://curia.europa.eu/juris/liste.jsf?language=en&amp;jur=C,T,F&amp;num=C-549/15&amp;td=ALL" TargetMode="External"/><Relationship Id="rId110" Type="http://schemas.openxmlformats.org/officeDocument/2006/relationships/hyperlink" Target="http://europa.eu/rapid/press-release_MEMO-17-3494_en.htm" TargetMode="External"/><Relationship Id="rId348" Type="http://schemas.openxmlformats.org/officeDocument/2006/relationships/hyperlink" Target="http://curia.europa.eu/juris/liste.jsf?language=en&amp;jur=C,T,F&amp;num=C-568/15&amp;td=ALL" TargetMode="External"/><Relationship Id="rId513" Type="http://schemas.openxmlformats.org/officeDocument/2006/relationships/hyperlink" Target="https://eur-lex.europa.eu/legal-content/EN/TXT/?qid=1521713570449&amp;uri=CELEX:31996L0053" TargetMode="External"/><Relationship Id="rId555" Type="http://schemas.openxmlformats.org/officeDocument/2006/relationships/hyperlink" Target="http://europa.eu/rapid/press-release_MEMO-17-3494_en.htm" TargetMode="External"/><Relationship Id="rId152" Type="http://schemas.openxmlformats.org/officeDocument/2006/relationships/hyperlink" Target="http://europa.eu/rapid/press-release_MEX-17-4652_en.htm" TargetMode="External"/><Relationship Id="rId194" Type="http://schemas.openxmlformats.org/officeDocument/2006/relationships/hyperlink" Target="https://eur-lex.europa.eu/legal-content/EN/TXT/?qid=1521730534895&amp;uri=CELEX:32011L0092" TargetMode="External"/><Relationship Id="rId208" Type="http://schemas.openxmlformats.org/officeDocument/2006/relationships/hyperlink" Target="https://eur-lex.europa.eu/legal-content/EN/TXT/?qid=1521731253576&amp;uri=CELEX:31999L0031" TargetMode="External"/><Relationship Id="rId415" Type="http://schemas.openxmlformats.org/officeDocument/2006/relationships/hyperlink" Target="https://eur-lex.europa.eu/legal-content/EN/TXT/?qid=1521545149508&amp;uri=CELEX:32011L0098" TargetMode="External"/><Relationship Id="rId457" Type="http://schemas.openxmlformats.org/officeDocument/2006/relationships/hyperlink" Target="https://eur-lex.europa.eu/legal-content/EN/TXT/?qid=1521559335818&amp;uri=CELEX:32017L0541" TargetMode="External"/><Relationship Id="rId261" Type="http://schemas.openxmlformats.org/officeDocument/2006/relationships/hyperlink" Target="http://europa.eu/rapid/press-release_IP-17-1049_en.htm" TargetMode="External"/><Relationship Id="rId499" Type="http://schemas.openxmlformats.org/officeDocument/2006/relationships/hyperlink" Target="https://eur-lex.europa.eu/legal-content/EN/TXT/?qid=1521712739324&amp;uri=CELEX:32014L0094" TargetMode="External"/><Relationship Id="rId14" Type="http://schemas.openxmlformats.org/officeDocument/2006/relationships/hyperlink" Target="http://eur-lex.europa.eu/legal-content/EN/TXT/?qid=1521637021690&amp;uri=CELEX:31993L0083http://eur-lex.europa.eu/legal-content/EN/TXT/?qid=1521637021690&amp;uri=CELEX:31993L0083" TargetMode="External"/><Relationship Id="rId56" Type="http://schemas.openxmlformats.org/officeDocument/2006/relationships/hyperlink" Target="https://eur-lex.europa.eu/LexUriServ/LexUriServ.do?uri=OJ:L:2008:353:0001:1355:en:PDF" TargetMode="External"/><Relationship Id="rId317" Type="http://schemas.openxmlformats.org/officeDocument/2006/relationships/hyperlink" Target="http://curia.europa.eu/juris/liste.jsf?language=en&amp;jur=C,T,F&amp;num=C-339/15&amp;td=ALL" TargetMode="External"/><Relationship Id="rId359" Type="http://schemas.openxmlformats.org/officeDocument/2006/relationships/hyperlink" Target="https://curia.europa.eu/jcms/upload/docs/application/pdf/2017-03/cp170025en.pdf" TargetMode="External"/><Relationship Id="rId524" Type="http://schemas.openxmlformats.org/officeDocument/2006/relationships/hyperlink" Target="http://curia.europa.eu/juris/liste.jsf?language=en&amp;jur=C,T,F&amp;num=C-489/15&amp;td=ALL" TargetMode="External"/><Relationship Id="rId566" Type="http://schemas.openxmlformats.org/officeDocument/2006/relationships/hyperlink" Target="http://curia.europa.eu/juris/liste.jsf?language=en&amp;jur=C,T,F&amp;num=C-420/15&amp;td=ALL" TargetMode="External"/><Relationship Id="rId98" Type="http://schemas.openxmlformats.org/officeDocument/2006/relationships/hyperlink" Target="http://europa.eu/rapid/press-release_MEMO-17-234_en.htm" TargetMode="External"/><Relationship Id="rId121" Type="http://schemas.openxmlformats.org/officeDocument/2006/relationships/hyperlink" Target="http://europa.eu/rapid/press-release_MEMO-17-3494_en.htm" TargetMode="External"/><Relationship Id="rId163" Type="http://schemas.openxmlformats.org/officeDocument/2006/relationships/hyperlink" Target="http://curia.europa.eu/juris/liste.jsf?language=en&amp;jur=C,T,F&amp;num=,%20C-301/17&amp;td=ALL" TargetMode="External"/><Relationship Id="rId219" Type="http://schemas.openxmlformats.org/officeDocument/2006/relationships/hyperlink" Target="http://curia.europa.eu/juris/liste.jsf?language=en&amp;jur=C,T,F&amp;num=C-335/16&amp;td=ALL" TargetMode="External"/><Relationship Id="rId370" Type="http://schemas.openxmlformats.org/officeDocument/2006/relationships/hyperlink" Target="https://eur-lex.europa.eu/legal-content/EN/TXT/?qid=1521802030892&amp;uri=CELEX:32015R0848" TargetMode="External"/><Relationship Id="rId426" Type="http://schemas.openxmlformats.org/officeDocument/2006/relationships/hyperlink" Target="https://eur-lex.europa.eu/legal-content/EN/TXT/?qid=1521545269835&amp;uri=CELEX:32011L0095" TargetMode="External"/><Relationship Id="rId230" Type="http://schemas.openxmlformats.org/officeDocument/2006/relationships/hyperlink" Target="http://eur-lex.europa.eu/legal-content/EN/TXT/?qid=1521796462057&amp;uri=CELEX:31994L0062" TargetMode="External"/><Relationship Id="rId468" Type="http://schemas.openxmlformats.org/officeDocument/2006/relationships/hyperlink" Target="https://eur-lex.europa.eu/legal-content/EN/TXT/?qid=1521710113476&amp;uri=CELEX:32014L0094" TargetMode="External"/><Relationship Id="rId25" Type="http://schemas.openxmlformats.org/officeDocument/2006/relationships/hyperlink" Target="http://curia.europa.eu/juris/liste.jsf?language=en&amp;jur=C,T,F&amp;num=C-265/16&amp;td=ALL" TargetMode="External"/><Relationship Id="rId67" Type="http://schemas.openxmlformats.org/officeDocument/2006/relationships/hyperlink" Target="http://europa.eu/rapid/press-release_MEMO-17-1935_en.htm" TargetMode="External"/><Relationship Id="rId272" Type="http://schemas.openxmlformats.org/officeDocument/2006/relationships/hyperlink" Target="http://eur-lex.europa.eu/legal-content/EN/TXT/?qid=1521726656710&amp;uri=CELEX:32016L0097" TargetMode="External"/><Relationship Id="rId328" Type="http://schemas.openxmlformats.org/officeDocument/2006/relationships/hyperlink" Target="https://eur-lex.europa.eu/legal-content/EN/TXT/?qid=1521804487613&amp;uri=CELEX:32015L0849" TargetMode="External"/><Relationship Id="rId535" Type="http://schemas.openxmlformats.org/officeDocument/2006/relationships/hyperlink" Target="https://eur-lex.europa.eu/legal-content/EN/TXT/?qid=1521718888318&amp;uri=CELEX:31996L0060" TargetMode="External"/><Relationship Id="rId577" Type="http://schemas.openxmlformats.org/officeDocument/2006/relationships/hyperlink" Target="http://curia.europa.eu/juris/liste.jsf?language=en&amp;jur=C,T,F&amp;num=C-51/16&amp;td=ALL" TargetMode="External"/><Relationship Id="rId132" Type="http://schemas.openxmlformats.org/officeDocument/2006/relationships/hyperlink" Target="https://eur-lex.europa.eu/legal-content/EN/TXT/?qid=1521726143084&amp;uri=CELEX:32009L0147" TargetMode="External"/><Relationship Id="rId174" Type="http://schemas.openxmlformats.org/officeDocument/2006/relationships/hyperlink" Target="http://europa.eu/rapid/press-release_IP-16-3645_en.htm" TargetMode="External"/><Relationship Id="rId381" Type="http://schemas.openxmlformats.org/officeDocument/2006/relationships/hyperlink" Target="http://curia.europa.eu/juris/liste.jsf?language=en&amp;jur=C,T,F&amp;num=C-131/12&amp;td=ALL" TargetMode="External"/><Relationship Id="rId241" Type="http://schemas.openxmlformats.org/officeDocument/2006/relationships/hyperlink" Target="https://eur-lex.europa.eu/legal-content/EN/TXT/?qid=1521734304786&amp;uri=CELEX:32011L0092" TargetMode="External"/><Relationship Id="rId437" Type="http://schemas.openxmlformats.org/officeDocument/2006/relationships/hyperlink" Target="https://curia.europa.eu/jcms/upload/docs/application/pdf/2017-03/cp170024en.pdf" TargetMode="External"/><Relationship Id="rId479" Type="http://schemas.openxmlformats.org/officeDocument/2006/relationships/hyperlink" Target="http://curia.europa.eu/juris/liste.jsf?language=en&amp;jur=C,T,F&amp;num=C-181/17&amp;td=ALL" TargetMode="External"/><Relationship Id="rId36" Type="http://schemas.openxmlformats.org/officeDocument/2006/relationships/hyperlink" Target="http://curia.europa.eu/juris/liste.jsf?language=en&amp;jur=C,T,F&amp;num=C-566/15&amp;td=ALL" TargetMode="External"/><Relationship Id="rId283" Type="http://schemas.openxmlformats.org/officeDocument/2006/relationships/hyperlink" Target="http://eur-lex.europa.eu/legal-content/EN/TXT/?qid=1521729032605&amp;uri=CELEX:32015D0789" TargetMode="External"/><Relationship Id="rId339" Type="http://schemas.openxmlformats.org/officeDocument/2006/relationships/hyperlink" Target="https://eur-lex.europa.eu/legal-content/EN/TXT/?qid=1521804160432&amp;uri=CELEX:31990L0314" TargetMode="External"/><Relationship Id="rId490" Type="http://schemas.openxmlformats.org/officeDocument/2006/relationships/hyperlink" Target="http://curia.europa.eu/juris/liste.jsf?language=en&amp;jur=C,T,F&amp;num=C-383/17&amp;td=ALL" TargetMode="External"/><Relationship Id="rId504" Type="http://schemas.openxmlformats.org/officeDocument/2006/relationships/hyperlink" Target="https://eur-lex.europa.eu/legal-content/EN/TXT/?qid=1521712475217&amp;uri=CELEX:32000L0059" TargetMode="External"/><Relationship Id="rId546" Type="http://schemas.openxmlformats.org/officeDocument/2006/relationships/hyperlink" Target="https://eur-lex.europa.eu/legal-content/EN/TXT/?qid=1521724268651&amp;uri=CELEX:32016L0881" TargetMode="External"/><Relationship Id="rId78" Type="http://schemas.openxmlformats.org/officeDocument/2006/relationships/hyperlink" Target="https://eur-lex.europa.eu/legal-content/EN/TXT/?qid=1521646290769&amp;uri=CELEX:32010L0031" TargetMode="External"/><Relationship Id="rId101" Type="http://schemas.openxmlformats.org/officeDocument/2006/relationships/hyperlink" Target="https://eur-lex.europa.eu/legal-content/EN/TXT/?qid=1521725890635&amp;uri=CELEX:32008L0098" TargetMode="External"/><Relationship Id="rId143" Type="http://schemas.openxmlformats.org/officeDocument/2006/relationships/hyperlink" Target="https://eur-lex.europa.eu/legal-content/EN/TXT/?qid=1521727561744&amp;uri=CELEX:32006R1013" TargetMode="External"/><Relationship Id="rId185" Type="http://schemas.openxmlformats.org/officeDocument/2006/relationships/hyperlink" Target="https://eur-lex.europa.eu/legal-content/EN/TXT/?qid=1521730023566&amp;uri=CELEX:32000L0053" TargetMode="External"/><Relationship Id="rId350" Type="http://schemas.openxmlformats.org/officeDocument/2006/relationships/hyperlink" Target="http://curia.europa.eu/juris/liste.jsf?language=en&amp;jur=C,T,F&amp;num=C-442/16&amp;td=ALL" TargetMode="External"/><Relationship Id="rId406" Type="http://schemas.openxmlformats.org/officeDocument/2006/relationships/hyperlink" Target="https://eur-lex.europa.eu/legal-content/EN/TXT/?uri=celex%3A32015D1601" TargetMode="External"/><Relationship Id="rId9" Type="http://schemas.openxmlformats.org/officeDocument/2006/relationships/hyperlink" Target="http://eur-lex.europa.eu/legal-content/EN/TXT/?qid=1521535748978&amp;uri=CELEX:32002L0021" TargetMode="External"/><Relationship Id="rId210" Type="http://schemas.openxmlformats.org/officeDocument/2006/relationships/hyperlink" Target="http://curia.europa.eu/juris/liste.jsf?language=en&amp;jur=C,T,F&amp;num=C-153/16&amp;td=ALL" TargetMode="External"/><Relationship Id="rId392" Type="http://schemas.openxmlformats.org/officeDocument/2006/relationships/hyperlink" Target="https://ec.europa.eu/home-affairs/sites/homeaffairs/files/e-library/documents/policies/borders-and-visas/document-security/docs/comm_decision_c_2013_6181_en_.pdf" TargetMode="External"/><Relationship Id="rId448" Type="http://schemas.openxmlformats.org/officeDocument/2006/relationships/hyperlink" Target="https://eur-lex.europa.eu/legal-content/EN/TXT/?qid=1521560584581&amp;uri=CELEX:32009R0810" TargetMode="External"/><Relationship Id="rId252" Type="http://schemas.openxmlformats.org/officeDocument/2006/relationships/hyperlink" Target="http://europa.eu/rapid/press-release_IP-16-2102_en.htm" TargetMode="External"/><Relationship Id="rId294" Type="http://schemas.openxmlformats.org/officeDocument/2006/relationships/hyperlink" Target="http://europa.eu/rapid/press-release_IP-17-4773_en.htm" TargetMode="External"/><Relationship Id="rId308" Type="http://schemas.openxmlformats.org/officeDocument/2006/relationships/hyperlink" Target="http://europa.eu/rapid/press-release_IP-16-3646_en.htm" TargetMode="External"/><Relationship Id="rId515" Type="http://schemas.openxmlformats.org/officeDocument/2006/relationships/hyperlink" Target="http://curia.europa.eu/juris/liste.jsf?language=en&amp;jur=C,T,F&amp;num=C-388/16&amp;td=ALL" TargetMode="External"/><Relationship Id="rId47" Type="http://schemas.openxmlformats.org/officeDocument/2006/relationships/hyperlink" Target="https://eur-lex.europa.eu/legal-content/EN/TXT/?qid=1521800437887&amp;uri=CELEX:32004R0883" TargetMode="External"/><Relationship Id="rId68" Type="http://schemas.openxmlformats.org/officeDocument/2006/relationships/hyperlink" Target="https://eur-lex.europa.eu/legal-content/EN/TXT/?qid=1521646057107&amp;uri=CELEX:32009L0072" TargetMode="External"/><Relationship Id="rId89" Type="http://schemas.openxmlformats.org/officeDocument/2006/relationships/hyperlink" Target="https://eur-lex.europa.eu/legal-content/EN/TXT/?qid=1521717414178&amp;uri=CELEX:32012L0019" TargetMode="External"/><Relationship Id="rId112" Type="http://schemas.openxmlformats.org/officeDocument/2006/relationships/hyperlink" Target="http://europa.eu/rapid/press-release_MEMO-17-1577_en.htm" TargetMode="External"/><Relationship Id="rId133" Type="http://schemas.openxmlformats.org/officeDocument/2006/relationships/hyperlink" Target="https://eur-lex.europa.eu/legal-content/EN/TXT/?qid=1521726077233&amp;uri=CELEX:31992L0043" TargetMode="External"/><Relationship Id="rId154" Type="http://schemas.openxmlformats.org/officeDocument/2006/relationships/hyperlink" Target="http://curia.europa.eu/juris/liste.jsf?language=en&amp;jur=C,T,F&amp;num=C-498/17&amp;td=ALL" TargetMode="External"/><Relationship Id="rId175" Type="http://schemas.openxmlformats.org/officeDocument/2006/relationships/hyperlink" Target="https://eur-lex.europa.eu/legal-content/EN/TXT/?qid=1521729140296&amp;uri=CELEX:31991L0271" TargetMode="External"/><Relationship Id="rId340" Type="http://schemas.openxmlformats.org/officeDocument/2006/relationships/hyperlink" Target="http://europa.eu/rapid/press-release_MEMO-17-4767_en.htm" TargetMode="External"/><Relationship Id="rId361" Type="http://schemas.openxmlformats.org/officeDocument/2006/relationships/hyperlink" Target="https://curia.europa.eu/jcms/upload/docs/application/pdf/2017-05/cp170048en.pdf" TargetMode="External"/><Relationship Id="rId557" Type="http://schemas.openxmlformats.org/officeDocument/2006/relationships/hyperlink" Target="http://europa.eu/rapid/press-release_IP-14-161_en.htm" TargetMode="External"/><Relationship Id="rId578" Type="http://schemas.openxmlformats.org/officeDocument/2006/relationships/hyperlink" Target="http://curia.europa.eu/juris/liste.jsf?language=en&amp;jur=C,T,F&amp;num=C-21/16&amp;td=ALL" TargetMode="External"/><Relationship Id="rId196" Type="http://schemas.openxmlformats.org/officeDocument/2006/relationships/hyperlink" Target="http://curia.europa.eu/juris/liste.jsf?language=en&amp;jur=C,T,F&amp;num=C-488/15&amp;td=ALL" TargetMode="External"/><Relationship Id="rId200" Type="http://schemas.openxmlformats.org/officeDocument/2006/relationships/hyperlink" Target="https://eur-lex.europa.eu/legal-content/EN/TXT/?qid=1521731411344&amp;uri=CELEX:31999L0031" TargetMode="External"/><Relationship Id="rId382" Type="http://schemas.openxmlformats.org/officeDocument/2006/relationships/hyperlink" Target="https://eur-lex.europa.eu/legal-content/EN/TXT/?qid=1521538767577&amp;uri=CELEX:32014L0089" TargetMode="External"/><Relationship Id="rId417" Type="http://schemas.openxmlformats.org/officeDocument/2006/relationships/hyperlink" Target="http://europa.eu/rapid/press-release_IP-17-1953_en.htm" TargetMode="External"/><Relationship Id="rId438" Type="http://schemas.openxmlformats.org/officeDocument/2006/relationships/hyperlink" Target="http://curia.europa.eu/juris/liste.jsf?language=en&amp;jur=C,T,F&amp;num=C-528/15&amp;td=ALL" TargetMode="External"/><Relationship Id="rId459" Type="http://schemas.openxmlformats.org/officeDocument/2006/relationships/hyperlink" Target="https://eur-lex.europa.eu/legal-content/EN/TXT/?qid=1521559441067&amp;uri=CELEX:32014L0066" TargetMode="External"/><Relationship Id="rId16" Type="http://schemas.openxmlformats.org/officeDocument/2006/relationships/hyperlink" Target="http://eur-lex.europa.eu/legal-content/EN/TXT/?qid=1521538099242&amp;uri=CELEX:32014R0910" TargetMode="External"/><Relationship Id="rId221" Type="http://schemas.openxmlformats.org/officeDocument/2006/relationships/hyperlink" Target="http://curia.europa.eu/juris/liste.jsf?language=en&amp;jur=C,T,F&amp;num=C-197/16&amp;td=ALL" TargetMode="External"/><Relationship Id="rId242" Type="http://schemas.openxmlformats.org/officeDocument/2006/relationships/hyperlink" Target="https://eur-lex.europa.eu/legal-content/EN/TXT/?qid=1521734360084&amp;uri=CELEX:32000L0060" TargetMode="External"/><Relationship Id="rId263" Type="http://schemas.openxmlformats.org/officeDocument/2006/relationships/hyperlink" Target="http://curia.europa.eu/juris/liste.jsf?pro=&amp;lgrec=en&amp;nat=or&amp;oqp=&amp;dates=&amp;lg=&amp;language=en&amp;jur=C%2CT%2CF&amp;cit=none%252CC%252CCJ%252CR%252C2008E%252C%252C%252C%252C%252C%252C%252C%252C%252C%252Ctrue%252Cfalse%252Cfalse&amp;num=C-415%252F17&amp;td=%3BALL&amp;pcs=Oor&amp;avg=&amp;page=1&amp;mat=or&amp;jge=&amp;for=&amp;cid=669053" TargetMode="External"/><Relationship Id="rId284" Type="http://schemas.openxmlformats.org/officeDocument/2006/relationships/hyperlink" Target="http://europa.eu/rapid/press-release_MEMO-17-1935_en.htm" TargetMode="External"/><Relationship Id="rId319" Type="http://schemas.openxmlformats.org/officeDocument/2006/relationships/hyperlink" Target="http://curia.europa.eu/juris/liste.jsf?language=en&amp;jur=C,T,F&amp;num=C-322/16&amp;td=ALL" TargetMode="External"/><Relationship Id="rId470" Type="http://schemas.openxmlformats.org/officeDocument/2006/relationships/hyperlink" Target="https://eur-lex.europa.eu/legal-content/EN/TXT/?qid=1521710788093&amp;uri=CELEX:32004R0551" TargetMode="External"/><Relationship Id="rId491" Type="http://schemas.openxmlformats.org/officeDocument/2006/relationships/hyperlink" Target="http://europa.eu/rapid/press-release_IP-17-1052_en.htm" TargetMode="External"/><Relationship Id="rId505" Type="http://schemas.openxmlformats.org/officeDocument/2006/relationships/hyperlink" Target="https://eur-lex.europa.eu/legal-content/EN/TXT/?qid=1521712337688&amp;uri=CELEX:32006L0126" TargetMode="External"/><Relationship Id="rId526" Type="http://schemas.openxmlformats.org/officeDocument/2006/relationships/hyperlink" Target="http://curia.europa.eu/juris/liste.jsf?language=en&amp;jur=C,T,F&amp;num=C-302/16&amp;td=ALL" TargetMode="External"/><Relationship Id="rId37" Type="http://schemas.openxmlformats.org/officeDocument/2006/relationships/hyperlink" Target="http://eur-lex.europa.eu/legal-content/EN/TXT/?qid=1521638982959&amp;uri=CELEX:31999L0070" TargetMode="External"/><Relationship Id="rId58" Type="http://schemas.openxmlformats.org/officeDocument/2006/relationships/hyperlink" Target="https://eur-lex.europa.eu/legal-content/EN/TXT/?uri=CELEX:31992L0085" TargetMode="External"/><Relationship Id="rId79" Type="http://schemas.openxmlformats.org/officeDocument/2006/relationships/hyperlink" Target="https://eur-lex.europa.eu/legal-content/EN/TXT/?qid=1521646324831&amp;uri=CELEX:32009L0072" TargetMode="External"/><Relationship Id="rId102" Type="http://schemas.openxmlformats.org/officeDocument/2006/relationships/hyperlink" Target="http://europa.eu/rapid/press-release_MEMO-17-1577_en.htm" TargetMode="External"/><Relationship Id="rId123" Type="http://schemas.openxmlformats.org/officeDocument/2006/relationships/hyperlink" Target="http://europa.eu/rapid/press-release_MEMO-17-1577_en.htm" TargetMode="External"/><Relationship Id="rId144" Type="http://schemas.openxmlformats.org/officeDocument/2006/relationships/hyperlink" Target="http://curia.europa.eu/juris/liste.jsf?language=en&amp;jur=C,T,F&amp;num=C-399/17&amp;td=ALL" TargetMode="External"/><Relationship Id="rId330" Type="http://schemas.openxmlformats.org/officeDocument/2006/relationships/hyperlink" Target="http://europa.eu/rapid/press-release_IP-17-3663_en.htm" TargetMode="External"/><Relationship Id="rId547" Type="http://schemas.openxmlformats.org/officeDocument/2006/relationships/hyperlink" Target="https://eur-lex.europa.eu/legal-content/EN/TXT/?qid=1521724337121&amp;uri=CELEX:32003R2286" TargetMode="External"/><Relationship Id="rId568" Type="http://schemas.openxmlformats.org/officeDocument/2006/relationships/hyperlink" Target="http://curia.europa.eu/juris/liste.jsf?language=en&amp;jur=C,T,F&amp;num=C-504/16&amp;td=ALL" TargetMode="External"/><Relationship Id="rId90" Type="http://schemas.openxmlformats.org/officeDocument/2006/relationships/hyperlink" Target="https://eur-lex.europa.eu/legal-content/EN/TXT/?qid=1521717466496&amp;uri=CELEX:31999L0031" TargetMode="External"/><Relationship Id="rId165" Type="http://schemas.openxmlformats.org/officeDocument/2006/relationships/hyperlink" Target="https://eur-lex.europa.eu/legal-content/EN/TXT/?qid=1521729060706&amp;uri=CELEX:31999L0031" TargetMode="External"/><Relationship Id="rId186" Type="http://schemas.openxmlformats.org/officeDocument/2006/relationships/hyperlink" Target="https://eur-lex.europa.eu/legal-content/EN/TXT/?qid=1521730083001&amp;uri=CELEX:32004L0035" TargetMode="External"/><Relationship Id="rId351" Type="http://schemas.openxmlformats.org/officeDocument/2006/relationships/hyperlink" Target="https://curia.europa.eu/jcms/upload/docs/application/pdf/2017-12/cp170144en.pdf" TargetMode="External"/><Relationship Id="rId372" Type="http://schemas.openxmlformats.org/officeDocument/2006/relationships/hyperlink" Target="https://eur-lex.europa.eu/legal-content/EN/TXT/?qid=1521801821245&amp;uri=CELEX:32016L0343" TargetMode="External"/><Relationship Id="rId393" Type="http://schemas.openxmlformats.org/officeDocument/2006/relationships/hyperlink" Target="https://ec.europa.eu/home-affairs/sites/homeaffairs/files/e-library/documents/policies/borders-and-visas/document-security/docs/comm_decision_c_2013_6178_en.pdf" TargetMode="External"/><Relationship Id="rId407" Type="http://schemas.openxmlformats.org/officeDocument/2006/relationships/hyperlink" Target="http://curia.europa.eu/juris/liste.jsf?language=en&amp;jur=C,T,F&amp;num=C-715/17&amp;td=ALL" TargetMode="External"/><Relationship Id="rId428" Type="http://schemas.openxmlformats.org/officeDocument/2006/relationships/hyperlink" Target="https://eur-lex.europa.eu/legal-content/EN/TXT/?qid=1521557663490&amp;uri=CELEX:32005L0085" TargetMode="External"/><Relationship Id="rId449" Type="http://schemas.openxmlformats.org/officeDocument/2006/relationships/hyperlink" Target="http://curia.europa.eu/juris/liste.jsf?language=en&amp;jur=C,T,F&amp;num=C-403/16&amp;td=ALL" TargetMode="External"/><Relationship Id="rId211" Type="http://schemas.openxmlformats.org/officeDocument/2006/relationships/hyperlink" Target="https://eur-lex.europa.eu/legal-content/EN/TXT/?qid=1521730997892&amp;uri=CELEX:32001R1049" TargetMode="External"/><Relationship Id="rId232" Type="http://schemas.openxmlformats.org/officeDocument/2006/relationships/hyperlink" Target="http://eur-lex.europa.eu/legal-content/EN/TXT/?qid=1521796590225&amp;uri=CELEX:32011L0092" TargetMode="External"/><Relationship Id="rId253" Type="http://schemas.openxmlformats.org/officeDocument/2006/relationships/hyperlink" Target="http://eur-lex.europa.eu/legal-content/EN/TXT/?qid=1521649763709&amp;uri=CELEX:32014L0065" TargetMode="External"/><Relationship Id="rId274" Type="http://schemas.openxmlformats.org/officeDocument/2006/relationships/hyperlink" Target="http://eur-lex.europa.eu/legal-content/EN/TXT/?qid=1490090935135&amp;uri=CELEX:32014L0056" TargetMode="External"/><Relationship Id="rId295" Type="http://schemas.openxmlformats.org/officeDocument/2006/relationships/hyperlink" Target="http://europa.eu/rapid/press-release_IP-17-5004_en.htm" TargetMode="External"/><Relationship Id="rId309" Type="http://schemas.openxmlformats.org/officeDocument/2006/relationships/hyperlink" Target="https://eur-lex.europa.eu/legal-content/EN/TXT/?qid=1521800719449&amp;uri=CELEX:32017L0433" TargetMode="External"/><Relationship Id="rId460" Type="http://schemas.openxmlformats.org/officeDocument/2006/relationships/hyperlink" Target="https://eur-lex.europa.eu/legal-content/EN/TXT/?qid=1521559489369&amp;uri=CELEX:32013L0032" TargetMode="External"/><Relationship Id="rId481" Type="http://schemas.openxmlformats.org/officeDocument/2006/relationships/hyperlink" Target="http://europa.eu/rapid/press-release_MEMO-16-3644_en.htm" TargetMode="External"/><Relationship Id="rId516" Type="http://schemas.openxmlformats.org/officeDocument/2006/relationships/hyperlink" Target="https://eur-lex.europa.eu/legal-content/EN/TXT/?qid=1521713800294&amp;uri=CELEX:31991L0440" TargetMode="External"/><Relationship Id="rId27" Type="http://schemas.openxmlformats.org/officeDocument/2006/relationships/hyperlink" Target="http://eur-lex.europa.eu/legal-content/EN/TXT/?qid=1521638592777&amp;uri=CELEX:32002L0019" TargetMode="External"/><Relationship Id="rId48" Type="http://schemas.openxmlformats.org/officeDocument/2006/relationships/hyperlink" Target="http://curia.europa.eu/juris/liste.jsf?language=en&amp;jur=C,T,F&amp;num=C-89/16&amp;td=ALL" TargetMode="External"/><Relationship Id="rId69" Type="http://schemas.openxmlformats.org/officeDocument/2006/relationships/hyperlink" Target="https://eur-lex.europa.eu/legal-content/EN/TXT/?qid=1521646057107&amp;uri=CELEX:32009L0072" TargetMode="External"/><Relationship Id="rId113" Type="http://schemas.openxmlformats.org/officeDocument/2006/relationships/hyperlink" Target="https://eur-lex.europa.eu/legal-content/EN/TXT/?qid=1521726742344&amp;uri=CELEX:32002L0049" TargetMode="External"/><Relationship Id="rId134" Type="http://schemas.openxmlformats.org/officeDocument/2006/relationships/hyperlink" Target="https://eur-lex.europa.eu/legal-content/EN/TXT/?qid=1521726023958&amp;uri=CELEX:32008L0050" TargetMode="External"/><Relationship Id="rId320" Type="http://schemas.openxmlformats.org/officeDocument/2006/relationships/hyperlink" Target="http://curia.europa.eu/juris/liste.jsf?pro=&amp;nat=or&amp;oqp=&amp;dates=&amp;lg=&amp;language=en&amp;jur=C%2CT%2CF&amp;cit=none%252CC%252CCJ%252CR%252C2008E%252C%252C%252C%252C%252C%252C%252C%252C%252C%252Ctrue%252Cfalse%252Cfalse&amp;num=C-560%252F15&amp;td=%3BALL&amp;pcs=Oor&amp;avg=&amp;page=1&amp;mat=or&amp;jge=&amp;for=&amp;cid=326734" TargetMode="External"/><Relationship Id="rId537" Type="http://schemas.openxmlformats.org/officeDocument/2006/relationships/hyperlink" Target="http://europa.eu/rapid/press-release_IP-14-2138_en.htm" TargetMode="External"/><Relationship Id="rId558" Type="http://schemas.openxmlformats.org/officeDocument/2006/relationships/hyperlink" Target="http://europa.eu/rapid/press-release_MEMO-14-116_en.htm" TargetMode="External"/><Relationship Id="rId579" Type="http://schemas.openxmlformats.org/officeDocument/2006/relationships/hyperlink" Target="http://curia.europa.eu/juris/liste.jsf?language=en&amp;jur=C,T,F&amp;num=C-164/16&amp;td=ALL" TargetMode="External"/><Relationship Id="rId80" Type="http://schemas.openxmlformats.org/officeDocument/2006/relationships/hyperlink" Target="https://eur-lex.europa.eu/legal-content/EN/TXT/?qid=1521646366481&amp;uri=CELEX:32009L0073" TargetMode="External"/><Relationship Id="rId155" Type="http://schemas.openxmlformats.org/officeDocument/2006/relationships/hyperlink" Target="http://europa.eu/rapid/press-release_IP-17-1283_en.htm" TargetMode="External"/><Relationship Id="rId176" Type="http://schemas.openxmlformats.org/officeDocument/2006/relationships/hyperlink" Target="http://curia.europa.eu/juris/liste.jsf?language=en&amp;jur=C,T,F&amp;num=C-251/17&amp;td=ALL" TargetMode="External"/><Relationship Id="rId197" Type="http://schemas.openxmlformats.org/officeDocument/2006/relationships/hyperlink" Target="https://eur-lex.europa.eu/legal-content/EN/TXT/?qid=1521731140869&amp;uri=CELEX:31992L0043" TargetMode="External"/><Relationship Id="rId341" Type="http://schemas.openxmlformats.org/officeDocument/2006/relationships/hyperlink" Target="http://curia.europa.eu/juris/liste.jsf?pro=&amp;nat=or&amp;oqp=&amp;dates=&amp;lg=&amp;language=en&amp;jur=C%2CT%2CF&amp;cit=none%252CC%252CCJ%252CR%252C2008E%252C%252C%252C%252C%252C%252C%252C%252C%252C%252Ctrue%252Cfalse%252Cfalse&amp;num=C-169%252F16&amp;td=%3BALL&amp;pcs=Oor&amp;avg=&amp;page=1&amp;mat=or&amp;jge=&amp;for=&amp;cid=213667" TargetMode="External"/><Relationship Id="rId362" Type="http://schemas.openxmlformats.org/officeDocument/2006/relationships/hyperlink" Target="http://curia.europa.eu/juris/liste.jsf?language=en&amp;jur=C,T,F&amp;num=C-106/16&amp;td=ALL" TargetMode="External"/><Relationship Id="rId383" Type="http://schemas.openxmlformats.org/officeDocument/2006/relationships/hyperlink" Target="http://europa.eu/rapid/press-release_MEMO-17-1935_en.htm" TargetMode="External"/><Relationship Id="rId418" Type="http://schemas.openxmlformats.org/officeDocument/2006/relationships/hyperlink" Target="https://eur-lex.europa.eu/legal-content/EN/TXT/?uri=celex%3A32016R0399" TargetMode="External"/><Relationship Id="rId439" Type="http://schemas.openxmlformats.org/officeDocument/2006/relationships/hyperlink" Target="http://curia.europa.eu/juris/liste.jsf?language=en&amp;jur=C,T,F&amp;num=C-652/15&amp;td=ALL" TargetMode="External"/><Relationship Id="rId201" Type="http://schemas.openxmlformats.org/officeDocument/2006/relationships/hyperlink" Target="http://curia.europa.eu/juris/liste.jsf?language=en&amp;jur=C,T,F&amp;num=C-202/16&amp;td=ALL" TargetMode="External"/><Relationship Id="rId222" Type="http://schemas.openxmlformats.org/officeDocument/2006/relationships/hyperlink" Target="http://curia.europa.eu/juris/liste.jsf?language=en&amp;jur=C,T,F&amp;num=C-129/16&amp;td=ALL" TargetMode="External"/><Relationship Id="rId243" Type="http://schemas.openxmlformats.org/officeDocument/2006/relationships/hyperlink" Target="https://eur-lex.europa.eu/legal-content/EN/TXT/?qid=1521734406131&amp;uri=CELEX:32008L0056" TargetMode="External"/><Relationship Id="rId264" Type="http://schemas.openxmlformats.org/officeDocument/2006/relationships/hyperlink" Target="http://europa.eu/rapid/press-release_IP-17-1579_en.htm" TargetMode="External"/><Relationship Id="rId285" Type="http://schemas.openxmlformats.org/officeDocument/2006/relationships/hyperlink" Target="http://eur-lex.europa.eu/legal-content/EN/TXT/?qid=1521728572712&amp;uri=CELEX:32014L0096" TargetMode="External"/><Relationship Id="rId450" Type="http://schemas.openxmlformats.org/officeDocument/2006/relationships/hyperlink" Target="https://eur-lex.europa.eu/legal-content/EN/ALL/?uri=CELEX:32009R0810" TargetMode="External"/><Relationship Id="rId471" Type="http://schemas.openxmlformats.org/officeDocument/2006/relationships/hyperlink" Target="https://eur-lex.europa.eu/legal-content/EN/TXT/?qid=1521710861264&amp;uri=CELEX:32005R2150" TargetMode="External"/><Relationship Id="rId506" Type="http://schemas.openxmlformats.org/officeDocument/2006/relationships/hyperlink" Target="https://eur-lex.europa.eu/legal-content/EN/TXT/?qid=1521713933361&amp;uri=CELEX:32014L0090" TargetMode="External"/><Relationship Id="rId17" Type="http://schemas.openxmlformats.org/officeDocument/2006/relationships/hyperlink" Target="http://europa.eu/rapid/press-release_MEMO-17-3494_en.htm" TargetMode="External"/><Relationship Id="rId38" Type="http://schemas.openxmlformats.org/officeDocument/2006/relationships/hyperlink" Target="http://curia.europa.eu/juris/liste.jsf?language=en&amp;jur=C,T,F&amp;num=C-158/16&amp;td=ALL" TargetMode="External"/><Relationship Id="rId59" Type="http://schemas.openxmlformats.org/officeDocument/2006/relationships/hyperlink" Target="https://eur-lex.europa.eu/legal-content/EN/TXT/?uri=CELEX%3A31994L0033" TargetMode="External"/><Relationship Id="rId103" Type="http://schemas.openxmlformats.org/officeDocument/2006/relationships/hyperlink" Target="http://europa.eu/rapid/press-release_MEMO-17-3494_en.htm" TargetMode="External"/><Relationship Id="rId124" Type="http://schemas.openxmlformats.org/officeDocument/2006/relationships/hyperlink" Target="https://eur-lex.europa.eu/legal-content/EN/TXT/?qid=1521726971396&amp;uri=CELEX:32008L0056" TargetMode="External"/><Relationship Id="rId310" Type="http://schemas.openxmlformats.org/officeDocument/2006/relationships/hyperlink" Target="http://europa.eu/rapid/press-release_IP-17-5109_en.htm" TargetMode="External"/><Relationship Id="rId492" Type="http://schemas.openxmlformats.org/officeDocument/2006/relationships/hyperlink" Target="https://eur-lex.europa.eu/legal-content/EN/TXT/?qid=1521712113237&amp;uri=CELEX:32009L0021" TargetMode="External"/><Relationship Id="rId527" Type="http://schemas.openxmlformats.org/officeDocument/2006/relationships/hyperlink" Target="http://curia.europa.eu/juris/liste.jsf?language=en&amp;jur=C,T,F&amp;num=C-632/15&amp;td=ALL" TargetMode="External"/><Relationship Id="rId548" Type="http://schemas.openxmlformats.org/officeDocument/2006/relationships/hyperlink" Target="http://europa.eu/rapid/press-release_MEMO-17-3494_en.htm" TargetMode="External"/><Relationship Id="rId569" Type="http://schemas.openxmlformats.org/officeDocument/2006/relationships/hyperlink" Target="http://curia.europa.eu/juris/liste.jsf?language=en&amp;jur=C,T,F&amp;num=C-613/16&amp;td=ALL" TargetMode="External"/><Relationship Id="rId70" Type="http://schemas.openxmlformats.org/officeDocument/2006/relationships/hyperlink" Target="https://eur-lex.europa.eu/legal-content/EN/TXT/?qid=1521646095966&amp;uri=CELEX:32010L0031" TargetMode="External"/><Relationship Id="rId91" Type="http://schemas.openxmlformats.org/officeDocument/2006/relationships/hyperlink" Target="https://eur-lex.europa.eu/legal-content/EN/TXT/?qid=1521717571342&amp;uri=CELEX:31992L0043" TargetMode="External"/><Relationship Id="rId145" Type="http://schemas.openxmlformats.org/officeDocument/2006/relationships/hyperlink" Target="http://europa.eu/rapid/press-release_IP-16-2492_en.htm" TargetMode="External"/><Relationship Id="rId166" Type="http://schemas.openxmlformats.org/officeDocument/2006/relationships/hyperlink" Target="http://curia.europa.eu/juris/liste.jsf?language=en&amp;jur=C,T,F&amp;num=C-506/17&amp;td=ALL" TargetMode="External"/><Relationship Id="rId187" Type="http://schemas.openxmlformats.org/officeDocument/2006/relationships/hyperlink" Target="https://eur-lex.europa.eu/legal-content/EN/TXT/?qid=1521730122416&amp;uri=CELEX:32014L0080" TargetMode="External"/><Relationship Id="rId331" Type="http://schemas.openxmlformats.org/officeDocument/2006/relationships/hyperlink" Target="http://europa.eu/rapid/press-release_IP-17-5003_en.htm" TargetMode="External"/><Relationship Id="rId352" Type="http://schemas.openxmlformats.org/officeDocument/2006/relationships/hyperlink" Target="http://curia.europa.eu/juris/liste.jsf?language=en&amp;jur=C,T,F&amp;num=C-409/16&amp;td=ALL" TargetMode="External"/><Relationship Id="rId373" Type="http://schemas.openxmlformats.org/officeDocument/2006/relationships/hyperlink" Target="https://eur-lex.europa.eu/legal-content/EN/TXT/?qid=1521801766084&amp;uri=CELEX:32015L2302" TargetMode="External"/><Relationship Id="rId394" Type="http://schemas.openxmlformats.org/officeDocument/2006/relationships/hyperlink" Target="https://eur-lex.europa.eu/legal-content/EN/TXT/?uri=OJ%3AJOL_2015_239_R_0011" TargetMode="External"/><Relationship Id="rId408" Type="http://schemas.openxmlformats.org/officeDocument/2006/relationships/hyperlink" Target="http://europa.eu/rapid/search-result.htm?quickSearch=1&amp;text=IP%2F17%2F5002" TargetMode="External"/><Relationship Id="rId429" Type="http://schemas.openxmlformats.org/officeDocument/2006/relationships/hyperlink" Target="https://eur-lex.europa.eu/legal-content/EN/TXT/?uri=OJ%3AJOL_2015_239_R_0011" TargetMode="External"/><Relationship Id="rId580" Type="http://schemas.openxmlformats.org/officeDocument/2006/relationships/hyperlink" Target="https://eur-lex.europa.eu/legal-content/EN/TXT/?qid=1521717179767&amp;uri=CELEX:32014L0107" TargetMode="External"/><Relationship Id="rId1" Type="http://schemas.openxmlformats.org/officeDocument/2006/relationships/hyperlink" Target="http://eur-lex.europa.eu/legal-content/EN/TXT/?qid=1521534649872&amp;uri=CELEX:32015L2203" TargetMode="External"/><Relationship Id="rId212" Type="http://schemas.openxmlformats.org/officeDocument/2006/relationships/hyperlink" Target="http://curia.europa.eu/juris/liste.jsf?language=en&amp;jur=C,T,F&amp;num=C-562/14%20P&amp;td=ALL" TargetMode="External"/><Relationship Id="rId233" Type="http://schemas.openxmlformats.org/officeDocument/2006/relationships/hyperlink" Target="http://eur-lex.europa.eu/legal-content/EN/TXT/?qid=1521796632676&amp;uri=CELEX:32012L0018" TargetMode="External"/><Relationship Id="rId254" Type="http://schemas.openxmlformats.org/officeDocument/2006/relationships/hyperlink" Target="https://eur-lex.europa.eu/legal-content/EN/TXT/?uri=celex%3A32014L0065" TargetMode="External"/><Relationship Id="rId440" Type="http://schemas.openxmlformats.org/officeDocument/2006/relationships/hyperlink" Target="http://curia.europa.eu/juris/liste.jsf?pro=&amp;nat=or&amp;oqp=&amp;dates=&amp;lg=&amp;language=en&amp;jur=C%2CT%2CF&amp;cit=none%252CC%252CCJ%252CR%252C2008E%252C%252C%252C%252C%252C%252C%252C%252C%252C%252Ctrue%252Cfalse%252Cfalse&amp;num=C-544%252F15&amp;td=%3BALL&amp;pcs=Oor&amp;avg=&amp;page=1&amp;mat=or&amp;jge=&amp;for=&amp;cid=313238" TargetMode="External"/><Relationship Id="rId28" Type="http://schemas.openxmlformats.org/officeDocument/2006/relationships/hyperlink" Target="http://curia.europa.eu/juris/liste.jsf?language=en&amp;jur=C,T,F&amp;num=C-277/16&amp;td=ALL" TargetMode="External"/><Relationship Id="rId49" Type="http://schemas.openxmlformats.org/officeDocument/2006/relationships/hyperlink" Target="https://eur-lex.europa.eu/legal-content/EN/TXT/?qid=1521645147090&amp;uri=CELEX:32003L0088" TargetMode="External"/><Relationship Id="rId114" Type="http://schemas.openxmlformats.org/officeDocument/2006/relationships/hyperlink" Target="https://eur-lex.europa.eu/legal-content/EN/TXT/?qid=1521726785101&amp;uri=CELEX:32006L0021" TargetMode="External"/><Relationship Id="rId275" Type="http://schemas.openxmlformats.org/officeDocument/2006/relationships/hyperlink" Target="https://eur-lex.europa.eu/LexUriServ/LexUriServ.do?uri=OJ:L:2013:294:0013:0027:en:PDF" TargetMode="External"/><Relationship Id="rId296" Type="http://schemas.openxmlformats.org/officeDocument/2006/relationships/hyperlink" Target="https://eur-lex.europa.eu/legal-content/EN/TXT/?qid=1521800917003&amp;uri=CELEX:32006L0040" TargetMode="External"/><Relationship Id="rId300" Type="http://schemas.openxmlformats.org/officeDocument/2006/relationships/hyperlink" Target="http://curia.europa.eu/juris/liste.jsf?language=en&amp;jur=C,T,F&amp;num=C-377/17&amp;td=ALL" TargetMode="External"/><Relationship Id="rId461" Type="http://schemas.openxmlformats.org/officeDocument/2006/relationships/hyperlink" Target="https://eur-lex.europa.eu/legal-content/EN/TXT/?qid=1521559545121&amp;uri=CELEX:32013L0033" TargetMode="External"/><Relationship Id="rId482" Type="http://schemas.openxmlformats.org/officeDocument/2006/relationships/hyperlink" Target="https://eur-lex.europa.eu/legal-content/EN/TXT/?qid=1521710907418&amp;uri=CELEX:31996L0053" TargetMode="External"/><Relationship Id="rId517" Type="http://schemas.openxmlformats.org/officeDocument/2006/relationships/hyperlink" Target="https://eur-lex.europa.eu/legal-content/EN/TXT/?qid=1521713833534&amp;uri=CELEX:32001L0014" TargetMode="External"/><Relationship Id="rId538" Type="http://schemas.openxmlformats.org/officeDocument/2006/relationships/hyperlink" Target="http://europa.eu/rapid/press-release_MEMO-14-2130_en.htm" TargetMode="External"/><Relationship Id="rId559" Type="http://schemas.openxmlformats.org/officeDocument/2006/relationships/hyperlink" Target="http://curia.europa.eu/juris/liste.jsf?language=en&amp;jur=C,T,F&amp;num=C-126/15&amp;td=ALL" TargetMode="External"/><Relationship Id="rId60" Type="http://schemas.openxmlformats.org/officeDocument/2006/relationships/hyperlink" Target="https://eur-lex.europa.eu/legal-content/EN/TXT/?uri=celex%3A31998L0024" TargetMode="External"/><Relationship Id="rId81" Type="http://schemas.openxmlformats.org/officeDocument/2006/relationships/hyperlink" Target="https://eur-lex.europa.eu/legal-content/EN/TXT/?uri=celex%3A32011L0070" TargetMode="External"/><Relationship Id="rId135" Type="http://schemas.openxmlformats.org/officeDocument/2006/relationships/hyperlink" Target="http://europa.eu/rapid/press-release_MEMO-17-3494_en.htm" TargetMode="External"/><Relationship Id="rId156" Type="http://schemas.openxmlformats.org/officeDocument/2006/relationships/hyperlink" Target="https://eur-lex.europa.eu/legal-content/EN/TXT/?qid=1521728266601&amp;uri=CELEX:31992L0043" TargetMode="External"/><Relationship Id="rId177" Type="http://schemas.openxmlformats.org/officeDocument/2006/relationships/hyperlink" Target="http://europa.eu/rapid/press-release_IP-16-4212_en.htm" TargetMode="External"/><Relationship Id="rId198" Type="http://schemas.openxmlformats.org/officeDocument/2006/relationships/hyperlink" Target="http://curia.europa.eu/juris/liste.jsf?language=en&amp;jur=C,T,F&amp;num=C-142/16&amp;td=ALL" TargetMode="External"/><Relationship Id="rId321" Type="http://schemas.openxmlformats.org/officeDocument/2006/relationships/hyperlink" Target="http://curia.europa.eu/juris/liste.jsf?pro=&amp;nat=or&amp;oqp=&amp;dates=&amp;lg=&amp;language=en&amp;jur=C%2CT%2CF&amp;cit=none%252CC%252CCJ%252CR%252C2008E%252C%252C%252C%252C%252C%252C%252C%252C%252C%252Ctrue%252Cfalse%252Cfalse&amp;num=C-112%252F16&amp;td=%3BALL&amp;pcs=Oor&amp;avg=&amp;page=1&amp;mat=or&amp;jge=&amp;for=&amp;cid=326734" TargetMode="External"/><Relationship Id="rId342" Type="http://schemas.openxmlformats.org/officeDocument/2006/relationships/hyperlink" Target="http://curia.europa.eu/juris/liste.jsf?num=C-168/16&amp;language=en" TargetMode="External"/><Relationship Id="rId363" Type="http://schemas.openxmlformats.org/officeDocument/2006/relationships/hyperlink" Target="https://curia.europa.eu/jcms/upload/docs/application/pdf/2017-10/cp170112en.pdf" TargetMode="External"/><Relationship Id="rId384" Type="http://schemas.openxmlformats.org/officeDocument/2006/relationships/hyperlink" Target="http://europa.eu/rapid/press-release_MEMO-17-3494_en.htm" TargetMode="External"/><Relationship Id="rId419" Type="http://schemas.openxmlformats.org/officeDocument/2006/relationships/hyperlink" Target="https://eur-lex.europa.eu/legal-content/EN/TXT/?qid=1521557286538&amp;uri=CELEX:32011L0036" TargetMode="External"/><Relationship Id="rId570" Type="http://schemas.openxmlformats.org/officeDocument/2006/relationships/hyperlink" Target="http://curia.europa.eu/juris/liste.jsf?language=en&amp;jur=C,T,F&amp;num=C-20/16&amp;td=ALL" TargetMode="External"/><Relationship Id="rId202" Type="http://schemas.openxmlformats.org/officeDocument/2006/relationships/hyperlink" Target="https://eur-lex.europa.eu/legal-content/EN/TXT/?qid=1521731465093&amp;uri=CELEX:31991L0271" TargetMode="External"/><Relationship Id="rId223" Type="http://schemas.openxmlformats.org/officeDocument/2006/relationships/hyperlink" Target="http://eur-lex.europa.eu/legal-content/EN/TXT/?qid=1521796404440&amp;uri=CELEX:32015L0720" TargetMode="External"/><Relationship Id="rId244" Type="http://schemas.openxmlformats.org/officeDocument/2006/relationships/hyperlink" Target="https://eur-lex.europa.eu/legal-content/EN/TXT/?qid=1528132886438&amp;uri=CELEX:32014L0065" TargetMode="External"/><Relationship Id="rId430" Type="http://schemas.openxmlformats.org/officeDocument/2006/relationships/hyperlink" Target="https://eur-lex.europa.eu/legal-content/EN/TXT/?uri=celex%3A32015D1601" TargetMode="External"/><Relationship Id="rId18" Type="http://schemas.openxmlformats.org/officeDocument/2006/relationships/hyperlink" Target="http://eur-lex.europa.eu/legal-content/EN/TXT/?qid=1521637423127&amp;uri=CELEX:62014TA0061" TargetMode="External"/><Relationship Id="rId39" Type="http://schemas.openxmlformats.org/officeDocument/2006/relationships/hyperlink" Target="http://eur-lex.europa.eu/legal-content/EN/TXT/?qid=1521639066519&amp;uri=CELEX:32004R0883" TargetMode="External"/><Relationship Id="rId265" Type="http://schemas.openxmlformats.org/officeDocument/2006/relationships/hyperlink" Target="http://eur-lex.europa.eu/legal-content/EN/TXT/?qid=1521726221502&amp;uri=CELEX:32009L0138" TargetMode="External"/><Relationship Id="rId286" Type="http://schemas.openxmlformats.org/officeDocument/2006/relationships/hyperlink" Target="http://eur-lex.europa.eu/legal-content/EN/TXT/?qid=1521728859951&amp;uri=CELEX:32014L0097" TargetMode="External"/><Relationship Id="rId451" Type="http://schemas.openxmlformats.org/officeDocument/2006/relationships/hyperlink" Target="http://curia.europa.eu/juris/liste.jsf?language=en&amp;jur=C,T,F&amp;num=C-403/16&amp;td=ALL" TargetMode="External"/><Relationship Id="rId472" Type="http://schemas.openxmlformats.org/officeDocument/2006/relationships/hyperlink" Target="https://eur-lex.europa.eu/legal-content/EN/TXT/?qid=1521710451861&amp;uri=CELEX:32009L0018" TargetMode="External"/><Relationship Id="rId493" Type="http://schemas.openxmlformats.org/officeDocument/2006/relationships/hyperlink" Target="http://curia.europa.eu/juris/liste.jsf?language=en&amp;jur=C,T,F&amp;num=C-382/17&amp;td=ALL" TargetMode="External"/><Relationship Id="rId507" Type="http://schemas.openxmlformats.org/officeDocument/2006/relationships/hyperlink" Target="https://eur-lex.europa.eu/legal-content/EN/TXT/?qid=1521714062056&amp;uri=CELEX:32012R0748" TargetMode="External"/><Relationship Id="rId528" Type="http://schemas.openxmlformats.org/officeDocument/2006/relationships/hyperlink" Target="https://eur-lex.europa.eu/legal-content/EN/TXT/?qid=1521714448170&amp;uri=CELEX:32014L0045" TargetMode="External"/><Relationship Id="rId549" Type="http://schemas.openxmlformats.org/officeDocument/2006/relationships/hyperlink" Target="http://curia.europa.eu/juris/liste.jsf?language=en&amp;jur=C,T,F&amp;num=C-616/15&amp;td=ALL" TargetMode="External"/><Relationship Id="rId50" Type="http://schemas.openxmlformats.org/officeDocument/2006/relationships/hyperlink" Target="https://eur-lex.europa.eu/legal-content/EN/TXT/?qid=1521645147090&amp;uri=CELEX:32003L0088" TargetMode="External"/><Relationship Id="rId104" Type="http://schemas.openxmlformats.org/officeDocument/2006/relationships/hyperlink" Target="http://europa.eu/rapid/press-release_MEMO-17-4767_en.htm" TargetMode="External"/><Relationship Id="rId125" Type="http://schemas.openxmlformats.org/officeDocument/2006/relationships/hyperlink" Target="https://eur-lex.europa.eu/legal-content/EN/TXT/?qid=1521726926379&amp;uri=CELEX:32008L0050" TargetMode="External"/><Relationship Id="rId146" Type="http://schemas.openxmlformats.org/officeDocument/2006/relationships/hyperlink" Target="https://eur-lex.europa.eu/legal-content/EN/TXT/?qid=1521728020270&amp;uri=CELEX:31991L0271" TargetMode="External"/><Relationship Id="rId167" Type="http://schemas.openxmlformats.org/officeDocument/2006/relationships/hyperlink" Target="http://europa.eu/rapid/press-release_IP-17-1048_en.htm" TargetMode="External"/><Relationship Id="rId188" Type="http://schemas.openxmlformats.org/officeDocument/2006/relationships/hyperlink" Target="https://eur-lex.europa.eu/legal-content/EN/TXT/?qid=1521730167006&amp;uri=CELEX:32006L0118" TargetMode="External"/><Relationship Id="rId311" Type="http://schemas.openxmlformats.org/officeDocument/2006/relationships/hyperlink" Target="http://eur-lex.europa.eu/legal-content/EN/TXT/?qid=1521730329760&amp;uri=CELEX:32005L0036" TargetMode="External"/><Relationship Id="rId332" Type="http://schemas.openxmlformats.org/officeDocument/2006/relationships/hyperlink" Target="http://europa.eu/rapid/press-release_IP-17-2205_en.htm" TargetMode="External"/><Relationship Id="rId353" Type="http://schemas.openxmlformats.org/officeDocument/2006/relationships/hyperlink" Target="https://curia.europa.eu/jcms/upload/docs/application/pdf/2017-10/cp170106en.pdf" TargetMode="External"/><Relationship Id="rId374" Type="http://schemas.openxmlformats.org/officeDocument/2006/relationships/hyperlink" Target="https://eur-lex.europa.eu/legal-content/EN/TXT/?qid=1521801711862&amp;uri=CELEX:32015L0637" TargetMode="External"/><Relationship Id="rId395" Type="http://schemas.openxmlformats.org/officeDocument/2006/relationships/hyperlink" Target="https://eur-lex.europa.eu/legal-content/EN/TXT/?uri=celex%3A32015D1601" TargetMode="External"/><Relationship Id="rId409" Type="http://schemas.openxmlformats.org/officeDocument/2006/relationships/hyperlink" Target="http://curia.europa.eu/juris/liste.jsf?pro=&amp;nat=or&amp;oqp=&amp;dates=&amp;lg=&amp;language=en&amp;jur=C%2CT%2CF&amp;cit=none%252CC%252CCJ%252CR%252C2008E%252C%252C%252C%252C%252C%252C%252C%252C%252C%252Ctrue%252Cfalse%252Cfalse&amp;num=C-718%252F17&amp;td=%3BALL&amp;pcs=Oor&amp;avg=&amp;page=1&amp;mat=or&amp;jge=&amp;for=&amp;cid=165378" TargetMode="External"/><Relationship Id="rId560" Type="http://schemas.openxmlformats.org/officeDocument/2006/relationships/hyperlink" Target="http://europa.eu/rapid/press-release_IP-14-809_en.htm" TargetMode="External"/><Relationship Id="rId581" Type="http://schemas.openxmlformats.org/officeDocument/2006/relationships/hyperlink" Target="https://eur-lex.europa.eu/legal-content/EN/TXT/?qid=1521717247417&amp;uri=CELEX:32015L2376" TargetMode="External"/><Relationship Id="rId71" Type="http://schemas.openxmlformats.org/officeDocument/2006/relationships/hyperlink" Target="https://eur-lex.europa.eu/legal-content/EN/TXT/?qid=1521646247233&amp;uri=CELEX:32012L0027" TargetMode="External"/><Relationship Id="rId92" Type="http://schemas.openxmlformats.org/officeDocument/2006/relationships/hyperlink" Target="https://eur-lex.europa.eu/legal-content/EN/TXT/?qid=1521717641850&amp;uri=CELEX:32009L0147" TargetMode="External"/><Relationship Id="rId213" Type="http://schemas.openxmlformats.org/officeDocument/2006/relationships/hyperlink" Target="http://curia.europa.eu/juris/liste.jsf?language=en&amp;jur=C,T,F&amp;num=T-306/12&amp;td=ALL" TargetMode="External"/><Relationship Id="rId234" Type="http://schemas.openxmlformats.org/officeDocument/2006/relationships/hyperlink" Target="http://eur-lex.europa.eu/legal-content/EN/TXT/?qid=1521796692402&amp;uri=CELEX:32015L2193" TargetMode="External"/><Relationship Id="rId420" Type="http://schemas.openxmlformats.org/officeDocument/2006/relationships/hyperlink" Target="https://ec.europa.eu/home-affairs/sites/homeaffairs/files/e-library/documents/policies/borders-and-visas/document-security/docs/comm_decision_c_2013_6181_en_.pdf" TargetMode="External"/><Relationship Id="rId2" Type="http://schemas.openxmlformats.org/officeDocument/2006/relationships/hyperlink" Target="http://eur-lex.europa.eu/legal-content/EN/TXT/?qid=1521534649872&amp;uri=CELEX:32015L2203" TargetMode="External"/><Relationship Id="rId29" Type="http://schemas.openxmlformats.org/officeDocument/2006/relationships/hyperlink" Target="http://eur-lex.europa.eu/legal-content/EN/TXT/?qid=1521638736725&amp;uri=CELEX:32014L0112" TargetMode="External"/><Relationship Id="rId255" Type="http://schemas.openxmlformats.org/officeDocument/2006/relationships/hyperlink" Target="http://eur-lex.europa.eu/legal-content/EN/TXT/?qid=1521725685253&amp;uri=CELEX:32017L0593" TargetMode="External"/><Relationship Id="rId276" Type="http://schemas.openxmlformats.org/officeDocument/2006/relationships/hyperlink" Target="http://eur-lex.europa.eu/legal-content/EN/TXT/?qid=1490090982542&amp;uri=CELEX:32014L0017" TargetMode="External"/><Relationship Id="rId297" Type="http://schemas.openxmlformats.org/officeDocument/2006/relationships/hyperlink" Target="http://curia.europa.eu/juris/liste.jsf?pro=&amp;nat=or&amp;oqp=&amp;dates=&amp;lg=&amp;language=en&amp;jur=C%2CT%2CF&amp;cit=none%252CC%252CCJ%252CR%252C2008E%252C%252C%252C%252C%252C%252C%252C%252C%252C%252Ctrue%252Cfalse%252Cfalse&amp;num=C-668%252F16&amp;td=%3BALL&amp;pcs=Oor&amp;avg=&amp;page=1&amp;mat=or&amp;jge=&amp;for=&amp;cid=697427" TargetMode="External"/><Relationship Id="rId441" Type="http://schemas.openxmlformats.org/officeDocument/2006/relationships/hyperlink" Target="http://curia.europa.eu/juris/liste.jsf?language=en&amp;jur=C,T,F&amp;num=C-184/16&amp;td=ALL" TargetMode="External"/><Relationship Id="rId462" Type="http://schemas.openxmlformats.org/officeDocument/2006/relationships/hyperlink" Target="https://eur-lex.europa.eu/legal-content/EN/TXT/?qid=1521559282344&amp;uri=CELEX:32011L0036" TargetMode="External"/><Relationship Id="rId483" Type="http://schemas.openxmlformats.org/officeDocument/2006/relationships/hyperlink" Target="http://curia.europa.eu/juris/liste.jsf?language=en&amp;jur=C,T,F&amp;num=C-127/17&amp;td=ALL" TargetMode="External"/><Relationship Id="rId518" Type="http://schemas.openxmlformats.org/officeDocument/2006/relationships/hyperlink" Target="http://curia.europa.eu/juris/liste.jsf?language=en&amp;jur=C,T,F&amp;num=C-482/14&amp;td=ALL" TargetMode="External"/><Relationship Id="rId539" Type="http://schemas.openxmlformats.org/officeDocument/2006/relationships/hyperlink" Target="http://curia.europa.eu/juris/liste.jsf?language=en&amp;jur=C,T,F&amp;num=C-416/17&amp;td=ALL" TargetMode="External"/><Relationship Id="rId40" Type="http://schemas.openxmlformats.org/officeDocument/2006/relationships/hyperlink" Target="http://curia.europa.eu/juris/liste.jsf?language=en&amp;jur=C,T,F&amp;num=C-620/15&amp;td=ALL" TargetMode="External"/><Relationship Id="rId115" Type="http://schemas.openxmlformats.org/officeDocument/2006/relationships/hyperlink" Target="http://europa.eu/rapid/press-release_MEMO-17-1936_en.htm" TargetMode="External"/><Relationship Id="rId136" Type="http://schemas.openxmlformats.org/officeDocument/2006/relationships/hyperlink" Target="http://europa.eu/rapid/press-release_MEMO-17-1577_en.htm" TargetMode="External"/><Relationship Id="rId157" Type="http://schemas.openxmlformats.org/officeDocument/2006/relationships/hyperlink" Target="https://eur-lex.europa.eu/legal-content/EN/TXT/?qid=1521728058475&amp;uri=CELEX:32009L0147" TargetMode="External"/><Relationship Id="rId178" Type="http://schemas.openxmlformats.org/officeDocument/2006/relationships/hyperlink" Target="https://eur-lex.europa.eu/legal-content/EN/TXT/?qid=1521729343361&amp;uri=CELEX:32014L0052" TargetMode="External"/><Relationship Id="rId301" Type="http://schemas.openxmlformats.org/officeDocument/2006/relationships/hyperlink" Target="http://europa.eu/rapid/press-release_IP-16-3646_en.htm" TargetMode="External"/><Relationship Id="rId322" Type="http://schemas.openxmlformats.org/officeDocument/2006/relationships/hyperlink" Target="http://curia.europa.eu/juris/liste.jsf?language=en&amp;jur=C,T,F&amp;num=C-49/16&amp;td=ALL" TargetMode="External"/><Relationship Id="rId343" Type="http://schemas.openxmlformats.org/officeDocument/2006/relationships/hyperlink" Target="http://curia.europa.eu/juris/liste.jsf?language=en&amp;jur=C,T,F&amp;num=C-670/15&amp;td=ALL" TargetMode="External"/><Relationship Id="rId364" Type="http://schemas.openxmlformats.org/officeDocument/2006/relationships/hyperlink" Target="http://curia.europa.eu/juris/liste.jsf?language=en&amp;jur=C,T,F&amp;num=C-186/16&amp;td=ALL" TargetMode="External"/><Relationship Id="rId550" Type="http://schemas.openxmlformats.org/officeDocument/2006/relationships/hyperlink" Target="http://europa.eu/rapid/press-release_IP-15-4493_en.htm" TargetMode="External"/><Relationship Id="rId61" Type="http://schemas.openxmlformats.org/officeDocument/2006/relationships/hyperlink" Target="https://eur-lex.europa.eu/LexUriServ/LexUriServ.do?uri=OJ:L:2004:229:0023:0034:EN:PDF" TargetMode="External"/><Relationship Id="rId82" Type="http://schemas.openxmlformats.org/officeDocument/2006/relationships/hyperlink" Target="https://eur-lex.europa.eu/legal-content/EN/TXT/?uri=CELEX%3A32013L0051" TargetMode="External"/><Relationship Id="rId199" Type="http://schemas.openxmlformats.org/officeDocument/2006/relationships/hyperlink" Target="https://eur-lex.europa.eu/legal-content/EN/TXT/?qid=1521731188082&amp;uri=CELEX:32008L0098" TargetMode="External"/><Relationship Id="rId203" Type="http://schemas.openxmlformats.org/officeDocument/2006/relationships/hyperlink" Target="http://curia.europa.eu/juris/liste.jsf?language=en&amp;jur=C,T,F&amp;num=C-320/15&amp;td=ALL" TargetMode="External"/><Relationship Id="rId385" Type="http://schemas.openxmlformats.org/officeDocument/2006/relationships/hyperlink" Target="http://europa.eu/rapid/press-release_MEMO-17-234_en.htm" TargetMode="External"/><Relationship Id="rId571" Type="http://schemas.openxmlformats.org/officeDocument/2006/relationships/hyperlink" Target="https://eur-lex.europa.eu/legal-content/EN/TXT/?qid=1521718381522&amp;uri=CELEX:32011L0096" TargetMode="External"/><Relationship Id="rId19" Type="http://schemas.openxmlformats.org/officeDocument/2006/relationships/hyperlink" Target="http://curia.europa.eu/juris/liste.jsf?pro=&amp;nat=or&amp;oqp=&amp;dates=&amp;lg=&amp;language=en&amp;jur=C%2CT%2CF&amp;cit=none%252CC%252CCJ%252CR%252C2008E%252C%252C%252C%252C%252C%252C%252C%252C%252C%252Ctrue%252Cfalse%252Cfalse&amp;num=C-543%252F17&amp;td=%3BALL&amp;pcs=Oor&amp;avg=&amp;page=1&amp;mat=or&amp;jge=&amp;for=&amp;cid=320339" TargetMode="External"/><Relationship Id="rId224" Type="http://schemas.openxmlformats.org/officeDocument/2006/relationships/hyperlink" Target="http://curia.europa.eu/juris/liste.jsf?language=en&amp;jur=C,T,F&amp;num=C-281/16&amp;td=ALL" TargetMode="External"/><Relationship Id="rId245" Type="http://schemas.openxmlformats.org/officeDocument/2006/relationships/hyperlink" Target="http://eur-lex.europa.eu/legal-content/EN/TXT/?qid=1521648350685&amp;uri=CELEX:32014L0092" TargetMode="External"/><Relationship Id="rId266" Type="http://schemas.openxmlformats.org/officeDocument/2006/relationships/hyperlink" Target="http://eur-lex.europa.eu/legal-content/EN/TXT/?qid=1521726342201&amp;uri=CELEX:32014L0051" TargetMode="External"/><Relationship Id="rId287" Type="http://schemas.openxmlformats.org/officeDocument/2006/relationships/hyperlink" Target="http://eur-lex.europa.eu/legal-content/EN/TXT/?qid=1521728936266&amp;uri=CELEX:32014L0098" TargetMode="External"/><Relationship Id="rId410" Type="http://schemas.openxmlformats.org/officeDocument/2006/relationships/hyperlink" Target="http://europa.eu/rapid/search-result.htm?quickSearch=1&amp;text=IP%2F17%2F5002" TargetMode="External"/><Relationship Id="rId431" Type="http://schemas.openxmlformats.org/officeDocument/2006/relationships/hyperlink" Target="http://europa.eu/rapid/press-release_IP-17-5002_en.htm" TargetMode="External"/><Relationship Id="rId452" Type="http://schemas.openxmlformats.org/officeDocument/2006/relationships/hyperlink" Target="http://curia.europa.eu/juris/liste.jsf?language=en&amp;jur=C,T,F&amp;num=C-578/16&amp;td=ALL" TargetMode="External"/><Relationship Id="rId473" Type="http://schemas.openxmlformats.org/officeDocument/2006/relationships/hyperlink" Target="http://europa.eu/rapid/press-release_MEMO-17-1045_en.htm" TargetMode="External"/><Relationship Id="rId494" Type="http://schemas.openxmlformats.org/officeDocument/2006/relationships/hyperlink" Target="http://europa.eu/rapid/press-release_IP-17-1052_en.htm" TargetMode="External"/><Relationship Id="rId508" Type="http://schemas.openxmlformats.org/officeDocument/2006/relationships/hyperlink" Target="https://eur-lex.europa.eu/legal-content/EN/TXT/?qid=1521714141541&amp;uri=CELEX:32014R1321" TargetMode="External"/><Relationship Id="rId529" Type="http://schemas.openxmlformats.org/officeDocument/2006/relationships/hyperlink" Target="https://eur-lex.europa.eu/legal-content/EN/TXT/?qid=1521714490142&amp;uri=CELEX:32014L0046" TargetMode="External"/><Relationship Id="rId30" Type="http://schemas.openxmlformats.org/officeDocument/2006/relationships/hyperlink" Target="http://eur-lex.europa.eu/legal-content/EN/TXT/?qid=1521638778501&amp;uri=CELEX:32015L1794" TargetMode="External"/><Relationship Id="rId105" Type="http://schemas.openxmlformats.org/officeDocument/2006/relationships/hyperlink" Target="http://europa.eu/rapid/press-release_MEMO-17-4767_en.htm" TargetMode="External"/><Relationship Id="rId126" Type="http://schemas.openxmlformats.org/officeDocument/2006/relationships/hyperlink" Target="http://europa.eu/rapid/press-release_IP-17-238_en.htm" TargetMode="External"/><Relationship Id="rId147" Type="http://schemas.openxmlformats.org/officeDocument/2006/relationships/hyperlink" Target="http://curia.europa.eu/juris/liste.jsf?language=en&amp;jur=C,T,F&amp;num=C-427/17&amp;td=ALL" TargetMode="External"/><Relationship Id="rId168" Type="http://schemas.openxmlformats.org/officeDocument/2006/relationships/hyperlink" Target="https://eur-lex.europa.eu/legal-content/EN/TXT/?qid=1521729104609&amp;uri=CELEX:31992L0043" TargetMode="External"/><Relationship Id="rId312" Type="http://schemas.openxmlformats.org/officeDocument/2006/relationships/hyperlink" Target="https://eur-lex.europa.eu/legal-content/EN/TXT/?qid=1521804913849&amp;uri=CELEX:32013L0029" TargetMode="External"/><Relationship Id="rId333" Type="http://schemas.openxmlformats.org/officeDocument/2006/relationships/hyperlink" Target="http://europa.eu/rapid/press-release_IP-17-3186_en.htm" TargetMode="External"/><Relationship Id="rId354" Type="http://schemas.openxmlformats.org/officeDocument/2006/relationships/hyperlink" Target="https://eur-lex.europa.eu/legal-content/EN/TXT/?qid=1521803518467&amp;uri=CELEX:32004L0038" TargetMode="External"/><Relationship Id="rId540" Type="http://schemas.openxmlformats.org/officeDocument/2006/relationships/hyperlink" Target="http://europa.eu/rapid/press-release_IP-16-4216_en.htm" TargetMode="External"/><Relationship Id="rId51" Type="http://schemas.openxmlformats.org/officeDocument/2006/relationships/hyperlink" Target="http://curia.europa.eu/juris/liste.jsf?language=en&amp;jur=C,T,F&amp;num=C-175/16&amp;td=ALL" TargetMode="External"/><Relationship Id="rId72" Type="http://schemas.openxmlformats.org/officeDocument/2006/relationships/hyperlink" Target="http://europa.eu/rapid/press-release_MEMO-17-3494_en.htm" TargetMode="External"/><Relationship Id="rId93" Type="http://schemas.openxmlformats.org/officeDocument/2006/relationships/hyperlink" Target="https://eur-lex.europa.eu/legal-content/EN/TXT/?qid=1521717677904&amp;uri=CELEX:32007L0060" TargetMode="External"/><Relationship Id="rId189" Type="http://schemas.openxmlformats.org/officeDocument/2006/relationships/hyperlink" Target="https://eur-lex.europa.eu/legal-content/EN/TXT/?qid=1521730204782&amp;uri=CELEX:32008L0056" TargetMode="External"/><Relationship Id="rId375" Type="http://schemas.openxmlformats.org/officeDocument/2006/relationships/hyperlink" Target="https://eur-lex.europa.eu/legal-content/EN/TXT/?qid=1521801660303&amp;uri=CELEX:32011L0083" TargetMode="External"/><Relationship Id="rId396" Type="http://schemas.openxmlformats.org/officeDocument/2006/relationships/hyperlink" Target="http://europa.eu/rapid/press-release_IP-17-5002_en.htm" TargetMode="External"/><Relationship Id="rId561" Type="http://schemas.openxmlformats.org/officeDocument/2006/relationships/hyperlink" Target="http://europa.eu/rapid/press-release_MEMO-14-470_en.htm" TargetMode="External"/><Relationship Id="rId582" Type="http://schemas.openxmlformats.org/officeDocument/2006/relationships/hyperlink" Target="https://eur-lex.europa.eu/legal-content/EN/TXT/?qid=1521717344436&amp;uri=CELEX:32016L0881" TargetMode="External"/><Relationship Id="rId3" Type="http://schemas.openxmlformats.org/officeDocument/2006/relationships/hyperlink" Target="http://curia.europa.eu/juris/liste.jsf?pro=&amp;nat=or&amp;oqp=&amp;dates=&amp;lg=&amp;language=en&amp;jur=C%2CT%2CF&amp;cit=none%252CC%252CCJ%252CR%252C2008E%252C%252C%252C%252C%252C%252C%252C%252C%252C%252Ctrue%252Cfalse%252Cfalse&amp;num=C-422%252F16&amp;td=%3BALL&amp;pcs=Oor&amp;avg=&amp;page=1&amp;mat=or&amp;jge=&amp;for=&amp;cid=316764" TargetMode="External"/><Relationship Id="rId214" Type="http://schemas.openxmlformats.org/officeDocument/2006/relationships/hyperlink" Target="https://eur-lex.europa.eu/legal-content/EN/TXT/?qid=1521730879871&amp;uri=CELEX:31991L0271" TargetMode="External"/><Relationship Id="rId235" Type="http://schemas.openxmlformats.org/officeDocument/2006/relationships/hyperlink" Target="http://eur-lex.europa.eu/legal-content/EN/TXT/?qid=1521796720827&amp;uri=CELEX:32010L0075" TargetMode="External"/><Relationship Id="rId256" Type="http://schemas.openxmlformats.org/officeDocument/2006/relationships/hyperlink" Target="http://eur-lex.europa.eu/legal-content/EN/TXT/?qid=1521726081155&amp;uri=CELEX:32014L0017" TargetMode="External"/><Relationship Id="rId277" Type="http://schemas.openxmlformats.org/officeDocument/2006/relationships/hyperlink" Target="http://eur-lex.europa.eu/legal-content/EN/TXT/?qid=1521648350685&amp;uri=CELEX:32014L0092" TargetMode="External"/><Relationship Id="rId298" Type="http://schemas.openxmlformats.org/officeDocument/2006/relationships/hyperlink" Target="http://europa.eu/rapid/press-release_IP-15-6290_en.htm" TargetMode="External"/><Relationship Id="rId400" Type="http://schemas.openxmlformats.org/officeDocument/2006/relationships/hyperlink" Target="http://europa.eu/rapid/press-release_MEMO-17-234_en.htm" TargetMode="External"/><Relationship Id="rId421" Type="http://schemas.openxmlformats.org/officeDocument/2006/relationships/hyperlink" Target="https://ec.europa.eu/home-affairs/sites/homeaffairs/files/e-library/documents/policies/borders-and-visas/document-security/docs/comm_decision_c_2013_6178_en.pdf" TargetMode="External"/><Relationship Id="rId442" Type="http://schemas.openxmlformats.org/officeDocument/2006/relationships/hyperlink" Target="http://curia.europa.eu/juris/liste.jsf?pro=&amp;nat=or&amp;oqp=&amp;dates=&amp;lg=&amp;language=en&amp;jur=C%2CT%2CF&amp;cit=none%252CC%252CCJ%252CR%252C2008E%252C%252C%252C%252C%252C%252C%252C%252C%252C%252Ctrue%252Cfalse%252Cfalse&amp;td=%3BALL&amp;pcs=Oor&amp;avg=&amp;page=1&amp;mat=or&amp;parties=Lopez%2BPastuzano&amp;jge=&amp;for=&amp;cid=313238" TargetMode="External"/><Relationship Id="rId463" Type="http://schemas.openxmlformats.org/officeDocument/2006/relationships/hyperlink" Target="https://eur-lex.europa.eu/legal-content/EN/TXT/?qid=1521559222267&amp;uri=CELEX:32014L0042" TargetMode="External"/><Relationship Id="rId484" Type="http://schemas.openxmlformats.org/officeDocument/2006/relationships/hyperlink" Target="http://europa.eu/rapid/press-release_IP-16-3649_en.htm" TargetMode="External"/><Relationship Id="rId519" Type="http://schemas.openxmlformats.org/officeDocument/2006/relationships/hyperlink" Target="https://eur-lex.europa.eu/legal-content/EN/TXT/?qid=1521713752023&amp;uri=CELEX:32005L0065" TargetMode="External"/><Relationship Id="rId116" Type="http://schemas.openxmlformats.org/officeDocument/2006/relationships/hyperlink" Target="http://europa.eu/rapid/press-release_MEMO-17-3494_en.htm" TargetMode="External"/><Relationship Id="rId137" Type="http://schemas.openxmlformats.org/officeDocument/2006/relationships/hyperlink" Target="http://europa.eu/rapid/press-release_MEMO-17-3494_en.htm" TargetMode="External"/><Relationship Id="rId158" Type="http://schemas.openxmlformats.org/officeDocument/2006/relationships/hyperlink" Target="http://curia.europa.eu/juris/liste.jsf?language=en&amp;jur=C,T,F&amp;num=C-441/17&amp;td=ALL" TargetMode="External"/><Relationship Id="rId302" Type="http://schemas.openxmlformats.org/officeDocument/2006/relationships/hyperlink" Target="http://europa.eu/rapid/press-release_MEMO-16-3644_en.htm" TargetMode="External"/><Relationship Id="rId323" Type="http://schemas.openxmlformats.org/officeDocument/2006/relationships/hyperlink" Target="http://curia.europa.eu/juris/liste.jsf?language=en&amp;jur=C,T,F&amp;num=C-368/15&amp;td=ALL" TargetMode="External"/><Relationship Id="rId344" Type="http://schemas.openxmlformats.org/officeDocument/2006/relationships/hyperlink" Target="https://eur-lex.europa.eu/legal-content/EN/TXT/?qid=1521802833117&amp;uri=CELEX:32010R1259" TargetMode="External"/><Relationship Id="rId530" Type="http://schemas.openxmlformats.org/officeDocument/2006/relationships/hyperlink" Target="https://eur-lex.europa.eu/legal-content/EN/TXT/?qid=1521714522375&amp;uri=CELEX:32014L0047" TargetMode="External"/><Relationship Id="rId20" Type="http://schemas.openxmlformats.org/officeDocument/2006/relationships/hyperlink" Target="http://europa.eu/rapid/press-release_IP-17-1937_en.htm" TargetMode="External"/><Relationship Id="rId41" Type="http://schemas.openxmlformats.org/officeDocument/2006/relationships/hyperlink" Target="http://eur-lex.europa.eu/legal-content/EN/TXT/?qid=1521639170607&amp;uri=CELEX:32001L0023" TargetMode="External"/><Relationship Id="rId62" Type="http://schemas.openxmlformats.org/officeDocument/2006/relationships/hyperlink" Target="https://eur-lex.europa.eu/legal-content/EN/TXT/?qid=1521645264908&amp;uri=CELEX:32014L0050" TargetMode="External"/><Relationship Id="rId83" Type="http://schemas.openxmlformats.org/officeDocument/2006/relationships/hyperlink" Target="http://curia.europa.eu/juris/liste.jsf?language=en&amp;jur=C,T,F&amp;num=C-347/16&amp;td=ALL" TargetMode="External"/><Relationship Id="rId179" Type="http://schemas.openxmlformats.org/officeDocument/2006/relationships/hyperlink" Target="https://eur-lex.europa.eu/legal-content/EN/TXT/?qid=1521729299747&amp;uri=CELEX:32011L0092" TargetMode="External"/><Relationship Id="rId365" Type="http://schemas.openxmlformats.org/officeDocument/2006/relationships/hyperlink" Target="https://curia.europa.eu/jcms/upload/docs/application/pdf/2017-09/cp170103en.pdf" TargetMode="External"/><Relationship Id="rId386" Type="http://schemas.openxmlformats.org/officeDocument/2006/relationships/hyperlink" Target="https://eur-lex.europa.eu/legal-content/EN/TXT/?qid=1521541398292&amp;uri=CELEX:32014L0089" TargetMode="External"/><Relationship Id="rId551" Type="http://schemas.openxmlformats.org/officeDocument/2006/relationships/hyperlink" Target="http://curia.europa.eu/juris/liste.jsf?language=en&amp;jur=C,T,F&amp;num=C-552/15&amp;td=ALL" TargetMode="External"/><Relationship Id="rId572" Type="http://schemas.openxmlformats.org/officeDocument/2006/relationships/hyperlink" Target="http://curia.europa.eu/juris/liste.jsf?language=en&amp;jur=C,T,F&amp;num=C-365/16&amp;td=ALL" TargetMode="External"/><Relationship Id="rId190" Type="http://schemas.openxmlformats.org/officeDocument/2006/relationships/hyperlink" Target="https://eur-lex.europa.eu/legal-content/EN/TXT/?qid=1521730383957&amp;uri=CELEX:32008L0098" TargetMode="External"/><Relationship Id="rId204" Type="http://schemas.openxmlformats.org/officeDocument/2006/relationships/hyperlink" Target="https://eur-lex.europa.eu/legal-content/EN/TXT/?qid=1521731341351&amp;uri=CELEX:32008L0098" TargetMode="External"/><Relationship Id="rId225" Type="http://schemas.openxmlformats.org/officeDocument/2006/relationships/hyperlink" Target="http://curia.europa.eu/juris/liste.jsf?language=en&amp;jur=C,T,F&amp;num=C-664/15&amp;td=ALL" TargetMode="External"/><Relationship Id="rId246" Type="http://schemas.openxmlformats.org/officeDocument/2006/relationships/hyperlink" Target="http://eur-lex.europa.eu/legal-content/EN/TXT/?qid=1521648883435&amp;uri=CELEX:32014L0056" TargetMode="External"/><Relationship Id="rId267" Type="http://schemas.openxmlformats.org/officeDocument/2006/relationships/hyperlink" Target="http://eur-lex.europa.eu/legal-content/EN/TXT/?qid=1521726408366&amp;uri=CELEX:32013L0034" TargetMode="External"/><Relationship Id="rId288" Type="http://schemas.openxmlformats.org/officeDocument/2006/relationships/hyperlink" Target="http://eur-lex.europa.eu/legal-content/EN/TXT/?qid=1521729180400&amp;uri=CELEX:32008L0120" TargetMode="External"/><Relationship Id="rId411" Type="http://schemas.openxmlformats.org/officeDocument/2006/relationships/hyperlink" Target="http://curia.europa.eu/juris/liste.jsf?pro=&amp;nat=or&amp;oqp=&amp;dates=&amp;lg=&amp;language=en&amp;jur=C%2CT%2CF&amp;cit=none%252CC%252CCJ%252CR%252C2008E%252C%252C%252C%252C%252C%252C%252C%252C%252C%252Ctrue%252Cfalse%252Cfalse&amp;num=C-719%252F17&amp;td=%3BALL&amp;pcs=Oor&amp;avg=&amp;page=1&amp;mat=or&amp;jge=&amp;for=&amp;cid=165378" TargetMode="External"/><Relationship Id="rId432" Type="http://schemas.openxmlformats.org/officeDocument/2006/relationships/hyperlink" Target="http://curia.europa.eu/juris/liste.jsf?language=en&amp;jur=C,T,F&amp;num=C-643/15&amp;td=ALL" TargetMode="External"/><Relationship Id="rId453" Type="http://schemas.openxmlformats.org/officeDocument/2006/relationships/hyperlink" Target="http://curia.europa.eu/juris/liste.jsf?language=en&amp;jur=C,T,F&amp;num=C-203/15&amp;td=ALL" TargetMode="External"/><Relationship Id="rId474" Type="http://schemas.openxmlformats.org/officeDocument/2006/relationships/hyperlink" Target="https://eur-lex.europa.eu/legal-content/EN/TXT/?qid=1521710666696&amp;uri=CELEX:32009L0012" TargetMode="External"/><Relationship Id="rId509" Type="http://schemas.openxmlformats.org/officeDocument/2006/relationships/hyperlink" Target="https://eur-lex.europa.eu/legal-content/EN/TXT/?qid=1521713969409&amp;uri=CELEX:32014L0094" TargetMode="External"/><Relationship Id="rId106" Type="http://schemas.openxmlformats.org/officeDocument/2006/relationships/hyperlink" Target="http://europa.eu/rapid/press-release_MEMO-17-3494_en.htm" TargetMode="External"/><Relationship Id="rId127" Type="http://schemas.openxmlformats.org/officeDocument/2006/relationships/hyperlink" Target="http://europa.eu/rapid/press-release_MEMO-17-3494_en.htm" TargetMode="External"/><Relationship Id="rId313" Type="http://schemas.openxmlformats.org/officeDocument/2006/relationships/hyperlink" Target="https://eur-lex.europa.eu/legal-content/EN/TXT/?qid=1521804955173&amp;uri=CELEX:32014L0025" TargetMode="External"/><Relationship Id="rId495" Type="http://schemas.openxmlformats.org/officeDocument/2006/relationships/hyperlink" Target="https://eur-lex.europa.eu/legal-content/EN/TXT/?qid=1521712792665&amp;uri=CELEX:32014L0045" TargetMode="External"/><Relationship Id="rId10" Type="http://schemas.openxmlformats.org/officeDocument/2006/relationships/hyperlink" Target="http://eur-lex.europa.eu/legal-content/EN/TXT/?qid=1521535927288&amp;uri=CELEX:32014R0210" TargetMode="External"/><Relationship Id="rId31" Type="http://schemas.openxmlformats.org/officeDocument/2006/relationships/hyperlink" Target="http://eur-lex.europa.eu/legal-content/EN/TXT/?qid=1521638810522&amp;uri=CELEX:32015L1794" TargetMode="External"/><Relationship Id="rId52" Type="http://schemas.openxmlformats.org/officeDocument/2006/relationships/hyperlink" Target="https://eur-lex.europa.eu/legal-content/EN/TXT/?qid=1521645147090&amp;uri=CELEX:32003L0088" TargetMode="External"/><Relationship Id="rId73" Type="http://schemas.openxmlformats.org/officeDocument/2006/relationships/hyperlink" Target="https://eur-lex.europa.eu/legal-content/EN/TXT/?qid=1521646133018&amp;uri=CELEX:32009L0028" TargetMode="External"/><Relationship Id="rId94" Type="http://schemas.openxmlformats.org/officeDocument/2006/relationships/hyperlink" Target="https://eur-lex.europa.eu/legal-content/EN/TXT/?qid=1521717711169&amp;uri=CELEX:32000L0060" TargetMode="External"/><Relationship Id="rId148" Type="http://schemas.openxmlformats.org/officeDocument/2006/relationships/hyperlink" Target="http://europa.eu/rapid/press-release_IP-17-236_en.htm" TargetMode="External"/><Relationship Id="rId169" Type="http://schemas.openxmlformats.org/officeDocument/2006/relationships/hyperlink" Target="http://curia.europa.eu/juris/liste.jsf?language=en&amp;jur=C,T,F&amp;num=C-669/16&amp;td=ALL" TargetMode="External"/><Relationship Id="rId334" Type="http://schemas.openxmlformats.org/officeDocument/2006/relationships/hyperlink" Target="http://europa.eu/rapid/press-release_IP-17-5367_en.htm" TargetMode="External"/><Relationship Id="rId355" Type="http://schemas.openxmlformats.org/officeDocument/2006/relationships/hyperlink" Target="http://curia.europa.eu/juris/liste.jsf?language=en&amp;jur=C,T,F&amp;num=C-193/16&amp;td=ALL" TargetMode="External"/><Relationship Id="rId376" Type="http://schemas.openxmlformats.org/officeDocument/2006/relationships/hyperlink" Target="https://eur-lex.europa.eu/legal-content/EN/TXT/?qid=1521801595596&amp;uri=CELEX:32005L0029" TargetMode="External"/><Relationship Id="rId397" Type="http://schemas.openxmlformats.org/officeDocument/2006/relationships/hyperlink" Target="http://eur-lex.europa.eu/legal-content/EN/TXT/?uri=celex%3A32008D0615" TargetMode="External"/><Relationship Id="rId520" Type="http://schemas.openxmlformats.org/officeDocument/2006/relationships/hyperlink" Target="http://curia.europa.eu/juris/liste.jsf?language=en&amp;jur=C,T,F&amp;num=C-58/16&amp;td=ALL" TargetMode="External"/><Relationship Id="rId541" Type="http://schemas.openxmlformats.org/officeDocument/2006/relationships/hyperlink" Target="http://curia.europa.eu/juris/liste.jsf?language=en&amp;jur=C,T,F&amp;num=C-310/09&amp;td=ALL" TargetMode="External"/><Relationship Id="rId562" Type="http://schemas.openxmlformats.org/officeDocument/2006/relationships/hyperlink" Target="https://eur-lex.europa.eu/legal-content/EN/TXT/?qid=1521724410897&amp;uri=CELEX:32008L0118" TargetMode="External"/><Relationship Id="rId4" Type="http://schemas.openxmlformats.org/officeDocument/2006/relationships/hyperlink" Target="https://curia.europa.eu/jcms/upload/docs/application/pdf/2017-06/cp170063en.pdf" TargetMode="External"/><Relationship Id="rId180" Type="http://schemas.openxmlformats.org/officeDocument/2006/relationships/hyperlink" Target="https://eur-lex.europa.eu/legal-content/EN/TXT/?qid=1521729257306&amp;uri=CELEX:32015L1480" TargetMode="External"/><Relationship Id="rId215" Type="http://schemas.openxmlformats.org/officeDocument/2006/relationships/hyperlink" Target="http://curia.europa.eu/juris/liste.jsf?language=en&amp;jur=C,T,F&amp;num=C-502/15&amp;td=ALL" TargetMode="External"/><Relationship Id="rId236" Type="http://schemas.openxmlformats.org/officeDocument/2006/relationships/hyperlink" Target="http://eur-lex.europa.eu/legal-content/EN/TXT/?qid=1521795762551&amp;uri=CELEX:32013L0039" TargetMode="External"/><Relationship Id="rId257" Type="http://schemas.openxmlformats.org/officeDocument/2006/relationships/hyperlink" Target="http://curia.europa.eu/juris/liste.jsf?pro=&amp;lgrec=en&amp;nat=or&amp;oqp=&amp;dates=&amp;lg=&amp;language=en&amp;jur=C%2CT%2CF&amp;cit=none%252CC%252CCJ%252CR%252C2008E%252C%252C%252C%252C%252C%252C%252C%252C%252C%252Ctrue%252Cfalse%252Cfalse&amp;num=C-569%252F17&amp;td=%3BALL&amp;pcs=Oor&amp;avg=&amp;page=1&amp;mat=or&amp;jge=&amp;for=&amp;cid=669053" TargetMode="External"/><Relationship Id="rId278" Type="http://schemas.openxmlformats.org/officeDocument/2006/relationships/hyperlink" Target="http://eur-lex.europa.eu/legal-content/EN/TXT/?qid=1521648963663&amp;uri=CELEX:32014L0095" TargetMode="External"/><Relationship Id="rId401" Type="http://schemas.openxmlformats.org/officeDocument/2006/relationships/hyperlink" Target="http://europa.eu/rapid/press-release_MEMO-17-1577_en.htm" TargetMode="External"/><Relationship Id="rId422" Type="http://schemas.openxmlformats.org/officeDocument/2006/relationships/hyperlink" Target="https://eur-lex.europa.eu/legal-content/EN/TXT/?qid=1521545327221&amp;uri=CELEX:32014L0036" TargetMode="External"/><Relationship Id="rId443" Type="http://schemas.openxmlformats.org/officeDocument/2006/relationships/hyperlink" Target="http://curia.europa.eu/juris/liste.jsf?language=en&amp;jur=C,T,F&amp;num=,%20C-348/16&amp;td=ALL" TargetMode="External"/><Relationship Id="rId464" Type="http://schemas.openxmlformats.org/officeDocument/2006/relationships/hyperlink" Target="https://eur-lex.europa.eu/legal-content/EN/TXT/?qid=1521559155488&amp;uri=CELEX:32011L0093" TargetMode="External"/><Relationship Id="rId303" Type="http://schemas.openxmlformats.org/officeDocument/2006/relationships/hyperlink" Target="https://eur-lex.europa.eu/legal-content/EN/TXT/?qid=1521801422419&amp;uri=CELEX:32004L0018" TargetMode="External"/><Relationship Id="rId485" Type="http://schemas.openxmlformats.org/officeDocument/2006/relationships/hyperlink" Target="http://europa.eu/rapid/press-release_MEMO-16-3644_en.htm" TargetMode="External"/><Relationship Id="rId42" Type="http://schemas.openxmlformats.org/officeDocument/2006/relationships/hyperlink" Target="http://curia.europa.eu/juris/liste.jsf?language=en&amp;jur=C,T,F&amp;num=C-126/16&amp;td=ALL" TargetMode="External"/><Relationship Id="rId84" Type="http://schemas.openxmlformats.org/officeDocument/2006/relationships/hyperlink" Target="http://curia.europa.eu/juris/liste.jsf?language=en&amp;jur=C,T,F&amp;num=C-215/16&amp;td=ALL" TargetMode="External"/><Relationship Id="rId138" Type="http://schemas.openxmlformats.org/officeDocument/2006/relationships/hyperlink" Target="https://eur-lex.europa.eu/legal-content/EN/TXT/?qid=1521727414745&amp;uri=CELEX:32012L0018" TargetMode="External"/><Relationship Id="rId345" Type="http://schemas.openxmlformats.org/officeDocument/2006/relationships/hyperlink" Target="http://curia.europa.eu/juris/liste.jsf?language=en&amp;jur=C,T,F&amp;num=C-372/16&amp;td=ALL" TargetMode="External"/><Relationship Id="rId387" Type="http://schemas.openxmlformats.org/officeDocument/2006/relationships/hyperlink" Target="https://eur-lex.europa.eu/legal-content/EN/TXT/?qid=1521541529261&amp;uri=CELEX:32006R1997" TargetMode="External"/><Relationship Id="rId510" Type="http://schemas.openxmlformats.org/officeDocument/2006/relationships/hyperlink" Target="https://eur-lex.europa.eu/legal-content/EN/TXT/?qid=1521712514840&amp;uri=CELEX:32012L0034" TargetMode="External"/><Relationship Id="rId552" Type="http://schemas.openxmlformats.org/officeDocument/2006/relationships/hyperlink" Target="http://europa.eu/rapid/press-release_IP-15-5355_en.htm" TargetMode="External"/><Relationship Id="rId191" Type="http://schemas.openxmlformats.org/officeDocument/2006/relationships/hyperlink" Target="https://eur-lex.europa.eu/legal-content/EN/TXT/?qid=1521730507562&amp;uri=CELEX:32008L0056" TargetMode="External"/><Relationship Id="rId205" Type="http://schemas.openxmlformats.org/officeDocument/2006/relationships/hyperlink" Target="http://curia.europa.eu/juris/liste.jsf?language=en&amp;jur=C,T,F&amp;num=C-563/15&amp;td=ALL" TargetMode="External"/><Relationship Id="rId247" Type="http://schemas.openxmlformats.org/officeDocument/2006/relationships/hyperlink" Target="http://eur-lex.europa.eu/legal-content/EN/TXT/?qid=1521648963663&amp;uri=CELEX:32014L0095" TargetMode="External"/><Relationship Id="rId412" Type="http://schemas.openxmlformats.org/officeDocument/2006/relationships/hyperlink" Target="http://europa.eu/rapid/press-release_IP-17-5002_en.htm" TargetMode="External"/><Relationship Id="rId107" Type="http://schemas.openxmlformats.org/officeDocument/2006/relationships/hyperlink" Target="http://europa.eu/rapid/press-release_MEMO-17-234_en.htm" TargetMode="External"/><Relationship Id="rId289" Type="http://schemas.openxmlformats.org/officeDocument/2006/relationships/hyperlink" Target="http://eur-lex.europa.eu/legal-content/EN/TXT/?qid=1521729250734&amp;uri=CELEX:32009R1107" TargetMode="External"/><Relationship Id="rId454" Type="http://schemas.openxmlformats.org/officeDocument/2006/relationships/hyperlink" Target="http://curia.europa.eu/juris/liste.jsf?language=en&amp;jur=C,T,F&amp;num=C-698/15&amp;td=ALL" TargetMode="External"/><Relationship Id="rId496" Type="http://schemas.openxmlformats.org/officeDocument/2006/relationships/hyperlink" Target="https://eur-lex.europa.eu/legal-content/EN/TXT/?qid=1521712903049&amp;uri=CELEX:32014L0046" TargetMode="External"/><Relationship Id="rId11" Type="http://schemas.openxmlformats.org/officeDocument/2006/relationships/hyperlink" Target="http://eur-lex.europa.eu/legal-content/EN/TXT/?qid=1521537233088&amp;uri=CELEX:32014L0026" TargetMode="External"/><Relationship Id="rId53" Type="http://schemas.openxmlformats.org/officeDocument/2006/relationships/hyperlink" Target="http://curia.europa.eu/juris/liste.jsf?language=en&amp;jur=C,T,F&amp;num=C-214/16&amp;td=ALL" TargetMode="External"/><Relationship Id="rId149" Type="http://schemas.openxmlformats.org/officeDocument/2006/relationships/hyperlink" Target="https://eur-lex.europa.eu/legal-content/EN/TXT/?qid=1521728058475&amp;uri=CELEX:32009L0147" TargetMode="External"/><Relationship Id="rId314" Type="http://schemas.openxmlformats.org/officeDocument/2006/relationships/hyperlink" Target="https://eur-lex.europa.eu/legal-content/EN/TXT/?qid=1521805063651&amp;uri=CELEX:32014L0024" TargetMode="External"/><Relationship Id="rId356" Type="http://schemas.openxmlformats.org/officeDocument/2006/relationships/hyperlink" Target="https://eur-lex.europa.eu/legal-content/EN/TXT/?qid=1521803600976&amp;uri=CELEX:32004R0805" TargetMode="External"/><Relationship Id="rId398" Type="http://schemas.openxmlformats.org/officeDocument/2006/relationships/hyperlink" Target="http://eur-lex.europa.eu/LexUriServ/LexUriServ.do?uri=OJ:L:2008:210:0012:0072:EN:PDF" TargetMode="External"/><Relationship Id="rId521" Type="http://schemas.openxmlformats.org/officeDocument/2006/relationships/hyperlink" Target="https://eur-lex.europa.eu/legal-content/EN/TXT/?qid=1521713721769&amp;uri=CELEX:32006L0126" TargetMode="External"/><Relationship Id="rId563" Type="http://schemas.openxmlformats.org/officeDocument/2006/relationships/hyperlink" Target="http://curia.europa.eu/juris/liste.jsf?language=en&amp;jur=C,T,F&amp;num=C-580/15&amp;td=ALL" TargetMode="External"/><Relationship Id="rId95" Type="http://schemas.openxmlformats.org/officeDocument/2006/relationships/hyperlink" Target="https://eur-lex.europa.eu/legal-content/EN/TXT/?qid=1521717781508&amp;uri=CELEX:32008L0056" TargetMode="External"/><Relationship Id="rId160" Type="http://schemas.openxmlformats.org/officeDocument/2006/relationships/hyperlink" Target="http://curia.europa.eu/juris/liste.jsf?language=en&amp;jur=C,T,F&amp;num=C-441/17%20R&amp;td=ALL" TargetMode="External"/><Relationship Id="rId216" Type="http://schemas.openxmlformats.org/officeDocument/2006/relationships/hyperlink" Target="https://eur-lex.europa.eu/legal-content/EN/TXT/?qid=1521731667240&amp;uri=CELEX:32006R1907" TargetMode="External"/><Relationship Id="rId423" Type="http://schemas.openxmlformats.org/officeDocument/2006/relationships/hyperlink" Target="https://eur-lex.europa.eu/legal-content/EN/TXT/?qid=1521557526511&amp;uri=CELEX:32013L0040" TargetMode="External"/><Relationship Id="rId258" Type="http://schemas.openxmlformats.org/officeDocument/2006/relationships/hyperlink" Target="http://europa.eu/rapid/press-release_IP-17-1049_en.htm" TargetMode="External"/><Relationship Id="rId465" Type="http://schemas.openxmlformats.org/officeDocument/2006/relationships/hyperlink" Target="https://eur-lex.europa.eu/legal-content/EN/TXT/?qid=1521559003601&amp;uri=CELEX:32013L0040" TargetMode="External"/><Relationship Id="rId22" Type="http://schemas.openxmlformats.org/officeDocument/2006/relationships/hyperlink" Target="http://eur-lex.europa.eu/legal-content/EN/TXT/?qid=1521638085056&amp;uri=CELEX:51989PC0552" TargetMode="External"/><Relationship Id="rId64" Type="http://schemas.openxmlformats.org/officeDocument/2006/relationships/hyperlink" Target="https://eur-lex.europa.eu/legal-content/EN/TXT/?qid=1521645883308&amp;uri=CELEX:32013L0051" TargetMode="External"/><Relationship Id="rId118" Type="http://schemas.openxmlformats.org/officeDocument/2006/relationships/hyperlink" Target="http://europa.eu/rapid/press-release_MEMO-17-1280_en.htm" TargetMode="External"/><Relationship Id="rId325" Type="http://schemas.openxmlformats.org/officeDocument/2006/relationships/hyperlink" Target="http://curia.europa.eu/juris/liste.jsf?language=en&amp;jur=C,T,F&amp;num=C-591/15&amp;td=ALL" TargetMode="External"/><Relationship Id="rId367" Type="http://schemas.openxmlformats.org/officeDocument/2006/relationships/hyperlink" Target="http://curia.europa.eu/juris/liste.jsf?language=en&amp;jur=C,T,F&amp;num=C-165/16&amp;td=ALL" TargetMode="External"/><Relationship Id="rId532" Type="http://schemas.openxmlformats.org/officeDocument/2006/relationships/hyperlink" Target="http://europa.eu/rapid/press-release_MEMO-17-234_en.htm" TargetMode="External"/><Relationship Id="rId574" Type="http://schemas.openxmlformats.org/officeDocument/2006/relationships/hyperlink" Target="http://curia.europa.eu/juris/liste.jsf?language=en&amp;jur=C,T,F&amp;num=C-59/16&amp;td=ALL" TargetMode="External"/><Relationship Id="rId171" Type="http://schemas.openxmlformats.org/officeDocument/2006/relationships/hyperlink" Target="https://eur-lex.europa.eu/legal-content/EN/TXT/?qid=1521729140296&amp;uri=CELEX:31991L0271" TargetMode="External"/><Relationship Id="rId227" Type="http://schemas.openxmlformats.org/officeDocument/2006/relationships/hyperlink" Target="http://curia.europa.eu/juris/liste.jsf?language=en&amp;jur=C,T,F&amp;num=C-529/15&amp;td=ALL" TargetMode="External"/><Relationship Id="rId269" Type="http://schemas.openxmlformats.org/officeDocument/2006/relationships/hyperlink" Target="https://eur-lex.europa.eu/legal-content/EN/ALL/?uri=CELEX:32007L0064" TargetMode="External"/><Relationship Id="rId434" Type="http://schemas.openxmlformats.org/officeDocument/2006/relationships/hyperlink" Target="https://curia.europa.eu/jcms/upload/docs/application/pdf/2017-09/cp170091en.pdf" TargetMode="External"/><Relationship Id="rId476" Type="http://schemas.openxmlformats.org/officeDocument/2006/relationships/hyperlink" Target="https://eur-lex.europa.eu/legal-content/EN/TXT/?qid=1521710384515&amp;uri=CELEX:31996L0071" TargetMode="External"/><Relationship Id="rId33" Type="http://schemas.openxmlformats.org/officeDocument/2006/relationships/hyperlink" Target="http://eur-lex.europa.eu/legal-content/EN/TXT/?qid=1521638895462&amp;uri=CELEX:32003L0088" TargetMode="External"/><Relationship Id="rId129" Type="http://schemas.openxmlformats.org/officeDocument/2006/relationships/hyperlink" Target="https://eur-lex.europa.eu/legal-content/EN/TXT/?qid=1521726823958&amp;uri=CELEX:32007L0060" TargetMode="External"/><Relationship Id="rId280" Type="http://schemas.openxmlformats.org/officeDocument/2006/relationships/hyperlink" Target="http://eur-lex.europa.eu/legal-content/EN/TXT/?qid=1521728572712&amp;uri=CELEX:32014L0096" TargetMode="External"/><Relationship Id="rId336" Type="http://schemas.openxmlformats.org/officeDocument/2006/relationships/hyperlink" Target="https://eur-lex.europa.eu/legal-content/EN/TXT/?qid=1521804065893&amp;uri=CELEX:32015L0849" TargetMode="External"/><Relationship Id="rId501" Type="http://schemas.openxmlformats.org/officeDocument/2006/relationships/hyperlink" Target="https://eur-lex.europa.eu/legal-content/EN/TXT/?qid=1521712669727&amp;uri=CELEX:32000L0059" TargetMode="External"/><Relationship Id="rId543" Type="http://schemas.openxmlformats.org/officeDocument/2006/relationships/hyperlink" Target="http://europa.eu/rapid/press-release_IP-14-810_en.htm" TargetMode="External"/><Relationship Id="rId75" Type="http://schemas.openxmlformats.org/officeDocument/2006/relationships/hyperlink" Target="http://eur-lex.europa.eu/legal-content/EN/TXT/?qid=1487785667576&amp;uri=CELEX:32013L0051" TargetMode="External"/><Relationship Id="rId140" Type="http://schemas.openxmlformats.org/officeDocument/2006/relationships/hyperlink" Target="https://eur-lex.europa.eu/legal-content/EN/TXT/?qid=1521727517957&amp;uri=CELEX:31979L0409" TargetMode="External"/><Relationship Id="rId182" Type="http://schemas.openxmlformats.org/officeDocument/2006/relationships/hyperlink" Target="https://eur-lex.europa.eu/legal-content/EN/TXT/?qid=1521729863117&amp;uri=CELEX:32015L0720" TargetMode="External"/><Relationship Id="rId378" Type="http://schemas.openxmlformats.org/officeDocument/2006/relationships/hyperlink" Target="https://eur-lex.europa.eu/legal-content/EN/TXT/?uri=celex%3A32010L0064" TargetMode="External"/><Relationship Id="rId403" Type="http://schemas.openxmlformats.org/officeDocument/2006/relationships/hyperlink" Target="http://eur-lex.europa.eu/LexUriServ/LexUriServ.do?uri=OJ:L:2006:386:0089:0100:EN:PDF" TargetMode="External"/><Relationship Id="rId6" Type="http://schemas.openxmlformats.org/officeDocument/2006/relationships/hyperlink" Target="https://curia.europa.eu/jcms/upload/docs/application/pdf/2017-12/cp170139en.pdf" TargetMode="External"/><Relationship Id="rId238" Type="http://schemas.openxmlformats.org/officeDocument/2006/relationships/hyperlink" Target="http://curia.europa.eu/juris/liste.jsf?language=en&amp;jur=C,T,F&amp;num=C-323/13&amp;td=ALL" TargetMode="External"/><Relationship Id="rId445" Type="http://schemas.openxmlformats.org/officeDocument/2006/relationships/hyperlink" Target="http://curia.europa.eu/juris/liste.jsf?language=en&amp;jur=C,T,F&amp;num=C-158/14&amp;td=ALL" TargetMode="External"/><Relationship Id="rId487" Type="http://schemas.openxmlformats.org/officeDocument/2006/relationships/hyperlink" Target="http://curia.europa.eu/juris/liste.jsf?language=en&amp;jur=C,T,F&amp;num=C-170/17&amp;td=ALL" TargetMode="External"/><Relationship Id="rId291" Type="http://schemas.openxmlformats.org/officeDocument/2006/relationships/hyperlink" Target="http://eur-lex.europa.eu/legal-content/EN/TXT/?qid=1521730037551&amp;uri=CELEX:32011L0007" TargetMode="External"/><Relationship Id="rId305" Type="http://schemas.openxmlformats.org/officeDocument/2006/relationships/hyperlink" Target="http://europa.eu/rapid/press-release_IP-17-1284_en.htm" TargetMode="External"/><Relationship Id="rId347" Type="http://schemas.openxmlformats.org/officeDocument/2006/relationships/hyperlink" Target="https://eur-lex.europa.eu/legal-content/EN/TXT/?qid=1521802961567&amp;uri=CELEX:32011L0083" TargetMode="External"/><Relationship Id="rId512" Type="http://schemas.openxmlformats.org/officeDocument/2006/relationships/hyperlink" Target="https://eur-lex.europa.eu/legal-content/EN/TXT/?qid=1521713630037&amp;uri=CELEX:32015L0719" TargetMode="External"/><Relationship Id="rId44" Type="http://schemas.openxmlformats.org/officeDocument/2006/relationships/hyperlink" Target="http://curia.europa.eu/juris/liste.jsf?language=en&amp;jur=C,T,F&amp;num=C-149/16&amp;td=ALL" TargetMode="External"/><Relationship Id="rId86" Type="http://schemas.openxmlformats.org/officeDocument/2006/relationships/hyperlink" Target="http://curia.europa.eu/juris/liste.jsf?language=en&amp;jur=C,T,F&amp;num=C-4/16&amp;td=ALL" TargetMode="External"/><Relationship Id="rId151" Type="http://schemas.openxmlformats.org/officeDocument/2006/relationships/hyperlink" Target="http://europa.eu/rapid/press-release_IP-16-4213_en.htm" TargetMode="External"/><Relationship Id="rId389" Type="http://schemas.openxmlformats.org/officeDocument/2006/relationships/hyperlink" Target="https://eur-lex.europa.eu/legal-content/EN/TXT/?qid=1521541720492&amp;uri=CELEX:32009R1224" TargetMode="External"/><Relationship Id="rId554" Type="http://schemas.openxmlformats.org/officeDocument/2006/relationships/hyperlink" Target="http://curia.europa.eu/juris/liste.jsf?language=en&amp;jur=C,T,F&amp;num=C-98/16&amp;td=ALL" TargetMode="External"/><Relationship Id="rId193" Type="http://schemas.openxmlformats.org/officeDocument/2006/relationships/hyperlink" Target="https://eur-lex.europa.eu/legal-content/EN/TXT/?qid=1521730572724&amp;uri=CELEX:32007L0060" TargetMode="External"/><Relationship Id="rId207" Type="http://schemas.openxmlformats.org/officeDocument/2006/relationships/hyperlink" Target="https://curia.europa.eu/jcms/upload/docs/application/pdf/2017-11/cp170122en.pdf" TargetMode="External"/><Relationship Id="rId249" Type="http://schemas.openxmlformats.org/officeDocument/2006/relationships/hyperlink" Target="http://curia.europa.eu/juris/liste.jsf?pro=&amp;lgrec=en&amp;nat=or&amp;oqp=&amp;dates=&amp;lg=&amp;language=en&amp;jur=C%2CT%2CF&amp;cit=none%252CC%252CCJ%252CR%252C2008E%252C%252C%252C%252C%252C%252C%252C%252C%252C%252Ctrue%252Cfalse%252Cfalse&amp;num=C-599%252F17&amp;td=%3BALL&amp;pcs=Oor&amp;avg=&amp;page=1&amp;mat=or&amp;jge=&amp;for=&amp;cid=544240" TargetMode="External"/><Relationship Id="rId414" Type="http://schemas.openxmlformats.org/officeDocument/2006/relationships/hyperlink" Target="https://eur-lex.europa.eu/legal-content/EN/TXT/?qid=1521544737025&amp;uri=CELEX:32014L0066" TargetMode="External"/><Relationship Id="rId456" Type="http://schemas.openxmlformats.org/officeDocument/2006/relationships/hyperlink" Target="https://eur-lex.europa.eu/legal-content/EN/TXT/?qid=1521558932801&amp;uri=CELEX:32016L0681" TargetMode="External"/><Relationship Id="rId498" Type="http://schemas.openxmlformats.org/officeDocument/2006/relationships/hyperlink" Target="http://eur-lex.europa.eu/legal-content/EN/TXT/?qid=1490114240720&amp;uri=CELEX:32014L0085" TargetMode="External"/><Relationship Id="rId13" Type="http://schemas.openxmlformats.org/officeDocument/2006/relationships/hyperlink" Target="http://europa.eu/rapid/press-release_MEMO-17-3494_en.htm" TargetMode="External"/><Relationship Id="rId109" Type="http://schemas.openxmlformats.org/officeDocument/2006/relationships/hyperlink" Target="http://europa.eu/rapid/press-release_MEMO-17-1281_en.htm" TargetMode="External"/><Relationship Id="rId260" Type="http://schemas.openxmlformats.org/officeDocument/2006/relationships/hyperlink" Target="http://curia.europa.eu/juris/liste.jsf?pro=&amp;nat=or&amp;oqp=&amp;dates=&amp;lg=&amp;language=en&amp;jur=C%2CT%2CF&amp;cit=none%252CC%252CCJ%252CR%252C2008E%252C%252C%252C%252C%252C%252C%252C%252C%252C%252Ctrue%252Cfalse%252Cfalse&amp;num=C-381%252F17&amp;td=%3BALL&amp;pcs=Oor&amp;avg=&amp;page=1&amp;mat=or&amp;jge=&amp;for=&amp;cid=669053" TargetMode="External"/><Relationship Id="rId316" Type="http://schemas.openxmlformats.org/officeDocument/2006/relationships/hyperlink" Target="http://curia.europa.eu/juris/liste.jsf?language=en&amp;jur=C,T,F&amp;num=C-392/15&amp;td=ALL" TargetMode="External"/><Relationship Id="rId523" Type="http://schemas.openxmlformats.org/officeDocument/2006/relationships/hyperlink" Target="http://curia.europa.eu/juris/liste.jsf?language=en&amp;jur=C,T,F&amp;num=C-315/15&amp;td=ALL" TargetMode="External"/><Relationship Id="rId55" Type="http://schemas.openxmlformats.org/officeDocument/2006/relationships/hyperlink" Target="https://eur-lex.europa.eu/legal-content/EN/TXT/?qid=1521645235758&amp;uri=CELEX:32014L0067" TargetMode="External"/><Relationship Id="rId97" Type="http://schemas.openxmlformats.org/officeDocument/2006/relationships/hyperlink" Target="https://eur-lex.europa.eu/legal-content/EN/TXT/?qid=1521717847392&amp;uri=CELEX:32010L0075" TargetMode="External"/><Relationship Id="rId120" Type="http://schemas.openxmlformats.org/officeDocument/2006/relationships/hyperlink" Target="http://europa.eu/rapid/press-release_MEMO-17-4767_en.htm" TargetMode="External"/><Relationship Id="rId358" Type="http://schemas.openxmlformats.org/officeDocument/2006/relationships/hyperlink" Target="http://curia.europa.eu/juris/liste.jsf?language=en&amp;jur=C,T,F&amp;num=C-551/15&amp;td=ALL" TargetMode="External"/><Relationship Id="rId565" Type="http://schemas.openxmlformats.org/officeDocument/2006/relationships/hyperlink" Target="http://curia.europa.eu/juris/liste.jsf?language=en&amp;jur=C,T,F&amp;num=C-68/15&amp;td=ALL" TargetMode="External"/><Relationship Id="rId162" Type="http://schemas.openxmlformats.org/officeDocument/2006/relationships/hyperlink" Target="https://eur-lex.europa.eu/legal-content/EN/TXT/?qid=1521729060706&amp;uri=CELEX:31999L0031" TargetMode="External"/><Relationship Id="rId218" Type="http://schemas.openxmlformats.org/officeDocument/2006/relationships/hyperlink" Target="https://eur-lex.europa.eu/legal-content/EN/TXT/?qid=1521731613439&amp;uri=CELEX:32008L0098" TargetMode="External"/><Relationship Id="rId425" Type="http://schemas.openxmlformats.org/officeDocument/2006/relationships/hyperlink" Target="https://eur-lex.europa.eu/legal-content/EN/TXT/?qid=1521556819808&amp;uri=CELEX:32011L0051" TargetMode="External"/><Relationship Id="rId467" Type="http://schemas.openxmlformats.org/officeDocument/2006/relationships/hyperlink" Target="http://curia.europa.eu/juris/liste.jsf?language=en&amp;jur=C,T,F&amp;num=C-403/16.&amp;td=ALL" TargetMode="External"/><Relationship Id="rId271" Type="http://schemas.openxmlformats.org/officeDocument/2006/relationships/hyperlink" Target="http://eur-lex.europa.eu/legal-content/EN/TXT/?qid=1521726579388&amp;uri=CELEX:32015L2366" TargetMode="External"/><Relationship Id="rId24" Type="http://schemas.openxmlformats.org/officeDocument/2006/relationships/hyperlink" Target="http://eur-lex.europa.eu/legal-content/EN/TXT/?qid=1521638229980&amp;uri=CELEX:32001L0029" TargetMode="External"/><Relationship Id="rId66" Type="http://schemas.openxmlformats.org/officeDocument/2006/relationships/hyperlink" Target="https://eur-lex.europa.eu/legal-content/EN/TXT/?qid=1521645914219&amp;uri=CELEX:32011L0070" TargetMode="External"/><Relationship Id="rId131" Type="http://schemas.openxmlformats.org/officeDocument/2006/relationships/hyperlink" Target="http://europa.eu/rapid/press-release_MEMO-17-3494_en.htm" TargetMode="External"/><Relationship Id="rId327" Type="http://schemas.openxmlformats.org/officeDocument/2006/relationships/hyperlink" Target="https://eur-lex.europa.eu/legal-content/EN/TXT/?qid=1521804838872&amp;uri=CELEX:32014L0055" TargetMode="External"/><Relationship Id="rId369" Type="http://schemas.openxmlformats.org/officeDocument/2006/relationships/hyperlink" Target="https://eur-lex.europa.eu/legal-content/EN/TXT/?qid=1521802090718&amp;uri=CELEX:32016R0679" TargetMode="External"/><Relationship Id="rId534" Type="http://schemas.openxmlformats.org/officeDocument/2006/relationships/hyperlink" Target="https://eur-lex.europa.eu/legal-content/EN/TXT/?qid=1521718810158&amp;uri=CELEX:32003L0096" TargetMode="External"/><Relationship Id="rId576" Type="http://schemas.openxmlformats.org/officeDocument/2006/relationships/hyperlink" Target="http://curia.europa.eu/juris/liste.jsf?language=en&amp;jur=C,T,F&amp;num=C-666/15&amp;td=ALL" TargetMode="External"/><Relationship Id="rId173" Type="http://schemas.openxmlformats.org/officeDocument/2006/relationships/hyperlink" Target="http://europa.eu/rapid/press-release_MEMO-16-3644_en.htm" TargetMode="External"/><Relationship Id="rId229" Type="http://schemas.openxmlformats.org/officeDocument/2006/relationships/hyperlink" Target="http://eur-lex.europa.eu/legal-content/EN/TXT/?qid=1521796294615&amp;uri=CELEX:32015L0720" TargetMode="External"/><Relationship Id="rId380" Type="http://schemas.openxmlformats.org/officeDocument/2006/relationships/hyperlink" Target="http://curia.europa.eu/juris/liste.jsf?language=en&amp;jur=C,T,F&amp;num=C-221/17&amp;td=ALL" TargetMode="External"/><Relationship Id="rId436" Type="http://schemas.openxmlformats.org/officeDocument/2006/relationships/hyperlink" Target="http://curia.europa.eu/juris/liste.jsf?language=en&amp;jur=C,T,F&amp;num=C-638/16&amp;td=ALL" TargetMode="External"/><Relationship Id="rId240" Type="http://schemas.openxmlformats.org/officeDocument/2006/relationships/hyperlink" Target="https://eur-lex.europa.eu/legal-content/EN/TXT/?qid=1521734252338&amp;uri=CELEX:32009L0147" TargetMode="External"/><Relationship Id="rId478" Type="http://schemas.openxmlformats.org/officeDocument/2006/relationships/hyperlink" Target="https://eur-lex.europa.eu/legal-content/EN/TXT/?qid=1521711910407&amp;uri=CELEX:32009R1071" TargetMode="External"/><Relationship Id="rId35" Type="http://schemas.openxmlformats.org/officeDocument/2006/relationships/hyperlink" Target="http://eur-lex.europa.eu/legal-content/EN/TXT/?qid=1521638895462&amp;uri=CELEX:32003L0088" TargetMode="External"/><Relationship Id="rId77" Type="http://schemas.openxmlformats.org/officeDocument/2006/relationships/hyperlink" Target="https://eur-lex.europa.eu/legal-content/EN/TXT/?qid=1521646290769&amp;uri=CELEX:32010L0031" TargetMode="External"/><Relationship Id="rId100" Type="http://schemas.openxmlformats.org/officeDocument/2006/relationships/hyperlink" Target="http://europa.eu/rapid/press-release_MEMO-17-234_en.htm" TargetMode="External"/><Relationship Id="rId282" Type="http://schemas.openxmlformats.org/officeDocument/2006/relationships/hyperlink" Target="http://eur-lex.europa.eu/legal-content/EN/TXT/?qid=1521728936266&amp;uri=CELEX:32014L0098" TargetMode="External"/><Relationship Id="rId338" Type="http://schemas.openxmlformats.org/officeDocument/2006/relationships/hyperlink" Target="https://eur-lex.europa.eu/legal-content/EN/TXT/?qid=1521804218473&amp;uri=CELEX:32005L0029" TargetMode="External"/><Relationship Id="rId503" Type="http://schemas.openxmlformats.org/officeDocument/2006/relationships/hyperlink" Target="https://eur-lex.europa.eu/legal-content/EN/TXT/?qid=1521712401484&amp;uri=CELEX:32015L2087" TargetMode="External"/><Relationship Id="rId545" Type="http://schemas.openxmlformats.org/officeDocument/2006/relationships/hyperlink" Target="https://eur-lex.europa.eu/legal-content/EN/TXT/?qid=1521724229366&amp;uri=CELEX:32015L2376" TargetMode="External"/><Relationship Id="rId8" Type="http://schemas.openxmlformats.org/officeDocument/2006/relationships/hyperlink" Target="https://curia.europa.eu/jcms/upload/docs/application/pdf/2017-11/cp170120en.pdf" TargetMode="External"/><Relationship Id="rId142" Type="http://schemas.openxmlformats.org/officeDocument/2006/relationships/hyperlink" Target="http://europa.eu/rapid/press-release_IP-16-2491_en.htm" TargetMode="External"/><Relationship Id="rId184" Type="http://schemas.openxmlformats.org/officeDocument/2006/relationships/hyperlink" Target="https://eur-lex.europa.eu/legal-content/EN/TXT/?qid=1521729966539&amp;uri=CELEX:32016L0774" TargetMode="External"/><Relationship Id="rId391" Type="http://schemas.openxmlformats.org/officeDocument/2006/relationships/hyperlink" Target="https://eur-lex.europa.eu/legal-content/EN/TXT/?qid=1521542236586&amp;uri=CELEX:32013R1380" TargetMode="External"/><Relationship Id="rId405" Type="http://schemas.openxmlformats.org/officeDocument/2006/relationships/hyperlink" Target="https://eur-lex.europa.eu/legal-content/EN/TXT/?uri=OJ%3AJOL_2015_239_R_0011" TargetMode="External"/><Relationship Id="rId447" Type="http://schemas.openxmlformats.org/officeDocument/2006/relationships/hyperlink" Target="http://curia.europa.eu/juris/liste.jsf?language=en&amp;jur=C,T,F&amp;num=C-201/16&amp;td=ALL" TargetMode="External"/><Relationship Id="rId251" Type="http://schemas.openxmlformats.org/officeDocument/2006/relationships/hyperlink" Target="http://curia.europa.eu/juris/liste.jsf?pro=&amp;lgrec=en&amp;nat=or&amp;oqp=&amp;dates=&amp;lg=&amp;language=en&amp;jur=C%2CT%2CF&amp;cit=none%252CC%252CCJ%252CR%252C2008E%252C%252C%252C%252C%252C%252C%252C%252C%252C%252Ctrue%252Cfalse%252Cfalse&amp;num=C-235%252F17&amp;td=%3BALL&amp;pcs=Oor&amp;avg=&amp;page=1&amp;mat=or&amp;jge=&amp;for=&amp;cid=544240" TargetMode="External"/><Relationship Id="rId489" Type="http://schemas.openxmlformats.org/officeDocument/2006/relationships/hyperlink" Target="https://eur-lex.europa.eu/legal-content/EN/TXT/?qid=1521712069202&amp;uri=CELEX:32009L0015" TargetMode="External"/><Relationship Id="rId46" Type="http://schemas.openxmlformats.org/officeDocument/2006/relationships/hyperlink" Target="http://curia.europa.eu/juris/liste.jsf?language=en&amp;jur=C,T,F&amp;num=C-306/16&amp;td=ALL" TargetMode="External"/><Relationship Id="rId293" Type="http://schemas.openxmlformats.org/officeDocument/2006/relationships/hyperlink" Target="http://eur-lex.europa.eu/legal-content/EN/TXT/?qid=1521730329760&amp;uri=CELEX:32005L0036" TargetMode="External"/><Relationship Id="rId307" Type="http://schemas.openxmlformats.org/officeDocument/2006/relationships/hyperlink" Target="http://curia.europa.eu/juris/liste.jsf?language=en&amp;jur=C,T,F&amp;num=C-171/17&amp;td=ALL" TargetMode="External"/><Relationship Id="rId349" Type="http://schemas.openxmlformats.org/officeDocument/2006/relationships/hyperlink" Target="https://curia.europa.eu/jcms/upload/docs/application/pdf/2017-03/cp170021en.pdf" TargetMode="External"/><Relationship Id="rId514" Type="http://schemas.openxmlformats.org/officeDocument/2006/relationships/hyperlink" Target="http://curia.europa.eu/juris/liste.jsf?language=en&amp;jur=C,T,F&amp;num=C-576/13&amp;td=ALL" TargetMode="External"/><Relationship Id="rId556" Type="http://schemas.openxmlformats.org/officeDocument/2006/relationships/hyperlink" Target="http://curia.europa.eu/juris/liste.jsf?language=en&amp;jur=C,T,F&amp;num=C-274/15&amp;td=ALL" TargetMode="External"/><Relationship Id="rId88" Type="http://schemas.openxmlformats.org/officeDocument/2006/relationships/hyperlink" Target="https://eur-lex.europa.eu/legal-content/EN/TXT/?qid=1521717357058&amp;uri=CELEX:32006L0021" TargetMode="External"/><Relationship Id="rId111" Type="http://schemas.openxmlformats.org/officeDocument/2006/relationships/hyperlink" Target="http://europa.eu/rapid/press-release_MEMO-17-3494_en.htm" TargetMode="External"/><Relationship Id="rId153" Type="http://schemas.openxmlformats.org/officeDocument/2006/relationships/hyperlink" Target="https://eur-lex.europa.eu/legal-content/EN/TXT/?qid=1521717466496&amp;uri=CELEX:31999L0031" TargetMode="External"/><Relationship Id="rId195" Type="http://schemas.openxmlformats.org/officeDocument/2006/relationships/hyperlink" Target="https://eur-lex.europa.eu/legal-content/EN/TXT/?qid=1521729815992&amp;uri=CELEX:32008L0050" TargetMode="External"/><Relationship Id="rId209" Type="http://schemas.openxmlformats.org/officeDocument/2006/relationships/hyperlink" Target="https://eur-lex.europa.eu/legal-content/EN/TXT/?qid=1521731341351&amp;uri=CELEX:32008L0098" TargetMode="External"/><Relationship Id="rId360" Type="http://schemas.openxmlformats.org/officeDocument/2006/relationships/hyperlink" Target="http://curia.europa.eu/juris/liste.jsf?language=en&amp;jur=C,T,F&amp;num=C-133/15&amp;td=ALL" TargetMode="External"/><Relationship Id="rId416" Type="http://schemas.openxmlformats.org/officeDocument/2006/relationships/hyperlink" Target="http://curia.europa.eu/juris/liste.jsf?language=en&amp;jur=C,T,F&amp;num=,%20C-564/17,&amp;td=ALL" TargetMode="External"/><Relationship Id="rId220" Type="http://schemas.openxmlformats.org/officeDocument/2006/relationships/hyperlink" Target="http://curia.europa.eu/juris/liste.jsf?language=en&amp;jur=C,T,F&amp;num=C-196/16&amp;td=ALL" TargetMode="External"/><Relationship Id="rId458" Type="http://schemas.openxmlformats.org/officeDocument/2006/relationships/hyperlink" Target="https://eur-lex.europa.eu/legal-content/EN/TXT/?qid=1521559396970&amp;uri=CELEX:32014L0036" TargetMode="External"/><Relationship Id="rId15" Type="http://schemas.openxmlformats.org/officeDocument/2006/relationships/hyperlink" Target="http://eur-lex.europa.eu/legal-content/EN/TXT/?qid=1521537233088&amp;uri=CELEX:32014L0026" TargetMode="External"/><Relationship Id="rId57" Type="http://schemas.openxmlformats.org/officeDocument/2006/relationships/hyperlink" Target="https://eur-lex.europa.eu/legal-content/EN/TXT/?uri=celex:31992L0058" TargetMode="External"/><Relationship Id="rId262" Type="http://schemas.openxmlformats.org/officeDocument/2006/relationships/hyperlink" Target="http://eur-lex.europa.eu/legal-content/EN/TXT/?qid=1521648883435&amp;uri=CELEX:32014L0056" TargetMode="External"/><Relationship Id="rId318" Type="http://schemas.openxmlformats.org/officeDocument/2006/relationships/hyperlink" Target="http://curia.europa.eu/juris/liste.jsf?language=en&amp;jur=C,T,F&amp;num=C-99/16&amp;td=ALL" TargetMode="External"/><Relationship Id="rId525" Type="http://schemas.openxmlformats.org/officeDocument/2006/relationships/hyperlink" Target="http://curia.europa.eu/juris/liste.jsf?language=en&amp;jur=C,T,F&amp;num=C-434/15&amp;td=ALL" TargetMode="External"/><Relationship Id="rId567" Type="http://schemas.openxmlformats.org/officeDocument/2006/relationships/hyperlink" Target="http://curia.europa.eu/juris/liste.jsf?language=en&amp;jur=C,T,F&amp;num=C-529/16&amp;td=ALL" TargetMode="External"/><Relationship Id="rId99" Type="http://schemas.openxmlformats.org/officeDocument/2006/relationships/hyperlink" Target="http://europa.eu/rapid/press-release_MEMO-17-1935_en.htm" TargetMode="External"/><Relationship Id="rId122" Type="http://schemas.openxmlformats.org/officeDocument/2006/relationships/hyperlink" Target="http://europa.eu/rapid/press-release_MEMO-17-1281_en.htm" TargetMode="External"/><Relationship Id="rId164" Type="http://schemas.openxmlformats.org/officeDocument/2006/relationships/hyperlink" Target="http://europa.eu/rapid/press-release_IP-17-237_en.htm" TargetMode="External"/><Relationship Id="rId371" Type="http://schemas.openxmlformats.org/officeDocument/2006/relationships/hyperlink" Target="https://eur-lex.europa.eu/legal-content/EN/TXT/?qid=1521801962016&amp;uri=CELEX:32016L0680" TargetMode="External"/><Relationship Id="rId427" Type="http://schemas.openxmlformats.org/officeDocument/2006/relationships/hyperlink" Target="https://eur-lex.europa.eu/legal-content/EN/TXT/?qid=1521557594364&amp;uri=CELEX:32003R0343" TargetMode="External"/><Relationship Id="rId469" Type="http://schemas.openxmlformats.org/officeDocument/2006/relationships/hyperlink" Target="https://eur-lex.europa.eu/legal-content/EN/TXT/?qid=1521710202203&amp;uri=CELEX:32008L0106" TargetMode="External"/><Relationship Id="rId26" Type="http://schemas.openxmlformats.org/officeDocument/2006/relationships/hyperlink" Target="http://curia.europa.eu/juris/liste.jsf?pro=&amp;nat=or&amp;oqp=&amp;dates=&amp;lg=&amp;language=en&amp;jur=C%2CT%2CF&amp;cit=none%252CC%252CCJ%252CR%252C2008E%252C%252C%252C%252C%252C%252C%252C%252C%252C%252Ctrue%252Cfalse%252Cfalse&amp;num=C-610%252F15&amp;td=%3BALL&amp;pcs=Oor&amp;avg=&amp;page=1&amp;mat=or&amp;jge=&amp;for=&amp;cid=526428" TargetMode="External"/><Relationship Id="rId231" Type="http://schemas.openxmlformats.org/officeDocument/2006/relationships/hyperlink" Target="http://eur-lex.europa.eu/legal-content/EN/TXT/?qid=1521796555881&amp;uri=CELEX:32014L0052" TargetMode="External"/><Relationship Id="rId273" Type="http://schemas.openxmlformats.org/officeDocument/2006/relationships/hyperlink" Target="http://eur-lex.europa.eu/legal-content/EN/TXT/?qid=1490090910552&amp;uri=CELEX:32013L0034" TargetMode="External"/><Relationship Id="rId329" Type="http://schemas.openxmlformats.org/officeDocument/2006/relationships/hyperlink" Target="http://europa.eu/rapid/press-release_IP-17-1982_en.htm" TargetMode="External"/><Relationship Id="rId480" Type="http://schemas.openxmlformats.org/officeDocument/2006/relationships/hyperlink" Target="http://europa.eu/rapid/press-release_IP-16-3651_en.htm" TargetMode="External"/><Relationship Id="rId536" Type="http://schemas.openxmlformats.org/officeDocument/2006/relationships/hyperlink" Target="http://curia.europa.eu/juris/liste.jsf?language=en&amp;jur=C,T,F&amp;num=C-504/17&amp;td=AL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56.xlsx"/><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57.xlsx"/><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Worksheet58.xlsx"/><Relationship Id="rId1" Type="http://schemas.openxmlformats.org/officeDocument/2006/relationships/themeOverride" Target="../theme/themeOverride58.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59.xlsx"/><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Worksheet60.xlsx"/><Relationship Id="rId1" Type="http://schemas.openxmlformats.org/officeDocument/2006/relationships/themeOverride" Target="../theme/themeOverride60.xml"/></Relationships>
</file>

<file path=word/charts/_rels/chart61.xml.rels><?xml version="1.0" encoding="UTF-8" standalone="yes"?>
<Relationships xmlns="http://schemas.openxmlformats.org/package/2006/relationships"><Relationship Id="rId2" Type="http://schemas.openxmlformats.org/officeDocument/2006/relationships/package" Target="../embeddings/Microsoft_Excel_Worksheet61.xlsx"/><Relationship Id="rId1" Type="http://schemas.openxmlformats.org/officeDocument/2006/relationships/themeOverride" Target="../theme/themeOverride61.xml"/></Relationships>
</file>

<file path=word/charts/_rels/chart62.xml.rels><?xml version="1.0" encoding="UTF-8" standalone="yes"?>
<Relationships xmlns="http://schemas.openxmlformats.org/package/2006/relationships"><Relationship Id="rId2" Type="http://schemas.openxmlformats.org/officeDocument/2006/relationships/package" Target="../embeddings/Microsoft_Excel_Worksheet62.xlsx"/><Relationship Id="rId1" Type="http://schemas.openxmlformats.org/officeDocument/2006/relationships/themeOverride" Target="../theme/themeOverride62.xml"/></Relationships>
</file>

<file path=word/charts/_rels/chart63.xml.rels><?xml version="1.0" encoding="UTF-8" standalone="yes"?>
<Relationships xmlns="http://schemas.openxmlformats.org/package/2006/relationships"><Relationship Id="rId2" Type="http://schemas.openxmlformats.org/officeDocument/2006/relationships/package" Target="../embeddings/Microsoft_Excel_Worksheet63.xlsx"/><Relationship Id="rId1" Type="http://schemas.openxmlformats.org/officeDocument/2006/relationships/themeOverride" Target="../theme/themeOverride63.xml"/></Relationships>
</file>

<file path=word/charts/_rels/chart64.xml.rels><?xml version="1.0" encoding="UTF-8" standalone="yes"?>
<Relationships xmlns="http://schemas.openxmlformats.org/package/2006/relationships"><Relationship Id="rId2" Type="http://schemas.openxmlformats.org/officeDocument/2006/relationships/package" Target="../embeddings/Microsoft_Excel_Worksheet64.xlsx"/><Relationship Id="rId1" Type="http://schemas.openxmlformats.org/officeDocument/2006/relationships/themeOverride" Target="../theme/themeOverride64.xml"/></Relationships>
</file>

<file path=word/charts/_rels/chart6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65.xlsx"/><Relationship Id="rId1" Type="http://schemas.openxmlformats.org/officeDocument/2006/relationships/themeOverride" Target="../theme/themeOverride65.xml"/></Relationships>
</file>

<file path=word/charts/_rels/chart66.xml.rels><?xml version="1.0" encoding="UTF-8" standalone="yes"?>
<Relationships xmlns="http://schemas.openxmlformats.org/package/2006/relationships"><Relationship Id="rId2" Type="http://schemas.openxmlformats.org/officeDocument/2006/relationships/package" Target="../embeddings/Microsoft_Excel_Worksheet66.xlsx"/><Relationship Id="rId1" Type="http://schemas.openxmlformats.org/officeDocument/2006/relationships/themeOverride" Target="../theme/themeOverride66.xml"/></Relationships>
</file>

<file path=word/charts/_rels/chart67.xml.rels><?xml version="1.0" encoding="UTF-8" standalone="yes"?>
<Relationships xmlns="http://schemas.openxmlformats.org/package/2006/relationships"><Relationship Id="rId2" Type="http://schemas.openxmlformats.org/officeDocument/2006/relationships/package" Target="../embeddings/Microsoft_Excel_Worksheet67.xlsx"/><Relationship Id="rId1" Type="http://schemas.openxmlformats.org/officeDocument/2006/relationships/themeOverride" Target="../theme/themeOverride67.xml"/></Relationships>
</file>

<file path=word/charts/_rels/chart68.xml.rels><?xml version="1.0" encoding="UTF-8" standalone="yes"?>
<Relationships xmlns="http://schemas.openxmlformats.org/package/2006/relationships"><Relationship Id="rId2" Type="http://schemas.openxmlformats.org/officeDocument/2006/relationships/package" Target="../embeddings/Microsoft_Excel_Worksheet68.xlsx"/><Relationship Id="rId1" Type="http://schemas.openxmlformats.org/officeDocument/2006/relationships/themeOverride" Target="../theme/themeOverride68.xml"/></Relationships>
</file>

<file path=word/charts/_rels/chart69.xml.rels><?xml version="1.0" encoding="UTF-8" standalone="yes"?>
<Relationships xmlns="http://schemas.openxmlformats.org/package/2006/relationships"><Relationship Id="rId2" Type="http://schemas.openxmlformats.org/officeDocument/2006/relationships/package" Target="../embeddings/Microsoft_Excel_Worksheet69.xlsx"/><Relationship Id="rId1" Type="http://schemas.openxmlformats.org/officeDocument/2006/relationships/themeOverride" Target="../theme/themeOverride69.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2" Type="http://schemas.openxmlformats.org/officeDocument/2006/relationships/package" Target="../embeddings/Microsoft_Excel_Worksheet70.xlsx"/><Relationship Id="rId1" Type="http://schemas.openxmlformats.org/officeDocument/2006/relationships/themeOverride" Target="../theme/themeOverride70.xml"/></Relationships>
</file>

<file path=word/charts/_rels/chart71.xml.rels><?xml version="1.0" encoding="UTF-8" standalone="yes"?>
<Relationships xmlns="http://schemas.openxmlformats.org/package/2006/relationships"><Relationship Id="rId2" Type="http://schemas.openxmlformats.org/officeDocument/2006/relationships/package" Target="../embeddings/Microsoft_Excel_Worksheet71.xlsx"/><Relationship Id="rId1" Type="http://schemas.openxmlformats.org/officeDocument/2006/relationships/themeOverride" Target="../theme/themeOverride71.xml"/></Relationships>
</file>

<file path=word/charts/_rels/chart72.xml.rels><?xml version="1.0" encoding="UTF-8" standalone="yes"?>
<Relationships xmlns="http://schemas.openxmlformats.org/package/2006/relationships"><Relationship Id="rId2" Type="http://schemas.openxmlformats.org/officeDocument/2006/relationships/package" Target="../embeddings/Microsoft_Excel_Worksheet72.xlsx"/><Relationship Id="rId1" Type="http://schemas.openxmlformats.org/officeDocument/2006/relationships/themeOverride" Target="../theme/themeOverride72.xml"/></Relationships>
</file>

<file path=word/charts/_rels/chart73.xml.rels><?xml version="1.0" encoding="UTF-8" standalone="yes"?>
<Relationships xmlns="http://schemas.openxmlformats.org/package/2006/relationships"><Relationship Id="rId2" Type="http://schemas.openxmlformats.org/officeDocument/2006/relationships/package" Target="../embeddings/Microsoft_Excel_Worksheet73.xlsx"/><Relationship Id="rId1" Type="http://schemas.openxmlformats.org/officeDocument/2006/relationships/themeOverride" Target="../theme/themeOverride73.xml"/></Relationships>
</file>

<file path=word/charts/_rels/chart74.xml.rels><?xml version="1.0" encoding="UTF-8" standalone="yes"?>
<Relationships xmlns="http://schemas.openxmlformats.org/package/2006/relationships"><Relationship Id="rId2" Type="http://schemas.openxmlformats.org/officeDocument/2006/relationships/package" Target="../embeddings/Microsoft_Excel_Worksheet74.xlsx"/><Relationship Id="rId1" Type="http://schemas.openxmlformats.org/officeDocument/2006/relationships/themeOverride" Target="../theme/themeOverride74.xml"/></Relationships>
</file>

<file path=word/charts/_rels/chart75.xml.rels><?xml version="1.0" encoding="UTF-8" standalone="yes"?>
<Relationships xmlns="http://schemas.openxmlformats.org/package/2006/relationships"><Relationship Id="rId2" Type="http://schemas.openxmlformats.org/officeDocument/2006/relationships/package" Target="../embeddings/Microsoft_Excel_Worksheet75.xlsx"/><Relationship Id="rId1" Type="http://schemas.openxmlformats.org/officeDocument/2006/relationships/themeOverride" Target="../theme/themeOverride75.xml"/></Relationships>
</file>

<file path=word/charts/_rels/chart76.xml.rels><?xml version="1.0" encoding="UTF-8" standalone="yes"?>
<Relationships xmlns="http://schemas.openxmlformats.org/package/2006/relationships"><Relationship Id="rId2" Type="http://schemas.openxmlformats.org/officeDocument/2006/relationships/package" Target="../embeddings/Microsoft_Excel_Worksheet76.xlsx"/><Relationship Id="rId1" Type="http://schemas.openxmlformats.org/officeDocument/2006/relationships/themeOverride" Target="../theme/themeOverride76.xml"/></Relationships>
</file>

<file path=word/charts/_rels/chart77.xml.rels><?xml version="1.0" encoding="UTF-8" standalone="yes"?>
<Relationships xmlns="http://schemas.openxmlformats.org/package/2006/relationships"><Relationship Id="rId2" Type="http://schemas.openxmlformats.org/officeDocument/2006/relationships/package" Target="../embeddings/Microsoft_Excel_Worksheet77.xlsx"/><Relationship Id="rId1" Type="http://schemas.openxmlformats.org/officeDocument/2006/relationships/themeOverride" Target="../theme/themeOverride77.xml"/></Relationships>
</file>

<file path=word/charts/_rels/chart78.xml.rels><?xml version="1.0" encoding="UTF-8" standalone="yes"?>
<Relationships xmlns="http://schemas.openxmlformats.org/package/2006/relationships"><Relationship Id="rId2" Type="http://schemas.openxmlformats.org/officeDocument/2006/relationships/package" Target="../embeddings/Microsoft_Excel_Worksheet78.xlsx"/><Relationship Id="rId1" Type="http://schemas.openxmlformats.org/officeDocument/2006/relationships/themeOverride" Target="../theme/themeOverride78.xml"/></Relationships>
</file>

<file path=word/charts/_rels/chart79.xml.rels><?xml version="1.0" encoding="UTF-8" standalone="yes"?>
<Relationships xmlns="http://schemas.openxmlformats.org/package/2006/relationships"><Relationship Id="rId2" Type="http://schemas.openxmlformats.org/officeDocument/2006/relationships/package" Target="../embeddings/Microsoft_Excel_Worksheet79.xlsx"/><Relationship Id="rId1" Type="http://schemas.openxmlformats.org/officeDocument/2006/relationships/themeOverride" Target="../theme/themeOverride79.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2" Type="http://schemas.openxmlformats.org/officeDocument/2006/relationships/package" Target="../embeddings/Microsoft_Excel_Worksheet80.xlsx"/><Relationship Id="rId1" Type="http://schemas.openxmlformats.org/officeDocument/2006/relationships/themeOverride" Target="../theme/themeOverride80.xml"/></Relationships>
</file>

<file path=word/charts/_rels/chart81.xml.rels><?xml version="1.0" encoding="UTF-8" standalone="yes"?>
<Relationships xmlns="http://schemas.openxmlformats.org/package/2006/relationships"><Relationship Id="rId2" Type="http://schemas.openxmlformats.org/officeDocument/2006/relationships/package" Target="../embeddings/Microsoft_Excel_Worksheet81.xlsx"/><Relationship Id="rId1" Type="http://schemas.openxmlformats.org/officeDocument/2006/relationships/themeOverride" Target="../theme/themeOverride81.xml"/></Relationships>
</file>

<file path=word/charts/_rels/chart82.xml.rels><?xml version="1.0" encoding="UTF-8" standalone="yes"?>
<Relationships xmlns="http://schemas.openxmlformats.org/package/2006/relationships"><Relationship Id="rId2" Type="http://schemas.openxmlformats.org/officeDocument/2006/relationships/package" Target="../embeddings/Microsoft_Excel_Worksheet82.xlsx"/><Relationship Id="rId1" Type="http://schemas.openxmlformats.org/officeDocument/2006/relationships/themeOverride" Target="../theme/themeOverride82.xml"/></Relationships>
</file>

<file path=word/charts/_rels/chart83.xml.rels><?xml version="1.0" encoding="UTF-8" standalone="yes"?>
<Relationships xmlns="http://schemas.openxmlformats.org/package/2006/relationships"><Relationship Id="rId2" Type="http://schemas.openxmlformats.org/officeDocument/2006/relationships/package" Target="../embeddings/Microsoft_Excel_Worksheet83.xlsx"/><Relationship Id="rId1" Type="http://schemas.openxmlformats.org/officeDocument/2006/relationships/themeOverride" Target="../theme/themeOverride83.xml"/></Relationships>
</file>

<file path=word/charts/_rels/chart84.xml.rels><?xml version="1.0" encoding="UTF-8" standalone="yes"?>
<Relationships xmlns="http://schemas.openxmlformats.org/package/2006/relationships"><Relationship Id="rId2" Type="http://schemas.openxmlformats.org/officeDocument/2006/relationships/package" Target="../embeddings/Microsoft_Excel_Worksheet84.xlsx"/><Relationship Id="rId1" Type="http://schemas.openxmlformats.org/officeDocument/2006/relationships/themeOverride" Target="../theme/themeOverride84.xml"/></Relationships>
</file>

<file path=word/charts/_rels/chart85.xml.rels><?xml version="1.0" encoding="UTF-8" standalone="yes"?>
<Relationships xmlns="http://schemas.openxmlformats.org/package/2006/relationships"><Relationship Id="rId2" Type="http://schemas.openxmlformats.org/officeDocument/2006/relationships/package" Target="../embeddings/Microsoft_Excel_Worksheet85.xlsx"/><Relationship Id="rId1" Type="http://schemas.openxmlformats.org/officeDocument/2006/relationships/themeOverride" Target="../theme/themeOverride85.xml"/></Relationships>
</file>

<file path=word/charts/_rels/chart86.xml.rels><?xml version="1.0" encoding="UTF-8" standalone="yes"?>
<Relationships xmlns="http://schemas.openxmlformats.org/package/2006/relationships"><Relationship Id="rId2" Type="http://schemas.openxmlformats.org/officeDocument/2006/relationships/package" Target="../embeddings/Microsoft_Excel_Worksheet86.xlsx"/><Relationship Id="rId1" Type="http://schemas.openxmlformats.org/officeDocument/2006/relationships/themeOverride" Target="../theme/themeOverride86.xml"/></Relationships>
</file>

<file path=word/charts/_rels/chart87.xml.rels><?xml version="1.0" encoding="UTF-8" standalone="yes"?>
<Relationships xmlns="http://schemas.openxmlformats.org/package/2006/relationships"><Relationship Id="rId2" Type="http://schemas.openxmlformats.org/officeDocument/2006/relationships/package" Target="../embeddings/Microsoft_Excel_Worksheet87.xlsx"/><Relationship Id="rId1" Type="http://schemas.openxmlformats.org/officeDocument/2006/relationships/themeOverride" Target="../theme/themeOverride87.xml"/></Relationships>
</file>

<file path=word/charts/_rels/chart88.xml.rels><?xml version="1.0" encoding="UTF-8" standalone="yes"?>
<Relationships xmlns="http://schemas.openxmlformats.org/package/2006/relationships"><Relationship Id="rId2" Type="http://schemas.openxmlformats.org/officeDocument/2006/relationships/package" Target="../embeddings/Microsoft_Excel_Worksheet88.xlsx"/><Relationship Id="rId1" Type="http://schemas.openxmlformats.org/officeDocument/2006/relationships/themeOverride" Target="../theme/themeOverride88.xml"/></Relationships>
</file>

<file path=word/charts/_rels/chart89.xml.rels><?xml version="1.0" encoding="UTF-8" standalone="yes"?>
<Relationships xmlns="http://schemas.openxmlformats.org/package/2006/relationships"><Relationship Id="rId2" Type="http://schemas.openxmlformats.org/officeDocument/2006/relationships/package" Target="../embeddings/Microsoft_Excel_Worksheet89.xlsx"/><Relationship Id="rId1" Type="http://schemas.openxmlformats.org/officeDocument/2006/relationships/themeOverride" Target="../theme/themeOverride89.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90.xml.rels><?xml version="1.0" encoding="UTF-8" standalone="yes"?>
<Relationships xmlns="http://schemas.openxmlformats.org/package/2006/relationships"><Relationship Id="rId2" Type="http://schemas.openxmlformats.org/officeDocument/2006/relationships/package" Target="../embeddings/Microsoft_Excel_Worksheet90.xlsx"/><Relationship Id="rId1" Type="http://schemas.openxmlformats.org/officeDocument/2006/relationships/themeOverride" Target="../theme/themeOverride90.xml"/></Relationships>
</file>

<file path=word/charts/_rels/chart91.xml.rels><?xml version="1.0" encoding="UTF-8" standalone="yes"?>
<Relationships xmlns="http://schemas.openxmlformats.org/package/2006/relationships"><Relationship Id="rId2" Type="http://schemas.openxmlformats.org/officeDocument/2006/relationships/package" Target="../embeddings/Microsoft_Excel_Worksheet91.xlsx"/><Relationship Id="rId1" Type="http://schemas.openxmlformats.org/officeDocument/2006/relationships/themeOverride" Target="../theme/themeOverride91.xml"/></Relationships>
</file>

<file path=word/charts/_rels/chart92.xml.rels><?xml version="1.0" encoding="UTF-8" standalone="yes"?>
<Relationships xmlns="http://schemas.openxmlformats.org/package/2006/relationships"><Relationship Id="rId2" Type="http://schemas.openxmlformats.org/officeDocument/2006/relationships/package" Target="../embeddings/Microsoft_Excel_Worksheet92.xlsx"/><Relationship Id="rId1" Type="http://schemas.openxmlformats.org/officeDocument/2006/relationships/themeOverride" Target="../theme/themeOverride92.xml"/></Relationships>
</file>

<file path=word/charts/_rels/chart93.xml.rels><?xml version="1.0" encoding="UTF-8" standalone="yes"?>
<Relationships xmlns="http://schemas.openxmlformats.org/package/2006/relationships"><Relationship Id="rId2" Type="http://schemas.openxmlformats.org/officeDocument/2006/relationships/package" Target="../embeddings/Microsoft_Excel_Worksheet93.xlsx"/><Relationship Id="rId1" Type="http://schemas.openxmlformats.org/officeDocument/2006/relationships/themeOverride" Target="../theme/themeOverride9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3.9282017259167058E-2"/>
                  <c:y val="7.694626445502643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5F3D-4239-9935-79C13C52F10F}"/>
                </c:ext>
              </c:extLst>
            </c:dLbl>
            <c:dLbl>
              <c:idx val="1"/>
              <c:layout>
                <c:manualLayout>
                  <c:x val="-3.3670033670033669E-2"/>
                  <c:y val="6.63129973474801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5F3D-4239-9935-79C13C52F10F}"/>
                </c:ext>
              </c:extLst>
            </c:dLbl>
            <c:dLbl>
              <c:idx val="2"/>
              <c:layout>
                <c:manualLayout>
                  <c:x val="-3.0864197530864196E-2"/>
                  <c:y val="8.620689655172414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5F3D-4239-9935-79C13C52F10F}"/>
                </c:ext>
              </c:extLst>
            </c:dLbl>
            <c:dLbl>
              <c:idx val="3"/>
              <c:layout>
                <c:manualLayout>
                  <c:x val="-4.217774707394556E-2"/>
                  <c:y val="7.020524994954638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5F3D-4239-9935-79C13C52F10F}"/>
                </c:ext>
              </c:extLst>
            </c:dLbl>
            <c:dLbl>
              <c:idx val="4"/>
              <c:layout>
                <c:manualLayout>
                  <c:x val="-3.8546255506607931E-2"/>
                  <c:y val="7.12435233160621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5F3D-4239-9935-79C13C52F10F}"/>
                </c:ext>
              </c:extLst>
            </c:dLbl>
            <c:spPr>
              <a:noFill/>
              <a:ln w="25365">
                <a:noFill/>
              </a:ln>
            </c:spPr>
            <c:txPr>
              <a:bodyPr rot="0" spcFirstLastPara="1" vertOverflow="ellipsis" vert="horz" wrap="square" lIns="38100" tIns="19050" rIns="38100" bIns="19050" anchor="t" anchorCtr="0">
                <a:spAutoFit/>
              </a:bodyPr>
              <a:lstStyle/>
              <a:p>
                <a:pPr>
                  <a:defRPr sz="899" b="0" i="0" u="none" strike="noStrike" kern="1200" baseline="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98</c:v>
                </c:pt>
                <c:pt idx="1">
                  <c:v>115</c:v>
                </c:pt>
                <c:pt idx="2">
                  <c:v>91</c:v>
                </c:pt>
                <c:pt idx="3">
                  <c:v>105</c:v>
                </c:pt>
                <c:pt idx="4">
                  <c:v>97</c:v>
                </c:pt>
              </c:numCache>
            </c:numRef>
          </c:val>
          <c:smooth val="0"/>
          <c:extLst xmlns:c16r2="http://schemas.microsoft.com/office/drawing/2015/06/chart">
            <c:ext xmlns:c16="http://schemas.microsoft.com/office/drawing/2014/chart" uri="{C3380CC4-5D6E-409C-BE32-E72D297353CC}">
              <c16:uniqueId val="{00000005-5F3D-4239-9935-79C13C52F10F}"/>
            </c:ext>
          </c:extLst>
        </c:ser>
        <c:dLbls>
          <c:showLegendKey val="0"/>
          <c:showVal val="0"/>
          <c:showCatName val="0"/>
          <c:showSerName val="0"/>
          <c:showPercent val="0"/>
          <c:showBubbleSize val="0"/>
        </c:dLbls>
        <c:marker val="1"/>
        <c:smooth val="0"/>
        <c:axId val="74046080"/>
        <c:axId val="74160384"/>
      </c:lineChart>
      <c:catAx>
        <c:axId val="74046080"/>
        <c:scaling>
          <c:orientation val="minMax"/>
        </c:scaling>
        <c:delete val="0"/>
        <c:axPos val="b"/>
        <c:numFmt formatCode="General" sourceLinked="1"/>
        <c:majorTickMark val="none"/>
        <c:minorTickMark val="none"/>
        <c:tickLblPos val="nextTo"/>
        <c:spPr>
          <a:noFill/>
          <a:ln w="1268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74160384"/>
        <c:crosses val="autoZero"/>
        <c:auto val="1"/>
        <c:lblAlgn val="ctr"/>
        <c:lblOffset val="100"/>
        <c:noMultiLvlLbl val="0"/>
      </c:catAx>
      <c:valAx>
        <c:axId val="74160384"/>
        <c:scaling>
          <c:orientation val="minMax"/>
        </c:scaling>
        <c:delete val="1"/>
        <c:axPos val="l"/>
        <c:majorGridlines>
          <c:spPr>
            <a:ln w="9512" cap="flat" cmpd="sng" algn="ctr">
              <a:solidFill>
                <a:schemeClr val="tx1">
                  <a:lumMod val="15000"/>
                  <a:lumOff val="85000"/>
                </a:schemeClr>
              </a:solidFill>
              <a:round/>
            </a:ln>
            <a:effectLst/>
          </c:spPr>
        </c:majorGridlines>
        <c:numFmt formatCode="General" sourceLinked="1"/>
        <c:majorTickMark val="out"/>
        <c:minorTickMark val="none"/>
        <c:tickLblPos val="nextTo"/>
        <c:crossAx val="74046080"/>
        <c:crosses val="autoZero"/>
        <c:crossBetween val="between"/>
      </c:valAx>
      <c:spPr>
        <a:noFill/>
        <a:ln w="25387">
          <a:noFill/>
        </a:ln>
      </c:spPr>
    </c:plotArea>
    <c:plotVisOnly val="1"/>
    <c:dispBlanksAs val="gap"/>
    <c:showDLblsOverMax val="0"/>
  </c:chart>
  <c:spPr>
    <a:solidFill>
      <a:schemeClr val="bg1"/>
    </a:solidFill>
    <a:ln w="951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3.6947562881909903E-2"/>
                  <c:y val="7.614903453902638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BA4F-49B4-B436-12137D1CE3AA}"/>
                </c:ext>
              </c:extLst>
            </c:dLbl>
            <c:dLbl>
              <c:idx val="1"/>
              <c:layout>
                <c:manualLayout>
                  <c:x val="-4.5390311310423946E-2"/>
                  <c:y val="6.964359718193120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BA4F-49B4-B436-12137D1CE3AA}"/>
                </c:ext>
              </c:extLst>
            </c:dLbl>
            <c:dLbl>
              <c:idx val="2"/>
              <c:layout>
                <c:manualLayout>
                  <c:x val="-4.2630944695020906E-2"/>
                  <c:y val="7.070709233678160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BA4F-49B4-B436-12137D1CE3AA}"/>
                </c:ext>
              </c:extLst>
            </c:dLbl>
            <c:dLbl>
              <c:idx val="3"/>
              <c:layout>
                <c:manualLayout>
                  <c:x val="-4.2630944695020906E-2"/>
                  <c:y val="7.614609943961096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BA4F-49B4-B436-12137D1CE3AA}"/>
                </c:ext>
              </c:extLst>
            </c:dLbl>
            <c:dLbl>
              <c:idx val="4"/>
              <c:layout>
                <c:manualLayout>
                  <c:x val="-4.2630944695020906E-2"/>
                  <c:y val="7.070709233678160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BA4F-49B4-B436-12137D1CE3AA}"/>
                </c:ext>
              </c:extLst>
            </c:dLbl>
            <c:spPr>
              <a:noFill/>
              <a:ln w="25306">
                <a:noFill/>
              </a:ln>
            </c:spPr>
            <c:txPr>
              <a:bodyPr rot="0" spcFirstLastPara="1" vertOverflow="ellipsis" vert="horz" wrap="square" lIns="38100" tIns="19050" rIns="38100" bIns="19050" anchor="ctr" anchorCtr="1">
                <a:spAutoFit/>
              </a:bodyPr>
              <a:lstStyle/>
              <a:p>
                <a:pPr>
                  <a:defRPr sz="896"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Blad1!$A$4:$A$8</c:f>
              <c:numCache>
                <c:formatCode>General</c:formatCode>
                <c:ptCount val="5"/>
                <c:pt idx="0">
                  <c:v>2013</c:v>
                </c:pt>
                <c:pt idx="1">
                  <c:v>2014</c:v>
                </c:pt>
                <c:pt idx="2">
                  <c:v>2015</c:v>
                </c:pt>
                <c:pt idx="3">
                  <c:v>2016</c:v>
                </c:pt>
                <c:pt idx="4">
                  <c:v>2017</c:v>
                </c:pt>
              </c:numCache>
            </c:numRef>
          </c:cat>
          <c:val>
            <c:numRef>
              <c:f>Blad1!$B$4:$B$8</c:f>
              <c:numCache>
                <c:formatCode>General</c:formatCode>
                <c:ptCount val="5"/>
                <c:pt idx="0">
                  <c:v>20</c:v>
                </c:pt>
                <c:pt idx="1">
                  <c:v>14</c:v>
                </c:pt>
                <c:pt idx="2">
                  <c:v>31</c:v>
                </c:pt>
                <c:pt idx="3">
                  <c:v>58</c:v>
                </c:pt>
                <c:pt idx="4">
                  <c:v>42</c:v>
                </c:pt>
              </c:numCache>
            </c:numRef>
          </c:val>
          <c:smooth val="0"/>
          <c:extLst xmlns:c16r2="http://schemas.microsoft.com/office/drawing/2015/06/chart">
            <c:ext xmlns:c16="http://schemas.microsoft.com/office/drawing/2014/chart" uri="{C3380CC4-5D6E-409C-BE32-E72D297353CC}">
              <c16:uniqueId val="{00000005-BA4F-49B4-B436-12137D1CE3AA}"/>
            </c:ext>
          </c:extLst>
        </c:ser>
        <c:dLbls>
          <c:showLegendKey val="0"/>
          <c:showVal val="0"/>
          <c:showCatName val="0"/>
          <c:showSerName val="0"/>
          <c:showPercent val="0"/>
          <c:showBubbleSize val="0"/>
        </c:dLbls>
        <c:marker val="1"/>
        <c:smooth val="0"/>
        <c:axId val="473411584"/>
        <c:axId val="473413504"/>
      </c:lineChart>
      <c:catAx>
        <c:axId val="473411584"/>
        <c:scaling>
          <c:orientation val="minMax"/>
        </c:scaling>
        <c:delete val="0"/>
        <c:axPos val="b"/>
        <c:numFmt formatCode="General" sourceLinked="1"/>
        <c:majorTickMark val="none"/>
        <c:minorTickMark val="none"/>
        <c:tickLblPos val="nextTo"/>
        <c:spPr>
          <a:noFill/>
          <a:ln w="12653" cap="flat" cmpd="sng" algn="ctr">
            <a:solidFill>
              <a:schemeClr val="tx1">
                <a:lumMod val="15000"/>
                <a:lumOff val="85000"/>
              </a:schemeClr>
            </a:solidFill>
            <a:round/>
          </a:ln>
          <a:effectLst/>
        </c:spPr>
        <c:txPr>
          <a:bodyPr rot="-60000000" spcFirstLastPara="1" vertOverflow="ellipsis" vert="horz" wrap="square" anchor="ctr" anchorCtr="1"/>
          <a:lstStyle/>
          <a:p>
            <a:pPr>
              <a:defRPr sz="896"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473413504"/>
        <c:crosses val="autoZero"/>
        <c:auto val="1"/>
        <c:lblAlgn val="ctr"/>
        <c:lblOffset val="100"/>
        <c:noMultiLvlLbl val="0"/>
      </c:catAx>
      <c:valAx>
        <c:axId val="473413504"/>
        <c:scaling>
          <c:orientation val="minMax"/>
        </c:scaling>
        <c:delete val="1"/>
        <c:axPos val="l"/>
        <c:majorGridlines>
          <c:spPr>
            <a:ln w="9490" cap="flat" cmpd="sng" algn="ctr">
              <a:solidFill>
                <a:schemeClr val="tx1">
                  <a:lumMod val="15000"/>
                  <a:lumOff val="85000"/>
                </a:schemeClr>
              </a:solidFill>
              <a:round/>
            </a:ln>
            <a:effectLst/>
          </c:spPr>
        </c:majorGridlines>
        <c:numFmt formatCode="General" sourceLinked="1"/>
        <c:majorTickMark val="out"/>
        <c:minorTickMark val="none"/>
        <c:tickLblPos val="nextTo"/>
        <c:crossAx val="473411584"/>
        <c:crosses val="autoZero"/>
        <c:crossBetween val="between"/>
      </c:valAx>
      <c:spPr>
        <a:noFill/>
        <a:ln w="25349">
          <a:noFill/>
        </a:ln>
      </c:spPr>
    </c:plotArea>
    <c:plotVisOnly val="1"/>
    <c:dispBlanksAs val="gap"/>
    <c:showDLblsOverMax val="0"/>
  </c:chart>
  <c:spPr>
    <a:solidFill>
      <a:schemeClr val="bg1"/>
    </a:solidFill>
    <a:ln w="949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Arial" panose="020B0604020202020204" pitchFamily="34" charset="0"/>
                <a:ea typeface="+mn-ea"/>
                <a:cs typeface="Arial" panose="020B0604020202020204" pitchFamily="34" charset="0"/>
              </a:defRPr>
            </a:pP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42 </a:t>
            </a:r>
            <a:r>
              <a:rPr lang="en-US" sz="110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2017</a:t>
            </a:r>
          </a:p>
        </c:rich>
      </c:tx>
      <c:layout>
        <c:manualLayout>
          <c:xMode val="edge"/>
          <c:yMode val="edge"/>
          <c:x val="0.25399218313791178"/>
          <c:y val="3.0651340996168581E-2"/>
        </c:manualLayout>
      </c:layout>
      <c:overlay val="0"/>
      <c:spPr>
        <a:noFill/>
        <a:ln w="25374">
          <a:noFill/>
        </a:ln>
      </c:spPr>
    </c:title>
    <c:autoTitleDeleted val="0"/>
    <c:plotArea>
      <c:layout/>
      <c:pieChart>
        <c:varyColors val="1"/>
        <c:ser>
          <c:idx val="0"/>
          <c:order val="0"/>
          <c:tx>
            <c:strRef>
              <c:f>Blad1!$B$1</c:f>
              <c:strCache>
                <c:ptCount val="1"/>
                <c:pt idx="0">
                  <c:v>[Number of infringement cases] infringement cases in 2017</c:v>
                </c:pt>
              </c:strCache>
            </c:strRef>
          </c:tx>
          <c:spPr>
            <a:solidFill>
              <a:srgbClr val="00B050"/>
            </a:solidFill>
            <a:scene3d>
              <a:camera prst="orthographicFront"/>
              <a:lightRig rig="threePt" dir="t"/>
            </a:scene3d>
            <a:sp3d>
              <a:bevelT w="63500" h="25400"/>
            </a:sp3d>
          </c:spPr>
          <c:dPt>
            <c:idx val="0"/>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C10C-45DE-97A8-77C3B4F70F8C}"/>
              </c:ext>
            </c:extLst>
          </c:dPt>
          <c:dPt>
            <c:idx val="1"/>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C10C-45DE-97A8-77C3B4F70F8C}"/>
              </c:ext>
            </c:extLst>
          </c:dPt>
          <c:dPt>
            <c:idx val="2"/>
            <c:bubble3D val="0"/>
            <c:spPr>
              <a:solidFill>
                <a:srgbClr val="C0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C10C-45DE-97A8-77C3B4F70F8C}"/>
              </c:ext>
            </c:extLst>
          </c:dPt>
          <c:dPt>
            <c:idx val="3"/>
            <c:bubble3D val="0"/>
            <c:spPr>
              <a:solidFill>
                <a:srgbClr val="009242"/>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C10C-45DE-97A8-77C3B4F70F8C}"/>
              </c:ext>
            </c:extLst>
          </c:dPt>
          <c:dPt>
            <c:idx val="4"/>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C10C-45DE-97A8-77C3B4F70F8C}"/>
              </c:ext>
            </c:extLst>
          </c:dPt>
          <c:dPt>
            <c:idx val="5"/>
            <c:bubble3D val="0"/>
            <c:spPr>
              <a:solidFill>
                <a:srgbClr val="7030A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A-C10C-45DE-97A8-77C3B4F70F8C}"/>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10C-45DE-97A8-77C3B4F70F8C}"/>
                </c:ext>
              </c:extLst>
            </c:dLbl>
            <c:dLbl>
              <c:idx val="1"/>
              <c:layout>
                <c:manualLayout>
                  <c:x val="-0.16195390777157881"/>
                  <c:y val="-0.10168703659517307"/>
                </c:manualLayout>
              </c:layout>
              <c:spPr>
                <a:noFill/>
                <a:ln w="2537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C10C-45DE-97A8-77C3B4F70F8C}"/>
                </c:ext>
              </c:extLst>
            </c:dLbl>
            <c:dLbl>
              <c:idx val="2"/>
              <c:layout>
                <c:manualLayout>
                  <c:x val="-0.117251172749135"/>
                  <c:y val="0.11414229786933199"/>
                </c:manualLayout>
              </c:layout>
              <c:spPr>
                <a:noFill/>
                <a:ln w="2537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C10C-45DE-97A8-77C3B4F70F8C}"/>
                </c:ext>
              </c:extLst>
            </c:dLbl>
            <c:dLbl>
              <c:idx val="3"/>
              <c:layout>
                <c:manualLayout>
                  <c:x val="-1.9545232725306321E-2"/>
                  <c:y val="-2.166591549793649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C10C-45DE-97A8-77C3B4F70F8C}"/>
                </c:ext>
              </c:extLst>
            </c:dLbl>
            <c:dLbl>
              <c:idx val="4"/>
              <c:layout>
                <c:manualLayout>
                  <c:x val="3.0693713537064148E-2"/>
                  <c:y val="7.200349956255468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C10C-45DE-97A8-77C3B4F70F8C}"/>
                </c:ext>
              </c:extLst>
            </c:dLbl>
            <c:dLbl>
              <c:idx val="5"/>
              <c:layout>
                <c:manualLayout>
                  <c:x val="1.9529405557973594E-2"/>
                  <c:y val="0.19643415785148069"/>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C10C-45DE-97A8-77C3B4F70F8C}"/>
                </c:ext>
              </c:extLst>
            </c:dLbl>
            <c:spPr>
              <a:noFill/>
              <a:ln w="2537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Blad1!$A$2:$A$7</c:f>
              <c:strCache>
                <c:ptCount val="6"/>
                <c:pt idx="0">
                  <c:v>Sectors</c:v>
                </c:pt>
                <c:pt idx="1">
                  <c:v>Electronic communications</c:v>
                </c:pt>
                <c:pt idx="2">
                  <c:v>Copyright</c:v>
                </c:pt>
                <c:pt idx="3">
                  <c:v>Audio-visual and media services</c:v>
                </c:pt>
                <c:pt idx="4">
                  <c:v>Cybersecurity and digital trust</c:v>
                </c:pt>
                <c:pt idx="5">
                  <c:v>Data policy and innovation</c:v>
                </c:pt>
              </c:strCache>
            </c:strRef>
          </c:cat>
          <c:val>
            <c:numRef>
              <c:f>Blad1!$B$2:$B$7</c:f>
              <c:numCache>
                <c:formatCode>General</c:formatCode>
                <c:ptCount val="6"/>
                <c:pt idx="0">
                  <c:v>0</c:v>
                </c:pt>
                <c:pt idx="1">
                  <c:v>22</c:v>
                </c:pt>
                <c:pt idx="2">
                  <c:v>16</c:v>
                </c:pt>
                <c:pt idx="3">
                  <c:v>2</c:v>
                </c:pt>
                <c:pt idx="4">
                  <c:v>1</c:v>
                </c:pt>
                <c:pt idx="5">
                  <c:v>1</c:v>
                </c:pt>
              </c:numCache>
            </c:numRef>
          </c:val>
          <c:extLst xmlns:c16r2="http://schemas.microsoft.com/office/drawing/2015/06/chart">
            <c:ext xmlns:c16="http://schemas.microsoft.com/office/drawing/2014/chart" uri="{C3380CC4-5D6E-409C-BE32-E72D297353CC}">
              <c16:uniqueId val="{0000000B-C10C-45DE-97A8-77C3B4F70F8C}"/>
            </c:ext>
          </c:extLst>
        </c:ser>
        <c:dLbls>
          <c:showLegendKey val="0"/>
          <c:showVal val="0"/>
          <c:showCatName val="0"/>
          <c:showSerName val="0"/>
          <c:showPercent val="0"/>
          <c:showBubbleSize val="0"/>
          <c:showLeaderLines val="0"/>
        </c:dLbls>
        <c:firstSliceAng val="93"/>
      </c:pieChart>
      <c:spPr>
        <a:noFill/>
        <a:ln w="25374">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lgn="just">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8" b="0" i="0" u="none" strike="noStrike" kern="1200" baseline="0">
                <a:solidFill>
                  <a:srgbClr val="002060"/>
                </a:solidFill>
                <a:latin typeface="Arial" panose="020B0604020202020204" pitchFamily="34" charset="0"/>
                <a:ea typeface="+mn-ea"/>
                <a:cs typeface="Arial" panose="020B0604020202020204" pitchFamily="34" charset="0"/>
              </a:defRPr>
            </a:pPr>
            <a:r>
              <a:rPr lang="en-US" sz="1098" b="0" baseline="0">
                <a:solidFill>
                  <a:srgbClr val="002060"/>
                </a:solidFill>
                <a:latin typeface="Arial" panose="020B0604020202020204" pitchFamily="34" charset="0"/>
                <a:ea typeface="Verdana" panose="020B0604030504040204" pitchFamily="34" charset="0"/>
                <a:cs typeface="Arial" panose="020B0604020202020204" pitchFamily="34" charset="0"/>
              </a:rPr>
              <a:t>9 new </a:t>
            </a:r>
            <a:r>
              <a:rPr lang="en-US" sz="1098"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2017</a:t>
            </a:r>
          </a:p>
        </c:rich>
      </c:tx>
      <c:layout>
        <c:manualLayout>
          <c:xMode val="edge"/>
          <c:yMode val="edge"/>
          <c:x val="0.25399219328353184"/>
          <c:y val="3.0651501895596386E-2"/>
        </c:manualLayout>
      </c:layout>
      <c:overlay val="0"/>
      <c:spPr>
        <a:noFill/>
        <a:ln w="25326">
          <a:noFill/>
        </a:ln>
      </c:spPr>
    </c:title>
    <c:autoTitleDeleted val="0"/>
    <c:plotArea>
      <c:layout>
        <c:manualLayout>
          <c:layoutTarget val="inner"/>
          <c:xMode val="edge"/>
          <c:yMode val="edge"/>
          <c:x val="0.34251754145813273"/>
          <c:y val="0.21060804899387578"/>
          <c:w val="0.31525736626986445"/>
          <c:h val="0.64224505672667442"/>
        </c:manualLayout>
      </c:layout>
      <c:pieChart>
        <c:varyColors val="1"/>
        <c:ser>
          <c:idx val="0"/>
          <c:order val="0"/>
          <c:tx>
            <c:strRef>
              <c:f>Blad1!$B$1</c:f>
              <c:strCache>
                <c:ptCount val="1"/>
                <c:pt idx="0">
                  <c:v>[Number of infringement cases] infringement cases in 2017</c:v>
                </c:pt>
              </c:strCache>
            </c:strRef>
          </c:tx>
          <c:spPr>
            <a:solidFill>
              <a:srgbClr val="00B050"/>
            </a:solidFill>
            <a:scene3d>
              <a:camera prst="orthographicFront"/>
              <a:lightRig rig="threePt" dir="t"/>
            </a:scene3d>
            <a:sp3d>
              <a:bevelT w="63500" h="25400"/>
            </a:sp3d>
          </c:spPr>
          <c:dPt>
            <c:idx val="0"/>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3539-46E7-B78C-EDD15A404CC3}"/>
              </c:ext>
            </c:extLst>
          </c:dPt>
          <c:dPt>
            <c:idx val="1"/>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3539-46E7-B78C-EDD15A404CC3}"/>
              </c:ext>
            </c:extLst>
          </c:dPt>
          <c:dPt>
            <c:idx val="2"/>
            <c:bubble3D val="0"/>
            <c:spPr>
              <a:solidFill>
                <a:srgbClr val="C0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3539-46E7-B78C-EDD15A404CC3}"/>
              </c:ext>
            </c:extLst>
          </c:dPt>
          <c:dPt>
            <c:idx val="3"/>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3539-46E7-B78C-EDD15A404CC3}"/>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539-46E7-B78C-EDD15A404CC3}"/>
                </c:ext>
              </c:extLst>
            </c:dLbl>
            <c:dLbl>
              <c:idx val="1"/>
              <c:layout>
                <c:manualLayout>
                  <c:x val="0.49417774155526051"/>
                  <c:y val="-0.1512153565550069"/>
                </c:manualLayout>
              </c:layout>
              <c:spPr>
                <a:noFill/>
                <a:ln w="25326">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3539-46E7-B78C-EDD15A404CC3}"/>
                </c:ext>
              </c:extLst>
            </c:dLbl>
            <c:dLbl>
              <c:idx val="2"/>
              <c:layout>
                <c:manualLayout>
                  <c:x val="5.7019792392395026E-3"/>
                  <c:y val="-1.0964900573868945E-2"/>
                </c:manualLayout>
              </c:layout>
              <c:spPr>
                <a:noFill/>
                <a:ln w="25326">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3539-46E7-B78C-EDD15A404CC3}"/>
                </c:ext>
              </c:extLst>
            </c:dLbl>
            <c:dLbl>
              <c:idx val="3"/>
              <c:layout>
                <c:manualLayout>
                  <c:x val="4.1632598512831971E-2"/>
                  <c:y val="-2.691222919169002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3539-46E7-B78C-EDD15A404CC3}"/>
                </c:ext>
              </c:extLst>
            </c:dLbl>
            <c:spPr>
              <a:noFill/>
              <a:ln w="25326">
                <a:noFill/>
              </a:ln>
            </c:spPr>
            <c:txPr>
              <a:bodyPr rot="0" spcFirstLastPara="1" vertOverflow="ellipsis" vert="horz" wrap="square" lIns="38100" tIns="19050" rIns="38100" bIns="19050" anchor="ctr" anchorCtr="1">
                <a:spAutoFit/>
              </a:bodyPr>
              <a:lstStyle/>
              <a:p>
                <a:pPr>
                  <a:defRPr sz="897"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Blad1!$A$2:$A$5</c:f>
              <c:strCache>
                <c:ptCount val="4"/>
                <c:pt idx="0">
                  <c:v>Sectors</c:v>
                </c:pt>
                <c:pt idx="1">
                  <c:v>Electronic communications</c:v>
                </c:pt>
                <c:pt idx="2">
                  <c:v>Copyright</c:v>
                </c:pt>
                <c:pt idx="3">
                  <c:v>Cybersecurity and digital privacy</c:v>
                </c:pt>
              </c:strCache>
            </c:strRef>
          </c:cat>
          <c:val>
            <c:numRef>
              <c:f>Blad1!$B$2:$B$5</c:f>
              <c:numCache>
                <c:formatCode>General</c:formatCode>
                <c:ptCount val="4"/>
                <c:pt idx="0">
                  <c:v>0</c:v>
                </c:pt>
                <c:pt idx="1">
                  <c:v>7</c:v>
                </c:pt>
                <c:pt idx="2">
                  <c:v>1</c:v>
                </c:pt>
                <c:pt idx="3">
                  <c:v>1</c:v>
                </c:pt>
              </c:numCache>
            </c:numRef>
          </c:val>
          <c:extLst xmlns:c16r2="http://schemas.microsoft.com/office/drawing/2015/06/chart">
            <c:ext xmlns:c16="http://schemas.microsoft.com/office/drawing/2014/chart" uri="{C3380CC4-5D6E-409C-BE32-E72D297353CC}">
              <c16:uniqueId val="{00000008-3539-46E7-B78C-EDD15A404CC3}"/>
            </c:ext>
          </c:extLst>
        </c:ser>
        <c:dLbls>
          <c:showLegendKey val="0"/>
          <c:showVal val="0"/>
          <c:showCatName val="0"/>
          <c:showSerName val="0"/>
          <c:showPercent val="0"/>
          <c:showBubbleSize val="0"/>
          <c:showLeaderLines val="0"/>
        </c:dLbls>
        <c:firstSliceAng val="147"/>
      </c:pieChart>
      <c:spPr>
        <a:noFill/>
        <a:ln w="25352">
          <a:noFill/>
        </a:ln>
      </c:spPr>
    </c:plotArea>
    <c:plotVisOnly val="1"/>
    <c:dispBlanksAs val="gap"/>
    <c:showDLblsOverMax val="0"/>
  </c:chart>
  <c:spPr>
    <a:solidFill>
      <a:schemeClr val="bg1"/>
    </a:solidFill>
    <a:ln w="9497" cap="flat" cmpd="sng" algn="ctr">
      <a:solidFill>
        <a:schemeClr val="tx1">
          <a:lumMod val="15000"/>
          <a:lumOff val="85000"/>
        </a:schemeClr>
      </a:solidFill>
      <a:round/>
    </a:ln>
    <a:effectLst/>
  </c:spPr>
  <c:txPr>
    <a:bodyPr/>
    <a:lstStyle/>
    <a:p>
      <a:pPr algn="just">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4371903401525676E-2"/>
          <c:y val="4.5611970917428427E-2"/>
          <c:w val="0.93701430681471831"/>
          <c:h val="0.81760196642086402"/>
        </c:manualLayout>
      </c:layout>
      <c:lineChart>
        <c:grouping val="standard"/>
        <c:varyColors val="0"/>
        <c:ser>
          <c:idx val="0"/>
          <c:order val="0"/>
          <c:tx>
            <c:strRef>
              <c:f>Blad1!$B$1</c:f>
              <c:strCache>
                <c:ptCount val="1"/>
                <c:pt idx="0">
                  <c:v>Member State</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38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0</c:v>
                </c:pt>
                <c:pt idx="1">
                  <c:v>0</c:v>
                </c:pt>
                <c:pt idx="2">
                  <c:v>17</c:v>
                </c:pt>
                <c:pt idx="3">
                  <c:v>50</c:v>
                </c:pt>
                <c:pt idx="4">
                  <c:v>0</c:v>
                </c:pt>
              </c:numCache>
            </c:numRef>
          </c:val>
          <c:smooth val="0"/>
          <c:extLst xmlns:c16r2="http://schemas.microsoft.com/office/drawing/2015/06/chart">
            <c:ext xmlns:c16="http://schemas.microsoft.com/office/drawing/2014/chart" uri="{C3380CC4-5D6E-409C-BE32-E72D297353CC}">
              <c16:uniqueId val="{00000000-3B4D-42D6-A75D-67057A023343}"/>
            </c:ext>
          </c:extLst>
        </c:ser>
        <c:dLbls>
          <c:showLegendKey val="0"/>
          <c:showVal val="0"/>
          <c:showCatName val="0"/>
          <c:showSerName val="0"/>
          <c:showPercent val="0"/>
          <c:showBubbleSize val="0"/>
        </c:dLbls>
        <c:marker val="1"/>
        <c:smooth val="0"/>
        <c:axId val="749886848"/>
        <c:axId val="754988160"/>
      </c:lineChart>
      <c:catAx>
        <c:axId val="749886848"/>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754988160"/>
        <c:crosses val="autoZero"/>
        <c:auto val="1"/>
        <c:lblAlgn val="ctr"/>
        <c:lblOffset val="100"/>
        <c:noMultiLvlLbl val="0"/>
      </c:catAx>
      <c:valAx>
        <c:axId val="754988160"/>
        <c:scaling>
          <c:orientation val="minMax"/>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749886848"/>
        <c:crosses val="autoZero"/>
        <c:crossBetween val="between"/>
      </c:valAx>
      <c:spPr>
        <a:noFill/>
        <a:ln w="25386">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358">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470</c:v>
                </c:pt>
                <c:pt idx="1">
                  <c:v>666</c:v>
                </c:pt>
                <c:pt idx="2">
                  <c:v>612</c:v>
                </c:pt>
                <c:pt idx="3">
                  <c:v>679</c:v>
                </c:pt>
                <c:pt idx="4">
                  <c:v>484</c:v>
                </c:pt>
              </c:numCache>
            </c:numRef>
          </c:val>
          <c:smooth val="0"/>
          <c:extLst xmlns:c16r2="http://schemas.microsoft.com/office/drawing/2015/06/chart">
            <c:ext xmlns:c16="http://schemas.microsoft.com/office/drawing/2014/chart" uri="{C3380CC4-5D6E-409C-BE32-E72D297353CC}">
              <c16:uniqueId val="{00000000-3D62-4910-9C19-69ED275D81C3}"/>
            </c:ext>
          </c:extLst>
        </c:ser>
        <c:dLbls>
          <c:showLegendKey val="0"/>
          <c:showVal val="0"/>
          <c:showCatName val="0"/>
          <c:showSerName val="0"/>
          <c:showPercent val="0"/>
          <c:showBubbleSize val="0"/>
        </c:dLbls>
        <c:marker val="1"/>
        <c:smooth val="0"/>
        <c:axId val="81366016"/>
        <c:axId val="81392384"/>
      </c:lineChart>
      <c:catAx>
        <c:axId val="81366016"/>
        <c:scaling>
          <c:orientation val="minMax"/>
        </c:scaling>
        <c:delete val="0"/>
        <c:axPos val="b"/>
        <c:numFmt formatCode="General" sourceLinked="1"/>
        <c:majorTickMark val="none"/>
        <c:minorTickMark val="none"/>
        <c:tickLblPos val="nextTo"/>
        <c:spPr>
          <a:noFill/>
          <a:ln w="12680"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81392384"/>
        <c:crosses val="autoZero"/>
        <c:auto val="1"/>
        <c:lblAlgn val="ctr"/>
        <c:lblOffset val="100"/>
        <c:noMultiLvlLbl val="0"/>
      </c:catAx>
      <c:valAx>
        <c:axId val="81392384"/>
        <c:scaling>
          <c:orientation val="minMax"/>
        </c:scaling>
        <c:delete val="1"/>
        <c:axPos val="l"/>
        <c:majorGridlines>
          <c:spPr>
            <a:ln w="9510" cap="flat" cmpd="sng" algn="ctr">
              <a:solidFill>
                <a:schemeClr val="tx1">
                  <a:lumMod val="15000"/>
                  <a:lumOff val="85000"/>
                </a:schemeClr>
              </a:solidFill>
              <a:round/>
            </a:ln>
            <a:effectLst/>
          </c:spPr>
        </c:majorGridlines>
        <c:numFmt formatCode="General" sourceLinked="1"/>
        <c:majorTickMark val="out"/>
        <c:minorTickMark val="none"/>
        <c:tickLblPos val="nextTo"/>
        <c:crossAx val="81366016"/>
        <c:crosses val="autoZero"/>
        <c:crossBetween val="between"/>
      </c:valAx>
      <c:spPr>
        <a:noFill/>
        <a:ln w="25375">
          <a:noFill/>
        </a:ln>
      </c:spPr>
    </c:plotArea>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9"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GB" sz="1099" b="0">
                <a:solidFill>
                  <a:srgbClr val="002060"/>
                </a:solidFill>
                <a:latin typeface="Arial" panose="020B0604020202020204" pitchFamily="34" charset="0"/>
                <a:cs typeface="Arial" panose="020B0604020202020204" pitchFamily="34" charset="0"/>
              </a:rPr>
              <a:t>484 complaints in 2017</a:t>
            </a:r>
          </a:p>
        </c:rich>
      </c:tx>
      <c:overlay val="0"/>
      <c:spPr>
        <a:noFill/>
        <a:ln w="25358">
          <a:noFill/>
        </a:ln>
      </c:spPr>
    </c:title>
    <c:autoTitleDeleted val="0"/>
    <c:plotArea>
      <c:layout/>
      <c:pieChart>
        <c:varyColors val="1"/>
        <c:ser>
          <c:idx val="0"/>
          <c:order val="0"/>
          <c:tx>
            <c:strRef>
              <c:f>Blad1!$B$1</c:f>
              <c:strCache>
                <c:ptCount val="1"/>
                <c:pt idx="0">
                  <c:v>[Number of new complaints] complaints in 2014</c:v>
                </c:pt>
              </c:strCache>
            </c:strRef>
          </c:tx>
          <c:spPr>
            <a:solidFill>
              <a:srgbClr val="92D050"/>
            </a:solidFill>
            <a:scene3d>
              <a:camera prst="orthographicFront"/>
              <a:lightRig rig="threePt" dir="t"/>
            </a:scene3d>
            <a:sp3d>
              <a:bevelT w="63500" h="25400"/>
            </a:sp3d>
          </c:spPr>
          <c:dPt>
            <c:idx val="0"/>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7AF7-4E38-8C0D-FFFBE869D3B0}"/>
              </c:ext>
            </c:extLst>
          </c:dPt>
          <c:dPt>
            <c:idx val="1"/>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7AF7-4E38-8C0D-FFFBE869D3B0}"/>
              </c:ext>
            </c:extLst>
          </c:dPt>
          <c:dPt>
            <c:idx val="2"/>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7AF7-4E38-8C0D-FFFBE869D3B0}"/>
              </c:ext>
            </c:extLst>
          </c:dPt>
          <c:dPt>
            <c:idx val="3"/>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7AF7-4E38-8C0D-FFFBE869D3B0}"/>
              </c:ext>
            </c:extLst>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7AF7-4E38-8C0D-FFFBE869D3B0}"/>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AF7-4E38-8C0D-FFFBE869D3B0}"/>
                </c:ext>
              </c:extLst>
            </c:dLbl>
            <c:dLbl>
              <c:idx val="1"/>
              <c:layout>
                <c:manualLayout>
                  <c:x val="-4.7139789910110794E-2"/>
                  <c:y val="-0.13005696096498567"/>
                </c:manualLayout>
              </c:layout>
              <c:spPr>
                <a:noFill/>
                <a:ln w="25358">
                  <a:noFill/>
                </a:ln>
              </c:spPr>
              <c:txPr>
                <a:bodyPr rot="0" spcFirstLastPara="1" vertOverflow="ellipsis" vert="horz" wrap="square" lIns="38100" tIns="19050" rIns="38100" bIns="19050" anchor="ctr" anchorCtr="1">
                  <a:spAutoFit/>
                </a:bodyPr>
                <a:lstStyle/>
                <a:p>
                  <a:pPr>
                    <a:defRPr sz="898"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7AF7-4E38-8C0D-FFFBE869D3B0}"/>
                </c:ext>
              </c:extLst>
            </c:dLbl>
            <c:dLbl>
              <c:idx val="2"/>
              <c:layout>
                <c:manualLayout>
                  <c:x val="-1.1436485262351056E-2"/>
                  <c:y val="6.5864885240408774E-2"/>
                </c:manualLayout>
              </c:layout>
              <c:spPr>
                <a:noFill/>
                <a:ln w="25358">
                  <a:noFill/>
                </a:ln>
              </c:spPr>
              <c:txPr>
                <a:bodyPr rot="0" spcFirstLastPara="1" vertOverflow="ellipsis" vert="horz" wrap="square" lIns="38100" tIns="19050" rIns="38100" bIns="19050" anchor="ctr" anchorCtr="1">
                  <a:spAutoFit/>
                </a:bodyPr>
                <a:lstStyle/>
                <a:p>
                  <a:pPr>
                    <a:defRPr sz="898"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7AF7-4E38-8C0D-FFFBE869D3B0}"/>
                </c:ext>
              </c:extLst>
            </c:dLbl>
            <c:dLbl>
              <c:idx val="3"/>
              <c:layout>
                <c:manualLayout>
                  <c:x val="3.2793881959445334E-4"/>
                  <c:y val="8.7666694588708322E-2"/>
                </c:manualLayout>
              </c:layout>
              <c:spPr>
                <a:noFill/>
                <a:ln w="25358">
                  <a:noFill/>
                </a:ln>
              </c:spPr>
              <c:txPr>
                <a:bodyPr rot="0" spcFirstLastPara="1" vertOverflow="ellipsis" vert="horz" wrap="square" lIns="38100" tIns="19050" rIns="38100" bIns="19050" anchor="ctr" anchorCtr="1">
                  <a:spAutoFit/>
                </a:bodyPr>
                <a:lstStyle/>
                <a:p>
                  <a:pPr>
                    <a:defRPr sz="84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7AF7-4E38-8C0D-FFFBE869D3B0}"/>
                </c:ext>
              </c:extLst>
            </c:dLbl>
            <c:dLbl>
              <c:idx val="4"/>
              <c:layout>
                <c:manualLayout>
                  <c:x val="2.2322921747613408E-2"/>
                  <c:y val="-0.15929050092142738"/>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7AF7-4E38-8C0D-FFFBE869D3B0}"/>
                </c:ext>
              </c:extLst>
            </c:dLbl>
            <c:dLbl>
              <c:idx val="5"/>
              <c:layout>
                <c:manualLayout>
                  <c:x val="5.2577584778646852E-2"/>
                  <c:y val="4.5358766773871575E-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AF7-4E38-8C0D-FFFBE869D3B0}"/>
                </c:ext>
              </c:extLst>
            </c:dLbl>
            <c:dLbl>
              <c:idx val="6"/>
              <c:layout>
                <c:manualLayout>
                  <c:x val="1.3842746400886037E-2"/>
                  <c:y val="-0.33802816901408445"/>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AF7-4E38-8C0D-FFFBE869D3B0}"/>
                </c:ext>
              </c:extLst>
            </c:dLbl>
            <c:spPr>
              <a:noFill/>
              <a:ln w="25358">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1">
                  <c:v>Social security</c:v>
                </c:pt>
                <c:pt idx="2">
                  <c:v>Working conditions</c:v>
                </c:pt>
                <c:pt idx="3">
                  <c:v>Free movement of workers</c:v>
                </c:pt>
                <c:pt idx="4">
                  <c:v>Other</c:v>
                </c:pt>
              </c:strCache>
            </c:strRef>
          </c:cat>
          <c:val>
            <c:numRef>
              <c:f>Blad1!$B$2:$B$6</c:f>
              <c:numCache>
                <c:formatCode>General</c:formatCode>
                <c:ptCount val="5"/>
                <c:pt idx="1">
                  <c:v>142</c:v>
                </c:pt>
                <c:pt idx="2">
                  <c:v>129</c:v>
                </c:pt>
                <c:pt idx="3">
                  <c:v>72</c:v>
                </c:pt>
                <c:pt idx="4">
                  <c:v>141</c:v>
                </c:pt>
              </c:numCache>
            </c:numRef>
          </c:val>
          <c:extLst xmlns:c16r2="http://schemas.microsoft.com/office/drawing/2015/06/chart">
            <c:ext xmlns:c16="http://schemas.microsoft.com/office/drawing/2014/chart" uri="{C3380CC4-5D6E-409C-BE32-E72D297353CC}">
              <c16:uniqueId val="{0000000C-7AF7-4E38-8C0D-FFFBE869D3B0}"/>
            </c:ext>
          </c:extLst>
        </c:ser>
        <c:ser>
          <c:idx val="1"/>
          <c:order val="1"/>
          <c:tx>
            <c:strRef>
              <c:f>Blad1!$C$1</c:f>
              <c:strCache>
                <c:ptCount val="1"/>
                <c:pt idx="0">
                  <c:v>[Number of new complaints] complaints in 2015</c:v>
                </c:pt>
              </c:strCache>
            </c:strRef>
          </c:tx>
          <c:dPt>
            <c:idx val="0"/>
            <c:bubble3D val="0"/>
            <c:extLst xmlns:c16r2="http://schemas.microsoft.com/office/drawing/2015/06/chart">
              <c:ext xmlns:c16="http://schemas.microsoft.com/office/drawing/2014/chart" uri="{C3380CC4-5D6E-409C-BE32-E72D297353CC}">
                <c16:uniqueId val="{0000000D-7AF7-4E38-8C0D-FFFBE869D3B0}"/>
              </c:ext>
            </c:extLst>
          </c:dPt>
          <c:dPt>
            <c:idx val="1"/>
            <c:bubble3D val="0"/>
            <c:extLst xmlns:c16r2="http://schemas.microsoft.com/office/drawing/2015/06/chart">
              <c:ext xmlns:c16="http://schemas.microsoft.com/office/drawing/2014/chart" uri="{C3380CC4-5D6E-409C-BE32-E72D297353CC}">
                <c16:uniqueId val="{0000000E-7AF7-4E38-8C0D-FFFBE869D3B0}"/>
              </c:ext>
            </c:extLst>
          </c:dPt>
          <c:dPt>
            <c:idx val="2"/>
            <c:bubble3D val="0"/>
            <c:extLst xmlns:c16r2="http://schemas.microsoft.com/office/drawing/2015/06/chart">
              <c:ext xmlns:c16="http://schemas.microsoft.com/office/drawing/2014/chart" uri="{C3380CC4-5D6E-409C-BE32-E72D297353CC}">
                <c16:uniqueId val="{0000000F-7AF7-4E38-8C0D-FFFBE869D3B0}"/>
              </c:ext>
            </c:extLst>
          </c:dPt>
          <c:dPt>
            <c:idx val="3"/>
            <c:bubble3D val="0"/>
            <c:extLst xmlns:c16r2="http://schemas.microsoft.com/office/drawing/2015/06/chart">
              <c:ext xmlns:c16="http://schemas.microsoft.com/office/drawing/2014/chart" uri="{C3380CC4-5D6E-409C-BE32-E72D297353CC}">
                <c16:uniqueId val="{00000010-7AF7-4E38-8C0D-FFFBE869D3B0}"/>
              </c:ext>
            </c:extLst>
          </c:dPt>
          <c:dPt>
            <c:idx val="4"/>
            <c:bubble3D val="0"/>
            <c:extLst xmlns:c16r2="http://schemas.microsoft.com/office/drawing/2015/06/chart">
              <c:ext xmlns:c16="http://schemas.microsoft.com/office/drawing/2014/chart" uri="{C3380CC4-5D6E-409C-BE32-E72D297353CC}">
                <c16:uniqueId val="{00000011-7AF7-4E38-8C0D-FFFBE869D3B0}"/>
              </c:ext>
            </c:extLst>
          </c:dPt>
          <c:cat>
            <c:strRef>
              <c:f>Blad1!$A$2:$A$6</c:f>
              <c:strCache>
                <c:ptCount val="5"/>
                <c:pt idx="1">
                  <c:v>Social security</c:v>
                </c:pt>
                <c:pt idx="2">
                  <c:v>Working conditions</c:v>
                </c:pt>
                <c:pt idx="3">
                  <c:v>Free movement of workers</c:v>
                </c:pt>
                <c:pt idx="4">
                  <c:v>Other</c:v>
                </c:pt>
              </c:strCache>
            </c:strRef>
          </c:cat>
          <c:val>
            <c:numRef>
              <c:f>Blad1!$C$2:$C$6</c:f>
              <c:numCache>
                <c:formatCode>General</c:formatCode>
                <c:ptCount val="5"/>
              </c:numCache>
            </c:numRef>
          </c:val>
          <c:extLst xmlns:c16r2="http://schemas.microsoft.com/office/drawing/2015/06/chart">
            <c:ext xmlns:c16="http://schemas.microsoft.com/office/drawing/2014/chart" uri="{C3380CC4-5D6E-409C-BE32-E72D297353CC}">
              <c16:uniqueId val="{00000012-7AF7-4E38-8C0D-FFFBE869D3B0}"/>
            </c:ext>
          </c:extLst>
        </c:ser>
        <c:dLbls>
          <c:showLegendKey val="0"/>
          <c:showVal val="0"/>
          <c:showCatName val="0"/>
          <c:showSerName val="0"/>
          <c:showPercent val="0"/>
          <c:showBubbleSize val="0"/>
          <c:showLeaderLines val="0"/>
        </c:dLbls>
        <c:firstSliceAng val="161"/>
      </c:pieChart>
      <c:spPr>
        <a:noFill/>
        <a:ln w="25375">
          <a:noFill/>
        </a:ln>
      </c:spPr>
    </c:plotArea>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331">
                <a:noFill/>
              </a:ln>
            </c:spPr>
            <c:txPr>
              <a:bodyPr rot="0" spcFirstLastPara="1" vertOverflow="ellipsis" vert="horz" wrap="square" lIns="38100" tIns="19050" rIns="38100" bIns="19050" anchor="ctr" anchorCtr="1">
                <a:spAutoFit/>
              </a:bodyPr>
              <a:lstStyle/>
              <a:p>
                <a:pPr>
                  <a:defRPr sz="897"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62</c:v>
                </c:pt>
                <c:pt idx="1">
                  <c:v>68</c:v>
                </c:pt>
                <c:pt idx="2">
                  <c:v>40</c:v>
                </c:pt>
                <c:pt idx="3">
                  <c:v>37</c:v>
                </c:pt>
                <c:pt idx="4">
                  <c:v>0</c:v>
                </c:pt>
              </c:numCache>
            </c:numRef>
          </c:val>
          <c:smooth val="0"/>
          <c:extLst xmlns:c16r2="http://schemas.microsoft.com/office/drawing/2015/06/chart">
            <c:ext xmlns:c16="http://schemas.microsoft.com/office/drawing/2014/chart" uri="{C3380CC4-5D6E-409C-BE32-E72D297353CC}">
              <c16:uniqueId val="{00000000-03AB-4652-BCE1-7AFBAE14F34A}"/>
            </c:ext>
          </c:extLst>
        </c:ser>
        <c:dLbls>
          <c:showLegendKey val="0"/>
          <c:showVal val="0"/>
          <c:showCatName val="0"/>
          <c:showSerName val="0"/>
          <c:showPercent val="0"/>
          <c:showBubbleSize val="0"/>
        </c:dLbls>
        <c:marker val="1"/>
        <c:smooth val="0"/>
        <c:axId val="117373568"/>
        <c:axId val="119669120"/>
      </c:lineChart>
      <c:catAx>
        <c:axId val="117373568"/>
        <c:scaling>
          <c:orientation val="minMax"/>
        </c:scaling>
        <c:delete val="0"/>
        <c:axPos val="b"/>
        <c:numFmt formatCode="General" sourceLinked="1"/>
        <c:majorTickMark val="none"/>
        <c:minorTickMark val="none"/>
        <c:tickLblPos val="nextTo"/>
        <c:spPr>
          <a:noFill/>
          <a:ln w="12666" cap="flat" cmpd="sng" algn="ctr">
            <a:solidFill>
              <a:schemeClr val="tx1">
                <a:lumMod val="15000"/>
                <a:lumOff val="85000"/>
              </a:schemeClr>
            </a:solidFill>
            <a:round/>
          </a:ln>
          <a:effectLst/>
        </c:spPr>
        <c:txPr>
          <a:bodyPr rot="-60000000" spcFirstLastPara="1" vertOverflow="ellipsis" vert="horz" wrap="square" anchor="ctr" anchorCtr="1"/>
          <a:lstStyle/>
          <a:p>
            <a:pPr>
              <a:defRPr sz="8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9669120"/>
        <c:crosses val="autoZero"/>
        <c:auto val="1"/>
        <c:lblAlgn val="ctr"/>
        <c:lblOffset val="100"/>
        <c:noMultiLvlLbl val="0"/>
      </c:catAx>
      <c:valAx>
        <c:axId val="119669120"/>
        <c:scaling>
          <c:orientation val="minMax"/>
        </c:scaling>
        <c:delete val="1"/>
        <c:axPos val="l"/>
        <c:majorGridlines>
          <c:spPr>
            <a:ln w="9500" cap="flat" cmpd="sng" algn="ctr">
              <a:solidFill>
                <a:schemeClr val="tx1">
                  <a:lumMod val="15000"/>
                  <a:lumOff val="85000"/>
                </a:schemeClr>
              </a:solidFill>
              <a:round/>
            </a:ln>
            <a:effectLst/>
          </c:spPr>
        </c:majorGridlines>
        <c:numFmt formatCode="General" sourceLinked="1"/>
        <c:majorTickMark val="out"/>
        <c:minorTickMark val="none"/>
        <c:tickLblPos val="nextTo"/>
        <c:crossAx val="117373568"/>
        <c:crosses val="autoZero"/>
        <c:crossBetween val="between"/>
      </c:valAx>
      <c:spPr>
        <a:noFill/>
        <a:ln w="25375">
          <a:noFill/>
        </a:ln>
      </c:spPr>
    </c:plotArea>
    <c:plotVisOnly val="1"/>
    <c:dispBlanksAs val="gap"/>
    <c:showDLblsOverMax val="0"/>
  </c:chart>
  <c:spPr>
    <a:solidFill>
      <a:schemeClr val="bg1"/>
    </a:solidFill>
    <a:ln w="950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8808038808038806E-2"/>
          <c:y val="6.2947067238912732E-2"/>
          <c:w val="0.93909191583610185"/>
          <c:h val="0.68655170244130448"/>
        </c:manualLayout>
      </c:layout>
      <c:lineChart>
        <c:grouping val="standard"/>
        <c:varyColors val="0"/>
        <c:ser>
          <c:idx val="0"/>
          <c:order val="0"/>
          <c:tx>
            <c:strRef>
              <c:f>Blad1!$B$2</c:f>
              <c:strCache>
                <c:ptCount val="1"/>
                <c:pt idx="0">
                  <c:v>Employment policies</c:v>
                </c:pt>
              </c:strCache>
            </c:strRef>
          </c:tx>
          <c:spPr>
            <a:effectLst>
              <a:outerShdw blurRad="40000" dist="23000" dir="5400000" rotWithShape="0">
                <a:srgbClr val="000000">
                  <a:alpha val="35000"/>
                </a:srgbClr>
              </a:outerShdw>
            </a:effectLst>
          </c:spPr>
          <c:dLbls>
            <c:dLbl>
              <c:idx val="0"/>
              <c:layout>
                <c:manualLayout>
                  <c:x val="-6.4025863046188999E-2"/>
                  <c:y val="6.48568115629381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1142-4275-A5F6-58541D7801AA}"/>
                </c:ext>
              </c:extLst>
            </c:dLbl>
            <c:dLbl>
              <c:idx val="3"/>
              <c:layout>
                <c:manualLayout>
                  <c:x val="-5.5585640152569386E-2"/>
                  <c:y val="-6.60083583972604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1142-4275-A5F6-58541D7801AA}"/>
                </c:ext>
              </c:extLst>
            </c:dLbl>
            <c:dLbl>
              <c:idx val="4"/>
              <c:layout>
                <c:manualLayout>
                  <c:x val="-3.89050932586915E-2"/>
                  <c:y val="-7.154657893790673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1142-4275-A5F6-58541D7801AA}"/>
                </c:ext>
              </c:extLst>
            </c:dLbl>
            <c:spPr>
              <a:noFill/>
              <a:ln w="25375">
                <a:noFill/>
              </a:ln>
            </c:spPr>
            <c:txPr>
              <a:bodyPr/>
              <a:lstStyle/>
              <a:p>
                <a:pPr>
                  <a:defRPr sz="898">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0%</c:formatCode>
                <c:ptCount val="5"/>
                <c:pt idx="0">
                  <c:v>0.59</c:v>
                </c:pt>
                <c:pt idx="1">
                  <c:v>0.46</c:v>
                </c:pt>
                <c:pt idx="2">
                  <c:v>0.72</c:v>
                </c:pt>
                <c:pt idx="3">
                  <c:v>0.92</c:v>
                </c:pt>
                <c:pt idx="4">
                  <c:v>0.93</c:v>
                </c:pt>
              </c:numCache>
            </c:numRef>
          </c:val>
          <c:smooth val="0"/>
          <c:extLst xmlns:c16r2="http://schemas.microsoft.com/office/drawing/2015/06/chart">
            <c:ext xmlns:c16="http://schemas.microsoft.com/office/drawing/2014/chart" uri="{C3380CC4-5D6E-409C-BE32-E72D297353CC}">
              <c16:uniqueId val="{00000003-1142-4275-A5F6-58541D7801AA}"/>
            </c:ext>
          </c:extLst>
        </c:ser>
        <c:ser>
          <c:idx val="1"/>
          <c:order val="1"/>
          <c:tx>
            <c:strRef>
              <c:f>Blad1!$C$2</c:f>
              <c:strCache>
                <c:ptCount val="1"/>
                <c:pt idx="0">
                  <c:v>General rate for all policy areas</c:v>
                </c:pt>
              </c:strCache>
            </c:strRef>
          </c:tx>
          <c:spPr>
            <a:ln w="25358">
              <a:solidFill>
                <a:srgbClr val="92D050"/>
              </a:solidFill>
            </a:ln>
          </c:spPr>
          <c:marker>
            <c:symbol val="square"/>
            <c:size val="3"/>
            <c:spPr>
              <a:solidFill>
                <a:srgbClr val="92D050"/>
              </a:solidFill>
              <a:ln w="6340">
                <a:solidFill>
                  <a:srgbClr val="92D050"/>
                </a:solidFill>
              </a:ln>
            </c:spPr>
          </c:marker>
          <c:dLbls>
            <c:dLbl>
              <c:idx val="0"/>
              <c:layout>
                <c:manualLayout>
                  <c:x val="-4.7405193536854393E-2"/>
                  <c:y val="-5.922769927731633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1142-4275-A5F6-58541D7801AA}"/>
                </c:ext>
              </c:extLst>
            </c:dLbl>
            <c:dLbl>
              <c:idx val="3"/>
              <c:layout>
                <c:manualLayout>
                  <c:x val="-4.5883630450559584E-2"/>
                  <c:y val="-6.274655582215316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1142-4275-A5F6-58541D7801AA}"/>
                </c:ext>
              </c:extLst>
            </c:dLbl>
            <c:dLbl>
              <c:idx val="4"/>
              <c:layout>
                <c:manualLayout>
                  <c:x val="-3.7520818618602909E-2"/>
                  <c:y val="-5.68776291662172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1142-4275-A5F6-58541D7801AA}"/>
                </c:ext>
              </c:extLst>
            </c:dLbl>
            <c:spPr>
              <a:noFill/>
              <a:ln w="25375">
                <a:noFill/>
              </a:ln>
            </c:spPr>
            <c:txPr>
              <a:bodyPr/>
              <a:lstStyle/>
              <a:p>
                <a:pPr>
                  <a:defRPr sz="898">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Blad1!$C$3:$C$7</c:f>
              <c:numCache>
                <c:formatCode>0%</c:formatCode>
                <c:ptCount val="5"/>
                <c:pt idx="0">
                  <c:v>0.7</c:v>
                </c:pt>
                <c:pt idx="1">
                  <c:v>0.75</c:v>
                </c:pt>
                <c:pt idx="2">
                  <c:v>0.75</c:v>
                </c:pt>
                <c:pt idx="3">
                  <c:v>0.72</c:v>
                </c:pt>
                <c:pt idx="4">
                  <c:v>0.77</c:v>
                </c:pt>
              </c:numCache>
            </c:numRef>
          </c:val>
          <c:smooth val="0"/>
          <c:extLst xmlns:c16r2="http://schemas.microsoft.com/office/drawing/2015/06/chart">
            <c:ext xmlns:c16="http://schemas.microsoft.com/office/drawing/2014/chart" uri="{C3380CC4-5D6E-409C-BE32-E72D297353CC}">
              <c16:uniqueId val="{00000007-1142-4275-A5F6-58541D7801AA}"/>
            </c:ext>
          </c:extLst>
        </c:ser>
        <c:dLbls>
          <c:showLegendKey val="0"/>
          <c:showVal val="0"/>
          <c:showCatName val="0"/>
          <c:showSerName val="0"/>
          <c:showPercent val="0"/>
          <c:showBubbleSize val="0"/>
        </c:dLbls>
        <c:marker val="1"/>
        <c:smooth val="0"/>
        <c:axId val="119817344"/>
        <c:axId val="119818880"/>
      </c:lineChart>
      <c:catAx>
        <c:axId val="119817344"/>
        <c:scaling>
          <c:orientation val="minMax"/>
        </c:scaling>
        <c:delete val="0"/>
        <c:axPos val="b"/>
        <c:numFmt formatCode="General" sourceLinked="1"/>
        <c:majorTickMark val="none"/>
        <c:minorTickMark val="none"/>
        <c:tickLblPos val="nextTo"/>
        <c:spPr>
          <a:noFill/>
          <a:ln w="12680"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9818880"/>
        <c:crosses val="autoZero"/>
        <c:auto val="1"/>
        <c:lblAlgn val="ctr"/>
        <c:lblOffset val="100"/>
        <c:noMultiLvlLbl val="0"/>
      </c:catAx>
      <c:valAx>
        <c:axId val="119818880"/>
        <c:scaling>
          <c:orientation val="minMax"/>
        </c:scaling>
        <c:delete val="1"/>
        <c:axPos val="l"/>
        <c:majorGridlines>
          <c:spPr>
            <a:ln w="9510" cap="flat" cmpd="sng" algn="ctr">
              <a:solidFill>
                <a:schemeClr val="tx1">
                  <a:lumMod val="15000"/>
                  <a:lumOff val="85000"/>
                </a:schemeClr>
              </a:solidFill>
              <a:round/>
            </a:ln>
            <a:effectLst/>
          </c:spPr>
        </c:majorGridlines>
        <c:numFmt formatCode="0%" sourceLinked="1"/>
        <c:majorTickMark val="out"/>
        <c:minorTickMark val="none"/>
        <c:tickLblPos val="nextTo"/>
        <c:crossAx val="119817344"/>
        <c:crosses val="autoZero"/>
        <c:crossBetween val="between"/>
      </c:valAx>
      <c:spPr>
        <a:noFill/>
        <a:ln w="25375">
          <a:noFill/>
        </a:ln>
      </c:spPr>
    </c:plotArea>
    <c:legend>
      <c:legendPos val="r"/>
      <c:layout>
        <c:manualLayout>
          <c:xMode val="edge"/>
          <c:yMode val="edge"/>
          <c:x val="6.4735945485519586E-2"/>
          <c:y val="0.86642599277978349"/>
          <c:w val="0.868824531516184"/>
          <c:h val="9.386281588447655E-2"/>
        </c:manualLayout>
      </c:layout>
      <c:overlay val="0"/>
      <c:txPr>
        <a:bodyPr/>
        <a:lstStyle/>
        <a:p>
          <a:pPr>
            <a:defRPr sz="898">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4371903401525676E-2"/>
          <c:y val="4.5611970917428427E-2"/>
          <c:w val="0.93701430681471831"/>
          <c:h val="0.81760196642086402"/>
        </c:manualLayout>
      </c:layout>
      <c:lineChart>
        <c:grouping val="standard"/>
        <c:varyColors val="0"/>
        <c:ser>
          <c:idx val="0"/>
          <c:order val="0"/>
          <c:tx>
            <c:strRef>
              <c:f>Blad1!$B$1</c:f>
              <c:strCache>
                <c:ptCount val="1"/>
                <c:pt idx="0">
                  <c:v>Member State</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4.586071137659517E-2"/>
                  <c:y val="-8.143549364021804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013-4ECB-92F4-0AA20AA0877F}"/>
                </c:ext>
              </c:extLst>
            </c:dLbl>
            <c:dLbl>
              <c:idx val="1"/>
              <c:layout>
                <c:manualLayout>
                  <c:x val="-4.0081804754270131E-2"/>
                  <c:y val="-7.40740740740740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013-4ECB-92F4-0AA20AA0877F}"/>
                </c:ext>
              </c:extLst>
            </c:dLbl>
            <c:dLbl>
              <c:idx val="2"/>
              <c:layout>
                <c:manualLayout>
                  <c:x val="-2.862986053876438E-2"/>
                  <c:y val="-6.87830687830687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A013-4ECB-92F4-0AA20AA0877F}"/>
                </c:ext>
              </c:extLst>
            </c:dLbl>
            <c:dLbl>
              <c:idx val="3"/>
              <c:layout>
                <c:manualLayout>
                  <c:x val="-3.4355832646517259E-2"/>
                  <c:y val="-6.34920634920634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A013-4ECB-92F4-0AA20AA0877F}"/>
                </c:ext>
              </c:extLst>
            </c:dLbl>
            <c:dLbl>
              <c:idx val="4"/>
              <c:layout>
                <c:manualLayout>
                  <c:x val="-2.8578603557499031E-2"/>
                  <c:y val="-7.622350071727382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A013-4ECB-92F4-0AA20AA0877F}"/>
                </c:ext>
              </c:extLst>
            </c:dLbl>
            <c:spPr>
              <a:noFill/>
              <a:ln w="2538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2013</c:v>
                </c:pt>
                <c:pt idx="1">
                  <c:v>2014</c:v>
                </c:pt>
                <c:pt idx="2">
                  <c:v>2015</c:v>
                </c:pt>
                <c:pt idx="3">
                  <c:v>2017</c:v>
                </c:pt>
                <c:pt idx="4">
                  <c:v>2018</c:v>
                </c:pt>
              </c:numCache>
            </c:numRef>
          </c:cat>
          <c:val>
            <c:numRef>
              <c:f>Blad1!$B$2:$B$6</c:f>
              <c:numCache>
                <c:formatCode>General</c:formatCode>
                <c:ptCount val="5"/>
                <c:pt idx="0">
                  <c:v>60</c:v>
                </c:pt>
                <c:pt idx="1">
                  <c:v>72</c:v>
                </c:pt>
                <c:pt idx="2">
                  <c:v>75</c:v>
                </c:pt>
                <c:pt idx="3">
                  <c:v>83</c:v>
                </c:pt>
                <c:pt idx="4">
                  <c:v>46</c:v>
                </c:pt>
              </c:numCache>
            </c:numRef>
          </c:val>
          <c:smooth val="0"/>
          <c:extLst xmlns:c16r2="http://schemas.microsoft.com/office/drawing/2015/06/chart">
            <c:ext xmlns:c16="http://schemas.microsoft.com/office/drawing/2014/chart" uri="{C3380CC4-5D6E-409C-BE32-E72D297353CC}">
              <c16:uniqueId val="{00000005-A013-4ECB-92F4-0AA20AA0877F}"/>
            </c:ext>
          </c:extLst>
        </c:ser>
        <c:dLbls>
          <c:showLegendKey val="0"/>
          <c:showVal val="0"/>
          <c:showCatName val="0"/>
          <c:showSerName val="0"/>
          <c:showPercent val="0"/>
          <c:showBubbleSize val="0"/>
        </c:dLbls>
        <c:marker val="1"/>
        <c:smooth val="0"/>
        <c:axId val="130503808"/>
        <c:axId val="130505344"/>
      </c:lineChart>
      <c:catAx>
        <c:axId val="130503808"/>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30505344"/>
        <c:crosses val="autoZero"/>
        <c:auto val="1"/>
        <c:lblAlgn val="ctr"/>
        <c:lblOffset val="100"/>
        <c:noMultiLvlLbl val="0"/>
      </c:catAx>
      <c:valAx>
        <c:axId val="130505344"/>
        <c:scaling>
          <c:orientation val="minMax"/>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130503808"/>
        <c:crosses val="autoZero"/>
        <c:crossBetween val="between"/>
      </c:valAx>
      <c:spPr>
        <a:noFill/>
        <a:ln w="25386">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8" b="0" i="0" u="none" strike="noStrike" kern="1200" baseline="0">
                <a:solidFill>
                  <a:srgbClr val="002060"/>
                </a:solidFill>
                <a:latin typeface="+mn-lt"/>
                <a:ea typeface="+mn-ea"/>
                <a:cs typeface="+mn-cs"/>
              </a:defRPr>
            </a:pPr>
            <a:r>
              <a:rPr lang="en-US" sz="1048" b="0" baseline="0">
                <a:solidFill>
                  <a:srgbClr val="002060"/>
                </a:solidFill>
                <a:latin typeface="Arial" panose="020B0604020202020204" pitchFamily="34" charset="0"/>
                <a:ea typeface="Verdana" panose="020B0604030504040204" pitchFamily="34" charset="0"/>
                <a:cs typeface="Arial" panose="020B0604020202020204" pitchFamily="34" charset="0"/>
              </a:rPr>
              <a:t>46 </a:t>
            </a:r>
            <a:r>
              <a:rPr lang="en-US" sz="1048"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2017</a:t>
            </a:r>
          </a:p>
        </c:rich>
      </c:tx>
      <c:layout>
        <c:manualLayout>
          <c:xMode val="edge"/>
          <c:yMode val="edge"/>
          <c:x val="0.28947263570852227"/>
          <c:y val="2.9154341444406769E-2"/>
        </c:manualLayout>
      </c:layout>
      <c:overlay val="0"/>
      <c:spPr>
        <a:noFill/>
        <a:ln w="25333">
          <a:noFill/>
        </a:ln>
      </c:spPr>
    </c:title>
    <c:autoTitleDeleted val="0"/>
    <c:plotArea>
      <c:layout/>
      <c:pieChart>
        <c:varyColors val="1"/>
        <c:ser>
          <c:idx val="0"/>
          <c:order val="0"/>
          <c:tx>
            <c:strRef>
              <c:f>Blad1!$B$1</c:f>
              <c:strCache>
                <c:ptCount val="1"/>
                <c:pt idx="0">
                  <c:v>[Number of infringement cases] infringement cases in 2017</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CC42-41F3-8893-057D664E1856}"/>
              </c:ext>
            </c:extLst>
          </c:dPt>
          <c:dPt>
            <c:idx val="1"/>
            <c:bubble3D val="0"/>
            <c:spPr>
              <a:solidFill>
                <a:srgbClr val="00B0F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CC42-41F3-8893-057D664E1856}"/>
              </c:ext>
            </c:extLst>
          </c:dPt>
          <c:dPt>
            <c:idx val="2"/>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CC42-41F3-8893-057D664E1856}"/>
              </c:ext>
            </c:extLst>
          </c:dPt>
          <c:dPt>
            <c:idx val="3"/>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CC42-41F3-8893-057D664E1856}"/>
              </c:ext>
            </c:extLst>
          </c:dPt>
          <c:dPt>
            <c:idx val="4"/>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CC42-41F3-8893-057D664E1856}"/>
              </c:ext>
            </c:extLst>
          </c:dPt>
          <c:dPt>
            <c:idx val="5"/>
            <c:bubble3D val="0"/>
            <c:spPr>
              <a:solidFill>
                <a:srgbClr val="FF7DFF"/>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CC42-41F3-8893-057D664E1856}"/>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C42-41F3-8893-057D664E1856}"/>
                </c:ext>
              </c:extLst>
            </c:dLbl>
            <c:dLbl>
              <c:idx val="1"/>
              <c:layout>
                <c:manualLayout>
                  <c:x val="-0.11909100025287536"/>
                  <c:y val="1.6567681599527022E-3"/>
                </c:manualLayout>
              </c:layout>
              <c:tx>
                <c:rich>
                  <a:bodyPr/>
                  <a:lstStyle/>
                  <a:p>
                    <a:r>
                      <a:rPr lang="en-US"/>
                      <a:t>Labour</a:t>
                    </a:r>
                    <a:r>
                      <a:rPr lang="en-US" baseline="0"/>
                      <a:t> mobility</a:t>
                    </a:r>
                    <a:r>
                      <a:rPr lang="en-US"/>
                      <a:t>
31</a:t>
                    </a:r>
                  </a:p>
                </c:rich>
              </c:tx>
              <c:dLblPos val="bestFit"/>
              <c:showLegendKey val="1"/>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C42-41F3-8893-057D664E1856}"/>
                </c:ext>
              </c:extLst>
            </c:dLbl>
            <c:dLbl>
              <c:idx val="2"/>
              <c:layout>
                <c:manualLayout>
                  <c:x val="-1.6601266944522949E-2"/>
                  <c:y val="-0.1054701225803419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CC42-41F3-8893-057D664E1856}"/>
                </c:ext>
              </c:extLst>
            </c:dLbl>
            <c:dLbl>
              <c:idx val="3"/>
              <c:layout>
                <c:manualLayout>
                  <c:x val="-5.4642352078495731E-3"/>
                  <c:y val="-3.067540358825009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CC42-41F3-8893-057D664E1856}"/>
                </c:ext>
              </c:extLst>
            </c:dLbl>
            <c:dLbl>
              <c:idx val="4"/>
              <c:layout>
                <c:manualLayout>
                  <c:x val="2.8137384988738937E-3"/>
                  <c:y val="-3.321827922194656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CC42-41F3-8893-057D664E1856}"/>
                </c:ext>
              </c:extLst>
            </c:dLbl>
            <c:dLbl>
              <c:idx val="5"/>
              <c:layout>
                <c:manualLayout>
                  <c:x val="-8.2596417410129713E-3"/>
                  <c:y val="1.4670747492179916E-2"/>
                </c:manualLayout>
              </c:layout>
              <c:tx>
                <c:rich>
                  <a:bodyPr/>
                  <a:lstStyle/>
                  <a:p>
                    <a:r>
                      <a:rPr lang="en-US"/>
                      <a:t>Health &amp; safety at work
2</a:t>
                    </a:r>
                  </a:p>
                </c:rich>
              </c:tx>
              <c:dLblPos val="bestFit"/>
              <c:showLegendKey val="1"/>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CC42-41F3-8893-057D664E1856}"/>
                </c:ext>
              </c:extLst>
            </c:dLbl>
            <c:spPr>
              <a:noFill/>
              <a:ln w="25333">
                <a:noFill/>
              </a:ln>
            </c:spPr>
            <c:txPr>
              <a:bodyPr rot="0" spcFirstLastPara="1" vertOverflow="ellipsis" vert="horz" wrap="square" lIns="38100" tIns="19050" rIns="38100" bIns="19050" anchor="ctr" anchorCtr="1">
                <a:spAutoFit/>
              </a:bodyPr>
              <a:lstStyle/>
              <a:p>
                <a:pPr>
                  <a:defRPr sz="897"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Blad1!$A$2:$A$7</c:f>
              <c:strCache>
                <c:ptCount val="6"/>
                <c:pt idx="0">
                  <c:v>Sectors</c:v>
                </c:pt>
                <c:pt idx="2">
                  <c:v>Working conditions</c:v>
                </c:pt>
                <c:pt idx="3">
                  <c:v>Social security</c:v>
                </c:pt>
                <c:pt idx="4">
                  <c:v>Free movement of workers</c:v>
                </c:pt>
                <c:pt idx="5">
                  <c:v>Health &amp; Safety at work</c:v>
                </c:pt>
              </c:strCache>
            </c:strRef>
          </c:cat>
          <c:val>
            <c:numRef>
              <c:f>Blad1!$B$2:$B$7</c:f>
              <c:numCache>
                <c:formatCode>General</c:formatCode>
                <c:ptCount val="6"/>
                <c:pt idx="0">
                  <c:v>0</c:v>
                </c:pt>
                <c:pt idx="2">
                  <c:v>37</c:v>
                </c:pt>
                <c:pt idx="3">
                  <c:v>4</c:v>
                </c:pt>
                <c:pt idx="4">
                  <c:v>3</c:v>
                </c:pt>
                <c:pt idx="5">
                  <c:v>2</c:v>
                </c:pt>
              </c:numCache>
            </c:numRef>
          </c:val>
          <c:extLst xmlns:c16r2="http://schemas.microsoft.com/office/drawing/2015/06/chart">
            <c:ext xmlns:c16="http://schemas.microsoft.com/office/drawing/2014/chart" uri="{C3380CC4-5D6E-409C-BE32-E72D297353CC}">
              <c16:uniqueId val="{0000000C-CC42-41F3-8893-057D664E1856}"/>
            </c:ext>
          </c:extLst>
        </c:ser>
        <c:dLbls>
          <c:showLegendKey val="0"/>
          <c:showVal val="0"/>
          <c:showCatName val="0"/>
          <c:showSerName val="0"/>
          <c:showPercent val="0"/>
          <c:showBubbleSize val="0"/>
          <c:showLeaderLines val="0"/>
        </c:dLbls>
        <c:firstSliceAng val="142"/>
      </c:pieChart>
      <c:spPr>
        <a:noFill/>
        <a:ln w="25350">
          <a:noFill/>
        </a:ln>
      </c:spPr>
    </c:plotArea>
    <c:plotVisOnly val="1"/>
    <c:dispBlanksAs val="gap"/>
    <c:showDLblsOverMax val="0"/>
  </c:chart>
  <c:spPr>
    <a:solidFill>
      <a:schemeClr val="bg1"/>
    </a:solidFill>
    <a:ln w="950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GB" sz="1097" b="0">
                <a:solidFill>
                  <a:srgbClr val="002060"/>
                </a:solidFill>
                <a:latin typeface="Arial" panose="020B0604020202020204" pitchFamily="34" charset="0"/>
                <a:cs typeface="Arial" panose="020B0604020202020204" pitchFamily="34" charset="0"/>
              </a:rPr>
              <a:t>97 complaints in 2017</a:t>
            </a:r>
          </a:p>
        </c:rich>
      </c:tx>
      <c:overlay val="0"/>
      <c:spPr>
        <a:noFill/>
        <a:ln w="25325">
          <a:noFill/>
        </a:ln>
      </c:spPr>
    </c:title>
    <c:autoTitleDeleted val="0"/>
    <c:plotArea>
      <c:layout/>
      <c:pieChart>
        <c:varyColors val="1"/>
        <c:ser>
          <c:idx val="0"/>
          <c:order val="0"/>
          <c:tx>
            <c:strRef>
              <c:f>Blad1!$B$1</c:f>
              <c:strCache>
                <c:ptCount val="1"/>
                <c:pt idx="0">
                  <c:v>[Number of new complaints] complaints in 2014</c:v>
                </c:pt>
              </c:strCache>
            </c:strRef>
          </c:tx>
          <c:spPr>
            <a:solidFill>
              <a:srgbClr val="92D050"/>
            </a:solidFill>
            <a:scene3d>
              <a:camera prst="orthographicFront"/>
              <a:lightRig rig="threePt" dir="t"/>
            </a:scene3d>
            <a:sp3d>
              <a:bevelT w="63500" h="25400"/>
            </a:sp3d>
          </c:spPr>
          <c:dPt>
            <c:idx val="0"/>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F651-4379-B22E-7A96AF2DE2DC}"/>
              </c:ext>
            </c:extLst>
          </c:dPt>
          <c:dPt>
            <c:idx val="1"/>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F651-4379-B22E-7A96AF2DE2DC}"/>
              </c:ext>
            </c:extLst>
          </c:dPt>
          <c:dPt>
            <c:idx val="2"/>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F651-4379-B22E-7A96AF2DE2DC}"/>
              </c:ext>
            </c:extLst>
          </c:dPt>
          <c:dPt>
            <c:idx val="3"/>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F651-4379-B22E-7A96AF2DE2DC}"/>
              </c:ext>
            </c:extLst>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F651-4379-B22E-7A96AF2DE2DC}"/>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651-4379-B22E-7A96AF2DE2DC}"/>
                </c:ext>
              </c:extLst>
            </c:dLbl>
            <c:dLbl>
              <c:idx val="1"/>
              <c:layout>
                <c:manualLayout>
                  <c:x val="6.1073979124702436E-2"/>
                  <c:y val="-0.2857066282207682"/>
                </c:manualLayout>
              </c:layout>
              <c:tx>
                <c:rich>
                  <a:bodyPr rot="0" spcFirstLastPara="1" vertOverflow="ellipsis" vert="horz" wrap="square" lIns="38100" tIns="19050" rIns="38100" bIns="19050" anchor="ctr" anchorCtr="1">
                    <a:spAutoFit/>
                  </a:bodyPr>
                  <a:lstStyle/>
                  <a:p>
                    <a:pPr>
                      <a:defRPr sz="897"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r>
                      <a:rPr lang="en-US"/>
                      <a:t>Rural development
46</a:t>
                    </a:r>
                  </a:p>
                </c:rich>
              </c:tx>
              <c:spPr>
                <a:noFill/>
                <a:ln w="25325">
                  <a:noFill/>
                </a:ln>
              </c:spPr>
              <c:dLblPos val="bestFit"/>
              <c:showLegendKey val="1"/>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F651-4379-B22E-7A96AF2DE2DC}"/>
                </c:ext>
              </c:extLst>
            </c:dLbl>
            <c:dLbl>
              <c:idx val="2"/>
              <c:layout>
                <c:manualLayout>
                  <c:x val="2.7340652156146995E-2"/>
                  <c:y val="7.7697198172582346E-2"/>
                </c:manualLayout>
              </c:layout>
              <c:spPr>
                <a:noFill/>
                <a:ln w="25325">
                  <a:noFill/>
                </a:ln>
              </c:spPr>
              <c:txPr>
                <a:bodyPr rot="0" spcFirstLastPara="1" vertOverflow="ellipsis" vert="horz" wrap="square" lIns="38100" tIns="19050" rIns="38100" bIns="19050" anchor="ctr" anchorCtr="1">
                  <a:spAutoFit/>
                </a:bodyPr>
                <a:lstStyle/>
                <a:p>
                  <a:pPr>
                    <a:defRPr sz="897"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F651-4379-B22E-7A96AF2DE2DC}"/>
                </c:ext>
              </c:extLst>
            </c:dLbl>
            <c:dLbl>
              <c:idx val="3"/>
              <c:layout>
                <c:manualLayout>
                  <c:x val="5.8924102873164153E-3"/>
                  <c:y val="6.6443409512835283E-2"/>
                </c:manualLayout>
              </c:layout>
              <c:tx>
                <c:rich>
                  <a:bodyPr rot="0" spcFirstLastPara="1" vertOverflow="ellipsis" vert="horz" wrap="square" lIns="38100" tIns="19050" rIns="38100" bIns="19050" anchor="ctr" anchorCtr="1">
                    <a:spAutoFit/>
                  </a:bodyPr>
                  <a:lstStyle/>
                  <a:p>
                    <a:pPr>
                      <a:defRPr sz="895"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r>
                      <a:rPr lang="en-US"/>
                      <a:t>Common market</a:t>
                    </a:r>
                    <a:r>
                      <a:rPr lang="en-US" baseline="0"/>
                      <a:t> organisation</a:t>
                    </a:r>
                  </a:p>
                  <a:p>
                    <a:pPr>
                      <a:defRPr sz="895"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r>
                      <a:rPr lang="en-US"/>
                      <a:t>(Wine)
7</a:t>
                    </a:r>
                  </a:p>
                </c:rich>
              </c:tx>
              <c:spPr>
                <a:noFill/>
                <a:ln w="25325">
                  <a:noFill/>
                </a:ln>
              </c:spPr>
              <c:dLblPos val="bestFit"/>
              <c:showLegendKey val="1"/>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F651-4379-B22E-7A96AF2DE2DC}"/>
                </c:ext>
              </c:extLst>
            </c:dLbl>
            <c:dLbl>
              <c:idx val="4"/>
              <c:layout>
                <c:manualLayout>
                  <c:x val="3.5972635284150213E-2"/>
                  <c:y val="-3.015932078612124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F651-4379-B22E-7A96AF2DE2DC}"/>
                </c:ext>
              </c:extLst>
            </c:dLbl>
            <c:dLbl>
              <c:idx val="5"/>
              <c:layout>
                <c:manualLayout>
                  <c:x val="5.5122470156346737E-3"/>
                  <c:y val="4.5358766773871575E-4"/>
                </c:manualLayout>
              </c:layout>
              <c:spPr>
                <a:noFill/>
                <a:ln w="25325">
                  <a:noFill/>
                </a:ln>
              </c:spPr>
              <c:txPr>
                <a:bodyPr rot="0" spcFirstLastPara="1" vertOverflow="ellipsis" vert="horz" wrap="square" lIns="38100" tIns="19050" rIns="38100" bIns="19050" anchor="ctr" anchorCtr="1">
                  <a:spAutoFit/>
                </a:bodyPr>
                <a:lstStyle/>
                <a:p>
                  <a:pPr>
                    <a:defRPr sz="848"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F651-4379-B22E-7A96AF2DE2DC}"/>
                </c:ext>
              </c:extLst>
            </c:dLbl>
            <c:dLbl>
              <c:idx val="6"/>
              <c:layout>
                <c:manualLayout>
                  <c:x val="-2.7685492801770854E-3"/>
                  <c:y val="4.2253521126760653E-2"/>
                </c:manualLayout>
              </c:layout>
              <c:spPr>
                <a:noFill/>
                <a:ln w="25325">
                  <a:noFill/>
                </a:ln>
              </c:spPr>
              <c:txPr>
                <a:bodyPr rot="0" spcFirstLastPara="1" vertOverflow="ellipsis" vert="horz" wrap="square" lIns="38100" tIns="19050" rIns="38100" bIns="19050" anchor="ctr" anchorCtr="1">
                  <a:spAutoFit/>
                </a:bodyPr>
                <a:lstStyle/>
                <a:p>
                  <a:pPr>
                    <a:defRPr sz="848"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651-4379-B22E-7A96AF2DE2DC}"/>
                </c:ext>
              </c:extLst>
            </c:dLbl>
            <c:dLbl>
              <c:idx val="7"/>
              <c:layout>
                <c:manualLayout>
                  <c:x val="-2.5616710701859943E-2"/>
                  <c:y val="0.10328638497652583"/>
                </c:manualLayout>
              </c:layout>
              <c:spPr>
                <a:noFill/>
                <a:ln w="25325">
                  <a:noFill/>
                </a:ln>
              </c:spPr>
              <c:txPr>
                <a:bodyPr rot="0" spcFirstLastPara="1" vertOverflow="ellipsis" vert="horz" wrap="square" lIns="38100" tIns="19050" rIns="38100" bIns="19050" anchor="ctr" anchorCtr="1">
                  <a:spAutoFit/>
                </a:bodyPr>
                <a:lstStyle/>
                <a:p>
                  <a:pPr>
                    <a:defRPr sz="848"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F651-4379-B22E-7A96AF2DE2DC}"/>
                </c:ext>
              </c:extLst>
            </c:dLbl>
            <c:spPr>
              <a:noFill/>
              <a:ln w="25325">
                <a:noFill/>
              </a:ln>
            </c:spPr>
            <c:txPr>
              <a:bodyPr rot="0" spcFirstLastPara="1" vertOverflow="ellipsis" vert="horz" wrap="square" lIns="38100" tIns="19050" rIns="38100" bIns="19050" anchor="ctr" anchorCtr="1">
                <a:spAutoFit/>
              </a:bodyPr>
              <a:lstStyle/>
              <a:p>
                <a:pPr>
                  <a:defRPr sz="897"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0">
                  <c:v>Sector</c:v>
                </c:pt>
                <c:pt idx="1">
                  <c:v>Rural Development</c:v>
                </c:pt>
                <c:pt idx="2">
                  <c:v>Direct payments</c:v>
                </c:pt>
                <c:pt idx="3">
                  <c:v>CMO (Wine)</c:v>
                </c:pt>
                <c:pt idx="4">
                  <c:v>Other</c:v>
                </c:pt>
              </c:strCache>
            </c:strRef>
          </c:cat>
          <c:val>
            <c:numRef>
              <c:f>Blad1!$B$2:$B$6</c:f>
              <c:numCache>
                <c:formatCode>General</c:formatCode>
                <c:ptCount val="5"/>
                <c:pt idx="0">
                  <c:v>0</c:v>
                </c:pt>
                <c:pt idx="1">
                  <c:v>46</c:v>
                </c:pt>
                <c:pt idx="2">
                  <c:v>25</c:v>
                </c:pt>
                <c:pt idx="3">
                  <c:v>7</c:v>
                </c:pt>
                <c:pt idx="4">
                  <c:v>19</c:v>
                </c:pt>
              </c:numCache>
            </c:numRef>
          </c:val>
          <c:extLst xmlns:c16r2="http://schemas.microsoft.com/office/drawing/2015/06/chart">
            <c:ext xmlns:c16="http://schemas.microsoft.com/office/drawing/2014/chart" uri="{C3380CC4-5D6E-409C-BE32-E72D297353CC}">
              <c16:uniqueId val="{0000000D-F651-4379-B22E-7A96AF2DE2DC}"/>
            </c:ext>
          </c:extLst>
        </c:ser>
        <c:dLbls>
          <c:showLegendKey val="0"/>
          <c:showVal val="0"/>
          <c:showCatName val="0"/>
          <c:showSerName val="0"/>
          <c:showPercent val="0"/>
          <c:showBubbleSize val="0"/>
          <c:showLeaderLines val="0"/>
        </c:dLbls>
        <c:firstSliceAng val="179"/>
      </c:pieChart>
      <c:spPr>
        <a:noFill/>
        <a:ln w="25342">
          <a:noFill/>
        </a:ln>
      </c:spPr>
    </c:plotArea>
    <c:plotVisOnly val="1"/>
    <c:dispBlanksAs val="gap"/>
    <c:showDLblsOverMax val="0"/>
  </c:chart>
  <c:spPr>
    <a:solidFill>
      <a:schemeClr val="bg1"/>
    </a:solidFill>
    <a:ln w="949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385">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13</c:v>
                </c:pt>
                <c:pt idx="1">
                  <c:v>17</c:v>
                </c:pt>
                <c:pt idx="2">
                  <c:v>14</c:v>
                </c:pt>
                <c:pt idx="3">
                  <c:v>39</c:v>
                </c:pt>
                <c:pt idx="4">
                  <c:v>18</c:v>
                </c:pt>
              </c:numCache>
            </c:numRef>
          </c:val>
          <c:smooth val="0"/>
          <c:extLst xmlns:c16r2="http://schemas.microsoft.com/office/drawing/2015/06/chart">
            <c:ext xmlns:c16="http://schemas.microsoft.com/office/drawing/2014/chart" uri="{C3380CC4-5D6E-409C-BE32-E72D297353CC}">
              <c16:uniqueId val="{00000000-75FE-4E10-B5A3-73A37500EC6B}"/>
            </c:ext>
          </c:extLst>
        </c:ser>
        <c:dLbls>
          <c:showLegendKey val="0"/>
          <c:showVal val="0"/>
          <c:showCatName val="0"/>
          <c:showSerName val="0"/>
          <c:showPercent val="0"/>
          <c:showBubbleSize val="0"/>
        </c:dLbls>
        <c:marker val="1"/>
        <c:smooth val="0"/>
        <c:axId val="184047488"/>
        <c:axId val="184049024"/>
      </c:lineChart>
      <c:catAx>
        <c:axId val="184047488"/>
        <c:scaling>
          <c:orientation val="minMax"/>
        </c:scaling>
        <c:delete val="0"/>
        <c:axPos val="b"/>
        <c:numFmt formatCode="General" sourceLinked="1"/>
        <c:majorTickMark val="none"/>
        <c:minorTickMark val="none"/>
        <c:tickLblPos val="nextTo"/>
        <c:spPr>
          <a:noFill/>
          <a:ln w="12693"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84049024"/>
        <c:crosses val="autoZero"/>
        <c:auto val="1"/>
        <c:lblAlgn val="ctr"/>
        <c:lblOffset val="100"/>
        <c:noMultiLvlLbl val="0"/>
      </c:catAx>
      <c:valAx>
        <c:axId val="184049024"/>
        <c:scaling>
          <c:orientation val="minMax"/>
        </c:scaling>
        <c:delete val="1"/>
        <c:axPos val="l"/>
        <c:majorGridlines>
          <c:spPr>
            <a:ln w="9520" cap="flat" cmpd="sng" algn="ctr">
              <a:solidFill>
                <a:schemeClr val="tx1">
                  <a:lumMod val="15000"/>
                  <a:lumOff val="85000"/>
                </a:schemeClr>
              </a:solidFill>
              <a:round/>
            </a:ln>
            <a:effectLst/>
          </c:spPr>
        </c:majorGridlines>
        <c:numFmt formatCode="General" sourceLinked="1"/>
        <c:majorTickMark val="out"/>
        <c:minorTickMark val="none"/>
        <c:tickLblPos val="nextTo"/>
        <c:crossAx val="184047488"/>
        <c:crosses val="autoZero"/>
        <c:crossBetween val="between"/>
      </c:valAx>
      <c:spPr>
        <a:noFill/>
        <a:ln w="25375">
          <a:noFill/>
        </a:ln>
      </c:spPr>
    </c:plotArea>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2"/>
              <c:layout>
                <c:manualLayout>
                  <c:x val="-4.1914709008481377E-2"/>
                  <c:y val="-6.625761402466201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BC4-4DD0-AE1C-1ED6EB96F490}"/>
                </c:ext>
              </c:extLst>
            </c:dLbl>
            <c:spPr>
              <a:noFill/>
              <a:ln w="2535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72</c:v>
                </c:pt>
                <c:pt idx="1">
                  <c:v>67</c:v>
                </c:pt>
                <c:pt idx="2">
                  <c:v>91</c:v>
                </c:pt>
                <c:pt idx="3">
                  <c:v>60</c:v>
                </c:pt>
                <c:pt idx="4">
                  <c:v>58</c:v>
                </c:pt>
              </c:numCache>
            </c:numRef>
          </c:val>
          <c:smooth val="0"/>
          <c:extLst xmlns:c16r2="http://schemas.microsoft.com/office/drawing/2015/06/chart">
            <c:ext xmlns:c16="http://schemas.microsoft.com/office/drawing/2014/chart" uri="{C3380CC4-5D6E-409C-BE32-E72D297353CC}">
              <c16:uniqueId val="{00000001-6BC4-4DD0-AE1C-1ED6EB96F490}"/>
            </c:ext>
          </c:extLst>
        </c:ser>
        <c:dLbls>
          <c:showLegendKey val="0"/>
          <c:showVal val="0"/>
          <c:showCatName val="0"/>
          <c:showSerName val="0"/>
          <c:showPercent val="0"/>
          <c:showBubbleSize val="0"/>
        </c:dLbls>
        <c:marker val="1"/>
        <c:smooth val="0"/>
        <c:axId val="208341248"/>
        <c:axId val="208347136"/>
      </c:lineChart>
      <c:catAx>
        <c:axId val="208341248"/>
        <c:scaling>
          <c:orientation val="minMax"/>
        </c:scaling>
        <c:delete val="0"/>
        <c:axPos val="b"/>
        <c:numFmt formatCode="General" sourceLinked="1"/>
        <c:majorTickMark val="none"/>
        <c:minorTickMark val="none"/>
        <c:tickLblPos val="nextTo"/>
        <c:spPr>
          <a:noFill/>
          <a:ln w="12680"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08347136"/>
        <c:crosses val="autoZero"/>
        <c:auto val="1"/>
        <c:lblAlgn val="ctr"/>
        <c:lblOffset val="100"/>
        <c:noMultiLvlLbl val="0"/>
      </c:catAx>
      <c:valAx>
        <c:axId val="208347136"/>
        <c:scaling>
          <c:orientation val="minMax"/>
        </c:scaling>
        <c:delete val="1"/>
        <c:axPos val="l"/>
        <c:majorGridlines>
          <c:spPr>
            <a:ln w="9510" cap="flat" cmpd="sng" algn="ctr">
              <a:solidFill>
                <a:schemeClr val="tx1">
                  <a:lumMod val="15000"/>
                  <a:lumOff val="85000"/>
                </a:schemeClr>
              </a:solidFill>
              <a:round/>
            </a:ln>
            <a:effectLst/>
          </c:spPr>
        </c:majorGridlines>
        <c:numFmt formatCode="General" sourceLinked="1"/>
        <c:majorTickMark val="out"/>
        <c:minorTickMark val="none"/>
        <c:tickLblPos val="nextTo"/>
        <c:crossAx val="208341248"/>
        <c:crosses val="autoZero"/>
        <c:crossBetween val="between"/>
      </c:valAx>
      <c:spPr>
        <a:noFill/>
        <a:ln w="25372">
          <a:noFill/>
        </a:ln>
      </c:spPr>
    </c:plotArea>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GB" sz="1097" b="0">
                <a:solidFill>
                  <a:srgbClr val="002060"/>
                </a:solidFill>
                <a:latin typeface="Arial" panose="020B0604020202020204" pitchFamily="34" charset="0"/>
                <a:cs typeface="Arial" panose="020B0604020202020204" pitchFamily="34" charset="0"/>
              </a:rPr>
              <a:t>58 complaints in 2017</a:t>
            </a:r>
          </a:p>
        </c:rich>
      </c:tx>
      <c:overlay val="0"/>
      <c:spPr>
        <a:noFill/>
        <a:ln w="25310">
          <a:noFill/>
        </a:ln>
      </c:spPr>
    </c:title>
    <c:autoTitleDeleted val="0"/>
    <c:plotArea>
      <c:layout/>
      <c:pieChart>
        <c:varyColors val="1"/>
        <c:ser>
          <c:idx val="0"/>
          <c:order val="0"/>
          <c:tx>
            <c:strRef>
              <c:f>Blad1!$B$1</c:f>
              <c:strCache>
                <c:ptCount val="1"/>
                <c:pt idx="0">
                  <c:v>[Number of new complaints] complaints in 2014</c:v>
                </c:pt>
              </c:strCache>
            </c:strRef>
          </c:tx>
          <c:spPr>
            <a:solidFill>
              <a:srgbClr val="92D050"/>
            </a:solidFill>
            <a:scene3d>
              <a:camera prst="orthographicFront"/>
              <a:lightRig rig="threePt" dir="t"/>
            </a:scene3d>
            <a:sp3d>
              <a:bevelT w="63500" h="25400"/>
            </a:sp3d>
          </c:spPr>
          <c:dPt>
            <c:idx val="0"/>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9200-42E2-95C3-4E8E72C46AF9}"/>
              </c:ext>
            </c:extLst>
          </c:dPt>
          <c:dPt>
            <c:idx val="1"/>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9200-42E2-95C3-4E8E72C46AF9}"/>
              </c:ext>
            </c:extLst>
          </c:dPt>
          <c:dPt>
            <c:idx val="2"/>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9200-42E2-95C3-4E8E72C46AF9}"/>
              </c:ext>
            </c:extLst>
          </c:dPt>
          <c:dPt>
            <c:idx val="3"/>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9200-42E2-95C3-4E8E72C46AF9}"/>
              </c:ext>
            </c:extLst>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9200-42E2-95C3-4E8E72C46AF9}"/>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200-42E2-95C3-4E8E72C46AF9}"/>
                </c:ext>
              </c:extLst>
            </c:dLbl>
            <c:dLbl>
              <c:idx val="1"/>
              <c:layout>
                <c:manualLayout>
                  <c:x val="-5.6075727843417659E-3"/>
                  <c:y val="-0.10063490767894305"/>
                </c:manualLayout>
              </c:layout>
              <c:spPr>
                <a:noFill/>
                <a:ln w="25310">
                  <a:noFill/>
                </a:ln>
              </c:spPr>
              <c:txPr>
                <a:bodyPr rot="0" spcFirstLastPara="1" vertOverflow="ellipsis" vert="horz" wrap="square" lIns="38100" tIns="19050" rIns="38100" bIns="19050" anchor="ctr" anchorCtr="1">
                  <a:spAutoFit/>
                </a:bodyPr>
                <a:lstStyle/>
                <a:p>
                  <a:pPr>
                    <a:defRPr sz="896"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200-42E2-95C3-4E8E72C46AF9}"/>
                </c:ext>
              </c:extLst>
            </c:dLbl>
            <c:dLbl>
              <c:idx val="2"/>
              <c:layout>
                <c:manualLayout>
                  <c:x val="1.9028140238088753E-2"/>
                  <c:y val="7.2762904089198291E-2"/>
                </c:manualLayout>
              </c:layout>
              <c:spPr>
                <a:noFill/>
                <a:ln w="25310">
                  <a:noFill/>
                </a:ln>
              </c:spPr>
              <c:txPr>
                <a:bodyPr rot="0" spcFirstLastPara="1" vertOverflow="ellipsis" vert="horz" wrap="square" lIns="38100" tIns="19050" rIns="38100" bIns="19050" anchor="ctr" anchorCtr="1">
                  <a:spAutoFit/>
                </a:bodyPr>
                <a:lstStyle/>
                <a:p>
                  <a:pPr>
                    <a:defRPr sz="896"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200-42E2-95C3-4E8E72C46AF9}"/>
                </c:ext>
              </c:extLst>
            </c:dLbl>
            <c:dLbl>
              <c:idx val="3"/>
              <c:layout>
                <c:manualLayout>
                  <c:x val="5.907056012300173E-3"/>
                  <c:y val="3.9018545834037813E-2"/>
                </c:manualLayout>
              </c:layout>
              <c:spPr>
                <a:noFill/>
                <a:ln w="25310">
                  <a:noFill/>
                </a:ln>
              </c:spPr>
              <c:txPr>
                <a:bodyPr rot="0" spcFirstLastPara="1" vertOverflow="ellipsis" vert="horz" wrap="square" lIns="38100" tIns="19050" rIns="38100" bIns="19050" anchor="ctr" anchorCtr="1">
                  <a:spAutoFit/>
                </a:bodyPr>
                <a:lstStyle/>
                <a:p>
                  <a:pPr>
                    <a:defRPr sz="896"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200-42E2-95C3-4E8E72C46AF9}"/>
                </c:ext>
              </c:extLst>
            </c:dLbl>
            <c:dLbl>
              <c:idx val="4"/>
              <c:layout>
                <c:manualLayout>
                  <c:x val="5.4600893314770875E-3"/>
                  <c:y val="-3.009716555610581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200-42E2-95C3-4E8E72C46AF9}"/>
                </c:ext>
              </c:extLst>
            </c:dLbl>
            <c:dLbl>
              <c:idx val="5"/>
              <c:layout>
                <c:manualLayout>
                  <c:x val="1.6573397126186263E-2"/>
                  <c:y val="-3.194209702203362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200-42E2-95C3-4E8E72C46AF9}"/>
                </c:ext>
              </c:extLst>
            </c:dLbl>
            <c:dLbl>
              <c:idx val="6"/>
              <c:layout>
                <c:manualLayout>
                  <c:x val="-4.706533776301218E-2"/>
                  <c:y val="4.225352112676056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9200-42E2-95C3-4E8E72C46AF9}"/>
                </c:ext>
              </c:extLst>
            </c:dLbl>
            <c:spPr>
              <a:noFill/>
              <a:ln w="25310">
                <a:noFill/>
              </a:ln>
            </c:spPr>
            <c:txPr>
              <a:bodyPr rot="0" spcFirstLastPara="1" vertOverflow="ellipsis" vert="horz" wrap="square" lIns="38100" tIns="19050" rIns="38100" bIns="19050" anchor="ctr" anchorCtr="1">
                <a:spAutoFit/>
              </a:bodyPr>
              <a:lstStyle/>
              <a:p>
                <a:pPr>
                  <a:defRPr sz="896"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0">
                  <c:v>Sector</c:v>
                </c:pt>
                <c:pt idx="1">
                  <c:v>Internal energy market and consumer protection</c:v>
                </c:pt>
                <c:pt idx="2">
                  <c:v>Renewable energy</c:v>
                </c:pt>
                <c:pt idx="3">
                  <c:v>Energy efficiency</c:v>
                </c:pt>
                <c:pt idx="4">
                  <c:v>Other</c:v>
                </c:pt>
              </c:strCache>
            </c:strRef>
          </c:cat>
          <c:val>
            <c:numRef>
              <c:f>Blad1!$B$2:$B$6</c:f>
              <c:numCache>
                <c:formatCode>General</c:formatCode>
                <c:ptCount val="5"/>
                <c:pt idx="0">
                  <c:v>0</c:v>
                </c:pt>
                <c:pt idx="1">
                  <c:v>30</c:v>
                </c:pt>
                <c:pt idx="2">
                  <c:v>9</c:v>
                </c:pt>
                <c:pt idx="3">
                  <c:v>9</c:v>
                </c:pt>
                <c:pt idx="4">
                  <c:v>10</c:v>
                </c:pt>
              </c:numCache>
            </c:numRef>
          </c:val>
          <c:extLst xmlns:c16r2="http://schemas.microsoft.com/office/drawing/2015/06/chart">
            <c:ext xmlns:c16="http://schemas.microsoft.com/office/drawing/2014/chart" uri="{C3380CC4-5D6E-409C-BE32-E72D297353CC}">
              <c16:uniqueId val="{0000000C-9200-42E2-95C3-4E8E72C46AF9}"/>
            </c:ext>
          </c:extLst>
        </c:ser>
        <c:dLbls>
          <c:showLegendKey val="0"/>
          <c:showVal val="0"/>
          <c:showCatName val="0"/>
          <c:showSerName val="0"/>
          <c:showPercent val="0"/>
          <c:showBubbleSize val="0"/>
          <c:showLeaderLines val="0"/>
        </c:dLbls>
        <c:firstSliceAng val="163"/>
      </c:pieChart>
      <c:spPr>
        <a:noFill/>
        <a:ln w="25327">
          <a:noFill/>
        </a:ln>
      </c:spPr>
    </c:plotArea>
    <c:plotVisOnly val="1"/>
    <c:dispBlanksAs val="gap"/>
    <c:showDLblsOverMax val="0"/>
  </c:chart>
  <c:spPr>
    <a:solidFill>
      <a:schemeClr val="bg1"/>
    </a:solidFill>
    <a:ln w="949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1"/>
              <c:layout>
                <c:manualLayout>
                  <c:x val="-4.9759140101980646E-2"/>
                  <c:y val="-7.486150790885651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233-401D-ADA6-8750CF572A7D}"/>
                </c:ext>
              </c:extLst>
            </c:dLbl>
            <c:spPr>
              <a:noFill/>
              <a:ln w="25377">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105</c:v>
                </c:pt>
                <c:pt idx="1">
                  <c:v>124</c:v>
                </c:pt>
                <c:pt idx="2">
                  <c:v>88</c:v>
                </c:pt>
                <c:pt idx="3">
                  <c:v>65</c:v>
                </c:pt>
                <c:pt idx="4">
                  <c:v>33</c:v>
                </c:pt>
              </c:numCache>
            </c:numRef>
          </c:val>
          <c:smooth val="0"/>
          <c:extLst xmlns:c16r2="http://schemas.microsoft.com/office/drawing/2015/06/chart">
            <c:ext xmlns:c16="http://schemas.microsoft.com/office/drawing/2014/chart" uri="{C3380CC4-5D6E-409C-BE32-E72D297353CC}">
              <c16:uniqueId val="{00000001-6233-401D-ADA6-8750CF572A7D}"/>
            </c:ext>
          </c:extLst>
        </c:ser>
        <c:dLbls>
          <c:showLegendKey val="0"/>
          <c:showVal val="0"/>
          <c:showCatName val="0"/>
          <c:showSerName val="0"/>
          <c:showPercent val="0"/>
          <c:showBubbleSize val="0"/>
        </c:dLbls>
        <c:marker val="1"/>
        <c:smooth val="0"/>
        <c:axId val="216026496"/>
        <c:axId val="216028288"/>
      </c:lineChart>
      <c:catAx>
        <c:axId val="216026496"/>
        <c:scaling>
          <c:orientation val="minMax"/>
        </c:scaling>
        <c:delete val="0"/>
        <c:axPos val="b"/>
        <c:numFmt formatCode="General" sourceLinked="1"/>
        <c:majorTickMark val="none"/>
        <c:minorTickMark val="none"/>
        <c:tickLblPos val="nextTo"/>
        <c:spPr>
          <a:noFill/>
          <a:ln w="1268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16028288"/>
        <c:crosses val="autoZero"/>
        <c:auto val="1"/>
        <c:lblAlgn val="ctr"/>
        <c:lblOffset val="100"/>
        <c:noMultiLvlLbl val="0"/>
      </c:catAx>
      <c:valAx>
        <c:axId val="216028288"/>
        <c:scaling>
          <c:orientation val="minMax"/>
        </c:scaling>
        <c:delete val="1"/>
        <c:axPos val="l"/>
        <c:majorGridlines>
          <c:spPr>
            <a:ln w="9517" cap="flat" cmpd="sng" algn="ctr">
              <a:solidFill>
                <a:schemeClr val="tx1">
                  <a:lumMod val="15000"/>
                  <a:lumOff val="85000"/>
                </a:schemeClr>
              </a:solidFill>
              <a:round/>
            </a:ln>
            <a:effectLst/>
          </c:spPr>
        </c:majorGridlines>
        <c:numFmt formatCode="General" sourceLinked="1"/>
        <c:majorTickMark val="out"/>
        <c:minorTickMark val="none"/>
        <c:tickLblPos val="nextTo"/>
        <c:crossAx val="216026496"/>
        <c:crosses val="autoZero"/>
        <c:crossBetween val="between"/>
      </c:valAx>
      <c:spPr>
        <a:noFill/>
        <a:ln w="25375">
          <a:noFill/>
        </a:ln>
      </c:spPr>
    </c:plotArea>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8808038808038806E-2"/>
          <c:y val="6.2947067238912732E-2"/>
          <c:w val="0.93909191583610185"/>
          <c:h val="0.68655170244130448"/>
        </c:manualLayout>
      </c:layout>
      <c:lineChart>
        <c:grouping val="standard"/>
        <c:varyColors val="0"/>
        <c:ser>
          <c:idx val="0"/>
          <c:order val="0"/>
          <c:tx>
            <c:strRef>
              <c:f>Blad1!$B$2</c:f>
              <c:strCache>
                <c:ptCount val="1"/>
                <c:pt idx="0">
                  <c:v>Energy</c:v>
                </c:pt>
              </c:strCache>
            </c:strRef>
          </c:tx>
          <c:spPr>
            <a:effectLst>
              <a:outerShdw blurRad="40000" dist="23000" dir="5400000" rotWithShape="0">
                <a:srgbClr val="000000">
                  <a:alpha val="35000"/>
                </a:srgbClr>
              </a:outerShdw>
            </a:effectLst>
          </c:spPr>
          <c:dLbls>
            <c:dLbl>
              <c:idx val="0"/>
              <c:layout>
                <c:manualLayout>
                  <c:x val="-5.2963861403386527E-2"/>
                  <c:y val="-7.15068002863278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4B3-4CD4-BFD1-A2B7D7B5F834}"/>
                </c:ext>
              </c:extLst>
            </c:dLbl>
            <c:dLbl>
              <c:idx val="3"/>
              <c:layout>
                <c:manualLayout>
                  <c:x val="-4.1765799175600561E-2"/>
                  <c:y val="5.33292126880044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4B3-4CD4-BFD1-A2B7D7B5F834}"/>
                </c:ext>
              </c:extLst>
            </c:dLbl>
            <c:dLbl>
              <c:idx val="4"/>
              <c:layout>
                <c:manualLayout>
                  <c:x val="-4.7201632290432623E-2"/>
                  <c:y val="7.049883679312812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4B3-4CD4-BFD1-A2B7D7B5F834}"/>
                </c:ext>
              </c:extLst>
            </c:dLbl>
            <c:spPr>
              <a:noFill/>
              <a:ln w="25375">
                <a:noFill/>
              </a:ln>
            </c:spPr>
            <c:txPr>
              <a:bodyPr/>
              <a:lstStyle/>
              <a:p>
                <a:pPr>
                  <a:defRPr sz="898">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0%</c:formatCode>
                <c:ptCount val="5"/>
                <c:pt idx="0">
                  <c:v>0.9</c:v>
                </c:pt>
                <c:pt idx="1">
                  <c:v>0.71</c:v>
                </c:pt>
                <c:pt idx="2">
                  <c:v>0.45</c:v>
                </c:pt>
                <c:pt idx="3">
                  <c:v>0.66</c:v>
                </c:pt>
                <c:pt idx="4">
                  <c:v>0.68</c:v>
                </c:pt>
              </c:numCache>
            </c:numRef>
          </c:val>
          <c:smooth val="0"/>
          <c:extLst xmlns:c16r2="http://schemas.microsoft.com/office/drawing/2015/06/chart">
            <c:ext xmlns:c16="http://schemas.microsoft.com/office/drawing/2014/chart" uri="{C3380CC4-5D6E-409C-BE32-E72D297353CC}">
              <c16:uniqueId val="{00000003-84B3-4CD4-BFD1-A2B7D7B5F834}"/>
            </c:ext>
          </c:extLst>
        </c:ser>
        <c:ser>
          <c:idx val="1"/>
          <c:order val="1"/>
          <c:tx>
            <c:strRef>
              <c:f>Blad1!$C$2</c:f>
              <c:strCache>
                <c:ptCount val="1"/>
                <c:pt idx="0">
                  <c:v>General rate for all policy areas</c:v>
                </c:pt>
              </c:strCache>
            </c:strRef>
          </c:tx>
          <c:spPr>
            <a:ln w="25358">
              <a:solidFill>
                <a:srgbClr val="92D050"/>
              </a:solidFill>
            </a:ln>
          </c:spPr>
          <c:marker>
            <c:symbol val="square"/>
            <c:size val="3"/>
            <c:spPr>
              <a:solidFill>
                <a:srgbClr val="92D050"/>
              </a:solidFill>
              <a:ln w="6340">
                <a:solidFill>
                  <a:srgbClr val="92D050"/>
                </a:solidFill>
              </a:ln>
            </c:spPr>
          </c:marker>
          <c:dLbls>
            <c:dLbl>
              <c:idx val="0"/>
              <c:layout>
                <c:manualLayout>
                  <c:x val="-4.7405193536854393E-2"/>
                  <c:y val="-5.922769927731633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4B3-4CD4-BFD1-A2B7D7B5F834}"/>
                </c:ext>
              </c:extLst>
            </c:dLbl>
            <c:dLbl>
              <c:idx val="3"/>
              <c:layout>
                <c:manualLayout>
                  <c:x val="-4.5883630450559584E-2"/>
                  <c:y val="-6.274655582215316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4B3-4CD4-BFD1-A2B7D7B5F834}"/>
                </c:ext>
              </c:extLst>
            </c:dLbl>
            <c:dLbl>
              <c:idx val="4"/>
              <c:layout>
                <c:manualLayout>
                  <c:x val="-3.7520818618602909E-2"/>
                  <c:y val="-5.68776291662172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4B3-4CD4-BFD1-A2B7D7B5F834}"/>
                </c:ext>
              </c:extLst>
            </c:dLbl>
            <c:spPr>
              <a:noFill/>
              <a:ln w="25375">
                <a:noFill/>
              </a:ln>
            </c:spPr>
            <c:txPr>
              <a:bodyPr/>
              <a:lstStyle/>
              <a:p>
                <a:pPr>
                  <a:defRPr sz="898">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Blad1!$C$3:$C$7</c:f>
              <c:numCache>
                <c:formatCode>0%</c:formatCode>
                <c:ptCount val="5"/>
                <c:pt idx="0">
                  <c:v>0.7</c:v>
                </c:pt>
                <c:pt idx="1">
                  <c:v>0.75</c:v>
                </c:pt>
                <c:pt idx="2">
                  <c:v>0.75</c:v>
                </c:pt>
                <c:pt idx="3">
                  <c:v>0.72</c:v>
                </c:pt>
                <c:pt idx="4">
                  <c:v>0.77</c:v>
                </c:pt>
              </c:numCache>
            </c:numRef>
          </c:val>
          <c:smooth val="0"/>
          <c:extLst xmlns:c16r2="http://schemas.microsoft.com/office/drawing/2015/06/chart">
            <c:ext xmlns:c16="http://schemas.microsoft.com/office/drawing/2014/chart" uri="{C3380CC4-5D6E-409C-BE32-E72D297353CC}">
              <c16:uniqueId val="{00000007-84B3-4CD4-BFD1-A2B7D7B5F834}"/>
            </c:ext>
          </c:extLst>
        </c:ser>
        <c:dLbls>
          <c:showLegendKey val="0"/>
          <c:showVal val="0"/>
          <c:showCatName val="0"/>
          <c:showSerName val="0"/>
          <c:showPercent val="0"/>
          <c:showBubbleSize val="0"/>
        </c:dLbls>
        <c:marker val="1"/>
        <c:smooth val="0"/>
        <c:axId val="216044672"/>
        <c:axId val="216046208"/>
      </c:lineChart>
      <c:catAx>
        <c:axId val="216044672"/>
        <c:scaling>
          <c:orientation val="minMax"/>
        </c:scaling>
        <c:delete val="0"/>
        <c:axPos val="b"/>
        <c:numFmt formatCode="General" sourceLinked="1"/>
        <c:majorTickMark val="none"/>
        <c:minorTickMark val="none"/>
        <c:tickLblPos val="nextTo"/>
        <c:spPr>
          <a:noFill/>
          <a:ln w="12680"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16046208"/>
        <c:crosses val="autoZero"/>
        <c:auto val="1"/>
        <c:lblAlgn val="ctr"/>
        <c:lblOffset val="100"/>
        <c:noMultiLvlLbl val="0"/>
      </c:catAx>
      <c:valAx>
        <c:axId val="216046208"/>
        <c:scaling>
          <c:orientation val="minMax"/>
        </c:scaling>
        <c:delete val="1"/>
        <c:axPos val="l"/>
        <c:majorGridlines>
          <c:spPr>
            <a:ln w="9510" cap="flat" cmpd="sng" algn="ctr">
              <a:solidFill>
                <a:schemeClr val="tx1">
                  <a:lumMod val="15000"/>
                  <a:lumOff val="85000"/>
                </a:schemeClr>
              </a:solidFill>
              <a:round/>
            </a:ln>
            <a:effectLst/>
          </c:spPr>
        </c:majorGridlines>
        <c:numFmt formatCode="0%" sourceLinked="1"/>
        <c:majorTickMark val="out"/>
        <c:minorTickMark val="none"/>
        <c:tickLblPos val="nextTo"/>
        <c:crossAx val="216044672"/>
        <c:crosses val="autoZero"/>
        <c:crossBetween val="between"/>
      </c:valAx>
      <c:spPr>
        <a:noFill/>
        <a:ln w="25375">
          <a:noFill/>
        </a:ln>
      </c:spPr>
    </c:plotArea>
    <c:legend>
      <c:legendPos val="r"/>
      <c:layout>
        <c:manualLayout>
          <c:xMode val="edge"/>
          <c:yMode val="edge"/>
          <c:x val="6.4735945485519586E-2"/>
          <c:y val="0.86642599277978349"/>
          <c:w val="0.868824531516184"/>
          <c:h val="9.386281588447655E-2"/>
        </c:manualLayout>
      </c:layout>
      <c:overlay val="0"/>
      <c:txPr>
        <a:bodyPr/>
        <a:lstStyle/>
        <a:p>
          <a:pPr>
            <a:defRPr sz="898">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358">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Blad1!$A$4:$A$8</c:f>
              <c:numCache>
                <c:formatCode>General</c:formatCode>
                <c:ptCount val="5"/>
                <c:pt idx="0">
                  <c:v>2013</c:v>
                </c:pt>
                <c:pt idx="1">
                  <c:v>2014</c:v>
                </c:pt>
                <c:pt idx="2">
                  <c:v>2015</c:v>
                </c:pt>
                <c:pt idx="3">
                  <c:v>2016</c:v>
                </c:pt>
                <c:pt idx="4">
                  <c:v>2017</c:v>
                </c:pt>
              </c:numCache>
            </c:numRef>
          </c:cat>
          <c:val>
            <c:numRef>
              <c:f>Blad1!$B$4:$B$8</c:f>
              <c:numCache>
                <c:formatCode>General</c:formatCode>
                <c:ptCount val="5"/>
                <c:pt idx="0">
                  <c:v>95</c:v>
                </c:pt>
                <c:pt idx="1">
                  <c:v>71</c:v>
                </c:pt>
                <c:pt idx="2">
                  <c:v>73</c:v>
                </c:pt>
                <c:pt idx="3">
                  <c:v>56</c:v>
                </c:pt>
                <c:pt idx="4">
                  <c:v>54</c:v>
                </c:pt>
              </c:numCache>
            </c:numRef>
          </c:val>
          <c:smooth val="0"/>
          <c:extLst xmlns:c16r2="http://schemas.microsoft.com/office/drawing/2015/06/chart">
            <c:ext xmlns:c16="http://schemas.microsoft.com/office/drawing/2014/chart" uri="{C3380CC4-5D6E-409C-BE32-E72D297353CC}">
              <c16:uniqueId val="{00000000-3407-4EF0-B580-259F232ED008}"/>
            </c:ext>
          </c:extLst>
        </c:ser>
        <c:dLbls>
          <c:showLegendKey val="0"/>
          <c:showVal val="0"/>
          <c:showCatName val="0"/>
          <c:showSerName val="0"/>
          <c:showPercent val="0"/>
          <c:showBubbleSize val="0"/>
        </c:dLbls>
        <c:marker val="1"/>
        <c:smooth val="0"/>
        <c:axId val="216067456"/>
        <c:axId val="220624000"/>
      </c:lineChart>
      <c:catAx>
        <c:axId val="216067456"/>
        <c:scaling>
          <c:orientation val="minMax"/>
        </c:scaling>
        <c:delete val="0"/>
        <c:axPos val="b"/>
        <c:numFmt formatCode="General" sourceLinked="1"/>
        <c:majorTickMark val="none"/>
        <c:minorTickMark val="none"/>
        <c:tickLblPos val="nextTo"/>
        <c:spPr>
          <a:noFill/>
          <a:ln w="12680"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20624000"/>
        <c:crosses val="autoZero"/>
        <c:auto val="1"/>
        <c:lblAlgn val="ctr"/>
        <c:lblOffset val="100"/>
        <c:noMultiLvlLbl val="0"/>
      </c:catAx>
      <c:valAx>
        <c:axId val="220624000"/>
        <c:scaling>
          <c:orientation val="minMax"/>
        </c:scaling>
        <c:delete val="1"/>
        <c:axPos val="l"/>
        <c:majorGridlines>
          <c:spPr>
            <a:ln w="9510" cap="flat" cmpd="sng" algn="ctr">
              <a:solidFill>
                <a:schemeClr val="tx1">
                  <a:lumMod val="15000"/>
                  <a:lumOff val="85000"/>
                </a:schemeClr>
              </a:solidFill>
              <a:round/>
            </a:ln>
            <a:effectLst/>
          </c:spPr>
        </c:majorGridlines>
        <c:numFmt formatCode="General" sourceLinked="1"/>
        <c:majorTickMark val="out"/>
        <c:minorTickMark val="none"/>
        <c:tickLblPos val="nextTo"/>
        <c:crossAx val="216067456"/>
        <c:crosses val="autoZero"/>
        <c:crossBetween val="between"/>
      </c:valAx>
      <c:spPr>
        <a:noFill/>
        <a:ln w="25375">
          <a:noFill/>
        </a:ln>
      </c:spPr>
    </c:plotArea>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9" b="0" i="0" u="none" strike="noStrike" kern="1200" baseline="0">
                <a:solidFill>
                  <a:srgbClr val="002060"/>
                </a:solidFill>
                <a:latin typeface="+mn-lt"/>
                <a:ea typeface="+mn-ea"/>
                <a:cs typeface="+mn-cs"/>
              </a:defRPr>
            </a:pPr>
            <a:r>
              <a:rPr lang="en-US" sz="1049" b="0" baseline="0">
                <a:solidFill>
                  <a:srgbClr val="002060"/>
                </a:solidFill>
                <a:latin typeface="Arial" panose="020B0604020202020204" pitchFamily="34" charset="0"/>
                <a:ea typeface="Verdana" panose="020B0604030504040204" pitchFamily="34" charset="0"/>
                <a:cs typeface="Arial" panose="020B0604020202020204" pitchFamily="34" charset="0"/>
              </a:rPr>
              <a:t>54 </a:t>
            </a:r>
            <a:r>
              <a:rPr lang="en-US" sz="1049"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2017</a:t>
            </a:r>
          </a:p>
        </c:rich>
      </c:tx>
      <c:overlay val="0"/>
      <c:spPr>
        <a:noFill/>
        <a:ln w="25358">
          <a:noFill/>
        </a:ln>
      </c:spPr>
    </c:title>
    <c:autoTitleDeleted val="0"/>
    <c:plotArea>
      <c:layout/>
      <c:pieChart>
        <c:varyColors val="1"/>
        <c:ser>
          <c:idx val="0"/>
          <c:order val="0"/>
          <c:tx>
            <c:strRef>
              <c:f>Blad1!$B$1</c:f>
              <c:strCache>
                <c:ptCount val="1"/>
                <c:pt idx="0">
                  <c:v>[Number of infringement cases] infringement cases in 2014</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FB12-4E9E-8C91-3C688AB79EC2}"/>
              </c:ext>
            </c:extLst>
          </c:dPt>
          <c:dPt>
            <c:idx val="1"/>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FB12-4E9E-8C91-3C688AB79EC2}"/>
              </c:ext>
            </c:extLst>
          </c:dPt>
          <c:dPt>
            <c:idx val="2"/>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FB12-4E9E-8C91-3C688AB79EC2}"/>
              </c:ext>
            </c:extLst>
          </c:dPt>
          <c:dPt>
            <c:idx val="3"/>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FB12-4E9E-8C91-3C688AB79EC2}"/>
              </c:ext>
            </c:extLst>
          </c:dPt>
          <c:dPt>
            <c:idx val="4"/>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FB12-4E9E-8C91-3C688AB79EC2}"/>
              </c:ext>
            </c:extLst>
          </c:dPt>
          <c:dPt>
            <c:idx val="5"/>
            <c:bubble3D val="0"/>
            <c:spPr>
              <a:solidFill>
                <a:srgbClr val="0070C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FB12-4E9E-8C91-3C688AB79EC2}"/>
              </c:ext>
            </c:extLst>
          </c:dPt>
          <c:dPt>
            <c:idx val="6"/>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FB12-4E9E-8C91-3C688AB79EC2}"/>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B12-4E9E-8C91-3C688AB79EC2}"/>
                </c:ext>
              </c:extLst>
            </c:dLbl>
            <c:dLbl>
              <c:idx val="1"/>
              <c:layout>
                <c:manualLayout>
                  <c:x val="-3.8653190739217302E-2"/>
                  <c:y val="-0.11062580735401806"/>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FB12-4E9E-8C91-3C688AB79EC2}"/>
                </c:ext>
              </c:extLst>
            </c:dLbl>
            <c:dLbl>
              <c:idx val="2"/>
              <c:layout>
                <c:manualLayout>
                  <c:x val="3.8800746921560179E-2"/>
                  <c:y val="2.014127152601222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FB12-4E9E-8C91-3C688AB79EC2}"/>
                </c:ext>
              </c:extLst>
            </c:dLbl>
            <c:dLbl>
              <c:idx val="3"/>
              <c:layout>
                <c:manualLayout>
                  <c:x val="-8.1565053124578336E-3"/>
                  <c:y val="7.922683253934950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FB12-4E9E-8C91-3C688AB79EC2}"/>
                </c:ext>
              </c:extLst>
            </c:dLbl>
            <c:dLbl>
              <c:idx val="4"/>
              <c:layout>
                <c:manualLayout>
                  <c:x val="-8.4407359527820212E-3"/>
                  <c:y val="-0.14128798163552436"/>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FB12-4E9E-8C91-3C688AB79EC2}"/>
                </c:ext>
              </c:extLst>
            </c:dLbl>
            <c:dLbl>
              <c:idx val="5"/>
              <c:layout>
                <c:manualLayout>
                  <c:x val="5.2541753176375341E-2"/>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FB12-4E9E-8C91-3C688AB79EC2}"/>
                </c:ext>
              </c:extLst>
            </c:dLbl>
            <c:dLbl>
              <c:idx val="6"/>
              <c:layout>
                <c:manualLayout>
                  <c:x val="1.6611295681063124E-2"/>
                  <c:y val="3.267973856209150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FB12-4E9E-8C91-3C688AB79EC2}"/>
                </c:ext>
              </c:extLst>
            </c:dLbl>
            <c:dLbl>
              <c:idx val="7"/>
              <c:layout>
                <c:manualLayout>
                  <c:x val="5.8139534883720929E-2"/>
                  <c:y val="4.6685340802987861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FB12-4E9E-8C91-3C688AB79EC2}"/>
                </c:ext>
              </c:extLst>
            </c:dLbl>
            <c:spPr>
              <a:noFill/>
              <a:ln w="25358">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Blad1!$A$2:$A$8</c:f>
              <c:strCache>
                <c:ptCount val="6"/>
                <c:pt idx="0">
                  <c:v>Sectors</c:v>
                </c:pt>
                <c:pt idx="1">
                  <c:v>Internal energy market and consumer protection</c:v>
                </c:pt>
                <c:pt idx="2">
                  <c:v>Renewable energy</c:v>
                </c:pt>
                <c:pt idx="3">
                  <c:v>Energy efficiency</c:v>
                </c:pt>
                <c:pt idx="4">
                  <c:v>Euratom</c:v>
                </c:pt>
                <c:pt idx="5">
                  <c:v>Security of supply and offshore safety</c:v>
                </c:pt>
              </c:strCache>
            </c:strRef>
          </c:cat>
          <c:val>
            <c:numRef>
              <c:f>Blad1!$B$2:$B$8</c:f>
              <c:numCache>
                <c:formatCode>General</c:formatCode>
                <c:ptCount val="7"/>
                <c:pt idx="0">
                  <c:v>0</c:v>
                </c:pt>
                <c:pt idx="1">
                  <c:v>14</c:v>
                </c:pt>
                <c:pt idx="2">
                  <c:v>12</c:v>
                </c:pt>
                <c:pt idx="3">
                  <c:v>11</c:v>
                </c:pt>
                <c:pt idx="4">
                  <c:v>11</c:v>
                </c:pt>
                <c:pt idx="5">
                  <c:v>6</c:v>
                </c:pt>
              </c:numCache>
            </c:numRef>
          </c:val>
          <c:extLst xmlns:c16r2="http://schemas.microsoft.com/office/drawing/2015/06/chart">
            <c:ext xmlns:c16="http://schemas.microsoft.com/office/drawing/2014/chart" uri="{C3380CC4-5D6E-409C-BE32-E72D297353CC}">
              <c16:uniqueId val="{0000000F-FB12-4E9E-8C91-3C688AB79EC2}"/>
            </c:ext>
          </c:extLst>
        </c:ser>
        <c:ser>
          <c:idx val="1"/>
          <c:order val="1"/>
          <c:tx>
            <c:strRef>
              <c:f>Blad1!$C$1</c:f>
              <c:strCache>
                <c:ptCount val="1"/>
                <c:pt idx="0">
                  <c:v>[Number of infringement cases] infringement cases in 2017</c:v>
                </c:pt>
              </c:strCache>
            </c:strRef>
          </c:tx>
          <c:dPt>
            <c:idx val="0"/>
            <c:bubble3D val="0"/>
            <c:extLst xmlns:c16r2="http://schemas.microsoft.com/office/drawing/2015/06/chart">
              <c:ext xmlns:c16="http://schemas.microsoft.com/office/drawing/2014/chart" uri="{C3380CC4-5D6E-409C-BE32-E72D297353CC}">
                <c16:uniqueId val="{00000010-FB12-4E9E-8C91-3C688AB79EC2}"/>
              </c:ext>
            </c:extLst>
          </c:dPt>
          <c:dPt>
            <c:idx val="1"/>
            <c:bubble3D val="0"/>
            <c:extLst xmlns:c16r2="http://schemas.microsoft.com/office/drawing/2015/06/chart">
              <c:ext xmlns:c16="http://schemas.microsoft.com/office/drawing/2014/chart" uri="{C3380CC4-5D6E-409C-BE32-E72D297353CC}">
                <c16:uniqueId val="{00000011-FB12-4E9E-8C91-3C688AB79EC2}"/>
              </c:ext>
            </c:extLst>
          </c:dPt>
          <c:dPt>
            <c:idx val="2"/>
            <c:bubble3D val="0"/>
            <c:extLst xmlns:c16r2="http://schemas.microsoft.com/office/drawing/2015/06/chart">
              <c:ext xmlns:c16="http://schemas.microsoft.com/office/drawing/2014/chart" uri="{C3380CC4-5D6E-409C-BE32-E72D297353CC}">
                <c16:uniqueId val="{00000012-FB12-4E9E-8C91-3C688AB79EC2}"/>
              </c:ext>
            </c:extLst>
          </c:dPt>
          <c:dPt>
            <c:idx val="3"/>
            <c:bubble3D val="0"/>
            <c:extLst xmlns:c16r2="http://schemas.microsoft.com/office/drawing/2015/06/chart">
              <c:ext xmlns:c16="http://schemas.microsoft.com/office/drawing/2014/chart" uri="{C3380CC4-5D6E-409C-BE32-E72D297353CC}">
                <c16:uniqueId val="{00000013-FB12-4E9E-8C91-3C688AB79EC2}"/>
              </c:ext>
            </c:extLst>
          </c:dPt>
          <c:dPt>
            <c:idx val="4"/>
            <c:bubble3D val="0"/>
            <c:extLst xmlns:c16r2="http://schemas.microsoft.com/office/drawing/2015/06/chart">
              <c:ext xmlns:c16="http://schemas.microsoft.com/office/drawing/2014/chart" uri="{C3380CC4-5D6E-409C-BE32-E72D297353CC}">
                <c16:uniqueId val="{00000014-FB12-4E9E-8C91-3C688AB79EC2}"/>
              </c:ext>
            </c:extLst>
          </c:dPt>
          <c:dPt>
            <c:idx val="5"/>
            <c:bubble3D val="0"/>
            <c:extLst xmlns:c16r2="http://schemas.microsoft.com/office/drawing/2015/06/chart">
              <c:ext xmlns:c16="http://schemas.microsoft.com/office/drawing/2014/chart" uri="{C3380CC4-5D6E-409C-BE32-E72D297353CC}">
                <c16:uniqueId val="{00000015-FB12-4E9E-8C91-3C688AB79EC2}"/>
              </c:ext>
            </c:extLst>
          </c:dPt>
          <c:dPt>
            <c:idx val="6"/>
            <c:bubble3D val="0"/>
            <c:extLst xmlns:c16r2="http://schemas.microsoft.com/office/drawing/2015/06/chart">
              <c:ext xmlns:c16="http://schemas.microsoft.com/office/drawing/2014/chart" uri="{C3380CC4-5D6E-409C-BE32-E72D297353CC}">
                <c16:uniqueId val="{00000016-FB12-4E9E-8C91-3C688AB79EC2}"/>
              </c:ext>
            </c:extLst>
          </c:dPt>
          <c:cat>
            <c:strRef>
              <c:f>Blad1!$A$2:$A$8</c:f>
              <c:strCache>
                <c:ptCount val="6"/>
                <c:pt idx="0">
                  <c:v>Sectors</c:v>
                </c:pt>
                <c:pt idx="1">
                  <c:v>Internal energy market and consumer protection</c:v>
                </c:pt>
                <c:pt idx="2">
                  <c:v>Renewable energy</c:v>
                </c:pt>
                <c:pt idx="3">
                  <c:v>Energy efficiency</c:v>
                </c:pt>
                <c:pt idx="4">
                  <c:v>Euratom</c:v>
                </c:pt>
                <c:pt idx="5">
                  <c:v>Security of supply and offshore safety</c:v>
                </c:pt>
              </c:strCache>
            </c:strRef>
          </c:cat>
          <c:val>
            <c:numRef>
              <c:f>Blad1!$C$2:$C$8</c:f>
              <c:numCache>
                <c:formatCode>General</c:formatCode>
                <c:ptCount val="7"/>
              </c:numCache>
            </c:numRef>
          </c:val>
          <c:extLst xmlns:c16r2="http://schemas.microsoft.com/office/drawing/2015/06/chart">
            <c:ext xmlns:c16="http://schemas.microsoft.com/office/drawing/2014/chart" uri="{C3380CC4-5D6E-409C-BE32-E72D297353CC}">
              <c16:uniqueId val="{00000017-FB12-4E9E-8C91-3C688AB79EC2}"/>
            </c:ext>
          </c:extLst>
        </c:ser>
        <c:dLbls>
          <c:showLegendKey val="0"/>
          <c:showVal val="0"/>
          <c:showCatName val="0"/>
          <c:showSerName val="0"/>
          <c:showPercent val="0"/>
          <c:showBubbleSize val="0"/>
          <c:showLeaderLines val="0"/>
        </c:dLbls>
        <c:firstSliceAng val="176"/>
      </c:pieChart>
      <c:spPr>
        <a:noFill/>
        <a:ln w="25375">
          <a:noFill/>
        </a:ln>
      </c:spPr>
    </c:plotArea>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7" b="0" i="0" u="none" strike="noStrike" kern="1200" baseline="0">
                <a:solidFill>
                  <a:srgbClr val="002060"/>
                </a:solidFill>
                <a:latin typeface="+mn-lt"/>
                <a:ea typeface="+mn-ea"/>
                <a:cs typeface="+mn-cs"/>
              </a:defRPr>
            </a:pPr>
            <a:r>
              <a:rPr lang="en-US" sz="1047" b="0" baseline="0">
                <a:solidFill>
                  <a:srgbClr val="002060"/>
                </a:solidFill>
                <a:latin typeface="Arial" panose="020B0604020202020204" pitchFamily="34" charset="0"/>
                <a:ea typeface="Verdana" panose="020B0604030504040204" pitchFamily="34" charset="0"/>
                <a:cs typeface="Arial" panose="020B0604020202020204" pitchFamily="34" charset="0"/>
              </a:rPr>
              <a:t>25 new </a:t>
            </a:r>
            <a:r>
              <a:rPr lang="en-US" sz="1047"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2017</a:t>
            </a:r>
          </a:p>
        </c:rich>
      </c:tx>
      <c:overlay val="0"/>
      <c:spPr>
        <a:noFill/>
        <a:ln w="25310">
          <a:noFill/>
        </a:ln>
      </c:spPr>
    </c:title>
    <c:autoTitleDeleted val="0"/>
    <c:plotArea>
      <c:layout/>
      <c:pieChart>
        <c:varyColors val="1"/>
        <c:ser>
          <c:idx val="0"/>
          <c:order val="0"/>
          <c:tx>
            <c:strRef>
              <c:f>Blad1!$B$1</c:f>
              <c:strCache>
                <c:ptCount val="1"/>
                <c:pt idx="0">
                  <c:v>[Number of infringement cases] infringement cases in 2017</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8B7D-44D6-8FAB-C8F58A1698B2}"/>
              </c:ext>
            </c:extLst>
          </c:dPt>
          <c:dPt>
            <c:idx val="1"/>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8B7D-44D6-8FAB-C8F58A1698B2}"/>
              </c:ext>
            </c:extLst>
          </c:dPt>
          <c:dPt>
            <c:idx val="2"/>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8B7D-44D6-8FAB-C8F58A1698B2}"/>
              </c:ext>
            </c:extLst>
          </c:dPt>
          <c:dPt>
            <c:idx val="3"/>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8B7D-44D6-8FAB-C8F58A1698B2}"/>
              </c:ext>
            </c:extLst>
          </c:dPt>
          <c:dPt>
            <c:idx val="4"/>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8B7D-44D6-8FAB-C8F58A1698B2}"/>
              </c:ext>
            </c:extLst>
          </c:dPt>
          <c:dPt>
            <c:idx val="5"/>
            <c:bubble3D val="0"/>
            <c:extLst xmlns:c16r2="http://schemas.microsoft.com/office/drawing/2015/06/chart">
              <c:ext xmlns:c16="http://schemas.microsoft.com/office/drawing/2014/chart" uri="{C3380CC4-5D6E-409C-BE32-E72D297353CC}">
                <c16:uniqueId val="{0000000A-8B7D-44D6-8FAB-C8F58A1698B2}"/>
              </c:ext>
            </c:extLst>
          </c:dPt>
          <c:dPt>
            <c:idx val="6"/>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C-8B7D-44D6-8FAB-C8F58A1698B2}"/>
              </c:ext>
            </c:extLst>
          </c:dPt>
          <c:dPt>
            <c:idx val="7"/>
            <c:bubble3D val="0"/>
            <c:extLst xmlns:c16r2="http://schemas.microsoft.com/office/drawing/2015/06/chart">
              <c:ext xmlns:c16="http://schemas.microsoft.com/office/drawing/2014/chart" uri="{C3380CC4-5D6E-409C-BE32-E72D297353CC}">
                <c16:uniqueId val="{0000000D-8B7D-44D6-8FAB-C8F58A1698B2}"/>
              </c:ext>
            </c:extLst>
          </c:dPt>
          <c:dPt>
            <c:idx val="8"/>
            <c:bubble3D val="0"/>
            <c:extLst xmlns:c16r2="http://schemas.microsoft.com/office/drawing/2015/06/chart">
              <c:ext xmlns:c16="http://schemas.microsoft.com/office/drawing/2014/chart" uri="{C3380CC4-5D6E-409C-BE32-E72D297353CC}">
                <c16:uniqueId val="{0000000E-8B7D-44D6-8FAB-C8F58A1698B2}"/>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B7D-44D6-8FAB-C8F58A1698B2}"/>
                </c:ext>
              </c:extLst>
            </c:dLbl>
            <c:dLbl>
              <c:idx val="1"/>
              <c:layout>
                <c:manualLayout>
                  <c:x val="6.5066500995886151E-2"/>
                  <c:y val="-5.714377727323961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8B7D-44D6-8FAB-C8F58A1698B2}"/>
                </c:ext>
              </c:extLst>
            </c:dLbl>
            <c:dLbl>
              <c:idx val="2"/>
              <c:layout>
                <c:manualLayout>
                  <c:x val="2.4903424547474712E-2"/>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8B7D-44D6-8FAB-C8F58A1698B2}"/>
                </c:ext>
              </c:extLst>
            </c:dLbl>
            <c:dLbl>
              <c:idx val="3"/>
              <c:layout>
                <c:manualLayout>
                  <c:x val="7.973394947971929E-2"/>
                  <c:y val="1.616427547783520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8B7D-44D6-8FAB-C8F58A1698B2}"/>
                </c:ext>
              </c:extLst>
            </c:dLbl>
            <c:dLbl>
              <c:idx val="4"/>
              <c:layout>
                <c:manualLayout>
                  <c:x val="5.4324658885724388E-3"/>
                  <c:y val="3.827713637022366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8B7D-44D6-8FAB-C8F58A1698B2}"/>
                </c:ext>
              </c:extLst>
            </c:dLbl>
            <c:dLbl>
              <c:idx val="5"/>
              <c:layout>
                <c:manualLayout>
                  <c:x val="-1.3815060908084164E-2"/>
                  <c:y val="5.150753214671695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B7D-44D6-8FAB-C8F58A1698B2}"/>
                </c:ext>
              </c:extLst>
            </c:dLbl>
            <c:spPr>
              <a:noFill/>
              <a:ln w="25310">
                <a:noFill/>
              </a:ln>
            </c:spPr>
            <c:txPr>
              <a:bodyPr rot="0" spcFirstLastPara="1" vertOverflow="ellipsis" vert="horz" wrap="square" lIns="38100" tIns="19050" rIns="38100" bIns="19050" anchor="ctr" anchorCtr="1">
                <a:spAutoFit/>
              </a:bodyPr>
              <a:lstStyle/>
              <a:p>
                <a:pPr>
                  <a:defRPr sz="896"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Blad1!$A$2:$A$10</c:f>
              <c:strCache>
                <c:ptCount val="5"/>
                <c:pt idx="0">
                  <c:v>Sectors</c:v>
                </c:pt>
                <c:pt idx="1">
                  <c:v>Renewable energy</c:v>
                </c:pt>
                <c:pt idx="2">
                  <c:v>Internal energy market and consumer protection</c:v>
                </c:pt>
                <c:pt idx="3">
                  <c:v>Euratom</c:v>
                </c:pt>
                <c:pt idx="4">
                  <c:v>Energy efficiency</c:v>
                </c:pt>
              </c:strCache>
            </c:strRef>
          </c:cat>
          <c:val>
            <c:numRef>
              <c:f>Blad1!$B$2:$B$10</c:f>
              <c:numCache>
                <c:formatCode>General</c:formatCode>
                <c:ptCount val="9"/>
                <c:pt idx="0">
                  <c:v>0</c:v>
                </c:pt>
                <c:pt idx="1">
                  <c:v>10</c:v>
                </c:pt>
                <c:pt idx="2">
                  <c:v>7</c:v>
                </c:pt>
                <c:pt idx="3">
                  <c:v>5</c:v>
                </c:pt>
                <c:pt idx="4">
                  <c:v>3</c:v>
                </c:pt>
              </c:numCache>
            </c:numRef>
          </c:val>
          <c:extLst xmlns:c16r2="http://schemas.microsoft.com/office/drawing/2015/06/chart">
            <c:ext xmlns:c16="http://schemas.microsoft.com/office/drawing/2014/chart" uri="{C3380CC4-5D6E-409C-BE32-E72D297353CC}">
              <c16:uniqueId val="{0000000F-8B7D-44D6-8FAB-C8F58A1698B2}"/>
            </c:ext>
          </c:extLst>
        </c:ser>
        <c:dLbls>
          <c:showLegendKey val="0"/>
          <c:showVal val="0"/>
          <c:showCatName val="0"/>
          <c:showSerName val="0"/>
          <c:showPercent val="0"/>
          <c:showBubbleSize val="0"/>
          <c:showLeaderLines val="0"/>
        </c:dLbls>
        <c:firstSliceAng val="83"/>
      </c:pieChart>
      <c:spPr>
        <a:noFill/>
        <a:ln w="25327">
          <a:noFill/>
        </a:ln>
      </c:spPr>
    </c:plotArea>
    <c:plotVisOnly val="1"/>
    <c:dispBlanksAs val="gap"/>
    <c:showDLblsOverMax val="0"/>
  </c:chart>
  <c:spPr>
    <a:solidFill>
      <a:schemeClr val="bg1"/>
    </a:solidFill>
    <a:ln w="949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
          <c:w val="0.93909191583610185"/>
          <c:h val="0.83447965088701259"/>
        </c:manualLayout>
      </c:layout>
      <c:lineChart>
        <c:grouping val="standard"/>
        <c:varyColors val="0"/>
        <c:ser>
          <c:idx val="0"/>
          <c:order val="0"/>
          <c:tx>
            <c:strRef>
              <c:f>Blad1!$B$1</c:f>
              <c:strCache>
                <c:ptCount val="1"/>
                <c:pt idx="0">
                  <c:v>Member State</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1759227770947235E-2"/>
                  <c:y val="5.651226955064352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6644-46E4-A5AE-C549E6213B7B}"/>
                </c:ext>
              </c:extLst>
            </c:dLbl>
            <c:dLbl>
              <c:idx val="1"/>
              <c:layout>
                <c:manualLayout>
                  <c:x val="-4.1851745276026545E-2"/>
                  <c:y val="5.756174303513265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6644-46E4-A5AE-C549E6213B7B}"/>
                </c:ext>
              </c:extLst>
            </c:dLbl>
            <c:spPr>
              <a:noFill/>
              <a:ln w="25348">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33</c:v>
                </c:pt>
                <c:pt idx="1">
                  <c:v>25</c:v>
                </c:pt>
                <c:pt idx="2">
                  <c:v>22</c:v>
                </c:pt>
                <c:pt idx="3">
                  <c:v>4</c:v>
                </c:pt>
                <c:pt idx="4">
                  <c:v>15</c:v>
                </c:pt>
              </c:numCache>
            </c:numRef>
          </c:val>
          <c:smooth val="0"/>
          <c:extLst xmlns:c16r2="http://schemas.microsoft.com/office/drawing/2015/06/chart">
            <c:ext xmlns:c16="http://schemas.microsoft.com/office/drawing/2014/chart" uri="{C3380CC4-5D6E-409C-BE32-E72D297353CC}">
              <c16:uniqueId val="{00000002-6644-46E4-A5AE-C549E6213B7B}"/>
            </c:ext>
          </c:extLst>
        </c:ser>
        <c:dLbls>
          <c:showLegendKey val="0"/>
          <c:showVal val="0"/>
          <c:showCatName val="0"/>
          <c:showSerName val="0"/>
          <c:showPercent val="0"/>
          <c:showBubbleSize val="0"/>
        </c:dLbls>
        <c:marker val="1"/>
        <c:smooth val="0"/>
        <c:axId val="227780480"/>
        <c:axId val="227782016"/>
      </c:lineChart>
      <c:catAx>
        <c:axId val="227780480"/>
        <c:scaling>
          <c:orientation val="minMax"/>
        </c:scaling>
        <c:delete val="0"/>
        <c:axPos val="b"/>
        <c:numFmt formatCode="General" sourceLinked="1"/>
        <c:majorTickMark val="none"/>
        <c:minorTickMark val="none"/>
        <c:tickLblPos val="nextTo"/>
        <c:spPr>
          <a:noFill/>
          <a:ln w="12675"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27782016"/>
        <c:crosses val="autoZero"/>
        <c:auto val="1"/>
        <c:lblAlgn val="ctr"/>
        <c:lblOffset val="100"/>
        <c:noMultiLvlLbl val="0"/>
      </c:catAx>
      <c:valAx>
        <c:axId val="227782016"/>
        <c:scaling>
          <c:orientation val="minMax"/>
        </c:scaling>
        <c:delete val="1"/>
        <c:axPos val="l"/>
        <c:majorGridlines>
          <c:spPr>
            <a:ln w="9506" cap="flat" cmpd="sng" algn="ctr">
              <a:solidFill>
                <a:schemeClr val="tx1">
                  <a:lumMod val="15000"/>
                  <a:lumOff val="85000"/>
                </a:schemeClr>
              </a:solidFill>
              <a:round/>
            </a:ln>
            <a:effectLst/>
          </c:spPr>
        </c:majorGridlines>
        <c:numFmt formatCode="General" sourceLinked="1"/>
        <c:majorTickMark val="out"/>
        <c:minorTickMark val="none"/>
        <c:tickLblPos val="nextTo"/>
        <c:crossAx val="227780480"/>
        <c:crosses val="autoZero"/>
        <c:crossBetween val="between"/>
      </c:valAx>
      <c:spPr>
        <a:noFill/>
        <a:ln w="25375">
          <a:noFill/>
        </a:ln>
      </c:spPr>
    </c:plotArea>
    <c:plotVisOnly val="1"/>
    <c:dispBlanksAs val="gap"/>
    <c:showDLblsOverMax val="0"/>
  </c:chart>
  <c:spPr>
    <a:solidFill>
      <a:schemeClr val="bg1"/>
    </a:solidFill>
    <a:ln w="950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5"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GB" sz="1046" b="0" baseline="0">
                <a:solidFill>
                  <a:srgbClr val="002060"/>
                </a:solidFill>
                <a:latin typeface="Arial" panose="020B0604020202020204" pitchFamily="34" charset="0"/>
                <a:cs typeface="Arial" panose="020B0604020202020204" pitchFamily="34" charset="0"/>
              </a:rPr>
              <a:t>15 new </a:t>
            </a:r>
            <a:r>
              <a:rPr lang="en-GB" sz="1046" b="0">
                <a:solidFill>
                  <a:srgbClr val="002060"/>
                </a:solidFill>
                <a:latin typeface="Arial" panose="020B0604020202020204" pitchFamily="34" charset="0"/>
                <a:cs typeface="Arial" panose="020B0604020202020204" pitchFamily="34" charset="0"/>
              </a:rPr>
              <a:t>late transposition infringement cases in 2017</a:t>
            </a:r>
          </a:p>
        </c:rich>
      </c:tx>
      <c:overlay val="0"/>
      <c:spPr>
        <a:noFill/>
        <a:ln w="25296">
          <a:noFill/>
        </a:ln>
      </c:spPr>
    </c:title>
    <c:autoTitleDeleted val="0"/>
    <c:plotArea>
      <c:layout/>
      <c:pieChart>
        <c:varyColors val="1"/>
        <c:ser>
          <c:idx val="0"/>
          <c:order val="0"/>
          <c:tx>
            <c:strRef>
              <c:f>Blad1!$B$1</c:f>
              <c:strCache>
                <c:ptCount val="1"/>
                <c:pt idx="0">
                  <c:v>[Number of late transposition cases] late transposition cases in 2017</c:v>
                </c:pt>
              </c:strCache>
            </c:strRef>
          </c:tx>
          <c:spPr>
            <a:solidFill>
              <a:srgbClr val="C00000"/>
            </a:solidFill>
            <a:scene3d>
              <a:camera prst="orthographicFront"/>
              <a:lightRig rig="threePt" dir="t"/>
            </a:scene3d>
            <a:sp3d>
              <a:bevelT w="63500" h="25400"/>
            </a:sp3d>
          </c:spPr>
          <c:dPt>
            <c:idx val="0"/>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E4E5-42DF-9C6D-2A9E54534E42}"/>
              </c:ext>
            </c:extLst>
          </c:dPt>
          <c:dPt>
            <c:idx val="1"/>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E4E5-42DF-9C6D-2A9E54534E42}"/>
              </c:ext>
            </c:extLst>
          </c:dPt>
          <c:dLbls>
            <c:dLbl>
              <c:idx val="0"/>
              <c:layout>
                <c:manualLayout>
                  <c:x val="-7.176185136181748E-2"/>
                  <c:y val="-0.1295214348206474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4E5-42DF-9C6D-2A9E54534E42}"/>
                </c:ext>
              </c:extLst>
            </c:dLbl>
            <c:dLbl>
              <c:idx val="1"/>
              <c:layout>
                <c:manualLayout>
                  <c:x val="2.1210024848328384E-2"/>
                  <c:y val="0.10148643919510061"/>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4E5-42DF-9C6D-2A9E54534E42}"/>
                </c:ext>
              </c:extLst>
            </c:dLbl>
            <c:dLbl>
              <c:idx val="2"/>
              <c:layout>
                <c:manualLayout>
                  <c:x val="5.2602436323366558E-2"/>
                  <c:y val="-8.781739782527184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4E5-42DF-9C6D-2A9E54534E42}"/>
                </c:ext>
              </c:extLst>
            </c:dLbl>
            <c:spPr>
              <a:noFill/>
              <a:ln w="25296">
                <a:noFill/>
              </a:ln>
            </c:spPr>
            <c:txPr>
              <a:bodyPr rot="0" spcFirstLastPara="1" vertOverflow="ellipsis" vert="horz" wrap="square" lIns="38100" tIns="19050" rIns="38100" bIns="19050" anchor="ctr" anchorCtr="1">
                <a:spAutoFit/>
              </a:bodyPr>
              <a:lstStyle/>
              <a:p>
                <a:pPr>
                  <a:defRPr sz="896"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Blad1!$A$4:$A$5</c:f>
              <c:strCache>
                <c:ptCount val="2"/>
                <c:pt idx="0">
                  <c:v>Euratom</c:v>
                </c:pt>
                <c:pt idx="1">
                  <c:v>Renewable energy</c:v>
                </c:pt>
              </c:strCache>
            </c:strRef>
          </c:cat>
          <c:val>
            <c:numRef>
              <c:f>Blad1!$B$4:$B$5</c:f>
              <c:numCache>
                <c:formatCode>General</c:formatCode>
                <c:ptCount val="2"/>
                <c:pt idx="0">
                  <c:v>5</c:v>
                </c:pt>
                <c:pt idx="1">
                  <c:v>10</c:v>
                </c:pt>
              </c:numCache>
            </c:numRef>
          </c:val>
          <c:extLst xmlns:c16r2="http://schemas.microsoft.com/office/drawing/2015/06/chart">
            <c:ext xmlns:c16="http://schemas.microsoft.com/office/drawing/2014/chart" uri="{C3380CC4-5D6E-409C-BE32-E72D297353CC}">
              <c16:uniqueId val="{00000005-E4E5-42DF-9C6D-2A9E54534E42}"/>
            </c:ext>
          </c:extLst>
        </c:ser>
        <c:dLbls>
          <c:showLegendKey val="0"/>
          <c:showVal val="0"/>
          <c:showCatName val="0"/>
          <c:showSerName val="0"/>
          <c:showPercent val="0"/>
          <c:showBubbleSize val="0"/>
          <c:showLeaderLines val="0"/>
        </c:dLbls>
        <c:firstSliceAng val="159"/>
      </c:pieChart>
      <c:spPr>
        <a:noFill/>
        <a:ln w="25294">
          <a:noFill/>
        </a:ln>
      </c:spPr>
    </c:plotArea>
    <c:plotVisOnly val="1"/>
    <c:dispBlanksAs val="gap"/>
    <c:showDLblsOverMax val="0"/>
  </c:chart>
  <c:spPr>
    <a:solidFill>
      <a:schemeClr val="bg1"/>
    </a:solidFill>
    <a:ln w="948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4.4255629785656815E-2"/>
                  <c:y val="0.11003814359653638"/>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F02F-4625-B9FF-3B89287EF76A}"/>
                </c:ext>
              </c:extLst>
            </c:dLbl>
            <c:dLbl>
              <c:idx val="1"/>
              <c:layout>
                <c:manualLayout>
                  <c:x val="-4.2313116428758693E-2"/>
                  <c:y val="0.1146846714254176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F02F-4625-B9FF-3B89287EF76A}"/>
                </c:ext>
              </c:extLst>
            </c:dLbl>
            <c:dLbl>
              <c:idx val="2"/>
              <c:layout>
                <c:manualLayout>
                  <c:x val="-3.4690192285091806E-2"/>
                  <c:y val="0.13158069026418426"/>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F02F-4625-B9FF-3B89287EF76A}"/>
                </c:ext>
              </c:extLst>
            </c:dLbl>
            <c:dLbl>
              <c:idx val="3"/>
              <c:layout>
                <c:manualLayout>
                  <c:x val="-3.4443168771526873E-2"/>
                  <c:y val="0.1246105919003115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F02F-4625-B9FF-3B89287EF76A}"/>
                </c:ext>
              </c:extLst>
            </c:dLbl>
            <c:dLbl>
              <c:idx val="4"/>
              <c:layout>
                <c:manualLayout>
                  <c:x val="-3.5951327433628319E-2"/>
                  <c:y val="8.982035928143712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F02F-4625-B9FF-3B89287EF76A}"/>
                </c:ext>
              </c:extLst>
            </c:dLbl>
            <c:spPr>
              <a:noFill/>
              <a:ln w="25354">
                <a:noFill/>
              </a:ln>
            </c:spPr>
            <c:txPr>
              <a:bodyPr rot="0" spcFirstLastPara="1" vertOverflow="ellipsis" vert="horz" wrap="square" lIns="38100" tIns="19050" rIns="38100" bIns="19050" anchor="ctr" anchorCtr="1">
                <a:spAutoFit/>
              </a:bodyPr>
              <a:lstStyle/>
              <a:p>
                <a:pPr>
                  <a:defRPr sz="899" b="0" i="0" u="none" strike="noStrike" kern="1200" baseline="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22</c:v>
                </c:pt>
                <c:pt idx="1">
                  <c:v>30</c:v>
                </c:pt>
                <c:pt idx="2">
                  <c:v>36</c:v>
                </c:pt>
                <c:pt idx="3">
                  <c:v>25</c:v>
                </c:pt>
                <c:pt idx="4">
                  <c:v>7</c:v>
                </c:pt>
              </c:numCache>
            </c:numRef>
          </c:val>
          <c:smooth val="0"/>
          <c:extLst xmlns:c16r2="http://schemas.microsoft.com/office/drawing/2015/06/chart">
            <c:ext xmlns:c16="http://schemas.microsoft.com/office/drawing/2014/chart" uri="{C3380CC4-5D6E-409C-BE32-E72D297353CC}">
              <c16:uniqueId val="{00000005-F02F-4625-B9FF-3B89287EF76A}"/>
            </c:ext>
          </c:extLst>
        </c:ser>
        <c:dLbls>
          <c:showLegendKey val="0"/>
          <c:showVal val="0"/>
          <c:showCatName val="0"/>
          <c:showSerName val="0"/>
          <c:showPercent val="0"/>
          <c:showBubbleSize val="0"/>
        </c:dLbls>
        <c:marker val="1"/>
        <c:smooth val="0"/>
        <c:axId val="202730112"/>
        <c:axId val="203688576"/>
      </c:lineChart>
      <c:catAx>
        <c:axId val="202730112"/>
        <c:scaling>
          <c:orientation val="minMax"/>
        </c:scaling>
        <c:delete val="0"/>
        <c:axPos val="b"/>
        <c:numFmt formatCode="General" sourceLinked="1"/>
        <c:majorTickMark val="none"/>
        <c:minorTickMark val="none"/>
        <c:tickLblPos val="nextTo"/>
        <c:spPr>
          <a:noFill/>
          <a:ln w="12677"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03688576"/>
        <c:crosses val="autoZero"/>
        <c:auto val="1"/>
        <c:lblAlgn val="ctr"/>
        <c:lblOffset val="100"/>
        <c:noMultiLvlLbl val="0"/>
      </c:catAx>
      <c:valAx>
        <c:axId val="203688576"/>
        <c:scaling>
          <c:orientation val="minMax"/>
        </c:scaling>
        <c:delete val="1"/>
        <c:axPos val="l"/>
        <c:majorGridlines>
          <c:spPr>
            <a:ln w="9507" cap="flat" cmpd="sng" algn="ctr">
              <a:solidFill>
                <a:schemeClr val="tx1">
                  <a:lumMod val="15000"/>
                  <a:lumOff val="85000"/>
                </a:schemeClr>
              </a:solidFill>
              <a:round/>
            </a:ln>
            <a:effectLst/>
          </c:spPr>
        </c:majorGridlines>
        <c:numFmt formatCode="General" sourceLinked="1"/>
        <c:majorTickMark val="out"/>
        <c:minorTickMark val="none"/>
        <c:tickLblPos val="nextTo"/>
        <c:crossAx val="202730112"/>
        <c:crosses val="autoZero"/>
        <c:crossBetween val="between"/>
      </c:valAx>
      <c:spPr>
        <a:noFill/>
        <a:ln w="25337">
          <a:noFill/>
        </a:ln>
      </c:spPr>
    </c:plotArea>
    <c:plotVisOnly val="1"/>
    <c:dispBlanksAs val="gap"/>
    <c:showDLblsOverMax val="0"/>
  </c:chart>
  <c:spPr>
    <a:solidFill>
      <a:schemeClr val="bg1"/>
    </a:solidFill>
    <a:ln w="950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371">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520</c:v>
                </c:pt>
                <c:pt idx="1">
                  <c:v>508</c:v>
                </c:pt>
                <c:pt idx="2">
                  <c:v>363</c:v>
                </c:pt>
                <c:pt idx="3">
                  <c:v>348</c:v>
                </c:pt>
                <c:pt idx="4">
                  <c:v>518</c:v>
                </c:pt>
              </c:numCache>
            </c:numRef>
          </c:val>
          <c:smooth val="0"/>
          <c:extLst xmlns:c16r2="http://schemas.microsoft.com/office/drawing/2015/06/chart">
            <c:ext xmlns:c16="http://schemas.microsoft.com/office/drawing/2014/chart" uri="{C3380CC4-5D6E-409C-BE32-E72D297353CC}">
              <c16:uniqueId val="{00000000-863B-4E6A-841C-6B3FBD7A970D}"/>
            </c:ext>
          </c:extLst>
        </c:ser>
        <c:dLbls>
          <c:showLegendKey val="0"/>
          <c:showVal val="0"/>
          <c:showCatName val="0"/>
          <c:showSerName val="0"/>
          <c:showPercent val="0"/>
          <c:showBubbleSize val="0"/>
        </c:dLbls>
        <c:marker val="1"/>
        <c:smooth val="0"/>
        <c:axId val="228562048"/>
        <c:axId val="228563584"/>
      </c:lineChart>
      <c:catAx>
        <c:axId val="228562048"/>
        <c:scaling>
          <c:orientation val="minMax"/>
        </c:scaling>
        <c:delete val="0"/>
        <c:axPos val="b"/>
        <c:numFmt formatCode="General" sourceLinked="1"/>
        <c:majorTickMark val="none"/>
        <c:minorTickMark val="none"/>
        <c:tickLblPos val="nextTo"/>
        <c:spPr>
          <a:noFill/>
          <a:ln w="12686"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28563584"/>
        <c:crosses val="autoZero"/>
        <c:auto val="1"/>
        <c:lblAlgn val="ctr"/>
        <c:lblOffset val="100"/>
        <c:noMultiLvlLbl val="0"/>
      </c:catAx>
      <c:valAx>
        <c:axId val="228563584"/>
        <c:scaling>
          <c:orientation val="minMax"/>
        </c:scaling>
        <c:delete val="1"/>
        <c:axPos val="l"/>
        <c:majorGridlines>
          <c:spPr>
            <a:ln w="9514" cap="flat" cmpd="sng" algn="ctr">
              <a:solidFill>
                <a:schemeClr val="tx1">
                  <a:lumMod val="15000"/>
                  <a:lumOff val="85000"/>
                </a:schemeClr>
              </a:solidFill>
              <a:round/>
            </a:ln>
            <a:effectLst/>
          </c:spPr>
        </c:majorGridlines>
        <c:numFmt formatCode="General" sourceLinked="1"/>
        <c:majorTickMark val="out"/>
        <c:minorTickMark val="none"/>
        <c:tickLblPos val="nextTo"/>
        <c:crossAx val="228562048"/>
        <c:crosses val="autoZero"/>
        <c:crossBetween val="between"/>
      </c:valAx>
      <c:spPr>
        <a:noFill/>
        <a:ln w="25373">
          <a:noFill/>
        </a:ln>
      </c:spPr>
    </c:plotArea>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9"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GB" sz="1099" b="0">
                <a:solidFill>
                  <a:srgbClr val="002060"/>
                </a:solidFill>
                <a:latin typeface="Arial" panose="020B0604020202020204" pitchFamily="34" charset="0"/>
                <a:cs typeface="Arial" panose="020B0604020202020204" pitchFamily="34" charset="0"/>
              </a:rPr>
              <a:t>518 complaints in 2017</a:t>
            </a:r>
          </a:p>
        </c:rich>
      </c:tx>
      <c:overlay val="0"/>
      <c:spPr>
        <a:noFill/>
        <a:ln w="25358">
          <a:noFill/>
        </a:ln>
      </c:spPr>
    </c:title>
    <c:autoTitleDeleted val="0"/>
    <c:plotArea>
      <c:layout/>
      <c:pieChart>
        <c:varyColors val="1"/>
        <c:ser>
          <c:idx val="0"/>
          <c:order val="0"/>
          <c:tx>
            <c:strRef>
              <c:f>Blad1!$B$1</c:f>
              <c:strCache>
                <c:ptCount val="1"/>
                <c:pt idx="0">
                  <c:v>[Number of new complaints] complaints in 2014</c:v>
                </c:pt>
              </c:strCache>
            </c:strRef>
          </c:tx>
          <c:spPr>
            <a:solidFill>
              <a:srgbClr val="92D050"/>
            </a:solidFill>
            <a:scene3d>
              <a:camera prst="orthographicFront"/>
              <a:lightRig rig="threePt" dir="t"/>
            </a:scene3d>
            <a:sp3d>
              <a:bevelT w="63500" h="25400"/>
            </a:sp3d>
          </c:spPr>
          <c:dPt>
            <c:idx val="0"/>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7EBE-4672-B8CE-361C3453E500}"/>
              </c:ext>
            </c:extLst>
          </c:dPt>
          <c:dPt>
            <c:idx val="1"/>
            <c:bubble3D val="0"/>
            <c:spPr>
              <a:solidFill>
                <a:srgbClr val="009242"/>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7EBE-4672-B8CE-361C3453E500}"/>
              </c:ext>
            </c:extLst>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7EBE-4672-B8CE-361C3453E500}"/>
              </c:ext>
            </c:extLst>
          </c:dPt>
          <c:dPt>
            <c:idx val="3"/>
            <c:bubble3D val="0"/>
            <c:spPr>
              <a:solidFill>
                <a:srgbClr val="C0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7EBE-4672-B8CE-361C3453E500}"/>
              </c:ext>
            </c:extLst>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7EBE-4672-B8CE-361C3453E500}"/>
              </c:ext>
            </c:extLst>
          </c:dPt>
          <c:dPt>
            <c:idx val="5"/>
            <c:bubble3D val="0"/>
            <c:spPr>
              <a:solidFill>
                <a:srgbClr val="0070C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7EBE-4672-B8CE-361C3453E500}"/>
              </c:ext>
            </c:extLst>
          </c:dPt>
          <c:dPt>
            <c:idx val="6"/>
            <c:bubble3D val="0"/>
            <c:spPr>
              <a:solidFill>
                <a:srgbClr val="FFC0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7EBE-4672-B8CE-361C3453E500}"/>
              </c:ext>
            </c:extLst>
          </c:dPt>
          <c:dPt>
            <c:idx val="7"/>
            <c:bubble3D val="0"/>
            <c:extLst xmlns:c16r2="http://schemas.microsoft.com/office/drawing/2015/06/chart">
              <c:ext xmlns:c16="http://schemas.microsoft.com/office/drawing/2014/chart" uri="{C3380CC4-5D6E-409C-BE32-E72D297353CC}">
                <c16:uniqueId val="{0000000E-7EBE-4672-B8CE-361C3453E500}"/>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EBE-4672-B8CE-361C3453E500}"/>
                </c:ext>
              </c:extLst>
            </c:dLbl>
            <c:dLbl>
              <c:idx val="1"/>
              <c:layout>
                <c:manualLayout>
                  <c:x val="-6.2565326458086544E-3"/>
                  <c:y val="8.9603121358709112E-2"/>
                </c:manualLayout>
              </c:layout>
              <c:spPr>
                <a:noFill/>
                <a:ln w="25358">
                  <a:noFill/>
                </a:ln>
              </c:spPr>
              <c:txPr>
                <a:bodyPr rot="0" spcFirstLastPara="1" vertOverflow="ellipsis" vert="horz" wrap="square" lIns="38100" tIns="19050" rIns="38100" bIns="19050" anchor="ctr" anchorCtr="1">
                  <a:spAutoFit/>
                </a:bodyPr>
                <a:lstStyle/>
                <a:p>
                  <a:pPr>
                    <a:defRPr sz="898"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EBE-4672-B8CE-361C3453E500}"/>
                </c:ext>
              </c:extLst>
            </c:dLbl>
            <c:dLbl>
              <c:idx val="2"/>
              <c:layout>
                <c:manualLayout>
                  <c:x val="-3.6294291338582675E-2"/>
                  <c:y val="-4.4562780269058244E-2"/>
                </c:manualLayout>
              </c:layout>
              <c:spPr>
                <a:noFill/>
                <a:ln w="25358">
                  <a:noFill/>
                </a:ln>
              </c:spPr>
              <c:txPr>
                <a:bodyPr rot="0" spcFirstLastPara="1" vertOverflow="ellipsis" vert="horz" wrap="square" lIns="38100" tIns="19050" rIns="38100" bIns="19050" anchor="ctr" anchorCtr="1">
                  <a:spAutoFit/>
                </a:bodyPr>
                <a:lstStyle/>
                <a:p>
                  <a:pPr>
                    <a:defRPr sz="898"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EBE-4672-B8CE-361C3453E500}"/>
                </c:ext>
              </c:extLst>
            </c:dLbl>
            <c:dLbl>
              <c:idx val="3"/>
              <c:layout>
                <c:manualLayout>
                  <c:x val="1.9730550135879033E-2"/>
                  <c:y val="-2.0315313724797852E-2"/>
                </c:manualLayout>
              </c:layout>
              <c:spPr>
                <a:noFill/>
                <a:ln w="25358">
                  <a:noFill/>
                </a:ln>
              </c:spPr>
              <c:txPr>
                <a:bodyPr rot="0" spcFirstLastPara="1" vertOverflow="ellipsis" vert="horz" wrap="square" lIns="38100" tIns="19050" rIns="38100" bIns="19050" anchor="ctr" anchorCtr="1">
                  <a:spAutoFit/>
                </a:bodyPr>
                <a:lstStyle/>
                <a:p>
                  <a:pPr>
                    <a:defRPr sz="898"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EBE-4672-B8CE-361C3453E500}"/>
                </c:ext>
              </c:extLst>
            </c:dLbl>
            <c:dLbl>
              <c:idx val="4"/>
              <c:layout>
                <c:manualLayout>
                  <c:x val="-6.6383222423524499E-2"/>
                  <c:y val="-8.10330673351928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EBE-4672-B8CE-361C3453E500}"/>
                </c:ext>
              </c:extLst>
            </c:dLbl>
            <c:dLbl>
              <c:idx val="5"/>
              <c:layout>
                <c:manualLayout>
                  <c:x val="5.512465011640987E-3"/>
                  <c:y val="5.1484233484898898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EBE-4672-B8CE-361C3453E500}"/>
                </c:ext>
              </c:extLst>
            </c:dLbl>
            <c:dLbl>
              <c:idx val="6"/>
              <c:layout>
                <c:manualLayout>
                  <c:x val="-1.3842746400885935E-2"/>
                  <c:y val="4.6948356807511738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7EBE-4672-B8CE-361C3453E500}"/>
                </c:ext>
              </c:extLst>
            </c:dLbl>
            <c:spPr>
              <a:noFill/>
              <a:ln w="25358">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Blad1!$A$2:$A$9</c:f>
              <c:strCache>
                <c:ptCount val="5"/>
                <c:pt idx="0">
                  <c:v>Sector</c:v>
                </c:pt>
                <c:pt idx="1">
                  <c:v>Nature protection</c:v>
                </c:pt>
                <c:pt idx="2">
                  <c:v>Impact assessment</c:v>
                </c:pt>
                <c:pt idx="3">
                  <c:v>Water protection and management </c:v>
                </c:pt>
                <c:pt idx="4">
                  <c:v>Other</c:v>
                </c:pt>
              </c:strCache>
            </c:strRef>
          </c:cat>
          <c:val>
            <c:numRef>
              <c:f>Blad1!$B$2:$B$9</c:f>
              <c:numCache>
                <c:formatCode>General</c:formatCode>
                <c:ptCount val="8"/>
                <c:pt idx="0">
                  <c:v>0</c:v>
                </c:pt>
                <c:pt idx="1">
                  <c:v>193</c:v>
                </c:pt>
                <c:pt idx="2">
                  <c:v>128</c:v>
                </c:pt>
                <c:pt idx="3">
                  <c:v>61</c:v>
                </c:pt>
                <c:pt idx="4">
                  <c:v>136</c:v>
                </c:pt>
              </c:numCache>
            </c:numRef>
          </c:val>
          <c:extLst xmlns:c16r2="http://schemas.microsoft.com/office/drawing/2015/06/chart">
            <c:ext xmlns:c16="http://schemas.microsoft.com/office/drawing/2014/chart" uri="{C3380CC4-5D6E-409C-BE32-E72D297353CC}">
              <c16:uniqueId val="{0000000F-7EBE-4672-B8CE-361C3453E500}"/>
            </c:ext>
          </c:extLst>
        </c:ser>
        <c:ser>
          <c:idx val="1"/>
          <c:order val="1"/>
          <c:tx>
            <c:strRef>
              <c:f>Blad1!$C$1</c:f>
              <c:strCache>
                <c:ptCount val="1"/>
                <c:pt idx="0">
                  <c:v>[Number of new complaints] complaints in 2015</c:v>
                </c:pt>
              </c:strCache>
            </c:strRef>
          </c:tx>
          <c:dPt>
            <c:idx val="0"/>
            <c:bubble3D val="0"/>
            <c:extLst xmlns:c16r2="http://schemas.microsoft.com/office/drawing/2015/06/chart">
              <c:ext xmlns:c16="http://schemas.microsoft.com/office/drawing/2014/chart" uri="{C3380CC4-5D6E-409C-BE32-E72D297353CC}">
                <c16:uniqueId val="{00000010-7EBE-4672-B8CE-361C3453E500}"/>
              </c:ext>
            </c:extLst>
          </c:dPt>
          <c:dPt>
            <c:idx val="1"/>
            <c:bubble3D val="0"/>
            <c:extLst xmlns:c16r2="http://schemas.microsoft.com/office/drawing/2015/06/chart">
              <c:ext xmlns:c16="http://schemas.microsoft.com/office/drawing/2014/chart" uri="{C3380CC4-5D6E-409C-BE32-E72D297353CC}">
                <c16:uniqueId val="{00000011-7EBE-4672-B8CE-361C3453E500}"/>
              </c:ext>
            </c:extLst>
          </c:dPt>
          <c:dPt>
            <c:idx val="2"/>
            <c:bubble3D val="0"/>
            <c:extLst xmlns:c16r2="http://schemas.microsoft.com/office/drawing/2015/06/chart">
              <c:ext xmlns:c16="http://schemas.microsoft.com/office/drawing/2014/chart" uri="{C3380CC4-5D6E-409C-BE32-E72D297353CC}">
                <c16:uniqueId val="{00000012-7EBE-4672-B8CE-361C3453E500}"/>
              </c:ext>
            </c:extLst>
          </c:dPt>
          <c:dPt>
            <c:idx val="3"/>
            <c:bubble3D val="0"/>
            <c:extLst xmlns:c16r2="http://schemas.microsoft.com/office/drawing/2015/06/chart">
              <c:ext xmlns:c16="http://schemas.microsoft.com/office/drawing/2014/chart" uri="{C3380CC4-5D6E-409C-BE32-E72D297353CC}">
                <c16:uniqueId val="{00000013-7EBE-4672-B8CE-361C3453E500}"/>
              </c:ext>
            </c:extLst>
          </c:dPt>
          <c:dPt>
            <c:idx val="4"/>
            <c:bubble3D val="0"/>
            <c:extLst xmlns:c16r2="http://schemas.microsoft.com/office/drawing/2015/06/chart">
              <c:ext xmlns:c16="http://schemas.microsoft.com/office/drawing/2014/chart" uri="{C3380CC4-5D6E-409C-BE32-E72D297353CC}">
                <c16:uniqueId val="{00000014-7EBE-4672-B8CE-361C3453E500}"/>
              </c:ext>
            </c:extLst>
          </c:dPt>
          <c:dPt>
            <c:idx val="5"/>
            <c:bubble3D val="0"/>
            <c:extLst xmlns:c16r2="http://schemas.microsoft.com/office/drawing/2015/06/chart">
              <c:ext xmlns:c16="http://schemas.microsoft.com/office/drawing/2014/chart" uri="{C3380CC4-5D6E-409C-BE32-E72D297353CC}">
                <c16:uniqueId val="{00000015-7EBE-4672-B8CE-361C3453E500}"/>
              </c:ext>
            </c:extLst>
          </c:dPt>
          <c:dPt>
            <c:idx val="6"/>
            <c:bubble3D val="0"/>
            <c:extLst xmlns:c16r2="http://schemas.microsoft.com/office/drawing/2015/06/chart">
              <c:ext xmlns:c16="http://schemas.microsoft.com/office/drawing/2014/chart" uri="{C3380CC4-5D6E-409C-BE32-E72D297353CC}">
                <c16:uniqueId val="{00000016-7EBE-4672-B8CE-361C3453E500}"/>
              </c:ext>
            </c:extLst>
          </c:dPt>
          <c:dPt>
            <c:idx val="7"/>
            <c:bubble3D val="0"/>
            <c:extLst xmlns:c16r2="http://schemas.microsoft.com/office/drawing/2015/06/chart">
              <c:ext xmlns:c16="http://schemas.microsoft.com/office/drawing/2014/chart" uri="{C3380CC4-5D6E-409C-BE32-E72D297353CC}">
                <c16:uniqueId val="{00000017-7EBE-4672-B8CE-361C3453E500}"/>
              </c:ext>
            </c:extLst>
          </c:dPt>
          <c:cat>
            <c:strRef>
              <c:f>Blad1!$A$2:$A$9</c:f>
              <c:strCache>
                <c:ptCount val="5"/>
                <c:pt idx="0">
                  <c:v>Sector</c:v>
                </c:pt>
                <c:pt idx="1">
                  <c:v>Nature protection</c:v>
                </c:pt>
                <c:pt idx="2">
                  <c:v>Impact assessment</c:v>
                </c:pt>
                <c:pt idx="3">
                  <c:v>Water protection and management </c:v>
                </c:pt>
                <c:pt idx="4">
                  <c:v>Other</c:v>
                </c:pt>
              </c:strCache>
            </c:strRef>
          </c:cat>
          <c:val>
            <c:numRef>
              <c:f>Blad1!$C$2:$C$9</c:f>
              <c:numCache>
                <c:formatCode>General</c:formatCode>
                <c:ptCount val="8"/>
              </c:numCache>
            </c:numRef>
          </c:val>
          <c:extLst xmlns:c16r2="http://schemas.microsoft.com/office/drawing/2015/06/chart">
            <c:ext xmlns:c16="http://schemas.microsoft.com/office/drawing/2014/chart" uri="{C3380CC4-5D6E-409C-BE32-E72D297353CC}">
              <c16:uniqueId val="{00000018-7EBE-4672-B8CE-361C3453E500}"/>
            </c:ext>
          </c:extLst>
        </c:ser>
        <c:dLbls>
          <c:showLegendKey val="0"/>
          <c:showVal val="0"/>
          <c:showCatName val="0"/>
          <c:showSerName val="0"/>
          <c:showPercent val="0"/>
          <c:showBubbleSize val="0"/>
          <c:showLeaderLines val="0"/>
        </c:dLbls>
        <c:firstSliceAng val="249"/>
      </c:pieChart>
      <c:spPr>
        <a:noFill/>
        <a:ln w="25375">
          <a:noFill/>
        </a:ln>
      </c:spPr>
    </c:plotArea>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308">
                <a:noFill/>
              </a:ln>
            </c:spPr>
            <c:txPr>
              <a:bodyPr rot="0" spcFirstLastPara="1" vertOverflow="ellipsis" vert="horz" wrap="square" lIns="38100" tIns="19050" rIns="38100" bIns="19050" anchor="ctr" anchorCtr="1">
                <a:spAutoFit/>
              </a:bodyPr>
              <a:lstStyle/>
              <a:p>
                <a:pPr>
                  <a:defRPr sz="897"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279</c:v>
                </c:pt>
                <c:pt idx="1">
                  <c:v>207</c:v>
                </c:pt>
                <c:pt idx="2">
                  <c:v>101</c:v>
                </c:pt>
                <c:pt idx="3">
                  <c:v>151</c:v>
                </c:pt>
                <c:pt idx="4">
                  <c:v>63</c:v>
                </c:pt>
              </c:numCache>
            </c:numRef>
          </c:val>
          <c:smooth val="0"/>
          <c:extLst xmlns:c16r2="http://schemas.microsoft.com/office/drawing/2015/06/chart">
            <c:ext xmlns:c16="http://schemas.microsoft.com/office/drawing/2014/chart" uri="{C3380CC4-5D6E-409C-BE32-E72D297353CC}">
              <c16:uniqueId val="{00000000-7A0E-47BF-82BE-08FB6C9ED1D9}"/>
            </c:ext>
          </c:extLst>
        </c:ser>
        <c:dLbls>
          <c:showLegendKey val="0"/>
          <c:showVal val="0"/>
          <c:showCatName val="0"/>
          <c:showSerName val="0"/>
          <c:showPercent val="0"/>
          <c:showBubbleSize val="0"/>
        </c:dLbls>
        <c:marker val="1"/>
        <c:smooth val="0"/>
        <c:axId val="229638144"/>
        <c:axId val="229639680"/>
      </c:lineChart>
      <c:catAx>
        <c:axId val="229638144"/>
        <c:scaling>
          <c:orientation val="minMax"/>
        </c:scaling>
        <c:delete val="0"/>
        <c:axPos val="b"/>
        <c:numFmt formatCode="General" sourceLinked="1"/>
        <c:majorTickMark val="none"/>
        <c:minorTickMark val="none"/>
        <c:tickLblPos val="nextTo"/>
        <c:spPr>
          <a:noFill/>
          <a:ln w="12654" cap="flat" cmpd="sng" algn="ctr">
            <a:solidFill>
              <a:schemeClr val="tx1">
                <a:lumMod val="15000"/>
                <a:lumOff val="85000"/>
              </a:schemeClr>
            </a:solidFill>
            <a:round/>
          </a:ln>
          <a:effectLst/>
        </c:spPr>
        <c:txPr>
          <a:bodyPr rot="-60000000" spcFirstLastPara="1" vertOverflow="ellipsis" vert="horz" wrap="square" anchor="ctr" anchorCtr="1"/>
          <a:lstStyle/>
          <a:p>
            <a:pPr>
              <a:defRPr sz="8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29639680"/>
        <c:crosses val="autoZero"/>
        <c:auto val="1"/>
        <c:lblAlgn val="ctr"/>
        <c:lblOffset val="100"/>
        <c:noMultiLvlLbl val="0"/>
      </c:catAx>
      <c:valAx>
        <c:axId val="229639680"/>
        <c:scaling>
          <c:orientation val="minMax"/>
        </c:scaling>
        <c:delete val="1"/>
        <c:axPos val="l"/>
        <c:majorGridlines>
          <c:spPr>
            <a:ln w="9490" cap="flat" cmpd="sng" algn="ctr">
              <a:solidFill>
                <a:schemeClr val="tx1">
                  <a:lumMod val="15000"/>
                  <a:lumOff val="85000"/>
                </a:schemeClr>
              </a:solidFill>
              <a:round/>
            </a:ln>
            <a:effectLst/>
          </c:spPr>
        </c:majorGridlines>
        <c:numFmt formatCode="General" sourceLinked="1"/>
        <c:majorTickMark val="out"/>
        <c:minorTickMark val="none"/>
        <c:tickLblPos val="nextTo"/>
        <c:crossAx val="229638144"/>
        <c:crosses val="autoZero"/>
        <c:crossBetween val="between"/>
      </c:valAx>
      <c:spPr>
        <a:noFill/>
        <a:ln w="25348">
          <a:noFill/>
        </a:ln>
      </c:spPr>
    </c:plotArea>
    <c:plotVisOnly val="1"/>
    <c:dispBlanksAs val="gap"/>
    <c:showDLblsOverMax val="0"/>
  </c:chart>
  <c:spPr>
    <a:solidFill>
      <a:schemeClr val="bg1"/>
    </a:solidFill>
    <a:ln w="949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9" b="0" i="0" u="none" strike="noStrike" kern="1200" baseline="0">
                <a:solidFill>
                  <a:srgbClr val="002060"/>
                </a:solidFill>
                <a:latin typeface="Arial" panose="020B0604020202020204" pitchFamily="34" charset="0"/>
                <a:ea typeface="+mn-ea"/>
                <a:cs typeface="Arial" panose="020B0604020202020204" pitchFamily="34" charset="0"/>
              </a:defRPr>
            </a:pPr>
            <a:r>
              <a:rPr lang="en-US" sz="1099" b="0" baseline="0">
                <a:solidFill>
                  <a:srgbClr val="002060"/>
                </a:solidFill>
                <a:latin typeface="Arial" panose="020B0604020202020204" pitchFamily="34" charset="0"/>
                <a:ea typeface="Verdana" panose="020B0604030504040204" pitchFamily="34" charset="0"/>
                <a:cs typeface="Arial" panose="020B0604020202020204" pitchFamily="34" charset="0"/>
              </a:rPr>
              <a:t>63 </a:t>
            </a:r>
            <a:r>
              <a:rPr lang="en-US" sz="1099" b="0">
                <a:solidFill>
                  <a:srgbClr val="002060"/>
                </a:solidFill>
                <a:latin typeface="Arial" panose="020B0604020202020204" pitchFamily="34" charset="0"/>
                <a:ea typeface="Verdana" panose="020B0604030504040204" pitchFamily="34" charset="0"/>
                <a:cs typeface="Arial" panose="020B0604020202020204" pitchFamily="34" charset="0"/>
              </a:rPr>
              <a:t>EU Pilot files opened in 2017</a:t>
            </a:r>
          </a:p>
        </c:rich>
      </c:tx>
      <c:layout>
        <c:manualLayout>
          <c:xMode val="edge"/>
          <c:yMode val="edge"/>
          <c:x val="0.26448680172906502"/>
          <c:y val="2.7777701700330937E-2"/>
        </c:manualLayout>
      </c:layout>
      <c:overlay val="0"/>
      <c:spPr>
        <a:noFill/>
        <a:ln w="25351">
          <a:noFill/>
        </a:ln>
      </c:spPr>
    </c:title>
    <c:autoTitleDeleted val="0"/>
    <c:plotArea>
      <c:layout/>
      <c:pieChart>
        <c:varyColors val="1"/>
        <c:ser>
          <c:idx val="0"/>
          <c:order val="0"/>
          <c:tx>
            <c:strRef>
              <c:f>Blad1!$B$1</c:f>
              <c:strCache>
                <c:ptCount val="1"/>
                <c:pt idx="0">
                  <c:v>[Number of new EU Pilot files ] EU Pilot files opened in 2014</c:v>
                </c:pt>
              </c:strCache>
            </c:strRef>
          </c:tx>
          <c:spPr>
            <a:solidFill>
              <a:schemeClr val="accent1"/>
            </a:solidFill>
            <a:scene3d>
              <a:camera prst="orthographicFront"/>
              <a:lightRig rig="threePt" dir="t"/>
            </a:scene3d>
            <a:sp3d>
              <a:bevelT w="63500" h="25400"/>
            </a:sp3d>
          </c:spPr>
          <c:dPt>
            <c:idx val="0"/>
            <c:bubble3D val="0"/>
            <c:spPr>
              <a:solidFill>
                <a:schemeClr val="accent1"/>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6CF2-44D4-B74F-B988E149CEEB}"/>
              </c:ext>
            </c:extLst>
          </c:dPt>
          <c:dPt>
            <c:idx val="1"/>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6CF2-44D4-B74F-B988E149CEEB}"/>
              </c:ext>
            </c:extLst>
          </c:dPt>
          <c:dPt>
            <c:idx val="2"/>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6CF2-44D4-B74F-B988E149CEEB}"/>
              </c:ext>
            </c:extLst>
          </c:dPt>
          <c:dPt>
            <c:idx val="3"/>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6CF2-44D4-B74F-B988E149CEEB}"/>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6CF2-44D4-B74F-B988E149CEEB}"/>
              </c:ext>
            </c:extLst>
          </c:dPt>
          <c:dPt>
            <c:idx val="5"/>
            <c:bubble3D val="0"/>
            <c:spPr>
              <a:solidFill>
                <a:schemeClr val="accent5"/>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6CF2-44D4-B74F-B988E149CEEB}"/>
              </c:ext>
            </c:extLst>
          </c:dPt>
          <c:dPt>
            <c:idx val="6"/>
            <c:bubble3D val="0"/>
            <c:extLst xmlns:c16r2="http://schemas.microsoft.com/office/drawing/2015/06/chart">
              <c:ext xmlns:c16="http://schemas.microsoft.com/office/drawing/2014/chart" uri="{C3380CC4-5D6E-409C-BE32-E72D297353CC}">
                <c16:uniqueId val="{0000000C-6CF2-44D4-B74F-B988E149CEEB}"/>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CF2-44D4-B74F-B988E149CEEB}"/>
                </c:ext>
              </c:extLst>
            </c:dLbl>
            <c:dLbl>
              <c:idx val="1"/>
              <c:layout>
                <c:manualLayout>
                  <c:x val="-1.9315890563348457E-2"/>
                  <c:y val="0.1224741907261592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CF2-44D4-B74F-B988E149CEEB}"/>
                </c:ext>
              </c:extLst>
            </c:dLbl>
            <c:dLbl>
              <c:idx val="2"/>
              <c:layout>
                <c:manualLayout>
                  <c:x val="-4.6540376010267441E-2"/>
                  <c:y val="-5.2605219148491138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CF2-44D4-B74F-B988E149CEEB}"/>
                </c:ext>
              </c:extLst>
            </c:dLbl>
            <c:dLbl>
              <c:idx val="3"/>
              <c:layout>
                <c:manualLayout>
                  <c:x val="-2.55883832252246E-3"/>
                  <c:y val="0.11712206466448331"/>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CF2-44D4-B74F-B988E149CEEB}"/>
                </c:ext>
              </c:extLst>
            </c:dLbl>
            <c:dLbl>
              <c:idx val="4"/>
              <c:layout>
                <c:manualLayout>
                  <c:x val="-0.16288632973741718"/>
                  <c:y val="-0.11098834575987736"/>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CF2-44D4-B74F-B988E149CEEB}"/>
                </c:ext>
              </c:extLst>
            </c:dLbl>
            <c:dLbl>
              <c:idx val="5"/>
              <c:layout>
                <c:manualLayout>
                  <c:x val="-1.6556291390728502E-2"/>
                  <c:y val="5.681818181818181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CF2-44D4-B74F-B988E149CEEB}"/>
                </c:ext>
              </c:extLst>
            </c:dLbl>
            <c:dLbl>
              <c:idx val="6"/>
              <c:layout>
                <c:manualLayout>
                  <c:x val="-3.8631346578366449E-2"/>
                  <c:y val="6.628787878787878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6CF2-44D4-B74F-B988E149CEEB}"/>
                </c:ext>
              </c:extLst>
            </c:dLbl>
            <c:spPr>
              <a:noFill/>
              <a:ln w="25351">
                <a:noFill/>
              </a:ln>
            </c:spPr>
            <c:txPr>
              <a:bodyPr rot="0" spcFirstLastPara="1" vertOverflow="ellipsis" vert="horz" wrap="square" lIns="38100" tIns="19050" rIns="38100" bIns="19050" anchor="ctr" anchorCtr="1">
                <a:spAutoFit/>
              </a:bodyPr>
              <a:lstStyle/>
              <a:p>
                <a:pPr>
                  <a:defRPr sz="898"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Blad1!$A$2:$A$7</c:f>
              <c:strCache>
                <c:ptCount val="5"/>
                <c:pt idx="0">
                  <c:v>Sector</c:v>
                </c:pt>
                <c:pt idx="1">
                  <c:v>Water management</c:v>
                </c:pt>
                <c:pt idx="2">
                  <c:v>Air quality and noise</c:v>
                </c:pt>
                <c:pt idx="3">
                  <c:v>Nature protection, water protection, impact assessment, chemicals</c:v>
                </c:pt>
                <c:pt idx="4">
                  <c:v>Other</c:v>
                </c:pt>
              </c:strCache>
            </c:strRef>
          </c:cat>
          <c:val>
            <c:numRef>
              <c:f>Blad1!$B$2:$B$7</c:f>
              <c:numCache>
                <c:formatCode>General</c:formatCode>
                <c:ptCount val="6"/>
                <c:pt idx="0">
                  <c:v>0</c:v>
                </c:pt>
                <c:pt idx="1">
                  <c:v>22</c:v>
                </c:pt>
                <c:pt idx="2">
                  <c:v>10</c:v>
                </c:pt>
                <c:pt idx="3">
                  <c:v>5</c:v>
                </c:pt>
                <c:pt idx="4">
                  <c:v>26</c:v>
                </c:pt>
              </c:numCache>
            </c:numRef>
          </c:val>
          <c:extLst xmlns:c16r2="http://schemas.microsoft.com/office/drawing/2015/06/chart">
            <c:ext xmlns:c16="http://schemas.microsoft.com/office/drawing/2014/chart" uri="{C3380CC4-5D6E-409C-BE32-E72D297353CC}">
              <c16:uniqueId val="{0000000D-6CF2-44D4-B74F-B988E149CEEB}"/>
            </c:ext>
          </c:extLst>
        </c:ser>
        <c:dLbls>
          <c:showLegendKey val="0"/>
          <c:showVal val="0"/>
          <c:showCatName val="0"/>
          <c:showSerName val="0"/>
          <c:showPercent val="0"/>
          <c:showBubbleSize val="0"/>
          <c:showLeaderLines val="0"/>
        </c:dLbls>
        <c:firstSliceAng val="262"/>
      </c:pieChart>
      <c:spPr>
        <a:noFill/>
        <a:ln w="25375">
          <a:noFill/>
        </a:ln>
      </c:spPr>
    </c:plotArea>
    <c:plotVisOnly val="1"/>
    <c:dispBlanksAs val="gap"/>
    <c:showDLblsOverMax val="0"/>
  </c:chart>
  <c:spPr>
    <a:solidFill>
      <a:schemeClr val="bg1"/>
    </a:solidFill>
    <a:ln w="950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Environment</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3"/>
              <c:layout>
                <c:manualLayout>
                  <c:x val="-4.7395888013998251E-2"/>
                  <c:y val="7.82986111111111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106-4BD0-BFA8-018143813BA0}"/>
                </c:ext>
              </c:extLst>
            </c:dLbl>
            <c:dLbl>
              <c:idx val="4"/>
              <c:layout>
                <c:manualLayout>
                  <c:x val="-6.1284776902887139E-2"/>
                  <c:y val="6.09374999999999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A7B-4C7E-AB90-6162F15E6074}"/>
                </c:ext>
              </c:extLst>
            </c:dLbl>
            <c:spPr>
              <a:noFill/>
              <a:ln>
                <a:noFill/>
              </a:ln>
              <a:effectLst/>
            </c:spPr>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0%</c:formatCode>
                <c:ptCount val="5"/>
                <c:pt idx="0">
                  <c:v>0.74</c:v>
                </c:pt>
                <c:pt idx="1">
                  <c:v>0.79</c:v>
                </c:pt>
                <c:pt idx="2">
                  <c:v>0.76</c:v>
                </c:pt>
                <c:pt idx="3">
                  <c:v>0.65</c:v>
                </c:pt>
                <c:pt idx="4">
                  <c:v>0.65</c:v>
                </c:pt>
              </c:numCache>
            </c:numRef>
          </c:val>
          <c:smooth val="0"/>
          <c:extLst xmlns:c16r2="http://schemas.microsoft.com/office/drawing/2015/06/chart">
            <c:ext xmlns:c16="http://schemas.microsoft.com/office/drawing/2014/chart" uri="{C3380CC4-5D6E-409C-BE32-E72D297353CC}">
              <c16:uniqueId val="{00000001-BA7B-4C7E-AB90-6162F15E6074}"/>
            </c:ext>
          </c:extLst>
        </c:ser>
        <c:ser>
          <c:idx val="1"/>
          <c:order val="1"/>
          <c:tx>
            <c:strRef>
              <c:f>Blad1!$C$2</c:f>
              <c:strCache>
                <c:ptCount val="1"/>
                <c:pt idx="0">
                  <c:v>General rate for all policy areas</c:v>
                </c:pt>
              </c:strCache>
            </c:strRef>
          </c:tx>
          <c:spPr>
            <a:ln w="25389">
              <a:solidFill>
                <a:srgbClr val="92D050"/>
              </a:solidFill>
            </a:ln>
          </c:spPr>
          <c:marker>
            <c:symbol val="square"/>
            <c:size val="4"/>
            <c:spPr>
              <a:solidFill>
                <a:srgbClr val="92D050"/>
              </a:solidFill>
              <a:ln>
                <a:solidFill>
                  <a:srgbClr val="92D050"/>
                </a:solidFill>
              </a:ln>
            </c:spPr>
          </c:marker>
          <c:dLbls>
            <c:dLbl>
              <c:idx val="3"/>
              <c:layout>
                <c:manualLayout>
                  <c:x val="-5.4819553805774281E-2"/>
                  <c:y val="-6.610254447360747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106-4BD0-BFA8-018143813BA0}"/>
                </c:ext>
              </c:extLst>
            </c:dLbl>
            <c:dLbl>
              <c:idx val="4"/>
              <c:layout>
                <c:manualLayout>
                  <c:x val="-4.3708442694663063E-2"/>
                  <c:y val="-6.0315051764362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A7B-4C7E-AB90-6162F15E6074}"/>
                </c:ext>
              </c:extLst>
            </c:dLbl>
            <c:spPr>
              <a:noFill/>
              <a:ln>
                <a:noFill/>
              </a:ln>
              <a:effectLst/>
            </c:spPr>
            <c:txPr>
              <a:bodyPr/>
              <a:lstStyle/>
              <a:p>
                <a:pPr>
                  <a:defRPr>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Blad1!$C$3:$C$7</c:f>
              <c:numCache>
                <c:formatCode>0%</c:formatCode>
                <c:ptCount val="5"/>
                <c:pt idx="0">
                  <c:v>0.7</c:v>
                </c:pt>
                <c:pt idx="1">
                  <c:v>0.75</c:v>
                </c:pt>
                <c:pt idx="2">
                  <c:v>0.75</c:v>
                </c:pt>
                <c:pt idx="3">
                  <c:v>0.72</c:v>
                </c:pt>
                <c:pt idx="4">
                  <c:v>0.77</c:v>
                </c:pt>
              </c:numCache>
            </c:numRef>
          </c:val>
          <c:smooth val="0"/>
          <c:extLst xmlns:c16r2="http://schemas.microsoft.com/office/drawing/2015/06/chart">
            <c:ext xmlns:c16="http://schemas.microsoft.com/office/drawing/2014/chart" uri="{C3380CC4-5D6E-409C-BE32-E72D297353CC}">
              <c16:uniqueId val="{00000003-BA7B-4C7E-AB90-6162F15E6074}"/>
            </c:ext>
          </c:extLst>
        </c:ser>
        <c:dLbls>
          <c:showLegendKey val="0"/>
          <c:showVal val="0"/>
          <c:showCatName val="0"/>
          <c:showSerName val="0"/>
          <c:showPercent val="0"/>
          <c:showBubbleSize val="0"/>
        </c:dLbls>
        <c:marker val="1"/>
        <c:smooth val="0"/>
        <c:axId val="229784960"/>
        <c:axId val="229799040"/>
      </c:lineChart>
      <c:catAx>
        <c:axId val="229784960"/>
        <c:scaling>
          <c:orientation val="minMax"/>
        </c:scaling>
        <c:delete val="0"/>
        <c:axPos val="b"/>
        <c:numFmt formatCode="General" sourceLinked="1"/>
        <c:majorTickMark val="none"/>
        <c:minorTickMark val="none"/>
        <c:tickLblPos val="nextTo"/>
        <c:spPr>
          <a:noFill/>
          <a:ln w="1269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29799040"/>
        <c:crosses val="autoZero"/>
        <c:auto val="1"/>
        <c:lblAlgn val="ctr"/>
        <c:lblOffset val="100"/>
        <c:noMultiLvlLbl val="0"/>
      </c:catAx>
      <c:valAx>
        <c:axId val="229799040"/>
        <c:scaling>
          <c:orientation val="minMax"/>
        </c:scaling>
        <c:delete val="1"/>
        <c:axPos val="l"/>
        <c:majorGridlines>
          <c:spPr>
            <a:ln w="9521" cap="flat" cmpd="sng" algn="ctr">
              <a:solidFill>
                <a:schemeClr val="tx1">
                  <a:lumMod val="15000"/>
                  <a:lumOff val="85000"/>
                </a:schemeClr>
              </a:solidFill>
              <a:round/>
            </a:ln>
            <a:effectLst/>
          </c:spPr>
        </c:majorGridlines>
        <c:numFmt formatCode="0%" sourceLinked="1"/>
        <c:majorTickMark val="out"/>
        <c:minorTickMark val="none"/>
        <c:tickLblPos val="nextTo"/>
        <c:crossAx val="229784960"/>
        <c:crosses val="autoZero"/>
        <c:crossBetween val="between"/>
      </c:valAx>
      <c:spPr>
        <a:noFill/>
        <a:ln w="25389">
          <a:noFill/>
        </a:ln>
      </c:spPr>
    </c:plotArea>
    <c:legend>
      <c:legendPos val="b"/>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619345859429367E-2"/>
          <c:y val="4.4630404463040445E-2"/>
          <c:w val="0.9387496824037308"/>
          <c:h val="0.81598772021028221"/>
        </c:manualLayout>
      </c:layout>
      <c:lineChart>
        <c:grouping val="standard"/>
        <c:varyColors val="0"/>
        <c:ser>
          <c:idx val="0"/>
          <c:order val="0"/>
          <c:tx>
            <c:strRef>
              <c:f>Blad1!$B$3</c:f>
              <c:strCache>
                <c:ptCount val="1"/>
                <c:pt idx="0">
                  <c:v>Number</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398">
                <a:noFill/>
              </a:ln>
            </c:spPr>
            <c:txPr>
              <a:bodyPr/>
              <a:lstStyle/>
              <a:p>
                <a:pPr>
                  <a:defRPr sz="899">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Blad1!$A$4:$A$8</c:f>
              <c:numCache>
                <c:formatCode>General</c:formatCode>
                <c:ptCount val="5"/>
                <c:pt idx="0">
                  <c:v>2013</c:v>
                </c:pt>
                <c:pt idx="1">
                  <c:v>2014</c:v>
                </c:pt>
                <c:pt idx="2">
                  <c:v>2015</c:v>
                </c:pt>
                <c:pt idx="3">
                  <c:v>2016</c:v>
                </c:pt>
                <c:pt idx="4">
                  <c:v>2017</c:v>
                </c:pt>
              </c:numCache>
            </c:numRef>
          </c:cat>
          <c:val>
            <c:numRef>
              <c:f>Blad1!$B$4:$B$8</c:f>
              <c:numCache>
                <c:formatCode>General</c:formatCode>
                <c:ptCount val="5"/>
                <c:pt idx="0">
                  <c:v>334</c:v>
                </c:pt>
                <c:pt idx="1">
                  <c:v>322</c:v>
                </c:pt>
                <c:pt idx="2">
                  <c:v>276</c:v>
                </c:pt>
                <c:pt idx="3">
                  <c:v>269</c:v>
                </c:pt>
                <c:pt idx="4">
                  <c:v>307</c:v>
                </c:pt>
              </c:numCache>
            </c:numRef>
          </c:val>
          <c:smooth val="0"/>
          <c:extLst xmlns:c16r2="http://schemas.microsoft.com/office/drawing/2015/06/chart">
            <c:ext xmlns:c16="http://schemas.microsoft.com/office/drawing/2014/chart" uri="{C3380CC4-5D6E-409C-BE32-E72D297353CC}">
              <c16:uniqueId val="{00000000-A286-4389-B9FF-3C3E899D7321}"/>
            </c:ext>
          </c:extLst>
        </c:ser>
        <c:dLbls>
          <c:showLegendKey val="0"/>
          <c:showVal val="0"/>
          <c:showCatName val="0"/>
          <c:showSerName val="0"/>
          <c:showPercent val="0"/>
          <c:showBubbleSize val="0"/>
        </c:dLbls>
        <c:marker val="1"/>
        <c:smooth val="0"/>
        <c:axId val="271123968"/>
        <c:axId val="271125504"/>
      </c:lineChart>
      <c:catAx>
        <c:axId val="271123968"/>
        <c:scaling>
          <c:orientation val="minMax"/>
        </c:scaling>
        <c:delete val="0"/>
        <c:axPos val="b"/>
        <c:numFmt formatCode="General" sourceLinked="1"/>
        <c:majorTickMark val="none"/>
        <c:minorTickMark val="none"/>
        <c:tickLblPos val="nextTo"/>
        <c:spPr>
          <a:noFill/>
          <a:ln w="1267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71125504"/>
        <c:crosses val="autoZero"/>
        <c:auto val="1"/>
        <c:lblAlgn val="ctr"/>
        <c:lblOffset val="100"/>
        <c:noMultiLvlLbl val="0"/>
      </c:catAx>
      <c:valAx>
        <c:axId val="271125504"/>
        <c:scaling>
          <c:orientation val="minMax"/>
          <c:min val="200"/>
        </c:scaling>
        <c:delete val="1"/>
        <c:axPos val="l"/>
        <c:majorGridlines>
          <c:spPr>
            <a:ln w="9509" cap="flat" cmpd="sng" algn="ctr">
              <a:solidFill>
                <a:schemeClr val="tx1">
                  <a:lumMod val="15000"/>
                  <a:lumOff val="85000"/>
                </a:schemeClr>
              </a:solidFill>
              <a:round/>
            </a:ln>
            <a:effectLst/>
          </c:spPr>
        </c:majorGridlines>
        <c:numFmt formatCode="General" sourceLinked="1"/>
        <c:majorTickMark val="out"/>
        <c:minorTickMark val="none"/>
        <c:tickLblPos val="nextTo"/>
        <c:crossAx val="271123968"/>
        <c:crosses val="autoZero"/>
        <c:crossBetween val="between"/>
      </c:valAx>
      <c:spPr>
        <a:noFill/>
        <a:ln w="25398">
          <a:noFill/>
        </a:ln>
      </c:spPr>
    </c:plotArea>
    <c:plotVisOnly val="1"/>
    <c:dispBlanksAs val="gap"/>
    <c:showDLblsOverMax val="0"/>
  </c:chart>
  <c:spPr>
    <a:solidFill>
      <a:schemeClr val="bg1"/>
    </a:solidFill>
    <a:ln w="950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8" b="0" i="0" u="none" strike="noStrike" kern="1200" baseline="0">
                <a:solidFill>
                  <a:srgbClr val="002060"/>
                </a:solidFill>
                <a:latin typeface="+mn-lt"/>
                <a:ea typeface="+mn-ea"/>
                <a:cs typeface="+mn-cs"/>
              </a:defRPr>
            </a:pPr>
            <a:r>
              <a:rPr lang="en-US" sz="1048" b="0" baseline="0">
                <a:solidFill>
                  <a:srgbClr val="002060"/>
                </a:solidFill>
                <a:latin typeface="Arial" panose="020B0604020202020204" pitchFamily="34" charset="0"/>
                <a:ea typeface="Verdana" panose="020B0604030504040204" pitchFamily="34" charset="0"/>
                <a:cs typeface="Arial" panose="020B0604020202020204" pitchFamily="34" charset="0"/>
              </a:rPr>
              <a:t>307 </a:t>
            </a:r>
            <a:r>
              <a:rPr lang="en-US" sz="1048"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2017</a:t>
            </a:r>
          </a:p>
        </c:rich>
      </c:tx>
      <c:overlay val="0"/>
      <c:spPr>
        <a:noFill/>
        <a:ln w="25344">
          <a:noFill/>
        </a:ln>
      </c:spPr>
    </c:title>
    <c:autoTitleDeleted val="0"/>
    <c:plotArea>
      <c:layout>
        <c:manualLayout>
          <c:layoutTarget val="inner"/>
          <c:xMode val="edge"/>
          <c:yMode val="edge"/>
          <c:x val="0.26164306202415555"/>
          <c:y val="0.18323824276063852"/>
          <c:w val="0.39005139953470769"/>
          <c:h val="0.66230499078081762"/>
        </c:manualLayout>
      </c:layout>
      <c:pieChart>
        <c:varyColors val="1"/>
        <c:ser>
          <c:idx val="0"/>
          <c:order val="0"/>
          <c:tx>
            <c:strRef>
              <c:f>Blad1!$B$1</c:f>
              <c:strCache>
                <c:ptCount val="1"/>
                <c:pt idx="0">
                  <c:v>[Number of infringement cases] infringement cases in 2017</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1FDC-4A11-8973-1B19A2C76D6F}"/>
              </c:ext>
            </c:extLst>
          </c:dPt>
          <c:dPt>
            <c:idx val="1"/>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1FDC-4A11-8973-1B19A2C76D6F}"/>
              </c:ext>
            </c:extLst>
          </c:dPt>
          <c:dPt>
            <c:idx val="2"/>
            <c:bubble3D val="0"/>
            <c:spPr>
              <a:solidFill>
                <a:srgbClr val="00206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1FDC-4A11-8973-1B19A2C76D6F}"/>
              </c:ext>
            </c:extLst>
          </c:dPt>
          <c:dPt>
            <c:idx val="3"/>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1FDC-4A11-8973-1B19A2C76D6F}"/>
              </c:ext>
            </c:extLst>
          </c:dPt>
          <c:dPt>
            <c:idx val="4"/>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1FDC-4A11-8973-1B19A2C76D6F}"/>
              </c:ext>
            </c:extLst>
          </c:dPt>
          <c:dPt>
            <c:idx val="5"/>
            <c:bubble3D val="0"/>
            <c:spPr>
              <a:solidFill>
                <a:srgbClr val="7030A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1FDC-4A11-8973-1B19A2C76D6F}"/>
              </c:ext>
            </c:extLst>
          </c:dPt>
          <c:dPt>
            <c:idx val="6"/>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1FDC-4A11-8973-1B19A2C76D6F}"/>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FDC-4A11-8973-1B19A2C76D6F}"/>
                </c:ext>
              </c:extLst>
            </c:dLbl>
            <c:dLbl>
              <c:idx val="1"/>
              <c:layout>
                <c:manualLayout>
                  <c:x val="9.9516215134125188E-2"/>
                  <c:y val="-3.1474820143884891E-2"/>
                </c:manualLayout>
              </c:layout>
              <c:spPr>
                <a:noFill/>
                <a:ln w="2534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FDC-4A11-8973-1B19A2C76D6F}"/>
                </c:ext>
              </c:extLst>
            </c:dLbl>
            <c:dLbl>
              <c:idx val="2"/>
              <c:layout>
                <c:manualLayout>
                  <c:x val="-1.753593562141649E-2"/>
                  <c:y val="-2.47491617408505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FDC-4A11-8973-1B19A2C76D6F}"/>
                </c:ext>
              </c:extLst>
            </c:dLbl>
            <c:dLbl>
              <c:idx val="3"/>
              <c:layout>
                <c:manualLayout>
                  <c:x val="2.351982635164002E-2"/>
                  <c:y val="3.123105967751447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FDC-4A11-8973-1B19A2C76D6F}"/>
                </c:ext>
              </c:extLst>
            </c:dLbl>
            <c:dLbl>
              <c:idx val="4"/>
              <c:layout>
                <c:manualLayout>
                  <c:x val="3.2986829374082476E-2"/>
                  <c:y val="7.806888347589645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FDC-4A11-8973-1B19A2C76D6F}"/>
                </c:ext>
              </c:extLst>
            </c:dLbl>
            <c:dLbl>
              <c:idx val="5"/>
              <c:layout>
                <c:manualLayout>
                  <c:x val="-1.0204732750567196E-2"/>
                  <c:y val="-1.240936384750467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FDC-4A11-8973-1B19A2C76D6F}"/>
                </c:ext>
              </c:extLst>
            </c:dLbl>
            <c:dLbl>
              <c:idx val="6"/>
              <c:layout>
                <c:manualLayout>
                  <c:x val="1.1074294341385293E-2"/>
                  <c:y val="6.0453605619441454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FDC-4A11-8973-1B19A2C76D6F}"/>
                </c:ext>
              </c:extLst>
            </c:dLbl>
            <c:spPr>
              <a:noFill/>
              <a:ln w="25344">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Blad1!$A$2:$A$8</c:f>
              <c:strCache>
                <c:ptCount val="7"/>
                <c:pt idx="0">
                  <c:v>Sectors</c:v>
                </c:pt>
                <c:pt idx="1">
                  <c:v>Water protection and management</c:v>
                </c:pt>
                <c:pt idx="2">
                  <c:v>Air quality</c:v>
                </c:pt>
                <c:pt idx="3">
                  <c:v>Waste management</c:v>
                </c:pt>
                <c:pt idx="4">
                  <c:v>Nature protection</c:v>
                </c:pt>
                <c:pt idx="5">
                  <c:v>Impact assessment</c:v>
                </c:pt>
                <c:pt idx="6">
                  <c:v>Other </c:v>
                </c:pt>
              </c:strCache>
            </c:strRef>
          </c:cat>
          <c:val>
            <c:numRef>
              <c:f>Blad1!$B$2:$B$8</c:f>
              <c:numCache>
                <c:formatCode>General</c:formatCode>
                <c:ptCount val="7"/>
                <c:pt idx="0">
                  <c:v>0</c:v>
                </c:pt>
                <c:pt idx="1">
                  <c:v>77</c:v>
                </c:pt>
                <c:pt idx="2">
                  <c:v>61</c:v>
                </c:pt>
                <c:pt idx="3">
                  <c:v>60</c:v>
                </c:pt>
                <c:pt idx="4">
                  <c:v>49</c:v>
                </c:pt>
                <c:pt idx="5">
                  <c:v>40</c:v>
                </c:pt>
                <c:pt idx="6">
                  <c:v>20</c:v>
                </c:pt>
              </c:numCache>
            </c:numRef>
          </c:val>
          <c:extLst xmlns:c16r2="http://schemas.microsoft.com/office/drawing/2015/06/chart">
            <c:ext xmlns:c16="http://schemas.microsoft.com/office/drawing/2014/chart" uri="{C3380CC4-5D6E-409C-BE32-E72D297353CC}">
              <c16:uniqueId val="{0000000E-1FDC-4A11-8973-1B19A2C76D6F}"/>
            </c:ext>
          </c:extLst>
        </c:ser>
        <c:dLbls>
          <c:showLegendKey val="0"/>
          <c:showVal val="0"/>
          <c:showCatName val="0"/>
          <c:showSerName val="0"/>
          <c:showPercent val="0"/>
          <c:showBubbleSize val="0"/>
          <c:showLeaderLines val="0"/>
        </c:dLbls>
        <c:firstSliceAng val="122"/>
      </c:pieChart>
      <c:spPr>
        <a:noFill/>
        <a:ln w="25361">
          <a:noFill/>
        </a:ln>
      </c:spPr>
    </c:plotArea>
    <c:plotVisOnly val="1"/>
    <c:dispBlanksAs val="gap"/>
    <c:showDLblsOverMax val="0"/>
  </c:chart>
  <c:spPr>
    <a:solidFill>
      <a:schemeClr val="bg1"/>
    </a:solidFill>
    <a:ln w="950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8" b="0" i="0" u="none" strike="noStrike" kern="1200" baseline="0">
                <a:solidFill>
                  <a:srgbClr val="002060"/>
                </a:solidFill>
                <a:latin typeface="+mn-lt"/>
                <a:ea typeface="+mn-ea"/>
                <a:cs typeface="+mn-cs"/>
              </a:defRPr>
            </a:pPr>
            <a:r>
              <a:rPr lang="en-US" sz="1048" b="0" baseline="0">
                <a:solidFill>
                  <a:srgbClr val="002060"/>
                </a:solidFill>
                <a:latin typeface="Arial" panose="020B0604020202020204" pitchFamily="34" charset="0"/>
                <a:ea typeface="Verdana" panose="020B0604030504040204" pitchFamily="34" charset="0"/>
                <a:cs typeface="Arial" panose="020B0604020202020204" pitchFamily="34" charset="0"/>
              </a:rPr>
              <a:t>173 new </a:t>
            </a:r>
            <a:r>
              <a:rPr lang="en-US" sz="1048"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2017</a:t>
            </a:r>
          </a:p>
        </c:rich>
      </c:tx>
      <c:overlay val="0"/>
      <c:spPr>
        <a:noFill/>
        <a:ln w="25342">
          <a:noFill/>
        </a:ln>
      </c:spPr>
    </c:title>
    <c:autoTitleDeleted val="0"/>
    <c:plotArea>
      <c:layout/>
      <c:pieChart>
        <c:varyColors val="1"/>
        <c:ser>
          <c:idx val="0"/>
          <c:order val="0"/>
          <c:tx>
            <c:strRef>
              <c:f>Blad1!$B$1</c:f>
              <c:strCache>
                <c:ptCount val="1"/>
                <c:pt idx="0">
                  <c:v>[Number of infringement cases] infringement cases in 2014</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DAB2-4D62-9796-369488608536}"/>
              </c:ext>
            </c:extLst>
          </c:dPt>
          <c:dPt>
            <c:idx val="1"/>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DAB2-4D62-9796-369488608536}"/>
              </c:ext>
            </c:extLst>
          </c:dPt>
          <c:dPt>
            <c:idx val="2"/>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DAB2-4D62-9796-369488608536}"/>
              </c:ext>
            </c:extLst>
          </c:dPt>
          <c:dPt>
            <c:idx val="3"/>
            <c:bubble3D val="0"/>
            <c:spPr>
              <a:solidFill>
                <a:srgbClr val="00B0F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DAB2-4D62-9796-369488608536}"/>
              </c:ext>
            </c:extLst>
          </c:dPt>
          <c:dPt>
            <c:idx val="4"/>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DAB2-4D62-9796-369488608536}"/>
              </c:ext>
            </c:extLst>
          </c:dPt>
          <c:dPt>
            <c:idx val="5"/>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DAB2-4D62-9796-369488608536}"/>
              </c:ext>
            </c:extLst>
          </c:dPt>
          <c:dPt>
            <c:idx val="6"/>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DAB2-4D62-9796-369488608536}"/>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AB2-4D62-9796-369488608536}"/>
                </c:ext>
              </c:extLst>
            </c:dLbl>
            <c:dLbl>
              <c:idx val="1"/>
              <c:layout>
                <c:manualLayout>
                  <c:x val="-3.9968788420378612E-2"/>
                  <c:y val="0.14232188172509397"/>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AB2-4D62-9796-369488608536}"/>
                </c:ext>
              </c:extLst>
            </c:dLbl>
            <c:dLbl>
              <c:idx val="2"/>
              <c:layout>
                <c:manualLayout>
                  <c:x val="-1.7995543888933572E-2"/>
                  <c:y val="-8.4361397103528896E-4"/>
                </c:manualLayout>
              </c:layout>
              <c:spPr>
                <a:noFill/>
                <a:ln w="25342">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AB2-4D62-9796-369488608536}"/>
                </c:ext>
              </c:extLst>
            </c:dLbl>
            <c:dLbl>
              <c:idx val="3"/>
              <c:layout>
                <c:manualLayout>
                  <c:x val="6.0981984810038282E-2"/>
                  <c:y val="-7.272496363174545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AB2-4D62-9796-369488608536}"/>
                </c:ext>
              </c:extLst>
            </c:dLbl>
            <c:dLbl>
              <c:idx val="4"/>
              <c:layout>
                <c:manualLayout>
                  <c:x val="2.2443507354254561E-2"/>
                  <c:y val="2.886546232280602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AB2-4D62-9796-369488608536}"/>
                </c:ext>
              </c:extLst>
            </c:dLbl>
            <c:dLbl>
              <c:idx val="5"/>
              <c:layout>
                <c:manualLayout>
                  <c:x val="-2.1544137539863183E-2"/>
                  <c:y val="1.287770855201825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AB2-4D62-9796-369488608536}"/>
                </c:ext>
              </c:extLst>
            </c:dLbl>
            <c:spPr>
              <a:noFill/>
              <a:ln w="25342">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Blad1!$A$2:$A$8</c:f>
              <c:strCache>
                <c:ptCount val="6"/>
                <c:pt idx="0">
                  <c:v>Sectors</c:v>
                </c:pt>
                <c:pt idx="1">
                  <c:v>Waste  management</c:v>
                </c:pt>
                <c:pt idx="2">
                  <c:v>Water protection and management</c:v>
                </c:pt>
                <c:pt idx="3">
                  <c:v>Air quality</c:v>
                </c:pt>
                <c:pt idx="4">
                  <c:v>Impact assessment</c:v>
                </c:pt>
                <c:pt idx="5">
                  <c:v>Other</c:v>
                </c:pt>
              </c:strCache>
            </c:strRef>
          </c:cat>
          <c:val>
            <c:numRef>
              <c:f>Blad1!$B$2:$B$8</c:f>
              <c:numCache>
                <c:formatCode>General</c:formatCode>
                <c:ptCount val="7"/>
                <c:pt idx="0">
                  <c:v>0</c:v>
                </c:pt>
                <c:pt idx="1">
                  <c:v>60</c:v>
                </c:pt>
                <c:pt idx="2">
                  <c:v>33</c:v>
                </c:pt>
                <c:pt idx="3">
                  <c:v>51</c:v>
                </c:pt>
                <c:pt idx="4">
                  <c:v>22</c:v>
                </c:pt>
                <c:pt idx="5">
                  <c:v>7</c:v>
                </c:pt>
              </c:numCache>
            </c:numRef>
          </c:val>
          <c:extLst xmlns:c16r2="http://schemas.microsoft.com/office/drawing/2015/06/chart">
            <c:ext xmlns:c16="http://schemas.microsoft.com/office/drawing/2014/chart" uri="{C3380CC4-5D6E-409C-BE32-E72D297353CC}">
              <c16:uniqueId val="{0000000E-DAB2-4D62-9796-369488608536}"/>
            </c:ext>
          </c:extLst>
        </c:ser>
        <c:dLbls>
          <c:showLegendKey val="0"/>
          <c:showVal val="0"/>
          <c:showCatName val="0"/>
          <c:showSerName val="0"/>
          <c:showPercent val="0"/>
          <c:showBubbleSize val="0"/>
          <c:showLeaderLines val="0"/>
        </c:dLbls>
        <c:firstSliceAng val="269"/>
      </c:pieChart>
      <c:spPr>
        <a:noFill/>
        <a:ln w="25359">
          <a:noFill/>
        </a:ln>
      </c:spPr>
    </c:plotArea>
    <c:plotVisOnly val="1"/>
    <c:dispBlanksAs val="gap"/>
    <c:showDLblsOverMax val="0"/>
  </c:chart>
  <c:spPr>
    <a:solidFill>
      <a:schemeClr val="bg1"/>
    </a:solidFill>
    <a:ln w="950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326">
                <a:noFill/>
              </a:ln>
            </c:spPr>
            <c:txPr>
              <a:bodyPr rot="0" spcFirstLastPara="1" vertOverflow="ellipsis" vert="horz" wrap="square" lIns="38100" tIns="19050" rIns="38100" bIns="19050" anchor="ctr" anchorCtr="1">
                <a:spAutoFit/>
              </a:bodyPr>
              <a:lstStyle/>
              <a:p>
                <a:pPr>
                  <a:defRPr sz="897" b="0" i="0" u="none" strike="noStrike" kern="1200" baseline="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168</c:v>
                </c:pt>
                <c:pt idx="1">
                  <c:v>127</c:v>
                </c:pt>
                <c:pt idx="2">
                  <c:v>88</c:v>
                </c:pt>
                <c:pt idx="3">
                  <c:v>50</c:v>
                </c:pt>
                <c:pt idx="4">
                  <c:v>113</c:v>
                </c:pt>
              </c:numCache>
            </c:numRef>
          </c:val>
          <c:smooth val="0"/>
          <c:extLst xmlns:c16r2="http://schemas.microsoft.com/office/drawing/2015/06/chart">
            <c:ext xmlns:c16="http://schemas.microsoft.com/office/drawing/2014/chart" uri="{C3380CC4-5D6E-409C-BE32-E72D297353CC}">
              <c16:uniqueId val="{00000000-885C-4BA4-B78C-C86CAE159319}"/>
            </c:ext>
          </c:extLst>
        </c:ser>
        <c:dLbls>
          <c:showLegendKey val="0"/>
          <c:showVal val="0"/>
          <c:showCatName val="0"/>
          <c:showSerName val="0"/>
          <c:showPercent val="0"/>
          <c:showBubbleSize val="0"/>
        </c:dLbls>
        <c:marker val="1"/>
        <c:smooth val="0"/>
        <c:axId val="274454400"/>
        <c:axId val="274455936"/>
      </c:lineChart>
      <c:catAx>
        <c:axId val="274454400"/>
        <c:scaling>
          <c:orientation val="minMax"/>
        </c:scaling>
        <c:delete val="0"/>
        <c:axPos val="b"/>
        <c:numFmt formatCode="General" sourceLinked="1"/>
        <c:majorTickMark val="none"/>
        <c:minorTickMark val="none"/>
        <c:tickLblPos val="nextTo"/>
        <c:spPr>
          <a:noFill/>
          <a:ln w="12663" cap="flat" cmpd="sng" algn="ctr">
            <a:solidFill>
              <a:schemeClr val="tx1">
                <a:lumMod val="15000"/>
                <a:lumOff val="85000"/>
              </a:schemeClr>
            </a:solidFill>
            <a:round/>
          </a:ln>
          <a:effectLst/>
        </c:spPr>
        <c:txPr>
          <a:bodyPr rot="-60000000" spcFirstLastPara="1" vertOverflow="ellipsis" vert="horz" wrap="square" anchor="ctr" anchorCtr="1"/>
          <a:lstStyle/>
          <a:p>
            <a:pPr>
              <a:defRPr sz="8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74455936"/>
        <c:crosses val="autoZero"/>
        <c:auto val="1"/>
        <c:lblAlgn val="ctr"/>
        <c:lblOffset val="100"/>
        <c:noMultiLvlLbl val="0"/>
      </c:catAx>
      <c:valAx>
        <c:axId val="274455936"/>
        <c:scaling>
          <c:orientation val="minMax"/>
        </c:scaling>
        <c:delete val="1"/>
        <c:axPos val="l"/>
        <c:majorGridlines>
          <c:spPr>
            <a:ln w="9497" cap="flat" cmpd="sng" algn="ctr">
              <a:solidFill>
                <a:schemeClr val="tx1">
                  <a:lumMod val="15000"/>
                  <a:lumOff val="85000"/>
                </a:schemeClr>
              </a:solidFill>
              <a:round/>
            </a:ln>
            <a:effectLst/>
          </c:spPr>
        </c:majorGridlines>
        <c:numFmt formatCode="General" sourceLinked="1"/>
        <c:majorTickMark val="out"/>
        <c:minorTickMark val="none"/>
        <c:tickLblPos val="nextTo"/>
        <c:crossAx val="274454400"/>
        <c:crosses val="autoZero"/>
        <c:crossBetween val="between"/>
      </c:valAx>
      <c:spPr>
        <a:noFill/>
        <a:ln w="25356">
          <a:noFill/>
        </a:ln>
      </c:spPr>
    </c:plotArea>
    <c:plotVisOnly val="1"/>
    <c:dispBlanksAs val="gap"/>
    <c:showDLblsOverMax val="0"/>
  </c:chart>
  <c:spPr>
    <a:solidFill>
      <a:schemeClr val="bg1"/>
    </a:solidFill>
    <a:ln w="949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9" b="0" i="0" u="none" strike="noStrike" kern="1200" baseline="0">
                <a:solidFill>
                  <a:srgbClr val="002060"/>
                </a:solidFill>
                <a:latin typeface="+mn-lt"/>
                <a:ea typeface="+mn-ea"/>
                <a:cs typeface="+mn-cs"/>
              </a:defRPr>
            </a:pPr>
            <a:r>
              <a:rPr lang="en-US" sz="1049" b="0" baseline="0">
                <a:solidFill>
                  <a:srgbClr val="002060"/>
                </a:solidFill>
                <a:latin typeface="Arial" panose="020B0604020202020204" pitchFamily="34" charset="0"/>
                <a:ea typeface="Verdana" panose="020B0604030504040204" pitchFamily="34" charset="0"/>
                <a:cs typeface="Arial" panose="020B0604020202020204" pitchFamily="34" charset="0"/>
              </a:rPr>
              <a:t>113 new late transposition infringement cases in 2017</a:t>
            </a:r>
            <a:endParaRPr lang="en-US" sz="105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4297566371681417"/>
          <c:y val="2.6939655172413791E-2"/>
        </c:manualLayout>
      </c:layout>
      <c:overlay val="0"/>
      <c:spPr>
        <a:noFill/>
        <a:ln w="25358">
          <a:noFill/>
        </a:ln>
      </c:spPr>
    </c:title>
    <c:autoTitleDeleted val="0"/>
    <c:plotArea>
      <c:layout/>
      <c:pieChart>
        <c:varyColors val="1"/>
        <c:ser>
          <c:idx val="0"/>
          <c:order val="0"/>
          <c:tx>
            <c:strRef>
              <c:f>Blad1!$B$1</c:f>
              <c:strCache>
                <c:ptCount val="1"/>
                <c:pt idx="0">
                  <c:v>[Number of infringement cases] new late transposition infringement cases in 2017</c:v>
                </c:pt>
              </c:strCache>
            </c:strRef>
          </c:tx>
          <c:spPr>
            <a:solidFill>
              <a:srgbClr val="FFC000"/>
            </a:solidFill>
            <a:scene3d>
              <a:camera prst="orthographicFront"/>
              <a:lightRig rig="threePt" dir="t"/>
            </a:scene3d>
            <a:sp3d>
              <a:bevelT w="63500" h="25400"/>
            </a:sp3d>
          </c:spPr>
          <c:explosion val="3"/>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06C0-4D67-81C0-67642BF3E4D0}"/>
              </c:ext>
            </c:extLst>
          </c:dPt>
          <c:dPt>
            <c:idx val="1"/>
            <c:bubble3D val="0"/>
            <c:explosion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06C0-4D67-81C0-67642BF3E4D0}"/>
              </c:ext>
            </c:extLst>
          </c:dPt>
          <c:dPt>
            <c:idx val="2"/>
            <c:bubble3D val="0"/>
            <c:explosion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06C0-4D67-81C0-67642BF3E4D0}"/>
              </c:ext>
            </c:extLst>
          </c:dPt>
          <c:dPt>
            <c:idx val="3"/>
            <c:bubble3D val="0"/>
            <c:explosion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06C0-4D67-81C0-67642BF3E4D0}"/>
              </c:ext>
            </c:extLst>
          </c:dPt>
          <c:dPt>
            <c:idx val="4"/>
            <c:bubble3D val="0"/>
            <c:explosion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06C0-4D67-81C0-67642BF3E4D0}"/>
              </c:ext>
            </c:extLst>
          </c:dPt>
          <c:dPt>
            <c:idx val="5"/>
            <c:bubble3D val="0"/>
            <c:explosion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06C0-4D67-81C0-67642BF3E4D0}"/>
              </c:ext>
            </c:extLst>
          </c:dPt>
          <c:dPt>
            <c:idx val="6"/>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06C0-4D67-81C0-67642BF3E4D0}"/>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6C0-4D67-81C0-67642BF3E4D0}"/>
                </c:ext>
              </c:extLst>
            </c:dLbl>
            <c:dLbl>
              <c:idx val="1"/>
              <c:layout>
                <c:manualLayout>
                  <c:x val="-6.9227536408612636E-2"/>
                  <c:y val="-0.1131465517241378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6C0-4D67-81C0-67642BF3E4D0}"/>
                </c:ext>
              </c:extLst>
            </c:dLbl>
            <c:dLbl>
              <c:idx val="2"/>
              <c:layout>
                <c:manualLayout>
                  <c:x val="-4.7068366315936173E-2"/>
                  <c:y val="5.0707643225631281E-2"/>
                </c:manualLayout>
              </c:layout>
              <c:spPr>
                <a:noFill/>
                <a:ln w="25358">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6C0-4D67-81C0-67642BF3E4D0}"/>
                </c:ext>
              </c:extLst>
            </c:dLbl>
            <c:dLbl>
              <c:idx val="3"/>
              <c:layout>
                <c:manualLayout>
                  <c:x val="-3.857549125496481E-2"/>
                  <c:y val="-4.578511064349714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6C0-4D67-81C0-67642BF3E4D0}"/>
                </c:ext>
              </c:extLst>
            </c:dLbl>
            <c:dLbl>
              <c:idx val="4"/>
              <c:layout>
                <c:manualLayout>
                  <c:x val="1.3922374747404362E-2"/>
                  <c:y val="-4.310344827586207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6C0-4D67-81C0-67642BF3E4D0}"/>
                </c:ext>
              </c:extLst>
            </c:dLbl>
            <c:dLbl>
              <c:idx val="5"/>
              <c:layout>
                <c:manualLayout>
                  <c:x val="-8.2781687687269179E-3"/>
                  <c:y val="1.383680084170513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6C0-4D67-81C0-67642BF3E4D0}"/>
                </c:ext>
              </c:extLst>
            </c:dLbl>
            <c:spPr>
              <a:noFill/>
              <a:ln w="25358">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Blad1!$A$2:$A$8</c:f>
              <c:strCache>
                <c:ptCount val="6"/>
                <c:pt idx="0">
                  <c:v>Sectors</c:v>
                </c:pt>
                <c:pt idx="1">
                  <c:v>Waste  management</c:v>
                </c:pt>
                <c:pt idx="2">
                  <c:v>Air quality</c:v>
                </c:pt>
                <c:pt idx="3">
                  <c:v>Impact assessment</c:v>
                </c:pt>
                <c:pt idx="4">
                  <c:v>Water protection &amp; management</c:v>
                </c:pt>
                <c:pt idx="5">
                  <c:v>Other</c:v>
                </c:pt>
              </c:strCache>
            </c:strRef>
          </c:cat>
          <c:val>
            <c:numRef>
              <c:f>Blad1!$B$2:$B$8</c:f>
              <c:numCache>
                <c:formatCode>General</c:formatCode>
                <c:ptCount val="7"/>
                <c:pt idx="0">
                  <c:v>0</c:v>
                </c:pt>
                <c:pt idx="1">
                  <c:v>43</c:v>
                </c:pt>
                <c:pt idx="2">
                  <c:v>37</c:v>
                </c:pt>
                <c:pt idx="3">
                  <c:v>21</c:v>
                </c:pt>
                <c:pt idx="4">
                  <c:v>11</c:v>
                </c:pt>
                <c:pt idx="5">
                  <c:v>1</c:v>
                </c:pt>
              </c:numCache>
            </c:numRef>
          </c:val>
          <c:extLst xmlns:c16r2="http://schemas.microsoft.com/office/drawing/2015/06/chart">
            <c:ext xmlns:c16="http://schemas.microsoft.com/office/drawing/2014/chart" uri="{C3380CC4-5D6E-409C-BE32-E72D297353CC}">
              <c16:uniqueId val="{0000000E-06C0-4D67-81C0-67642BF3E4D0}"/>
            </c:ext>
          </c:extLst>
        </c:ser>
        <c:dLbls>
          <c:showLegendKey val="0"/>
          <c:showVal val="0"/>
          <c:showCatName val="0"/>
          <c:showSerName val="0"/>
          <c:showPercent val="0"/>
          <c:showBubbleSize val="0"/>
          <c:showLeaderLines val="0"/>
        </c:dLbls>
        <c:firstSliceAng val="142"/>
      </c:pieChart>
      <c:spPr>
        <a:noFill/>
        <a:ln w="25375">
          <a:noFill/>
        </a:ln>
      </c:spPr>
    </c:plotArea>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8808038808038806E-2"/>
          <c:y val="6.2947067238912732E-2"/>
          <c:w val="0.93909191583610185"/>
          <c:h val="0.68655170244130448"/>
        </c:manualLayout>
      </c:layout>
      <c:lineChart>
        <c:grouping val="standard"/>
        <c:varyColors val="0"/>
        <c:ser>
          <c:idx val="0"/>
          <c:order val="0"/>
          <c:tx>
            <c:strRef>
              <c:f>Blad1!$B$2</c:f>
              <c:strCache>
                <c:ptCount val="1"/>
                <c:pt idx="0">
                  <c:v>Agriculture and rural development</c:v>
                </c:pt>
              </c:strCache>
            </c:strRef>
          </c:tx>
          <c:spPr>
            <a:effectLst>
              <a:outerShdw blurRad="40000" dist="23000" dir="5400000" rotWithShape="0">
                <a:srgbClr val="000000">
                  <a:alpha val="35000"/>
                </a:srgbClr>
              </a:outerShdw>
            </a:effectLst>
          </c:spPr>
          <c:dLbls>
            <c:dLbl>
              <c:idx val="0"/>
              <c:layout>
                <c:manualLayout>
                  <c:x val="-5.8494834854713955E-2"/>
                  <c:y val="-7.718861846814602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EEA-4962-9E06-F6E6CCF08A59}"/>
                </c:ext>
              </c:extLst>
            </c:dLbl>
            <c:dLbl>
              <c:idx val="1"/>
              <c:layout>
                <c:manualLayout>
                  <c:x val="-6.0958295589157552E-2"/>
                  <c:y val="-7.126386900501072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EEA-4962-9E06-F6E6CCF08A59}"/>
                </c:ext>
              </c:extLst>
            </c:dLbl>
            <c:dLbl>
              <c:idx val="2"/>
              <c:layout>
                <c:manualLayout>
                  <c:x val="-6.6088382342693888E-2"/>
                  <c:y val="-7.694568718682891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AEEA-4962-9E06-F6E6CCF08A59}"/>
                </c:ext>
              </c:extLst>
            </c:dLbl>
            <c:dLbl>
              <c:idx val="3"/>
              <c:layout>
                <c:manualLayout>
                  <c:x val="-5.5585640152569386E-2"/>
                  <c:y val="-6.60083583972604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AEEA-4962-9E06-F6E6CCF08A59}"/>
                </c:ext>
              </c:extLst>
            </c:dLbl>
            <c:dLbl>
              <c:idx val="4"/>
              <c:layout>
                <c:manualLayout>
                  <c:x val="-3.89050932586915E-2"/>
                  <c:y val="-7.154657893790673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AEEA-4962-9E06-F6E6CCF08A59}"/>
                </c:ext>
              </c:extLst>
            </c:dLbl>
            <c:spPr>
              <a:noFill/>
              <a:ln w="25375">
                <a:noFill/>
              </a:ln>
            </c:spPr>
            <c:txPr>
              <a:bodyPr/>
              <a:lstStyle/>
              <a:p>
                <a:pPr>
                  <a:defRPr sz="898">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0%</c:formatCode>
                <c:ptCount val="5"/>
                <c:pt idx="0">
                  <c:v>0.89</c:v>
                </c:pt>
                <c:pt idx="1">
                  <c:v>0.97</c:v>
                </c:pt>
                <c:pt idx="2">
                  <c:v>1</c:v>
                </c:pt>
                <c:pt idx="3">
                  <c:v>0.95</c:v>
                </c:pt>
                <c:pt idx="4">
                  <c:v>0.81</c:v>
                </c:pt>
              </c:numCache>
            </c:numRef>
          </c:val>
          <c:smooth val="0"/>
          <c:extLst xmlns:c16r2="http://schemas.microsoft.com/office/drawing/2015/06/chart">
            <c:ext xmlns:c16="http://schemas.microsoft.com/office/drawing/2014/chart" uri="{C3380CC4-5D6E-409C-BE32-E72D297353CC}">
              <c16:uniqueId val="{00000005-AEEA-4962-9E06-F6E6CCF08A59}"/>
            </c:ext>
          </c:extLst>
        </c:ser>
        <c:ser>
          <c:idx val="1"/>
          <c:order val="1"/>
          <c:tx>
            <c:strRef>
              <c:f>Blad1!$C$2</c:f>
              <c:strCache>
                <c:ptCount val="1"/>
                <c:pt idx="0">
                  <c:v>General rate for all policy areas</c:v>
                </c:pt>
              </c:strCache>
            </c:strRef>
          </c:tx>
          <c:spPr>
            <a:ln w="25358">
              <a:solidFill>
                <a:srgbClr val="92D050"/>
              </a:solidFill>
            </a:ln>
          </c:spPr>
          <c:marker>
            <c:symbol val="square"/>
            <c:size val="3"/>
            <c:spPr>
              <a:solidFill>
                <a:srgbClr val="92D050"/>
              </a:solidFill>
              <a:ln w="6340">
                <a:solidFill>
                  <a:srgbClr val="92D050"/>
                </a:solidFill>
              </a:ln>
            </c:spPr>
          </c:marker>
          <c:dLbls>
            <c:spPr>
              <a:noFill/>
              <a:ln w="25375">
                <a:noFill/>
              </a:ln>
            </c:spPr>
            <c:txPr>
              <a:bodyPr/>
              <a:lstStyle/>
              <a:p>
                <a:pPr>
                  <a:defRPr sz="898">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Blad1!$C$3:$C$7</c:f>
              <c:numCache>
                <c:formatCode>0%</c:formatCode>
                <c:ptCount val="5"/>
                <c:pt idx="0">
                  <c:v>0.7</c:v>
                </c:pt>
                <c:pt idx="1">
                  <c:v>0.75</c:v>
                </c:pt>
                <c:pt idx="2">
                  <c:v>0.75</c:v>
                </c:pt>
                <c:pt idx="3">
                  <c:v>0.72</c:v>
                </c:pt>
                <c:pt idx="4">
                  <c:v>0.77</c:v>
                </c:pt>
              </c:numCache>
            </c:numRef>
          </c:val>
          <c:smooth val="0"/>
          <c:extLst xmlns:c16r2="http://schemas.microsoft.com/office/drawing/2015/06/chart">
            <c:ext xmlns:c16="http://schemas.microsoft.com/office/drawing/2014/chart" uri="{C3380CC4-5D6E-409C-BE32-E72D297353CC}">
              <c16:uniqueId val="{00000006-AEEA-4962-9E06-F6E6CCF08A59}"/>
            </c:ext>
          </c:extLst>
        </c:ser>
        <c:dLbls>
          <c:showLegendKey val="0"/>
          <c:showVal val="0"/>
          <c:showCatName val="0"/>
          <c:showSerName val="0"/>
          <c:showPercent val="0"/>
          <c:showBubbleSize val="0"/>
        </c:dLbls>
        <c:marker val="1"/>
        <c:smooth val="0"/>
        <c:axId val="274413056"/>
        <c:axId val="274414592"/>
      </c:lineChart>
      <c:catAx>
        <c:axId val="274413056"/>
        <c:scaling>
          <c:orientation val="minMax"/>
        </c:scaling>
        <c:delete val="0"/>
        <c:axPos val="b"/>
        <c:numFmt formatCode="General" sourceLinked="1"/>
        <c:majorTickMark val="none"/>
        <c:minorTickMark val="none"/>
        <c:tickLblPos val="nextTo"/>
        <c:spPr>
          <a:noFill/>
          <a:ln w="12680"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74414592"/>
        <c:crosses val="autoZero"/>
        <c:auto val="1"/>
        <c:lblAlgn val="ctr"/>
        <c:lblOffset val="100"/>
        <c:noMultiLvlLbl val="0"/>
      </c:catAx>
      <c:valAx>
        <c:axId val="274414592"/>
        <c:scaling>
          <c:orientation val="minMax"/>
        </c:scaling>
        <c:delete val="1"/>
        <c:axPos val="l"/>
        <c:majorGridlines>
          <c:spPr>
            <a:ln w="9510" cap="flat" cmpd="sng" algn="ctr">
              <a:solidFill>
                <a:schemeClr val="tx1">
                  <a:lumMod val="15000"/>
                  <a:lumOff val="85000"/>
                </a:schemeClr>
              </a:solidFill>
              <a:round/>
            </a:ln>
            <a:effectLst/>
          </c:spPr>
        </c:majorGridlines>
        <c:numFmt formatCode="0%" sourceLinked="1"/>
        <c:majorTickMark val="out"/>
        <c:minorTickMark val="none"/>
        <c:tickLblPos val="nextTo"/>
        <c:crossAx val="274413056"/>
        <c:crosses val="autoZero"/>
        <c:crossBetween val="between"/>
      </c:valAx>
      <c:spPr>
        <a:noFill/>
        <a:ln w="25375">
          <a:noFill/>
        </a:ln>
      </c:spPr>
    </c:plotArea>
    <c:legend>
      <c:legendPos val="r"/>
      <c:layout>
        <c:manualLayout>
          <c:xMode val="edge"/>
          <c:yMode val="edge"/>
          <c:x val="6.4735945485519586E-2"/>
          <c:y val="0.86642599277978349"/>
          <c:w val="0.868824531516184"/>
          <c:h val="9.386281588447655E-2"/>
        </c:manualLayout>
      </c:layout>
      <c:overlay val="0"/>
      <c:txPr>
        <a:bodyPr/>
        <a:lstStyle/>
        <a:p>
          <a:pPr>
            <a:defRPr sz="898">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5"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GB" sz="1095" b="0">
                <a:solidFill>
                  <a:srgbClr val="002060"/>
                </a:solidFill>
                <a:latin typeface="Arial" panose="020B0604020202020204" pitchFamily="34" charset="0"/>
                <a:cs typeface="Arial" panose="020B0604020202020204" pitchFamily="34" charset="0"/>
              </a:rPr>
              <a:t>155 complaints in 2017</a:t>
            </a:r>
          </a:p>
        </c:rich>
      </c:tx>
      <c:overlay val="0"/>
      <c:spPr>
        <a:noFill/>
        <a:ln w="25278">
          <a:noFill/>
        </a:ln>
      </c:spPr>
    </c:title>
    <c:autoTitleDeleted val="0"/>
    <c:plotArea>
      <c:layout/>
      <c:pieChart>
        <c:varyColors val="1"/>
        <c:ser>
          <c:idx val="0"/>
          <c:order val="0"/>
          <c:tx>
            <c:strRef>
              <c:f>Blad1!$B$1</c:f>
              <c:strCache>
                <c:ptCount val="1"/>
                <c:pt idx="0">
                  <c:v>[Number of new complaints] complaints in 2014</c:v>
                </c:pt>
              </c:strCache>
            </c:strRef>
          </c:tx>
          <c:spPr>
            <a:solidFill>
              <a:srgbClr val="92D050"/>
            </a:solidFill>
            <a:scene3d>
              <a:camera prst="orthographicFront"/>
              <a:lightRig rig="threePt" dir="t"/>
            </a:scene3d>
            <a:sp3d>
              <a:bevelT w="63500" h="25400"/>
            </a:sp3d>
          </c:spPr>
          <c:dPt>
            <c:idx val="0"/>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BDA1-4DE7-BA6C-F34C6FB4C5E6}"/>
              </c:ext>
            </c:extLst>
          </c:dPt>
          <c:dPt>
            <c:idx val="1"/>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BDA1-4DE7-BA6C-F34C6FB4C5E6}"/>
              </c:ext>
            </c:extLst>
          </c:dPt>
          <c:dPt>
            <c:idx val="2"/>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BDA1-4DE7-BA6C-F34C6FB4C5E6}"/>
              </c:ext>
            </c:extLst>
          </c:dPt>
          <c:dPt>
            <c:idx val="3"/>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BDA1-4DE7-BA6C-F34C6FB4C5E6}"/>
              </c:ext>
            </c:extLst>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BDA1-4DE7-BA6C-F34C6FB4C5E6}"/>
              </c:ext>
            </c:extLst>
          </c:dPt>
          <c:dPt>
            <c:idx val="5"/>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BDA1-4DE7-BA6C-F34C6FB4C5E6}"/>
              </c:ext>
            </c:extLst>
          </c:dPt>
          <c:dPt>
            <c:idx val="6"/>
            <c:bubble3D val="0"/>
            <c:spPr>
              <a:solidFill>
                <a:srgbClr val="FFC0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BDA1-4DE7-BA6C-F34C6FB4C5E6}"/>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DA1-4DE7-BA6C-F34C6FB4C5E6}"/>
                </c:ext>
              </c:extLst>
            </c:dLbl>
            <c:dLbl>
              <c:idx val="1"/>
              <c:layout>
                <c:manualLayout>
                  <c:x val="-6.2047494328039505E-3"/>
                  <c:y val="3.2916010498687663E-2"/>
                </c:manualLayout>
              </c:layout>
              <c:spPr>
                <a:noFill/>
                <a:ln w="25278">
                  <a:noFill/>
                </a:ln>
              </c:spPr>
              <c:txPr>
                <a:bodyPr rot="0" spcFirstLastPara="1" vertOverflow="ellipsis" vert="horz" wrap="square" lIns="38100" tIns="19050" rIns="38100" bIns="19050" anchor="ctr" anchorCtr="1">
                  <a:spAutoFit/>
                </a:bodyPr>
                <a:lstStyle/>
                <a:p>
                  <a:pPr>
                    <a:defRPr sz="895"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DA1-4DE7-BA6C-F34C6FB4C5E6}"/>
                </c:ext>
              </c:extLst>
            </c:dLbl>
            <c:dLbl>
              <c:idx val="2"/>
              <c:layout>
                <c:manualLayout>
                  <c:x val="-1.8878036167089284E-2"/>
                  <c:y val="4.4300087489063868E-2"/>
                </c:manualLayout>
              </c:layout>
              <c:spPr>
                <a:noFill/>
                <a:ln w="25278">
                  <a:noFill/>
                </a:ln>
              </c:spPr>
              <c:txPr>
                <a:bodyPr rot="0" spcFirstLastPara="1" vertOverflow="ellipsis" vert="horz" wrap="square" lIns="38100" tIns="19050" rIns="38100" bIns="19050" anchor="ctr" anchorCtr="1">
                  <a:spAutoFit/>
                </a:bodyPr>
                <a:lstStyle/>
                <a:p>
                  <a:pPr>
                    <a:defRPr sz="895"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DA1-4DE7-BA6C-F34C6FB4C5E6}"/>
                </c:ext>
              </c:extLst>
            </c:dLbl>
            <c:dLbl>
              <c:idx val="3"/>
              <c:layout>
                <c:manualLayout>
                  <c:x val="2.576112705191512E-2"/>
                  <c:y val="-7.0236657917760278E-2"/>
                </c:manualLayout>
              </c:layout>
              <c:spPr>
                <a:noFill/>
                <a:ln w="25278">
                  <a:noFill/>
                </a:ln>
              </c:spPr>
              <c:txPr>
                <a:bodyPr rot="0" spcFirstLastPara="1" vertOverflow="ellipsis" vert="horz" wrap="square" lIns="38100" tIns="19050" rIns="38100" bIns="19050" anchor="ctr" anchorCtr="1">
                  <a:spAutoFit/>
                </a:bodyPr>
                <a:lstStyle/>
                <a:p>
                  <a:pPr>
                    <a:defRPr sz="895"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DA1-4DE7-BA6C-F34C6FB4C5E6}"/>
                </c:ext>
              </c:extLst>
            </c:dLbl>
            <c:dLbl>
              <c:idx val="4"/>
              <c:layout>
                <c:manualLayout>
                  <c:x val="-3.3222591362126269E-2"/>
                  <c:y val="-3.105590062111801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DA1-4DE7-BA6C-F34C6FB4C5E6}"/>
                </c:ext>
              </c:extLst>
            </c:dLbl>
            <c:dLbl>
              <c:idx val="5"/>
              <c:layout>
                <c:manualLayout>
                  <c:x val="-1.109883066942211E-2"/>
                  <c:y val="-5.2036973639164666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DA1-4DE7-BA6C-F34C6FB4C5E6}"/>
                </c:ext>
              </c:extLst>
            </c:dLbl>
            <c:dLbl>
              <c:idx val="6"/>
              <c:layout>
                <c:manualLayout>
                  <c:x val="-2.2148394241417499E-2"/>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BDA1-4DE7-BA6C-F34C6FB4C5E6}"/>
                </c:ext>
              </c:extLst>
            </c:dLbl>
            <c:dLbl>
              <c:idx val="7"/>
              <c:layout>
                <c:manualLayout>
                  <c:x val="-3.0454042081949059E-2"/>
                  <c:y val="4.694835680751173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BDA1-4DE7-BA6C-F34C6FB4C5E6}"/>
                </c:ext>
              </c:extLst>
            </c:dLbl>
            <c:spPr>
              <a:noFill/>
              <a:ln w="25278">
                <a:noFill/>
              </a:ln>
            </c:spPr>
            <c:txPr>
              <a:bodyPr rot="0" spcFirstLastPara="1" vertOverflow="ellipsis" vert="horz" wrap="square" lIns="38100" tIns="19050" rIns="38100" bIns="19050" anchor="ctr" anchorCtr="1">
                <a:spAutoFit/>
              </a:bodyPr>
              <a:lstStyle/>
              <a:p>
                <a:pPr>
                  <a:defRPr sz="895"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Blad1!$A$2:$A$8</c:f>
              <c:strCache>
                <c:ptCount val="5"/>
                <c:pt idx="0">
                  <c:v>Sector</c:v>
                </c:pt>
                <c:pt idx="1">
                  <c:v>Capital markets</c:v>
                </c:pt>
                <c:pt idx="2">
                  <c:v>Insurance and pensions</c:v>
                </c:pt>
                <c:pt idx="3">
                  <c:v>Retail financial services and payments</c:v>
                </c:pt>
                <c:pt idx="4">
                  <c:v>Other</c:v>
                </c:pt>
              </c:strCache>
            </c:strRef>
          </c:cat>
          <c:val>
            <c:numRef>
              <c:f>Blad1!$B$2:$B$8</c:f>
              <c:numCache>
                <c:formatCode>General</c:formatCode>
                <c:ptCount val="7"/>
                <c:pt idx="0">
                  <c:v>0</c:v>
                </c:pt>
                <c:pt idx="1">
                  <c:v>58</c:v>
                </c:pt>
                <c:pt idx="2">
                  <c:v>35</c:v>
                </c:pt>
                <c:pt idx="3">
                  <c:v>32</c:v>
                </c:pt>
                <c:pt idx="4">
                  <c:v>30</c:v>
                </c:pt>
              </c:numCache>
            </c:numRef>
          </c:val>
          <c:extLst xmlns:c16r2="http://schemas.microsoft.com/office/drawing/2015/06/chart">
            <c:ext xmlns:c16="http://schemas.microsoft.com/office/drawing/2014/chart" uri="{C3380CC4-5D6E-409C-BE32-E72D297353CC}">
              <c16:uniqueId val="{0000000F-BDA1-4DE7-BA6C-F34C6FB4C5E6}"/>
            </c:ext>
          </c:extLst>
        </c:ser>
        <c:dLbls>
          <c:showLegendKey val="0"/>
          <c:showVal val="0"/>
          <c:showCatName val="0"/>
          <c:showSerName val="0"/>
          <c:showPercent val="0"/>
          <c:showBubbleSize val="0"/>
          <c:showLeaderLines val="0"/>
        </c:dLbls>
        <c:firstSliceAng val="240"/>
      </c:pieChart>
      <c:spPr>
        <a:noFill/>
        <a:ln w="25294">
          <a:noFill/>
        </a:ln>
      </c:spPr>
    </c:plotArea>
    <c:plotVisOnly val="1"/>
    <c:dispBlanksAs val="gap"/>
    <c:showDLblsOverMax val="0"/>
  </c:chart>
  <c:spPr>
    <a:solidFill>
      <a:schemeClr val="bg1"/>
    </a:solidFill>
    <a:ln w="947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2060"/>
                </a:solidFill>
                <a:latin typeface="+mn-lt"/>
                <a:ea typeface="+mn-ea"/>
                <a:cs typeface="+mn-cs"/>
              </a:defRPr>
            </a:pPr>
            <a:r>
              <a:rPr lang="en-US" sz="1050" b="0" baseline="0">
                <a:solidFill>
                  <a:srgbClr val="002060"/>
                </a:solidFill>
                <a:latin typeface="Arial" panose="020B0604020202020204" pitchFamily="34" charset="0"/>
                <a:ea typeface="Verdana" panose="020B0604030504040204" pitchFamily="34" charset="0"/>
                <a:cs typeface="Arial" panose="020B0604020202020204" pitchFamily="34" charset="0"/>
              </a:rPr>
              <a:t>226 </a:t>
            </a:r>
            <a:r>
              <a:rPr lang="en-US" sz="105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2017</a:t>
            </a:r>
          </a:p>
        </c:rich>
      </c:tx>
      <c:overlay val="0"/>
      <c:spPr>
        <a:noFill/>
        <a:ln w="25381">
          <a:noFill/>
        </a:ln>
      </c:spPr>
    </c:title>
    <c:autoTitleDeleted val="0"/>
    <c:plotArea>
      <c:layout/>
      <c:pieChart>
        <c:varyColors val="1"/>
        <c:ser>
          <c:idx val="0"/>
          <c:order val="0"/>
          <c:tx>
            <c:strRef>
              <c:f>Blad1!$B$1</c:f>
              <c:strCache>
                <c:ptCount val="1"/>
                <c:pt idx="0">
                  <c:v>[Number of infringement cases] infringement cases in 2017</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BA6F-4298-8693-6383DA3D385A}"/>
              </c:ext>
            </c:extLst>
          </c:dPt>
          <c:dPt>
            <c:idx val="1"/>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BA6F-4298-8693-6383DA3D385A}"/>
              </c:ext>
            </c:extLst>
          </c:dPt>
          <c:dPt>
            <c:idx val="2"/>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BA6F-4298-8693-6383DA3D385A}"/>
              </c:ext>
            </c:extLst>
          </c:dPt>
          <c:dPt>
            <c:idx val="3"/>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BA6F-4298-8693-6383DA3D385A}"/>
              </c:ext>
            </c:extLst>
          </c:dPt>
          <c:dPt>
            <c:idx val="4"/>
            <c:bubble3D val="0"/>
            <c:spPr>
              <a:solidFill>
                <a:srgbClr val="009242"/>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BA6F-4298-8693-6383DA3D385A}"/>
              </c:ext>
            </c:extLst>
          </c:dPt>
          <c:dPt>
            <c:idx val="5"/>
            <c:bubble3D val="0"/>
            <c:spPr>
              <a:solidFill>
                <a:srgbClr val="0070C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BA6F-4298-8693-6383DA3D385A}"/>
              </c:ext>
            </c:extLst>
          </c:dPt>
          <c:dPt>
            <c:idx val="6"/>
            <c:bubble3D val="0"/>
            <c:spPr>
              <a:solidFill>
                <a:srgbClr val="C000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BA6F-4298-8693-6383DA3D385A}"/>
              </c:ext>
            </c:extLst>
          </c:dPt>
          <c:dPt>
            <c:idx val="7"/>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F-BA6F-4298-8693-6383DA3D385A}"/>
              </c:ext>
            </c:extLst>
          </c:dPt>
          <c:dPt>
            <c:idx val="8"/>
            <c:bubble3D val="0"/>
            <c:extLst xmlns:c16r2="http://schemas.microsoft.com/office/drawing/2015/06/chart">
              <c:ext xmlns:c16="http://schemas.microsoft.com/office/drawing/2014/chart" uri="{C3380CC4-5D6E-409C-BE32-E72D297353CC}">
                <c16:uniqueId val="{00000010-BA6F-4298-8693-6383DA3D385A}"/>
              </c:ext>
            </c:extLst>
          </c:dPt>
          <c:dPt>
            <c:idx val="9"/>
            <c:bubble3D val="0"/>
            <c:extLst xmlns:c16r2="http://schemas.microsoft.com/office/drawing/2015/06/chart">
              <c:ext xmlns:c16="http://schemas.microsoft.com/office/drawing/2014/chart" uri="{C3380CC4-5D6E-409C-BE32-E72D297353CC}">
                <c16:uniqueId val="{00000011-BA6F-4298-8693-6383DA3D385A}"/>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A6F-4298-8693-6383DA3D385A}"/>
                </c:ext>
              </c:extLst>
            </c:dLbl>
            <c:dLbl>
              <c:idx val="1"/>
              <c:layout>
                <c:manualLayout>
                  <c:x val="-6.0532799707983524E-2"/>
                  <c:y val="-0.3701275067202702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A6F-4298-8693-6383DA3D385A}"/>
                </c:ext>
              </c:extLst>
            </c:dLbl>
            <c:dLbl>
              <c:idx val="2"/>
              <c:layout>
                <c:manualLayout>
                  <c:x val="-1.6464601693000271E-2"/>
                  <c:y val="0.1075939053690796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A6F-4298-8693-6383DA3D385A}"/>
                </c:ext>
              </c:extLst>
            </c:dLbl>
            <c:dLbl>
              <c:idx val="3"/>
              <c:layout>
                <c:manualLayout>
                  <c:x val="-4.6974457249135251E-2"/>
                  <c:y val="4.465024859052739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A6F-4298-8693-6383DA3D385A}"/>
                </c:ext>
              </c:extLst>
            </c:dLbl>
            <c:dLbl>
              <c:idx val="4"/>
              <c:layout>
                <c:manualLayout>
                  <c:x val="-2.4798152300498862E-2"/>
                  <c:y val="-5.9132430953683663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A6F-4298-8693-6383DA3D385A}"/>
                </c:ext>
              </c:extLst>
            </c:dLbl>
            <c:dLbl>
              <c:idx val="5"/>
              <c:layout>
                <c:manualLayout>
                  <c:x val="-1.529153847490918E-2"/>
                  <c:y val="-1.682862716178604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A6F-4298-8693-6383DA3D385A}"/>
                </c:ext>
              </c:extLst>
            </c:dLbl>
            <c:dLbl>
              <c:idx val="6"/>
              <c:layout>
                <c:manualLayout>
                  <c:x val="1.0944316976934073E-2"/>
                  <c:y val="-2.986416728120465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BA6F-4298-8693-6383DA3D385A}"/>
                </c:ext>
              </c:extLst>
            </c:dLbl>
            <c:dLbl>
              <c:idx val="7"/>
              <c:layout>
                <c:manualLayout>
                  <c:x val="8.1592967269819745E-3"/>
                  <c:y val="-3.9512810143445057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BA6F-4298-8693-6383DA3D385A}"/>
                </c:ext>
              </c:extLst>
            </c:dLbl>
            <c:spPr>
              <a:noFill/>
              <a:ln w="25381">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Blad1!$A$2:$A$11</c:f>
              <c:strCache>
                <c:ptCount val="8"/>
                <c:pt idx="0">
                  <c:v>Sectors</c:v>
                </c:pt>
                <c:pt idx="1">
                  <c:v>Capital markets</c:v>
                </c:pt>
                <c:pt idx="2">
                  <c:v>Retail financial services and payments</c:v>
                </c:pt>
                <c:pt idx="3">
                  <c:v>Audit/company reporting/credit rating agencies</c:v>
                </c:pt>
                <c:pt idx="4">
                  <c:v>Free movement of capital</c:v>
                </c:pt>
                <c:pt idx="5">
                  <c:v>Insurance and pensions</c:v>
                </c:pt>
                <c:pt idx="6">
                  <c:v>Financial supervision</c:v>
                </c:pt>
                <c:pt idx="7">
                  <c:v>Others</c:v>
                </c:pt>
              </c:strCache>
            </c:strRef>
          </c:cat>
          <c:val>
            <c:numRef>
              <c:f>Blad1!$B$2:$B$11</c:f>
              <c:numCache>
                <c:formatCode>General</c:formatCode>
                <c:ptCount val="10"/>
                <c:pt idx="0">
                  <c:v>0</c:v>
                </c:pt>
                <c:pt idx="1">
                  <c:v>97</c:v>
                </c:pt>
                <c:pt idx="2">
                  <c:v>38</c:v>
                </c:pt>
                <c:pt idx="3">
                  <c:v>30</c:v>
                </c:pt>
                <c:pt idx="4">
                  <c:v>19</c:v>
                </c:pt>
                <c:pt idx="5">
                  <c:v>16</c:v>
                </c:pt>
                <c:pt idx="6">
                  <c:v>15</c:v>
                </c:pt>
                <c:pt idx="7">
                  <c:v>11</c:v>
                </c:pt>
              </c:numCache>
            </c:numRef>
          </c:val>
          <c:extLst xmlns:c16r2="http://schemas.microsoft.com/office/drawing/2015/06/chart">
            <c:ext xmlns:c16="http://schemas.microsoft.com/office/drawing/2014/chart" uri="{C3380CC4-5D6E-409C-BE32-E72D297353CC}">
              <c16:uniqueId val="{00000012-BA6F-4298-8693-6383DA3D385A}"/>
            </c:ext>
          </c:extLst>
        </c:ser>
        <c:dLbls>
          <c:showLegendKey val="0"/>
          <c:showVal val="0"/>
          <c:showCatName val="0"/>
          <c:showSerName val="0"/>
          <c:showPercent val="0"/>
          <c:showBubbleSize val="0"/>
          <c:showLeaderLines val="0"/>
        </c:dLbls>
        <c:firstSliceAng val="153"/>
      </c:pieChart>
      <c:spPr>
        <a:noFill/>
        <a:ln w="25398">
          <a:noFill/>
        </a:ln>
      </c:spPr>
    </c:plotArea>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7" b="0" i="0" u="none" strike="noStrike" kern="1200" baseline="0">
                <a:solidFill>
                  <a:srgbClr val="002060"/>
                </a:solidFill>
                <a:latin typeface="+mn-lt"/>
                <a:ea typeface="+mn-ea"/>
                <a:cs typeface="+mn-cs"/>
              </a:defRPr>
            </a:pPr>
            <a:r>
              <a:rPr lang="en-US" sz="1047" b="0" baseline="0">
                <a:solidFill>
                  <a:srgbClr val="002060"/>
                </a:solidFill>
                <a:latin typeface="Arial" panose="020B0604020202020204" pitchFamily="34" charset="0"/>
                <a:ea typeface="Verdana" panose="020B0604030504040204" pitchFamily="34" charset="0"/>
                <a:cs typeface="Arial" panose="020B0604020202020204" pitchFamily="34" charset="0"/>
              </a:rPr>
              <a:t>84 new </a:t>
            </a:r>
            <a:r>
              <a:rPr lang="en-US" sz="1047"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2017</a:t>
            </a:r>
          </a:p>
        </c:rich>
      </c:tx>
      <c:overlay val="0"/>
      <c:spPr>
        <a:noFill/>
        <a:ln w="25315">
          <a:noFill/>
        </a:ln>
      </c:spPr>
    </c:title>
    <c:autoTitleDeleted val="0"/>
    <c:plotArea>
      <c:layout/>
      <c:pieChart>
        <c:varyColors val="1"/>
        <c:ser>
          <c:idx val="0"/>
          <c:order val="0"/>
          <c:tx>
            <c:strRef>
              <c:f>Blad1!$B$1</c:f>
              <c:strCache>
                <c:ptCount val="1"/>
                <c:pt idx="0">
                  <c:v>[Number of infringement cases] infringement cases in 2014</c:v>
                </c:pt>
              </c:strCache>
            </c:strRef>
          </c:tx>
          <c:spPr>
            <a:solidFill>
              <a:srgbClr val="FFC000"/>
            </a:solidFill>
            <a:scene3d>
              <a:camera prst="orthographicFront"/>
              <a:lightRig rig="threePt" dir="t"/>
            </a:scene3d>
            <a:sp3d>
              <a:bevelT w="63500" h="25400"/>
            </a:sp3d>
          </c:spPr>
          <c:explosion val="2"/>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0BDA-43E0-AB4E-93D0C4FCD5CF}"/>
              </c:ext>
            </c:extLst>
          </c:dPt>
          <c:dPt>
            <c:idx val="1"/>
            <c:bubble3D val="0"/>
            <c:explosion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0BDA-43E0-AB4E-93D0C4FCD5CF}"/>
              </c:ext>
            </c:extLst>
          </c:dPt>
          <c:dPt>
            <c:idx val="2"/>
            <c:bubble3D val="0"/>
            <c:explosion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0BDA-43E0-AB4E-93D0C4FCD5CF}"/>
              </c:ext>
            </c:extLst>
          </c:dPt>
          <c:dPt>
            <c:idx val="3"/>
            <c:bubble3D val="0"/>
            <c:explosion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0BDA-43E0-AB4E-93D0C4FCD5CF}"/>
              </c:ext>
            </c:extLst>
          </c:dPt>
          <c:dPt>
            <c:idx val="4"/>
            <c:bubble3D val="0"/>
            <c:explosion val="0"/>
            <c:spPr>
              <a:solidFill>
                <a:srgbClr val="C0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0BDA-43E0-AB4E-93D0C4FCD5CF}"/>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BDA-43E0-AB4E-93D0C4FCD5CF}"/>
                </c:ext>
              </c:extLst>
            </c:dLbl>
            <c:dLbl>
              <c:idx val="1"/>
              <c:layout>
                <c:manualLayout>
                  <c:x val="1.9697604288825572E-2"/>
                  <c:y val="-0.3390311537144813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0BDA-43E0-AB4E-93D0C4FCD5CF}"/>
                </c:ext>
              </c:extLst>
            </c:dLbl>
            <c:dLbl>
              <c:idx val="2"/>
              <c:layout>
                <c:manualLayout>
                  <c:x val="-3.1374834794586845E-2"/>
                  <c:y val="-1.4417151660390277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0BDA-43E0-AB4E-93D0C4FCD5CF}"/>
                </c:ext>
              </c:extLst>
            </c:dLbl>
            <c:dLbl>
              <c:idx val="3"/>
              <c:layout>
                <c:manualLayout>
                  <c:x val="1.8798979914744701E-2"/>
                  <c:y val="1.4991441287230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0BDA-43E0-AB4E-93D0C4FCD5CF}"/>
                </c:ext>
              </c:extLst>
            </c:dLbl>
            <c:dLbl>
              <c:idx val="4"/>
              <c:layout>
                <c:manualLayout>
                  <c:x val="1.074300552856425E-3"/>
                  <c:y val="8.782137966449846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0BDA-43E0-AB4E-93D0C4FCD5CF}"/>
                </c:ext>
              </c:extLst>
            </c:dLbl>
            <c:dLbl>
              <c:idx val="5"/>
              <c:layout>
                <c:manualLayout>
                  <c:x val="8.3333333333333332E-3"/>
                  <c:y val="2.349624060150375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BDA-43E0-AB4E-93D0C4FCD5CF}"/>
                </c:ext>
              </c:extLst>
            </c:dLbl>
            <c:dLbl>
              <c:idx val="6"/>
              <c:layout>
                <c:manualLayout>
                  <c:x val="-1.937984496124031E-2"/>
                  <c:y val="3.734827264239028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BDA-43E0-AB4E-93D0C4FCD5CF}"/>
                </c:ext>
              </c:extLst>
            </c:dLbl>
            <c:dLbl>
              <c:idx val="7"/>
              <c:layout>
                <c:manualLayout>
                  <c:x val="-2.768549280177187E-2"/>
                  <c:y val="-0.1213818860877684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BDA-43E0-AB4E-93D0C4FCD5CF}"/>
                </c:ext>
              </c:extLst>
            </c:dLbl>
            <c:spPr>
              <a:noFill/>
              <a:ln w="25315">
                <a:noFill/>
              </a:ln>
            </c:spPr>
            <c:txPr>
              <a:bodyPr rot="0" spcFirstLastPara="1" vertOverflow="ellipsis" vert="horz" wrap="square" lIns="38100" tIns="19050" rIns="38100" bIns="19050" anchor="ctr" anchorCtr="1">
                <a:spAutoFit/>
              </a:bodyPr>
              <a:lstStyle/>
              <a:p>
                <a:pPr>
                  <a:defRPr sz="897"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0">
                  <c:v>Sectors</c:v>
                </c:pt>
                <c:pt idx="1">
                  <c:v>Capital markets</c:v>
                </c:pt>
                <c:pt idx="2">
                  <c:v>Audit/company reporting/credit rating agencies</c:v>
                </c:pt>
                <c:pt idx="3">
                  <c:v>Insurance and pensions</c:v>
                </c:pt>
                <c:pt idx="4">
                  <c:v>Financial supervision</c:v>
                </c:pt>
              </c:strCache>
            </c:strRef>
          </c:cat>
          <c:val>
            <c:numRef>
              <c:f>Blad1!$B$2:$B$6</c:f>
              <c:numCache>
                <c:formatCode>General</c:formatCode>
                <c:ptCount val="5"/>
                <c:pt idx="0">
                  <c:v>0</c:v>
                </c:pt>
                <c:pt idx="1">
                  <c:v>66</c:v>
                </c:pt>
                <c:pt idx="2">
                  <c:v>12</c:v>
                </c:pt>
                <c:pt idx="3">
                  <c:v>4</c:v>
                </c:pt>
                <c:pt idx="4">
                  <c:v>2</c:v>
                </c:pt>
              </c:numCache>
            </c:numRef>
          </c:val>
          <c:extLst xmlns:c16r2="http://schemas.microsoft.com/office/drawing/2015/06/chart">
            <c:ext xmlns:c16="http://schemas.microsoft.com/office/drawing/2014/chart" uri="{C3380CC4-5D6E-409C-BE32-E72D297353CC}">
              <c16:uniqueId val="{0000000D-0BDA-43E0-AB4E-93D0C4FCD5CF}"/>
            </c:ext>
          </c:extLst>
        </c:ser>
        <c:ser>
          <c:idx val="1"/>
          <c:order val="1"/>
          <c:tx>
            <c:strRef>
              <c:f>Blad1!$C$1</c:f>
              <c:strCache>
                <c:ptCount val="1"/>
                <c:pt idx="0">
                  <c:v>[Number of infringement cases] infringement cases in 2015</c:v>
                </c:pt>
              </c:strCache>
            </c:strRef>
          </c:tx>
          <c:dPt>
            <c:idx val="0"/>
            <c:bubble3D val="0"/>
            <c:extLst xmlns:c16r2="http://schemas.microsoft.com/office/drawing/2015/06/chart">
              <c:ext xmlns:c16="http://schemas.microsoft.com/office/drawing/2014/chart" uri="{C3380CC4-5D6E-409C-BE32-E72D297353CC}">
                <c16:uniqueId val="{0000000E-0BDA-43E0-AB4E-93D0C4FCD5CF}"/>
              </c:ext>
            </c:extLst>
          </c:dPt>
          <c:dPt>
            <c:idx val="1"/>
            <c:bubble3D val="0"/>
            <c:extLst xmlns:c16r2="http://schemas.microsoft.com/office/drawing/2015/06/chart">
              <c:ext xmlns:c16="http://schemas.microsoft.com/office/drawing/2014/chart" uri="{C3380CC4-5D6E-409C-BE32-E72D297353CC}">
                <c16:uniqueId val="{0000000F-0BDA-43E0-AB4E-93D0C4FCD5CF}"/>
              </c:ext>
            </c:extLst>
          </c:dPt>
          <c:dPt>
            <c:idx val="2"/>
            <c:bubble3D val="0"/>
            <c:extLst xmlns:c16r2="http://schemas.microsoft.com/office/drawing/2015/06/chart">
              <c:ext xmlns:c16="http://schemas.microsoft.com/office/drawing/2014/chart" uri="{C3380CC4-5D6E-409C-BE32-E72D297353CC}">
                <c16:uniqueId val="{00000010-0BDA-43E0-AB4E-93D0C4FCD5CF}"/>
              </c:ext>
            </c:extLst>
          </c:dPt>
          <c:dPt>
            <c:idx val="3"/>
            <c:bubble3D val="0"/>
            <c:extLst xmlns:c16r2="http://schemas.microsoft.com/office/drawing/2015/06/chart">
              <c:ext xmlns:c16="http://schemas.microsoft.com/office/drawing/2014/chart" uri="{C3380CC4-5D6E-409C-BE32-E72D297353CC}">
                <c16:uniqueId val="{00000011-0BDA-43E0-AB4E-93D0C4FCD5CF}"/>
              </c:ext>
            </c:extLst>
          </c:dPt>
          <c:dPt>
            <c:idx val="4"/>
            <c:bubble3D val="0"/>
            <c:extLst xmlns:c16r2="http://schemas.microsoft.com/office/drawing/2015/06/chart">
              <c:ext xmlns:c16="http://schemas.microsoft.com/office/drawing/2014/chart" uri="{C3380CC4-5D6E-409C-BE32-E72D297353CC}">
                <c16:uniqueId val="{00000012-0BDA-43E0-AB4E-93D0C4FCD5CF}"/>
              </c:ext>
            </c:extLst>
          </c:dPt>
          <c:cat>
            <c:strRef>
              <c:f>Blad1!$A$2:$A$6</c:f>
              <c:strCache>
                <c:ptCount val="5"/>
                <c:pt idx="0">
                  <c:v>Sectors</c:v>
                </c:pt>
                <c:pt idx="1">
                  <c:v>Capital markets</c:v>
                </c:pt>
                <c:pt idx="2">
                  <c:v>Audit/company reporting/credit rating agencies</c:v>
                </c:pt>
                <c:pt idx="3">
                  <c:v>Insurance and pensions</c:v>
                </c:pt>
                <c:pt idx="4">
                  <c:v>Financial supervision</c:v>
                </c:pt>
              </c:strCache>
            </c:strRef>
          </c:cat>
          <c:val>
            <c:numRef>
              <c:f>Blad1!$C$2:$C$6</c:f>
              <c:numCache>
                <c:formatCode>General</c:formatCode>
                <c:ptCount val="5"/>
              </c:numCache>
            </c:numRef>
          </c:val>
          <c:extLst xmlns:c16r2="http://schemas.microsoft.com/office/drawing/2015/06/chart">
            <c:ext xmlns:c16="http://schemas.microsoft.com/office/drawing/2014/chart" uri="{C3380CC4-5D6E-409C-BE32-E72D297353CC}">
              <c16:uniqueId val="{00000013-0BDA-43E0-AB4E-93D0C4FCD5CF}"/>
            </c:ext>
          </c:extLst>
        </c:ser>
        <c:dLbls>
          <c:showLegendKey val="0"/>
          <c:showVal val="0"/>
          <c:showCatName val="0"/>
          <c:showSerName val="0"/>
          <c:showPercent val="0"/>
          <c:showBubbleSize val="0"/>
          <c:showLeaderLines val="0"/>
        </c:dLbls>
        <c:firstSliceAng val="116"/>
      </c:pieChart>
      <c:spPr>
        <a:noFill/>
        <a:ln w="25332">
          <a:noFill/>
        </a:ln>
      </c:spPr>
    </c:plotArea>
    <c:plotVisOnly val="1"/>
    <c:dispBlanksAs val="gap"/>
    <c:showDLblsOverMax val="0"/>
  </c:chart>
  <c:spPr>
    <a:solidFill>
      <a:schemeClr val="bg1"/>
    </a:solidFill>
    <a:ln w="949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7" b="0" i="0" u="none" strike="noStrike" kern="1200" baseline="0">
                <a:solidFill>
                  <a:srgbClr val="002060"/>
                </a:solidFill>
                <a:latin typeface="+mn-lt"/>
                <a:ea typeface="+mn-ea"/>
                <a:cs typeface="+mn-cs"/>
              </a:defRPr>
            </a:pPr>
            <a:r>
              <a:rPr lang="en-US" sz="1047" b="0" baseline="0">
                <a:solidFill>
                  <a:srgbClr val="002060"/>
                </a:solidFill>
                <a:latin typeface="Arial" panose="020B0604020202020204" pitchFamily="34" charset="0"/>
                <a:ea typeface="Verdana" panose="020B0604030504040204" pitchFamily="34" charset="0"/>
                <a:cs typeface="Arial" panose="020B0604020202020204" pitchFamily="34" charset="0"/>
              </a:rPr>
              <a:t>84 new late transposition </a:t>
            </a:r>
            <a:r>
              <a:rPr lang="en-US" sz="1047"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2017</a:t>
            </a:r>
          </a:p>
        </c:rich>
      </c:tx>
      <c:overlay val="0"/>
      <c:spPr>
        <a:noFill/>
        <a:ln w="25315">
          <a:noFill/>
        </a:ln>
      </c:spPr>
    </c:title>
    <c:autoTitleDeleted val="0"/>
    <c:plotArea>
      <c:layout/>
      <c:pieChart>
        <c:varyColors val="1"/>
        <c:ser>
          <c:idx val="0"/>
          <c:order val="0"/>
          <c:tx>
            <c:strRef>
              <c:f>Blad1!$B$1</c:f>
              <c:strCache>
                <c:ptCount val="1"/>
                <c:pt idx="0">
                  <c:v>[Number of infringement cases] late transposition infringement cases in 2017</c:v>
                </c:pt>
              </c:strCache>
            </c:strRef>
          </c:tx>
          <c:spPr>
            <a:solidFill>
              <a:srgbClr val="FFC000"/>
            </a:solidFill>
            <a:scene3d>
              <a:camera prst="orthographicFront"/>
              <a:lightRig rig="threePt" dir="t"/>
            </a:scene3d>
            <a:sp3d>
              <a:bevelT w="63500" h="25400"/>
            </a:sp3d>
          </c:spPr>
          <c:explosion val="2"/>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B4B3-4950-96D7-AB1AB481D388}"/>
              </c:ext>
            </c:extLst>
          </c:dPt>
          <c:dPt>
            <c:idx val="1"/>
            <c:bubble3D val="0"/>
            <c:explosion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B4B3-4950-96D7-AB1AB481D388}"/>
              </c:ext>
            </c:extLst>
          </c:dPt>
          <c:dPt>
            <c:idx val="2"/>
            <c:bubble3D val="0"/>
            <c:explosion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B4B3-4950-96D7-AB1AB481D388}"/>
              </c:ext>
            </c:extLst>
          </c:dPt>
          <c:dPt>
            <c:idx val="3"/>
            <c:bubble3D val="0"/>
            <c:explosion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B4B3-4950-96D7-AB1AB481D388}"/>
              </c:ext>
            </c:extLst>
          </c:dPt>
          <c:dPt>
            <c:idx val="4"/>
            <c:bubble3D val="0"/>
            <c:explosion val="0"/>
            <c:spPr>
              <a:solidFill>
                <a:srgbClr val="C0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B4B3-4950-96D7-AB1AB481D388}"/>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4B3-4950-96D7-AB1AB481D388}"/>
                </c:ext>
              </c:extLst>
            </c:dLbl>
            <c:dLbl>
              <c:idx val="1"/>
              <c:layout>
                <c:manualLayout>
                  <c:x val="-2.7583952271923458E-2"/>
                  <c:y val="-0.4422920232796987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4B3-4950-96D7-AB1AB481D388}"/>
                </c:ext>
              </c:extLst>
            </c:dLbl>
            <c:dLbl>
              <c:idx val="2"/>
              <c:layout>
                <c:manualLayout>
                  <c:x val="-4.9105331248487559E-2"/>
                  <c:y val="4.20365457035261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4B3-4950-96D7-AB1AB481D388}"/>
                </c:ext>
              </c:extLst>
            </c:dLbl>
            <c:dLbl>
              <c:idx val="3"/>
              <c:layout>
                <c:manualLayout>
                  <c:x val="1.2888814430111129E-2"/>
                  <c:y val="1.4991441287230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4B3-4950-96D7-AB1AB481D388}"/>
                </c:ext>
              </c:extLst>
            </c:dLbl>
            <c:dLbl>
              <c:idx val="4"/>
              <c:layout>
                <c:manualLayout>
                  <c:x val="2.7669939483302278E-2"/>
                  <c:y val="9.325635467252942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4B3-4950-96D7-AB1AB481D388}"/>
                </c:ext>
              </c:extLst>
            </c:dLbl>
            <c:dLbl>
              <c:idx val="5"/>
              <c:layout>
                <c:manualLayout>
                  <c:x val="8.3333333333333332E-3"/>
                  <c:y val="2.349624060150375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4B3-4950-96D7-AB1AB481D388}"/>
                </c:ext>
              </c:extLst>
            </c:dLbl>
            <c:dLbl>
              <c:idx val="6"/>
              <c:layout>
                <c:manualLayout>
                  <c:x val="-1.937984496124031E-2"/>
                  <c:y val="3.734827264239028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4B3-4950-96D7-AB1AB481D388}"/>
                </c:ext>
              </c:extLst>
            </c:dLbl>
            <c:dLbl>
              <c:idx val="7"/>
              <c:layout>
                <c:manualLayout>
                  <c:x val="-2.768549280177187E-2"/>
                  <c:y val="-0.1213818860877684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B4B3-4950-96D7-AB1AB481D388}"/>
                </c:ext>
              </c:extLst>
            </c:dLbl>
            <c:spPr>
              <a:noFill/>
              <a:ln w="25315">
                <a:noFill/>
              </a:ln>
            </c:spPr>
            <c:txPr>
              <a:bodyPr rot="0" spcFirstLastPara="1" vertOverflow="ellipsis" vert="horz" wrap="square" lIns="38100" tIns="19050" rIns="38100" bIns="19050" anchor="ctr" anchorCtr="1">
                <a:spAutoFit/>
              </a:bodyPr>
              <a:lstStyle/>
              <a:p>
                <a:pPr>
                  <a:defRPr sz="897"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0">
                  <c:v>Sectors</c:v>
                </c:pt>
                <c:pt idx="1">
                  <c:v>Capital markets</c:v>
                </c:pt>
                <c:pt idx="2">
                  <c:v>Audit/company reporting/credit rating agencies</c:v>
                </c:pt>
                <c:pt idx="3">
                  <c:v>Insurance and pensions</c:v>
                </c:pt>
                <c:pt idx="4">
                  <c:v>Financial supervision</c:v>
                </c:pt>
              </c:strCache>
            </c:strRef>
          </c:cat>
          <c:val>
            <c:numRef>
              <c:f>Blad1!$B$2:$B$6</c:f>
              <c:numCache>
                <c:formatCode>General</c:formatCode>
                <c:ptCount val="5"/>
                <c:pt idx="0">
                  <c:v>0</c:v>
                </c:pt>
                <c:pt idx="1">
                  <c:v>66</c:v>
                </c:pt>
                <c:pt idx="2">
                  <c:v>12</c:v>
                </c:pt>
                <c:pt idx="3">
                  <c:v>4</c:v>
                </c:pt>
                <c:pt idx="4">
                  <c:v>2</c:v>
                </c:pt>
              </c:numCache>
            </c:numRef>
          </c:val>
          <c:extLst xmlns:c16r2="http://schemas.microsoft.com/office/drawing/2015/06/chart">
            <c:ext xmlns:c16="http://schemas.microsoft.com/office/drawing/2014/chart" uri="{C3380CC4-5D6E-409C-BE32-E72D297353CC}">
              <c16:uniqueId val="{0000000D-B4B3-4950-96D7-AB1AB481D388}"/>
            </c:ext>
          </c:extLst>
        </c:ser>
        <c:ser>
          <c:idx val="1"/>
          <c:order val="1"/>
          <c:tx>
            <c:strRef>
              <c:f>Blad1!$C$1</c:f>
              <c:strCache>
                <c:ptCount val="1"/>
                <c:pt idx="0">
                  <c:v>Column1</c:v>
                </c:pt>
              </c:strCache>
            </c:strRef>
          </c:tx>
          <c:dPt>
            <c:idx val="0"/>
            <c:bubble3D val="0"/>
            <c:extLst xmlns:c16r2="http://schemas.microsoft.com/office/drawing/2015/06/chart">
              <c:ext xmlns:c16="http://schemas.microsoft.com/office/drawing/2014/chart" uri="{C3380CC4-5D6E-409C-BE32-E72D297353CC}">
                <c16:uniqueId val="{0000000E-B4B3-4950-96D7-AB1AB481D388}"/>
              </c:ext>
            </c:extLst>
          </c:dPt>
          <c:dPt>
            <c:idx val="1"/>
            <c:bubble3D val="0"/>
            <c:extLst xmlns:c16r2="http://schemas.microsoft.com/office/drawing/2015/06/chart">
              <c:ext xmlns:c16="http://schemas.microsoft.com/office/drawing/2014/chart" uri="{C3380CC4-5D6E-409C-BE32-E72D297353CC}">
                <c16:uniqueId val="{0000000F-B4B3-4950-96D7-AB1AB481D388}"/>
              </c:ext>
            </c:extLst>
          </c:dPt>
          <c:dPt>
            <c:idx val="2"/>
            <c:bubble3D val="0"/>
            <c:extLst xmlns:c16r2="http://schemas.microsoft.com/office/drawing/2015/06/chart">
              <c:ext xmlns:c16="http://schemas.microsoft.com/office/drawing/2014/chart" uri="{C3380CC4-5D6E-409C-BE32-E72D297353CC}">
                <c16:uniqueId val="{00000010-B4B3-4950-96D7-AB1AB481D388}"/>
              </c:ext>
            </c:extLst>
          </c:dPt>
          <c:dPt>
            <c:idx val="3"/>
            <c:bubble3D val="0"/>
            <c:extLst xmlns:c16r2="http://schemas.microsoft.com/office/drawing/2015/06/chart">
              <c:ext xmlns:c16="http://schemas.microsoft.com/office/drawing/2014/chart" uri="{C3380CC4-5D6E-409C-BE32-E72D297353CC}">
                <c16:uniqueId val="{00000011-B4B3-4950-96D7-AB1AB481D388}"/>
              </c:ext>
            </c:extLst>
          </c:dPt>
          <c:dPt>
            <c:idx val="4"/>
            <c:bubble3D val="0"/>
            <c:extLst xmlns:c16r2="http://schemas.microsoft.com/office/drawing/2015/06/chart">
              <c:ext xmlns:c16="http://schemas.microsoft.com/office/drawing/2014/chart" uri="{C3380CC4-5D6E-409C-BE32-E72D297353CC}">
                <c16:uniqueId val="{00000012-B4B3-4950-96D7-AB1AB481D388}"/>
              </c:ext>
            </c:extLst>
          </c:dPt>
          <c:cat>
            <c:strRef>
              <c:f>Blad1!$A$2:$A$6</c:f>
              <c:strCache>
                <c:ptCount val="5"/>
                <c:pt idx="0">
                  <c:v>Sectors</c:v>
                </c:pt>
                <c:pt idx="1">
                  <c:v>Capital markets</c:v>
                </c:pt>
                <c:pt idx="2">
                  <c:v>Audit/company reporting/credit rating agencies</c:v>
                </c:pt>
                <c:pt idx="3">
                  <c:v>Insurance and pensions</c:v>
                </c:pt>
                <c:pt idx="4">
                  <c:v>Financial supervision</c:v>
                </c:pt>
              </c:strCache>
            </c:strRef>
          </c:cat>
          <c:val>
            <c:numRef>
              <c:f>Blad1!$C$2:$C$6</c:f>
              <c:numCache>
                <c:formatCode>General</c:formatCode>
                <c:ptCount val="5"/>
              </c:numCache>
            </c:numRef>
          </c:val>
          <c:extLst xmlns:c16r2="http://schemas.microsoft.com/office/drawing/2015/06/chart">
            <c:ext xmlns:c16="http://schemas.microsoft.com/office/drawing/2014/chart" uri="{C3380CC4-5D6E-409C-BE32-E72D297353CC}">
              <c16:uniqueId val="{00000013-B4B3-4950-96D7-AB1AB481D388}"/>
            </c:ext>
          </c:extLst>
        </c:ser>
        <c:dLbls>
          <c:showLegendKey val="0"/>
          <c:showVal val="0"/>
          <c:showCatName val="0"/>
          <c:showSerName val="0"/>
          <c:showPercent val="0"/>
          <c:showBubbleSize val="0"/>
          <c:showLeaderLines val="0"/>
        </c:dLbls>
        <c:firstSliceAng val="102"/>
      </c:pieChart>
      <c:spPr>
        <a:noFill/>
        <a:ln w="25332">
          <a:noFill/>
        </a:ln>
      </c:spPr>
    </c:plotArea>
    <c:plotVisOnly val="1"/>
    <c:dispBlanksAs val="gap"/>
    <c:showDLblsOverMax val="0"/>
  </c:chart>
  <c:spPr>
    <a:solidFill>
      <a:schemeClr val="bg1"/>
    </a:solidFill>
    <a:ln w="949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345">
                <a:noFill/>
              </a:ln>
            </c:spPr>
            <c:txPr>
              <a:bodyPr/>
              <a:lstStyle/>
              <a:p>
                <a:pPr>
                  <a:defRPr sz="897">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102</c:v>
                </c:pt>
                <c:pt idx="1">
                  <c:v>89</c:v>
                </c:pt>
                <c:pt idx="2">
                  <c:v>74</c:v>
                </c:pt>
                <c:pt idx="3">
                  <c:v>94</c:v>
                </c:pt>
                <c:pt idx="4">
                  <c:v>198</c:v>
                </c:pt>
              </c:numCache>
            </c:numRef>
          </c:val>
          <c:smooth val="0"/>
          <c:extLst xmlns:c16r2="http://schemas.microsoft.com/office/drawing/2015/06/chart">
            <c:ext xmlns:c16="http://schemas.microsoft.com/office/drawing/2014/chart" uri="{C3380CC4-5D6E-409C-BE32-E72D297353CC}">
              <c16:uniqueId val="{00000000-8A20-4EE5-A9D2-CF16408C9189}"/>
            </c:ext>
          </c:extLst>
        </c:ser>
        <c:dLbls>
          <c:showLegendKey val="0"/>
          <c:showVal val="0"/>
          <c:showCatName val="0"/>
          <c:showSerName val="0"/>
          <c:showPercent val="0"/>
          <c:showBubbleSize val="0"/>
        </c:dLbls>
        <c:marker val="1"/>
        <c:smooth val="0"/>
        <c:axId val="281474176"/>
        <c:axId val="281475712"/>
      </c:lineChart>
      <c:catAx>
        <c:axId val="281474176"/>
        <c:scaling>
          <c:orientation val="minMax"/>
        </c:scaling>
        <c:delete val="0"/>
        <c:axPos val="b"/>
        <c:numFmt formatCode="General" sourceLinked="1"/>
        <c:majorTickMark val="none"/>
        <c:minorTickMark val="none"/>
        <c:tickLblPos val="nextTo"/>
        <c:spPr>
          <a:noFill/>
          <a:ln w="12661" cap="flat" cmpd="sng" algn="ctr">
            <a:solidFill>
              <a:schemeClr val="tx1">
                <a:lumMod val="15000"/>
                <a:lumOff val="85000"/>
              </a:schemeClr>
            </a:solidFill>
            <a:round/>
          </a:ln>
          <a:effectLst/>
        </c:spPr>
        <c:txPr>
          <a:bodyPr rot="-60000000" spcFirstLastPara="1" vertOverflow="ellipsis" vert="horz" wrap="square" anchor="ctr" anchorCtr="1"/>
          <a:lstStyle/>
          <a:p>
            <a:pPr>
              <a:defRPr sz="8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81475712"/>
        <c:crosses val="autoZero"/>
        <c:auto val="1"/>
        <c:lblAlgn val="ctr"/>
        <c:lblOffset val="100"/>
        <c:noMultiLvlLbl val="0"/>
      </c:catAx>
      <c:valAx>
        <c:axId val="281475712"/>
        <c:scaling>
          <c:orientation val="minMax"/>
          <c:min val="60"/>
        </c:scaling>
        <c:delete val="1"/>
        <c:axPos val="l"/>
        <c:majorGridlines>
          <c:spPr>
            <a:ln w="9496" cap="flat" cmpd="sng" algn="ctr">
              <a:solidFill>
                <a:schemeClr val="tx1">
                  <a:lumMod val="15000"/>
                  <a:lumOff val="85000"/>
                </a:schemeClr>
              </a:solidFill>
              <a:round/>
            </a:ln>
            <a:effectLst/>
          </c:spPr>
        </c:majorGridlines>
        <c:numFmt formatCode="General" sourceLinked="1"/>
        <c:majorTickMark val="out"/>
        <c:minorTickMark val="none"/>
        <c:tickLblPos val="nextTo"/>
        <c:crossAx val="281474176"/>
        <c:crosses val="autoZero"/>
        <c:crossBetween val="between"/>
      </c:valAx>
      <c:spPr>
        <a:noFill/>
        <a:ln w="25345">
          <a:noFill/>
        </a:ln>
      </c:spPr>
    </c:plotArea>
    <c:plotVisOnly val="1"/>
    <c:dispBlanksAs val="gap"/>
    <c:showDLblsOverMax val="0"/>
  </c:chart>
  <c:spPr>
    <a:solidFill>
      <a:schemeClr val="bg1"/>
    </a:solidFill>
    <a:ln w="949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GB" sz="1097" b="0">
                <a:solidFill>
                  <a:srgbClr val="002060"/>
                </a:solidFill>
                <a:latin typeface="Arial" panose="020B0604020202020204" pitchFamily="34" charset="0"/>
                <a:cs typeface="Arial" panose="020B0604020202020204" pitchFamily="34" charset="0"/>
              </a:rPr>
              <a:t>198 complaints in 2017</a:t>
            </a:r>
          </a:p>
        </c:rich>
      </c:tx>
      <c:overlay val="0"/>
      <c:spPr>
        <a:noFill/>
        <a:ln w="25310">
          <a:noFill/>
        </a:ln>
      </c:spPr>
    </c:title>
    <c:autoTitleDeleted val="0"/>
    <c:plotArea>
      <c:layout/>
      <c:pieChart>
        <c:varyColors val="1"/>
        <c:ser>
          <c:idx val="0"/>
          <c:order val="0"/>
          <c:tx>
            <c:strRef>
              <c:f>Blad1!$B$1</c:f>
              <c:strCache>
                <c:ptCount val="1"/>
                <c:pt idx="0">
                  <c:v>[Number of new complaints] complaints in 2014</c:v>
                </c:pt>
              </c:strCache>
            </c:strRef>
          </c:tx>
          <c:spPr>
            <a:solidFill>
              <a:srgbClr val="92D050"/>
            </a:solidFill>
            <a:scene3d>
              <a:camera prst="orthographicFront"/>
              <a:lightRig rig="threePt" dir="t"/>
            </a:scene3d>
            <a:sp3d>
              <a:bevelT w="63500" h="25400"/>
            </a:sp3d>
          </c:spPr>
          <c:dPt>
            <c:idx val="0"/>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F06B-4576-952D-19D8F0902B68}"/>
              </c:ext>
            </c:extLst>
          </c:dPt>
          <c:dPt>
            <c:idx val="1"/>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F06B-4576-952D-19D8F0902B68}"/>
              </c:ext>
            </c:extLst>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F06B-4576-952D-19D8F0902B68}"/>
              </c:ext>
            </c:extLst>
          </c:dPt>
          <c:dPt>
            <c:idx val="3"/>
            <c:bubble3D val="0"/>
            <c:spPr>
              <a:solidFill>
                <a:srgbClr val="009242"/>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F06B-4576-952D-19D8F0902B68}"/>
              </c:ext>
            </c:extLst>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F06B-4576-952D-19D8F0902B68}"/>
              </c:ext>
            </c:extLst>
          </c:dPt>
          <c:dPt>
            <c:idx val="5"/>
            <c:bubble3D val="0"/>
            <c:spPr>
              <a:solidFill>
                <a:srgbClr val="0070C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F06B-4576-952D-19D8F0902B68}"/>
              </c:ext>
            </c:extLst>
          </c:dPt>
          <c:dPt>
            <c:idx val="6"/>
            <c:bubble3D val="0"/>
            <c:spPr>
              <a:solidFill>
                <a:srgbClr val="FFC0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F06B-4576-952D-19D8F0902B68}"/>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06B-4576-952D-19D8F0902B68}"/>
                </c:ext>
              </c:extLst>
            </c:dLbl>
            <c:dLbl>
              <c:idx val="1"/>
              <c:layout>
                <c:manualLayout>
                  <c:x val="-3.0540368500449073E-2"/>
                  <c:y val="-3.2185131788103949E-2"/>
                </c:manualLayout>
              </c:layout>
              <c:spPr>
                <a:noFill/>
                <a:ln w="25310">
                  <a:noFill/>
                </a:ln>
              </c:spPr>
              <c:txPr>
                <a:bodyPr rot="0" spcFirstLastPara="1" vertOverflow="ellipsis" vert="horz" wrap="square" lIns="38100" tIns="19050" rIns="38100" bIns="19050" anchor="ctr" anchorCtr="1">
                  <a:spAutoFit/>
                </a:bodyPr>
                <a:lstStyle/>
                <a:p>
                  <a:pPr>
                    <a:defRPr sz="896"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06B-4576-952D-19D8F0902B68}"/>
                </c:ext>
              </c:extLst>
            </c:dLbl>
            <c:dLbl>
              <c:idx val="2"/>
              <c:layout>
                <c:manualLayout>
                  <c:x val="-2.1739456826371281E-2"/>
                  <c:y val="3.767506776816832E-2"/>
                </c:manualLayout>
              </c:layout>
              <c:spPr>
                <a:noFill/>
                <a:ln w="25310">
                  <a:noFill/>
                </a:ln>
              </c:spPr>
              <c:txPr>
                <a:bodyPr rot="0" spcFirstLastPara="1" vertOverflow="ellipsis" vert="horz" wrap="square" lIns="38100" tIns="19050" rIns="38100" bIns="19050" anchor="ctr" anchorCtr="1">
                  <a:spAutoFit/>
                </a:bodyPr>
                <a:lstStyle/>
                <a:p>
                  <a:pPr>
                    <a:defRPr sz="896"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06B-4576-952D-19D8F0902B68}"/>
                </c:ext>
              </c:extLst>
            </c:dLbl>
            <c:dLbl>
              <c:idx val="3"/>
              <c:layout>
                <c:manualLayout>
                  <c:x val="2.1359518884292005E-3"/>
                  <c:y val="-6.1999806376661932E-3"/>
                </c:manualLayout>
              </c:layout>
              <c:spPr>
                <a:noFill/>
                <a:ln w="25310">
                  <a:noFill/>
                </a:ln>
              </c:spPr>
              <c:txPr>
                <a:bodyPr rot="0" spcFirstLastPara="1" vertOverflow="ellipsis" vert="horz" wrap="square" lIns="38100" tIns="19050" rIns="38100" bIns="19050" anchor="ctr" anchorCtr="1">
                  <a:spAutoFit/>
                </a:bodyPr>
                <a:lstStyle/>
                <a:p>
                  <a:pPr>
                    <a:defRPr sz="896"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06B-4576-952D-19D8F0902B68}"/>
                </c:ext>
              </c:extLst>
            </c:dLbl>
            <c:dLbl>
              <c:idx val="4"/>
              <c:layout>
                <c:manualLayout>
                  <c:x val="2.768549280177177E-2"/>
                  <c:y val="5.633802816901399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06B-4576-952D-19D8F0902B68}"/>
                </c:ext>
              </c:extLst>
            </c:dLbl>
            <c:dLbl>
              <c:idx val="5"/>
              <c:layout>
                <c:manualLayout>
                  <c:x val="5.512465011640987E-3"/>
                  <c:y val="5.1484233484898898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06B-4576-952D-19D8F0902B68}"/>
                </c:ext>
              </c:extLst>
            </c:dLbl>
            <c:dLbl>
              <c:idx val="6"/>
              <c:layout>
                <c:manualLayout>
                  <c:x val="-4.706533776301218E-2"/>
                  <c:y val="4.225352112676056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F06B-4576-952D-19D8F0902B68}"/>
                </c:ext>
              </c:extLst>
            </c:dLbl>
            <c:spPr>
              <a:noFill/>
              <a:ln w="25310">
                <a:noFill/>
              </a:ln>
            </c:spPr>
            <c:txPr>
              <a:bodyPr rot="0" spcFirstLastPara="1" vertOverflow="ellipsis" vert="horz" wrap="square" lIns="38100" tIns="19050" rIns="38100" bIns="19050" anchor="ctr" anchorCtr="1">
                <a:spAutoFit/>
              </a:bodyPr>
              <a:lstStyle/>
              <a:p>
                <a:pPr>
                  <a:defRPr sz="896"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Blad1!$A$2:$A$8</c:f>
              <c:strCache>
                <c:ptCount val="5"/>
                <c:pt idx="0">
                  <c:v>Sector</c:v>
                </c:pt>
                <c:pt idx="1">
                  <c:v>Public health</c:v>
                </c:pt>
                <c:pt idx="2">
                  <c:v>Animal welfare/animal health</c:v>
                </c:pt>
                <c:pt idx="3">
                  <c:v>Food safety</c:v>
                </c:pt>
                <c:pt idx="4">
                  <c:v>Other</c:v>
                </c:pt>
              </c:strCache>
            </c:strRef>
          </c:cat>
          <c:val>
            <c:numRef>
              <c:f>Blad1!$B$2:$B$8</c:f>
              <c:numCache>
                <c:formatCode>General</c:formatCode>
                <c:ptCount val="7"/>
                <c:pt idx="0">
                  <c:v>0</c:v>
                </c:pt>
                <c:pt idx="1">
                  <c:v>135</c:v>
                </c:pt>
                <c:pt idx="2">
                  <c:v>33</c:v>
                </c:pt>
                <c:pt idx="3">
                  <c:v>30</c:v>
                </c:pt>
              </c:numCache>
            </c:numRef>
          </c:val>
          <c:extLst xmlns:c16r2="http://schemas.microsoft.com/office/drawing/2015/06/chart">
            <c:ext xmlns:c16="http://schemas.microsoft.com/office/drawing/2014/chart" uri="{C3380CC4-5D6E-409C-BE32-E72D297353CC}">
              <c16:uniqueId val="{0000000E-F06B-4576-952D-19D8F0902B68}"/>
            </c:ext>
          </c:extLst>
        </c:ser>
        <c:ser>
          <c:idx val="1"/>
          <c:order val="1"/>
          <c:tx>
            <c:strRef>
              <c:f>Blad1!$C$1</c:f>
              <c:strCache>
                <c:ptCount val="1"/>
                <c:pt idx="0">
                  <c:v>[Number of new complaints] complaints in 2015</c:v>
                </c:pt>
              </c:strCache>
            </c:strRef>
          </c:tx>
          <c:dPt>
            <c:idx val="0"/>
            <c:bubble3D val="0"/>
            <c:extLst xmlns:c16r2="http://schemas.microsoft.com/office/drawing/2015/06/chart">
              <c:ext xmlns:c16="http://schemas.microsoft.com/office/drawing/2014/chart" uri="{C3380CC4-5D6E-409C-BE32-E72D297353CC}">
                <c16:uniqueId val="{0000000F-F06B-4576-952D-19D8F0902B68}"/>
              </c:ext>
            </c:extLst>
          </c:dPt>
          <c:dPt>
            <c:idx val="1"/>
            <c:bubble3D val="0"/>
            <c:extLst xmlns:c16r2="http://schemas.microsoft.com/office/drawing/2015/06/chart">
              <c:ext xmlns:c16="http://schemas.microsoft.com/office/drawing/2014/chart" uri="{C3380CC4-5D6E-409C-BE32-E72D297353CC}">
                <c16:uniqueId val="{00000010-F06B-4576-952D-19D8F0902B68}"/>
              </c:ext>
            </c:extLst>
          </c:dPt>
          <c:dPt>
            <c:idx val="2"/>
            <c:bubble3D val="0"/>
            <c:extLst xmlns:c16r2="http://schemas.microsoft.com/office/drawing/2015/06/chart">
              <c:ext xmlns:c16="http://schemas.microsoft.com/office/drawing/2014/chart" uri="{C3380CC4-5D6E-409C-BE32-E72D297353CC}">
                <c16:uniqueId val="{00000011-F06B-4576-952D-19D8F0902B68}"/>
              </c:ext>
            </c:extLst>
          </c:dPt>
          <c:dPt>
            <c:idx val="3"/>
            <c:bubble3D val="0"/>
            <c:extLst xmlns:c16r2="http://schemas.microsoft.com/office/drawing/2015/06/chart">
              <c:ext xmlns:c16="http://schemas.microsoft.com/office/drawing/2014/chart" uri="{C3380CC4-5D6E-409C-BE32-E72D297353CC}">
                <c16:uniqueId val="{00000012-F06B-4576-952D-19D8F0902B68}"/>
              </c:ext>
            </c:extLst>
          </c:dPt>
          <c:dPt>
            <c:idx val="4"/>
            <c:bubble3D val="0"/>
            <c:extLst xmlns:c16r2="http://schemas.microsoft.com/office/drawing/2015/06/chart">
              <c:ext xmlns:c16="http://schemas.microsoft.com/office/drawing/2014/chart" uri="{C3380CC4-5D6E-409C-BE32-E72D297353CC}">
                <c16:uniqueId val="{00000013-F06B-4576-952D-19D8F0902B68}"/>
              </c:ext>
            </c:extLst>
          </c:dPt>
          <c:dPt>
            <c:idx val="5"/>
            <c:bubble3D val="0"/>
            <c:extLst xmlns:c16r2="http://schemas.microsoft.com/office/drawing/2015/06/chart">
              <c:ext xmlns:c16="http://schemas.microsoft.com/office/drawing/2014/chart" uri="{C3380CC4-5D6E-409C-BE32-E72D297353CC}">
                <c16:uniqueId val="{00000014-F06B-4576-952D-19D8F0902B68}"/>
              </c:ext>
            </c:extLst>
          </c:dPt>
          <c:dPt>
            <c:idx val="6"/>
            <c:bubble3D val="0"/>
            <c:extLst xmlns:c16r2="http://schemas.microsoft.com/office/drawing/2015/06/chart">
              <c:ext xmlns:c16="http://schemas.microsoft.com/office/drawing/2014/chart" uri="{C3380CC4-5D6E-409C-BE32-E72D297353CC}">
                <c16:uniqueId val="{00000015-F06B-4576-952D-19D8F0902B68}"/>
              </c:ext>
            </c:extLst>
          </c:dPt>
          <c:cat>
            <c:strRef>
              <c:f>Blad1!$A$2:$A$8</c:f>
              <c:strCache>
                <c:ptCount val="5"/>
                <c:pt idx="0">
                  <c:v>Sector</c:v>
                </c:pt>
                <c:pt idx="1">
                  <c:v>Public health</c:v>
                </c:pt>
                <c:pt idx="2">
                  <c:v>Animal welfare/animal health</c:v>
                </c:pt>
                <c:pt idx="3">
                  <c:v>Food safety</c:v>
                </c:pt>
                <c:pt idx="4">
                  <c:v>Other</c:v>
                </c:pt>
              </c:strCache>
            </c:strRef>
          </c:cat>
          <c:val>
            <c:numRef>
              <c:f>Blad1!$C$2:$C$8</c:f>
              <c:numCache>
                <c:formatCode>General</c:formatCode>
                <c:ptCount val="7"/>
              </c:numCache>
            </c:numRef>
          </c:val>
          <c:extLst xmlns:c16r2="http://schemas.microsoft.com/office/drawing/2015/06/chart">
            <c:ext xmlns:c16="http://schemas.microsoft.com/office/drawing/2014/chart" uri="{C3380CC4-5D6E-409C-BE32-E72D297353CC}">
              <c16:uniqueId val="{00000016-F06B-4576-952D-19D8F0902B68}"/>
            </c:ext>
          </c:extLst>
        </c:ser>
        <c:dLbls>
          <c:showLegendKey val="0"/>
          <c:showVal val="0"/>
          <c:showCatName val="0"/>
          <c:showSerName val="0"/>
          <c:showPercent val="0"/>
          <c:showBubbleSize val="0"/>
          <c:showLeaderLines val="0"/>
        </c:dLbls>
        <c:firstSliceAng val="144"/>
      </c:pieChart>
      <c:spPr>
        <a:noFill/>
        <a:ln w="25327">
          <a:noFill/>
        </a:ln>
      </c:spPr>
    </c:plotArea>
    <c:plotVisOnly val="1"/>
    <c:dispBlanksAs val="gap"/>
    <c:showDLblsOverMax val="0"/>
  </c:chart>
  <c:spPr>
    <a:solidFill>
      <a:schemeClr val="bg1"/>
    </a:solidFill>
    <a:ln w="949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373">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42</c:v>
                </c:pt>
                <c:pt idx="1">
                  <c:v>31</c:v>
                </c:pt>
                <c:pt idx="2">
                  <c:v>17</c:v>
                </c:pt>
                <c:pt idx="3">
                  <c:v>9</c:v>
                </c:pt>
                <c:pt idx="4">
                  <c:v>0</c:v>
                </c:pt>
              </c:numCache>
            </c:numRef>
          </c:val>
          <c:smooth val="0"/>
          <c:extLst xmlns:c16r2="http://schemas.microsoft.com/office/drawing/2015/06/chart">
            <c:ext xmlns:c16="http://schemas.microsoft.com/office/drawing/2014/chart" uri="{C3380CC4-5D6E-409C-BE32-E72D297353CC}">
              <c16:uniqueId val="{00000000-8DF5-41C5-8850-2D717AC75B16}"/>
            </c:ext>
          </c:extLst>
        </c:ser>
        <c:dLbls>
          <c:showLegendKey val="0"/>
          <c:showVal val="0"/>
          <c:showCatName val="0"/>
          <c:showSerName val="0"/>
          <c:showPercent val="0"/>
          <c:showBubbleSize val="0"/>
        </c:dLbls>
        <c:marker val="1"/>
        <c:smooth val="0"/>
        <c:axId val="282348928"/>
        <c:axId val="282350720"/>
      </c:lineChart>
      <c:catAx>
        <c:axId val="282348928"/>
        <c:scaling>
          <c:orientation val="minMax"/>
        </c:scaling>
        <c:delete val="0"/>
        <c:axPos val="b"/>
        <c:numFmt formatCode="General" sourceLinked="1"/>
        <c:majorTickMark val="none"/>
        <c:minorTickMark val="none"/>
        <c:tickLblPos val="nextTo"/>
        <c:spPr>
          <a:noFill/>
          <a:ln w="12661" cap="flat" cmpd="sng" algn="ctr">
            <a:solidFill>
              <a:schemeClr val="tx1">
                <a:lumMod val="15000"/>
                <a:lumOff val="85000"/>
              </a:schemeClr>
            </a:solidFill>
            <a:round/>
          </a:ln>
          <a:effectLst/>
        </c:spPr>
        <c:txPr>
          <a:bodyPr rot="-60000000" spcFirstLastPara="1" vertOverflow="ellipsis" vert="horz" wrap="square" anchor="ctr" anchorCtr="1"/>
          <a:lstStyle/>
          <a:p>
            <a:pPr>
              <a:defRPr sz="8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82350720"/>
        <c:crosses val="autoZero"/>
        <c:auto val="1"/>
        <c:lblAlgn val="ctr"/>
        <c:lblOffset val="100"/>
        <c:noMultiLvlLbl val="0"/>
      </c:catAx>
      <c:valAx>
        <c:axId val="282350720"/>
        <c:scaling>
          <c:orientation val="minMax"/>
        </c:scaling>
        <c:delete val="1"/>
        <c:axPos val="l"/>
        <c:majorGridlines>
          <c:spPr>
            <a:ln w="9495" cap="flat" cmpd="sng" algn="ctr">
              <a:solidFill>
                <a:schemeClr val="tx1">
                  <a:lumMod val="15000"/>
                  <a:lumOff val="85000"/>
                </a:schemeClr>
              </a:solidFill>
              <a:round/>
            </a:ln>
            <a:effectLst/>
          </c:spPr>
        </c:majorGridlines>
        <c:numFmt formatCode="General" sourceLinked="1"/>
        <c:majorTickMark val="out"/>
        <c:minorTickMark val="none"/>
        <c:tickLblPos val="nextTo"/>
        <c:crossAx val="282348928"/>
        <c:crosses val="autoZero"/>
        <c:crossBetween val="between"/>
      </c:valAx>
      <c:spPr>
        <a:noFill/>
        <a:ln w="25373">
          <a:noFill/>
        </a:ln>
      </c:spPr>
    </c:plotArea>
    <c:plotVisOnly val="1"/>
    <c:dispBlanksAs val="gap"/>
    <c:showDLblsOverMax val="0"/>
  </c:chart>
  <c:spPr>
    <a:solidFill>
      <a:schemeClr val="bg1"/>
    </a:solidFill>
    <a:ln w="949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Health and food safety</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a:noFill/>
              </a:ln>
              <a:effectLst/>
            </c:spPr>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0%</c:formatCode>
                <c:ptCount val="5"/>
                <c:pt idx="0">
                  <c:v>0.71</c:v>
                </c:pt>
                <c:pt idx="1">
                  <c:v>0.76</c:v>
                </c:pt>
                <c:pt idx="2">
                  <c:v>0.91</c:v>
                </c:pt>
                <c:pt idx="3">
                  <c:v>0.83</c:v>
                </c:pt>
                <c:pt idx="4">
                  <c:v>1</c:v>
                </c:pt>
              </c:numCache>
            </c:numRef>
          </c:val>
          <c:smooth val="0"/>
          <c:extLst xmlns:c16r2="http://schemas.microsoft.com/office/drawing/2015/06/chart">
            <c:ext xmlns:c16="http://schemas.microsoft.com/office/drawing/2014/chart" uri="{C3380CC4-5D6E-409C-BE32-E72D297353CC}">
              <c16:uniqueId val="{00000000-4D31-47C4-9E73-8BD9A74A8FE9}"/>
            </c:ext>
          </c:extLst>
        </c:ser>
        <c:ser>
          <c:idx val="1"/>
          <c:order val="1"/>
          <c:tx>
            <c:strRef>
              <c:f>Blad1!$C$2</c:f>
              <c:strCache>
                <c:ptCount val="1"/>
                <c:pt idx="0">
                  <c:v>General rate for all policy areas</c:v>
                </c:pt>
              </c:strCache>
            </c:strRef>
          </c:tx>
          <c:spPr>
            <a:ln w="25406">
              <a:solidFill>
                <a:srgbClr val="92D050"/>
              </a:solidFill>
            </a:ln>
          </c:spPr>
          <c:marker>
            <c:symbol val="square"/>
            <c:size val="5"/>
            <c:spPr>
              <a:solidFill>
                <a:srgbClr val="92D050"/>
              </a:solidFill>
              <a:ln>
                <a:solidFill>
                  <a:srgbClr val="92D050"/>
                </a:solidFill>
              </a:ln>
            </c:spPr>
          </c:marker>
          <c:dLbls>
            <c:spPr>
              <a:noFill/>
              <a:ln>
                <a:noFill/>
              </a:ln>
              <a:effectLst/>
            </c:spPr>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Blad1!$C$3:$C$7</c:f>
              <c:numCache>
                <c:formatCode>0%</c:formatCode>
                <c:ptCount val="5"/>
                <c:pt idx="0">
                  <c:v>0.7</c:v>
                </c:pt>
                <c:pt idx="1">
                  <c:v>0.75</c:v>
                </c:pt>
                <c:pt idx="2">
                  <c:v>0.75</c:v>
                </c:pt>
                <c:pt idx="3">
                  <c:v>0.72</c:v>
                </c:pt>
                <c:pt idx="4">
                  <c:v>0.77</c:v>
                </c:pt>
              </c:numCache>
            </c:numRef>
          </c:val>
          <c:smooth val="0"/>
          <c:extLst xmlns:c16r2="http://schemas.microsoft.com/office/drawing/2015/06/chart">
            <c:ext xmlns:c16="http://schemas.microsoft.com/office/drawing/2014/chart" uri="{C3380CC4-5D6E-409C-BE32-E72D297353CC}">
              <c16:uniqueId val="{00000001-4D31-47C4-9E73-8BD9A74A8FE9}"/>
            </c:ext>
          </c:extLst>
        </c:ser>
        <c:dLbls>
          <c:showLegendKey val="0"/>
          <c:showVal val="0"/>
          <c:showCatName val="0"/>
          <c:showSerName val="0"/>
          <c:showPercent val="0"/>
          <c:showBubbleSize val="0"/>
        </c:dLbls>
        <c:marker val="1"/>
        <c:smooth val="0"/>
        <c:axId val="282802816"/>
        <c:axId val="282808704"/>
      </c:lineChart>
      <c:catAx>
        <c:axId val="282802816"/>
        <c:scaling>
          <c:orientation val="minMax"/>
        </c:scaling>
        <c:delete val="0"/>
        <c:axPos val="b"/>
        <c:numFmt formatCode="General" sourceLinked="1"/>
        <c:majorTickMark val="none"/>
        <c:minorTickMark val="none"/>
        <c:tickLblPos val="nextTo"/>
        <c:spPr>
          <a:noFill/>
          <a:ln w="1270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crossAx val="282808704"/>
        <c:crosses val="autoZero"/>
        <c:auto val="1"/>
        <c:lblAlgn val="ctr"/>
        <c:lblOffset val="100"/>
        <c:noMultiLvlLbl val="0"/>
      </c:catAx>
      <c:valAx>
        <c:axId val="282808704"/>
        <c:scaling>
          <c:orientation val="minMax"/>
          <c:min val="0.5"/>
        </c:scaling>
        <c:delete val="1"/>
        <c:axPos val="l"/>
        <c:majorGridlines>
          <c:spPr>
            <a:ln w="9527" cap="flat" cmpd="sng" algn="ctr">
              <a:solidFill>
                <a:schemeClr val="tx1">
                  <a:lumMod val="15000"/>
                  <a:lumOff val="85000"/>
                </a:schemeClr>
              </a:solidFill>
              <a:round/>
            </a:ln>
            <a:effectLst/>
          </c:spPr>
        </c:majorGridlines>
        <c:numFmt formatCode="0%" sourceLinked="1"/>
        <c:majorTickMark val="none"/>
        <c:minorTickMark val="none"/>
        <c:tickLblPos val="nextTo"/>
        <c:crossAx val="282802816"/>
        <c:crosses val="autoZero"/>
        <c:crossBetween val="between"/>
      </c:valAx>
      <c:spPr>
        <a:noFill/>
        <a:ln w="25406">
          <a:noFill/>
        </a:ln>
      </c:spPr>
    </c:plotArea>
    <c:legend>
      <c:legendPos val="b"/>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2"/>
              <c:layout>
                <c:manualLayout>
                  <c:x val="-4.4631057268722414E-2"/>
                  <c:y val="6.805730946367552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482-4CCB-8CB3-A0254F09DCA5}"/>
                </c:ext>
              </c:extLst>
            </c:dLbl>
            <c:spPr>
              <a:noFill/>
              <a:ln w="25350">
                <a:noFill/>
              </a:ln>
            </c:spPr>
            <c:txPr>
              <a:bodyPr/>
              <a:lstStyle/>
              <a:p>
                <a:pPr>
                  <a:defRPr sz="898">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Blad1!$A$4:$A$8</c:f>
              <c:numCache>
                <c:formatCode>General</c:formatCode>
                <c:ptCount val="5"/>
                <c:pt idx="0">
                  <c:v>2013</c:v>
                </c:pt>
                <c:pt idx="1">
                  <c:v>2014</c:v>
                </c:pt>
                <c:pt idx="2">
                  <c:v>2015</c:v>
                </c:pt>
                <c:pt idx="3">
                  <c:v>2016</c:v>
                </c:pt>
                <c:pt idx="4">
                  <c:v>2017</c:v>
                </c:pt>
              </c:numCache>
            </c:numRef>
          </c:cat>
          <c:val>
            <c:numRef>
              <c:f>Blad1!$B$4:$B$8</c:f>
              <c:numCache>
                <c:formatCode>General</c:formatCode>
                <c:ptCount val="5"/>
                <c:pt idx="0">
                  <c:v>60</c:v>
                </c:pt>
                <c:pt idx="1">
                  <c:v>94</c:v>
                </c:pt>
                <c:pt idx="2">
                  <c:v>25</c:v>
                </c:pt>
                <c:pt idx="3">
                  <c:v>107</c:v>
                </c:pt>
                <c:pt idx="4">
                  <c:v>47</c:v>
                </c:pt>
              </c:numCache>
            </c:numRef>
          </c:val>
          <c:smooth val="0"/>
          <c:extLst xmlns:c16r2="http://schemas.microsoft.com/office/drawing/2015/06/chart">
            <c:ext xmlns:c16="http://schemas.microsoft.com/office/drawing/2014/chart" uri="{C3380CC4-5D6E-409C-BE32-E72D297353CC}">
              <c16:uniqueId val="{00000001-D482-4CCB-8CB3-A0254F09DCA5}"/>
            </c:ext>
          </c:extLst>
        </c:ser>
        <c:dLbls>
          <c:showLegendKey val="0"/>
          <c:showVal val="0"/>
          <c:showCatName val="0"/>
          <c:showSerName val="0"/>
          <c:showPercent val="0"/>
          <c:showBubbleSize val="0"/>
        </c:dLbls>
        <c:marker val="1"/>
        <c:smooth val="0"/>
        <c:axId val="282825856"/>
        <c:axId val="282827392"/>
      </c:lineChart>
      <c:catAx>
        <c:axId val="282825856"/>
        <c:scaling>
          <c:orientation val="minMax"/>
        </c:scaling>
        <c:delete val="0"/>
        <c:axPos val="b"/>
        <c:numFmt formatCode="General" sourceLinked="1"/>
        <c:majorTickMark val="none"/>
        <c:minorTickMark val="none"/>
        <c:tickLblPos val="nextTo"/>
        <c:spPr>
          <a:noFill/>
          <a:ln w="12658" cap="flat" cmpd="sng" algn="ctr">
            <a:solidFill>
              <a:schemeClr val="tx1">
                <a:lumMod val="15000"/>
                <a:lumOff val="85000"/>
              </a:schemeClr>
            </a:solidFill>
            <a:round/>
          </a:ln>
          <a:effectLst/>
        </c:spPr>
        <c:txPr>
          <a:bodyPr rot="-60000000" spcFirstLastPara="1" vertOverflow="ellipsis" vert="horz" wrap="square" anchor="ctr" anchorCtr="1"/>
          <a:lstStyle/>
          <a:p>
            <a:pPr>
              <a:defRPr sz="8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82827392"/>
        <c:crosses val="autoZero"/>
        <c:auto val="1"/>
        <c:lblAlgn val="ctr"/>
        <c:lblOffset val="100"/>
        <c:noMultiLvlLbl val="0"/>
      </c:catAx>
      <c:valAx>
        <c:axId val="282827392"/>
        <c:scaling>
          <c:orientation val="minMax"/>
        </c:scaling>
        <c:delete val="1"/>
        <c:axPos val="l"/>
        <c:majorGridlines>
          <c:spPr>
            <a:ln w="9493" cap="flat" cmpd="sng" algn="ctr">
              <a:solidFill>
                <a:schemeClr val="tx1">
                  <a:lumMod val="15000"/>
                  <a:lumOff val="85000"/>
                </a:schemeClr>
              </a:solidFill>
              <a:round/>
            </a:ln>
            <a:effectLst/>
          </c:spPr>
        </c:majorGridlines>
        <c:numFmt formatCode="General" sourceLinked="1"/>
        <c:majorTickMark val="out"/>
        <c:minorTickMark val="none"/>
        <c:tickLblPos val="nextTo"/>
        <c:crossAx val="282825856"/>
        <c:crosses val="autoZero"/>
        <c:crossBetween val="between"/>
      </c:valAx>
      <c:spPr>
        <a:noFill/>
        <a:ln w="25350">
          <a:noFill/>
        </a:ln>
      </c:spPr>
    </c:plotArea>
    <c:plotVisOnly val="1"/>
    <c:dispBlanksAs val="gap"/>
    <c:showDLblsOverMax val="0"/>
  </c:chart>
  <c:spPr>
    <a:solidFill>
      <a:schemeClr val="bg1"/>
    </a:solidFill>
    <a:ln w="949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9" b="0" i="0" u="none" strike="noStrike" kern="1200" baseline="0">
                <a:solidFill>
                  <a:srgbClr val="002060"/>
                </a:solidFill>
                <a:latin typeface="+mn-lt"/>
                <a:ea typeface="+mn-ea"/>
                <a:cs typeface="+mn-cs"/>
              </a:defRPr>
            </a:pPr>
            <a:r>
              <a:rPr lang="en-US" sz="1049" b="0" baseline="0">
                <a:solidFill>
                  <a:srgbClr val="002060"/>
                </a:solidFill>
                <a:latin typeface="Arial" panose="020B0604020202020204" pitchFamily="34" charset="0"/>
                <a:ea typeface="Verdana" panose="020B0604030504040204" pitchFamily="34" charset="0"/>
                <a:cs typeface="Arial" panose="020B0604020202020204" pitchFamily="34" charset="0"/>
              </a:rPr>
              <a:t>47 </a:t>
            </a:r>
            <a:r>
              <a:rPr lang="en-US" sz="1049"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2017</a:t>
            </a:r>
          </a:p>
        </c:rich>
      </c:tx>
      <c:overlay val="0"/>
      <c:spPr>
        <a:noFill/>
        <a:ln w="25357">
          <a:noFill/>
        </a:ln>
      </c:spPr>
    </c:title>
    <c:autoTitleDeleted val="0"/>
    <c:plotArea>
      <c:layout/>
      <c:pieChart>
        <c:varyColors val="1"/>
        <c:ser>
          <c:idx val="0"/>
          <c:order val="0"/>
          <c:tx>
            <c:strRef>
              <c:f>Blad1!$B$1</c:f>
              <c:strCache>
                <c:ptCount val="1"/>
                <c:pt idx="0">
                  <c:v>[Number of infringement cases] infringement cases in 2017</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775F-40F9-ABA9-D853595EC628}"/>
              </c:ext>
            </c:extLst>
          </c:dPt>
          <c:dPt>
            <c:idx val="1"/>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775F-40F9-ABA9-D853595EC628}"/>
              </c:ext>
            </c:extLst>
          </c:dPt>
          <c:dPt>
            <c:idx val="2"/>
            <c:bubble3D val="0"/>
            <c:spPr>
              <a:solidFill>
                <a:srgbClr val="009242"/>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775F-40F9-ABA9-D853595EC628}"/>
              </c:ext>
            </c:extLst>
          </c:dPt>
          <c:dPt>
            <c:idx val="3"/>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775F-40F9-ABA9-D853595EC628}"/>
              </c:ext>
            </c:extLst>
          </c:dPt>
          <c:dPt>
            <c:idx val="4"/>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775F-40F9-ABA9-D853595EC628}"/>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75F-40F9-ABA9-D853595EC628}"/>
                </c:ext>
              </c:extLst>
            </c:dLbl>
            <c:dLbl>
              <c:idx val="1"/>
              <c:layout>
                <c:manualLayout>
                  <c:x val="1.1027759389589576E-2"/>
                  <c:y val="-0.3600939470836288"/>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75F-40F9-ABA9-D853595EC628}"/>
                </c:ext>
              </c:extLst>
            </c:dLbl>
            <c:dLbl>
              <c:idx val="2"/>
              <c:layout>
                <c:manualLayout>
                  <c:x val="-5.5432330499616753E-2"/>
                  <c:y val="-2.369668246445497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75F-40F9-ABA9-D853595EC628}"/>
                </c:ext>
              </c:extLst>
            </c:dLbl>
            <c:dLbl>
              <c:idx val="3"/>
              <c:layout>
                <c:manualLayout>
                  <c:x val="1.9488842240958818E-2"/>
                  <c:y val="-3.8059297682576407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75F-40F9-ABA9-D853595EC628}"/>
                </c:ext>
              </c:extLst>
            </c:dLbl>
            <c:dLbl>
              <c:idx val="4"/>
              <c:layout>
                <c:manualLayout>
                  <c:x val="1.1138723938577445E-2"/>
                  <c:y val="4.671621929611739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75F-40F9-ABA9-D853595EC628}"/>
                </c:ext>
              </c:extLst>
            </c:dLbl>
            <c:dLbl>
              <c:idx val="5"/>
              <c:layout>
                <c:manualLayout>
                  <c:x val="8.3333333333333332E-3"/>
                  <c:y val="2.349624060150375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75F-40F9-ABA9-D853595EC628}"/>
                </c:ext>
              </c:extLst>
            </c:dLbl>
            <c:spPr>
              <a:noFill/>
              <a:ln w="25357">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4"/>
                <c:pt idx="0">
                  <c:v>Sectors</c:v>
                </c:pt>
                <c:pt idx="1">
                  <c:v>Public health</c:v>
                </c:pt>
                <c:pt idx="2">
                  <c:v>Food safety</c:v>
                </c:pt>
                <c:pt idx="3">
                  <c:v>Animal welfare/animal health</c:v>
                </c:pt>
              </c:strCache>
            </c:strRef>
          </c:cat>
          <c:val>
            <c:numRef>
              <c:f>Blad1!$B$2:$B$6</c:f>
              <c:numCache>
                <c:formatCode>General</c:formatCode>
                <c:ptCount val="5"/>
                <c:pt idx="0">
                  <c:v>0</c:v>
                </c:pt>
                <c:pt idx="1">
                  <c:v>24</c:v>
                </c:pt>
                <c:pt idx="2">
                  <c:v>19</c:v>
                </c:pt>
                <c:pt idx="3">
                  <c:v>4</c:v>
                </c:pt>
              </c:numCache>
            </c:numRef>
          </c:val>
          <c:extLst xmlns:c16r2="http://schemas.microsoft.com/office/drawing/2015/06/chart">
            <c:ext xmlns:c16="http://schemas.microsoft.com/office/drawing/2014/chart" uri="{C3380CC4-5D6E-409C-BE32-E72D297353CC}">
              <c16:uniqueId val="{0000000B-775F-40F9-ABA9-D853595EC628}"/>
            </c:ext>
          </c:extLst>
        </c:ser>
        <c:dLbls>
          <c:showLegendKey val="0"/>
          <c:showVal val="0"/>
          <c:showCatName val="0"/>
          <c:showSerName val="0"/>
          <c:showPercent val="0"/>
          <c:showBubbleSize val="0"/>
          <c:showLeaderLines val="0"/>
        </c:dLbls>
        <c:firstSliceAng val="154"/>
      </c:pieChart>
      <c:spPr>
        <a:noFill/>
        <a:ln w="25374">
          <a:noFill/>
        </a:ln>
      </c:spPr>
    </c:plotArea>
    <c:plotVisOnly val="1"/>
    <c:dispBlanksAs val="gap"/>
    <c:showDLblsOverMax val="0"/>
  </c:chart>
  <c:spPr>
    <a:solidFill>
      <a:schemeClr val="bg1"/>
    </a:solidFill>
    <a:ln w="950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4834437086092714E-2"/>
          <c:y val="4.7425474254742549E-2"/>
          <c:w val="0.93929359823399561"/>
          <c:h val="0.77641102788980643"/>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360">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32</c:v>
                </c:pt>
                <c:pt idx="1">
                  <c:v>18</c:v>
                </c:pt>
                <c:pt idx="2">
                  <c:v>78</c:v>
                </c:pt>
                <c:pt idx="3">
                  <c:v>66</c:v>
                </c:pt>
                <c:pt idx="4">
                  <c:v>84</c:v>
                </c:pt>
              </c:numCache>
            </c:numRef>
          </c:val>
          <c:smooth val="0"/>
          <c:extLst xmlns:c16r2="http://schemas.microsoft.com/office/drawing/2015/06/chart">
            <c:ext xmlns:c16="http://schemas.microsoft.com/office/drawing/2014/chart" uri="{C3380CC4-5D6E-409C-BE32-E72D297353CC}">
              <c16:uniqueId val="{00000000-9DED-4D9B-89A5-97D95D3BF73F}"/>
            </c:ext>
          </c:extLst>
        </c:ser>
        <c:dLbls>
          <c:showLegendKey val="0"/>
          <c:showVal val="0"/>
          <c:showCatName val="0"/>
          <c:showSerName val="0"/>
          <c:showPercent val="0"/>
          <c:showBubbleSize val="0"/>
        </c:dLbls>
        <c:marker val="1"/>
        <c:smooth val="0"/>
        <c:axId val="342483712"/>
        <c:axId val="342485632"/>
      </c:lineChart>
      <c:catAx>
        <c:axId val="342483712"/>
        <c:scaling>
          <c:orientation val="minMax"/>
        </c:scaling>
        <c:delete val="0"/>
        <c:axPos val="b"/>
        <c:numFmt formatCode="General" sourceLinked="1"/>
        <c:majorTickMark val="none"/>
        <c:minorTickMark val="none"/>
        <c:tickLblPos val="nextTo"/>
        <c:spPr>
          <a:noFill/>
          <a:ln w="1267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42485632"/>
        <c:crosses val="autoZero"/>
        <c:auto val="1"/>
        <c:lblAlgn val="ctr"/>
        <c:lblOffset val="100"/>
        <c:noMultiLvlLbl val="0"/>
      </c:catAx>
      <c:valAx>
        <c:axId val="342485632"/>
        <c:scaling>
          <c:orientation val="minMax"/>
        </c:scaling>
        <c:delete val="1"/>
        <c:axPos val="l"/>
        <c:majorGridlines>
          <c:spPr>
            <a:ln w="9510" cap="flat" cmpd="sng" algn="ctr">
              <a:solidFill>
                <a:schemeClr val="tx1">
                  <a:lumMod val="15000"/>
                  <a:lumOff val="85000"/>
                </a:schemeClr>
              </a:solidFill>
              <a:round/>
            </a:ln>
            <a:effectLst/>
          </c:spPr>
        </c:majorGridlines>
        <c:numFmt formatCode="General" sourceLinked="1"/>
        <c:majorTickMark val="out"/>
        <c:minorTickMark val="none"/>
        <c:tickLblPos val="nextTo"/>
        <c:crossAx val="342483712"/>
        <c:crosses val="autoZero"/>
        <c:crossBetween val="between"/>
      </c:valAx>
      <c:spPr>
        <a:noFill/>
        <a:ln w="25343">
          <a:noFill/>
        </a:ln>
      </c:spPr>
    </c:plotArea>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353200883002206E-2"/>
          <c:y val="5.2083333333333336E-2"/>
          <c:w val="0.93929359823399561"/>
          <c:h val="0.80901775298920964"/>
        </c:manualLayout>
      </c:layout>
      <c:lineChart>
        <c:grouping val="standard"/>
        <c:varyColors val="0"/>
        <c:ser>
          <c:idx val="0"/>
          <c:order val="0"/>
          <c:tx>
            <c:strRef>
              <c:f>Blad1!$B$1</c:f>
              <c:strCache>
                <c:ptCount val="1"/>
                <c:pt idx="0">
                  <c:v>Member State</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408">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58</c:v>
                </c:pt>
                <c:pt idx="1">
                  <c:v>128</c:v>
                </c:pt>
                <c:pt idx="2">
                  <c:v>18</c:v>
                </c:pt>
                <c:pt idx="3">
                  <c:v>147</c:v>
                </c:pt>
                <c:pt idx="4">
                  <c:v>62</c:v>
                </c:pt>
              </c:numCache>
            </c:numRef>
          </c:val>
          <c:smooth val="0"/>
          <c:extLst xmlns:c16r2="http://schemas.microsoft.com/office/drawing/2015/06/chart">
            <c:ext xmlns:c16="http://schemas.microsoft.com/office/drawing/2014/chart" uri="{C3380CC4-5D6E-409C-BE32-E72D297353CC}">
              <c16:uniqueId val="{00000000-FD6E-4BF5-ADA0-2AE2C2EAE71A}"/>
            </c:ext>
          </c:extLst>
        </c:ser>
        <c:dLbls>
          <c:showLegendKey val="0"/>
          <c:showVal val="0"/>
          <c:showCatName val="0"/>
          <c:showSerName val="0"/>
          <c:showPercent val="0"/>
          <c:showBubbleSize val="0"/>
        </c:dLbls>
        <c:marker val="1"/>
        <c:smooth val="0"/>
        <c:axId val="285388800"/>
        <c:axId val="285390336"/>
      </c:lineChart>
      <c:catAx>
        <c:axId val="285388800"/>
        <c:scaling>
          <c:orientation val="minMax"/>
        </c:scaling>
        <c:delete val="0"/>
        <c:axPos val="b"/>
        <c:numFmt formatCode="General" sourceLinked="1"/>
        <c:majorTickMark val="none"/>
        <c:minorTickMark val="none"/>
        <c:tickLblPos val="nextTo"/>
        <c:spPr>
          <a:noFill/>
          <a:ln w="12703"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85390336"/>
        <c:crosses val="autoZero"/>
        <c:auto val="1"/>
        <c:lblAlgn val="ctr"/>
        <c:lblOffset val="100"/>
        <c:noMultiLvlLbl val="0"/>
      </c:catAx>
      <c:valAx>
        <c:axId val="285390336"/>
        <c:scaling>
          <c:orientation val="minMax"/>
        </c:scaling>
        <c:delete val="1"/>
        <c:axPos val="l"/>
        <c:majorGridlines>
          <c:spPr>
            <a:ln w="9528" cap="flat" cmpd="sng" algn="ctr">
              <a:solidFill>
                <a:schemeClr val="tx1">
                  <a:lumMod val="15000"/>
                  <a:lumOff val="85000"/>
                </a:schemeClr>
              </a:solidFill>
              <a:round/>
            </a:ln>
            <a:effectLst/>
          </c:spPr>
        </c:majorGridlines>
        <c:numFmt formatCode="General" sourceLinked="1"/>
        <c:majorTickMark val="out"/>
        <c:minorTickMark val="none"/>
        <c:tickLblPos val="nextTo"/>
        <c:crossAx val="285388800"/>
        <c:crosses val="autoZero"/>
        <c:crossBetween val="between"/>
      </c:valAx>
      <c:spPr>
        <a:noFill/>
        <a:ln w="25387">
          <a:noFill/>
        </a:ln>
      </c:spPr>
    </c:plotArea>
    <c:plotVisOnly val="1"/>
    <c:dispBlanksAs val="gap"/>
    <c:showDLblsOverMax val="0"/>
  </c:chart>
  <c:spPr>
    <a:solidFill>
      <a:schemeClr val="bg1"/>
    </a:solidFill>
    <a:ln w="952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8"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GB" sz="1098" b="0">
                <a:solidFill>
                  <a:srgbClr val="002060"/>
                </a:solidFill>
                <a:latin typeface="Arial" panose="020B0604020202020204" pitchFamily="34" charset="0"/>
                <a:cs typeface="Arial" panose="020B0604020202020204" pitchFamily="34" charset="0"/>
              </a:rPr>
              <a:t>476 complaints in 2017</a:t>
            </a:r>
          </a:p>
        </c:rich>
      </c:tx>
      <c:overlay val="0"/>
      <c:spPr>
        <a:noFill/>
        <a:ln w="25339">
          <a:noFill/>
        </a:ln>
      </c:spPr>
    </c:title>
    <c:autoTitleDeleted val="0"/>
    <c:plotArea>
      <c:layout/>
      <c:pieChart>
        <c:varyColors val="1"/>
        <c:ser>
          <c:idx val="0"/>
          <c:order val="0"/>
          <c:tx>
            <c:strRef>
              <c:f>Blad1!$B$1</c:f>
              <c:strCache>
                <c:ptCount val="1"/>
                <c:pt idx="0">
                  <c:v>[Number of new complaints] complaints in 2014</c:v>
                </c:pt>
              </c:strCache>
            </c:strRef>
          </c:tx>
          <c:spPr>
            <a:solidFill>
              <a:srgbClr val="92D050"/>
            </a:solidFill>
            <a:scene3d>
              <a:camera prst="orthographicFront"/>
              <a:lightRig rig="threePt" dir="t"/>
            </a:scene3d>
            <a:sp3d>
              <a:bevelT w="63500" h="25400"/>
            </a:sp3d>
          </c:spPr>
          <c:dPt>
            <c:idx val="0"/>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FCF4-4291-BC3A-06EBD4531A9B}"/>
              </c:ext>
            </c:extLst>
          </c:dPt>
          <c:dPt>
            <c:idx val="1"/>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FCF4-4291-BC3A-06EBD4531A9B}"/>
              </c:ext>
            </c:extLst>
          </c:dPt>
          <c:dPt>
            <c:idx val="2"/>
            <c:bubble3D val="0"/>
            <c:spPr>
              <a:solidFill>
                <a:srgbClr val="007E3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FCF4-4291-BC3A-06EBD4531A9B}"/>
              </c:ext>
            </c:extLst>
          </c:dPt>
          <c:dPt>
            <c:idx val="3"/>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FCF4-4291-BC3A-06EBD4531A9B}"/>
              </c:ext>
            </c:extLst>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FCF4-4291-BC3A-06EBD4531A9B}"/>
              </c:ext>
            </c:extLst>
          </c:dPt>
          <c:dPt>
            <c:idx val="5"/>
            <c:bubble3D val="0"/>
            <c:spPr>
              <a:solidFill>
                <a:srgbClr val="0070C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FCF4-4291-BC3A-06EBD4531A9B}"/>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CF4-4291-BC3A-06EBD4531A9B}"/>
                </c:ext>
              </c:extLst>
            </c:dLbl>
            <c:dLbl>
              <c:idx val="1"/>
              <c:layout>
                <c:manualLayout>
                  <c:x val="3.0214357884468006E-2"/>
                  <c:y val="-0.21633532895164964"/>
                </c:manualLayout>
              </c:layout>
              <c:spPr>
                <a:noFill/>
                <a:ln w="25339">
                  <a:noFill/>
                </a:ln>
              </c:spPr>
              <c:txPr>
                <a:bodyPr rot="0" spcFirstLastPara="1" vertOverflow="ellipsis" vert="horz" wrap="square" lIns="38100" tIns="19050" rIns="38100" bIns="19050" anchor="ctr" anchorCtr="1">
                  <a:spAutoFit/>
                </a:bodyPr>
                <a:lstStyle/>
                <a:p>
                  <a:pPr>
                    <a:defRPr sz="897"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CF4-4291-BC3A-06EBD4531A9B}"/>
                </c:ext>
              </c:extLst>
            </c:dLbl>
            <c:dLbl>
              <c:idx val="2"/>
              <c:layout>
                <c:manualLayout>
                  <c:x val="1.0758832137133301E-2"/>
                  <c:y val="7.6907903299277672E-2"/>
                </c:manualLayout>
              </c:layout>
              <c:spPr>
                <a:noFill/>
                <a:ln w="25339">
                  <a:noFill/>
                </a:ln>
              </c:spPr>
              <c:txPr>
                <a:bodyPr rot="0" spcFirstLastPara="1" vertOverflow="ellipsis" vert="horz" wrap="square" lIns="38100" tIns="19050" rIns="38100" bIns="19050" anchor="ctr" anchorCtr="1">
                  <a:spAutoFit/>
                </a:bodyPr>
                <a:lstStyle/>
                <a:p>
                  <a:pPr>
                    <a:defRPr sz="897"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CF4-4291-BC3A-06EBD4531A9B}"/>
                </c:ext>
              </c:extLst>
            </c:dLbl>
            <c:dLbl>
              <c:idx val="3"/>
              <c:layout>
                <c:manualLayout>
                  <c:x val="-2.4623719601421503E-3"/>
                  <c:y val="-0.12565562569141661"/>
                </c:manualLayout>
              </c:layout>
              <c:spPr>
                <a:noFill/>
                <a:ln w="25339">
                  <a:noFill/>
                </a:ln>
              </c:spPr>
              <c:txPr>
                <a:bodyPr rot="0" spcFirstLastPara="1" vertOverflow="ellipsis" vert="horz" wrap="square" lIns="38100" tIns="19050" rIns="38100" bIns="19050" anchor="ctr" anchorCtr="1">
                  <a:spAutoFit/>
                </a:bodyPr>
                <a:lstStyle/>
                <a:p>
                  <a:pPr>
                    <a:defRPr sz="897"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CF4-4291-BC3A-06EBD4531A9B}"/>
                </c:ext>
              </c:extLst>
            </c:dLbl>
            <c:dLbl>
              <c:idx val="4"/>
              <c:layout>
                <c:manualLayout>
                  <c:x val="0.14931777402271618"/>
                  <c:y val="-3.656536734561072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CF4-4291-BC3A-06EBD4531A9B}"/>
                </c:ext>
              </c:extLst>
            </c:dLbl>
            <c:dLbl>
              <c:idx val="5"/>
              <c:layout>
                <c:manualLayout>
                  <c:x val="5.512465011640987E-3"/>
                  <c:y val="5.1484233484898898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CF4-4291-BC3A-06EBD4531A9B}"/>
                </c:ext>
              </c:extLst>
            </c:dLbl>
            <c:dLbl>
              <c:idx val="6"/>
              <c:layout>
                <c:manualLayout>
                  <c:x val="-4.706533776301218E-2"/>
                  <c:y val="4.225352112676056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FCF4-4291-BC3A-06EBD4531A9B}"/>
                </c:ext>
              </c:extLst>
            </c:dLbl>
            <c:spPr>
              <a:noFill/>
              <a:ln w="25339">
                <a:noFill/>
              </a:ln>
            </c:spPr>
            <c:txPr>
              <a:bodyPr rot="0" spcFirstLastPara="1" vertOverflow="ellipsis" vert="horz" wrap="square" lIns="38100" tIns="19050" rIns="38100" bIns="19050" anchor="ctr" anchorCtr="1">
                <a:spAutoFit/>
              </a:bodyPr>
              <a:lstStyle/>
              <a:p>
                <a:pPr>
                  <a:defRPr sz="897"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Blad1!$A$2:$A$7</c:f>
              <c:strCache>
                <c:ptCount val="5"/>
                <c:pt idx="0">
                  <c:v>Sector</c:v>
                </c:pt>
                <c:pt idx="1">
                  <c:v>Services</c:v>
                </c:pt>
                <c:pt idx="2">
                  <c:v>Regulated professions</c:v>
                </c:pt>
                <c:pt idx="3">
                  <c:v>Public procurement</c:v>
                </c:pt>
                <c:pt idx="4">
                  <c:v>Other</c:v>
                </c:pt>
              </c:strCache>
            </c:strRef>
          </c:cat>
          <c:val>
            <c:numRef>
              <c:f>Blad1!$B$2:$B$7</c:f>
              <c:numCache>
                <c:formatCode>General</c:formatCode>
                <c:ptCount val="6"/>
                <c:pt idx="0">
                  <c:v>0</c:v>
                </c:pt>
                <c:pt idx="1">
                  <c:v>156</c:v>
                </c:pt>
                <c:pt idx="2">
                  <c:v>122</c:v>
                </c:pt>
                <c:pt idx="3">
                  <c:v>92</c:v>
                </c:pt>
                <c:pt idx="4">
                  <c:v>106</c:v>
                </c:pt>
              </c:numCache>
            </c:numRef>
          </c:val>
          <c:extLst xmlns:c16r2="http://schemas.microsoft.com/office/drawing/2015/06/chart">
            <c:ext xmlns:c16="http://schemas.microsoft.com/office/drawing/2014/chart" uri="{C3380CC4-5D6E-409C-BE32-E72D297353CC}">
              <c16:uniqueId val="{0000000D-FCF4-4291-BC3A-06EBD4531A9B}"/>
            </c:ext>
          </c:extLst>
        </c:ser>
        <c:dLbls>
          <c:showLegendKey val="0"/>
          <c:showVal val="0"/>
          <c:showCatName val="0"/>
          <c:showSerName val="0"/>
          <c:showPercent val="0"/>
          <c:showBubbleSize val="0"/>
          <c:showLeaderLines val="0"/>
        </c:dLbls>
        <c:firstSliceAng val="216"/>
      </c:pieChart>
      <c:spPr>
        <a:noFill/>
        <a:ln w="25356">
          <a:noFill/>
        </a:ln>
      </c:spPr>
    </c:plotArea>
    <c:plotVisOnly val="1"/>
    <c:dispBlanksAs val="gap"/>
    <c:showDLblsOverMax val="0"/>
  </c:chart>
  <c:spPr>
    <a:solidFill>
      <a:schemeClr val="bg1"/>
    </a:solidFill>
    <a:ln w="950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9" b="0" i="0" u="none" strike="noStrike" kern="1200" baseline="0">
                <a:solidFill>
                  <a:srgbClr val="002060"/>
                </a:solidFill>
                <a:latin typeface="Arial" panose="020B0604020202020204" pitchFamily="34" charset="0"/>
                <a:ea typeface="+mn-ea"/>
                <a:cs typeface="Arial" panose="020B0604020202020204" pitchFamily="34" charset="0"/>
              </a:defRPr>
            </a:pPr>
            <a:r>
              <a:rPr lang="en-US" sz="1099" b="0">
                <a:solidFill>
                  <a:srgbClr val="002060"/>
                </a:solidFill>
                <a:latin typeface="Arial" panose="020B0604020202020204" pitchFamily="34" charset="0"/>
                <a:ea typeface="Verdana" panose="020B0604030504040204" pitchFamily="34" charset="0"/>
                <a:cs typeface="Arial" panose="020B0604020202020204" pitchFamily="34" charset="0"/>
              </a:rPr>
              <a:t>9 EU Pilot files opened in 2017</a:t>
            </a:r>
          </a:p>
        </c:rich>
      </c:tx>
      <c:overlay val="0"/>
      <c:spPr>
        <a:noFill/>
        <a:ln w="25363">
          <a:noFill/>
        </a:ln>
      </c:spPr>
    </c:title>
    <c:autoTitleDeleted val="0"/>
    <c:plotArea>
      <c:layout>
        <c:manualLayout>
          <c:layoutTarget val="inner"/>
          <c:xMode val="edge"/>
          <c:yMode val="edge"/>
          <c:x val="0.3327849127614555"/>
          <c:y val="0.22029892411077923"/>
          <c:w val="0.33443017447708906"/>
          <c:h val="0.65444525522671737"/>
        </c:manualLayout>
      </c:layout>
      <c:pieChart>
        <c:varyColors val="1"/>
        <c:ser>
          <c:idx val="0"/>
          <c:order val="0"/>
          <c:tx>
            <c:strRef>
              <c:f>Blad1!$B$1</c:f>
              <c:strCache>
                <c:ptCount val="1"/>
                <c:pt idx="0">
                  <c:v>[Number of new EU Pilot files ] EU Pilot files opened in 2014</c:v>
                </c:pt>
              </c:strCache>
            </c:strRef>
          </c:tx>
          <c:spPr>
            <a:solidFill>
              <a:schemeClr val="accent1"/>
            </a:solidFill>
            <a:scene3d>
              <a:camera prst="orthographicFront"/>
              <a:lightRig rig="threePt" dir="t"/>
            </a:scene3d>
            <a:sp3d>
              <a:bevelT w="63500" h="25400"/>
            </a:sp3d>
          </c:spPr>
          <c:dPt>
            <c:idx val="0"/>
            <c:bubble3D val="0"/>
            <c:spPr>
              <a:solidFill>
                <a:schemeClr val="accent1"/>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FBCF-42BD-8280-86D37A63967D}"/>
              </c:ext>
            </c:extLst>
          </c:dPt>
          <c:dPt>
            <c:idx val="1"/>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FBCF-42BD-8280-86D37A63967D}"/>
              </c:ext>
            </c:extLst>
          </c:dPt>
          <c:dPt>
            <c:idx val="2"/>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FBCF-42BD-8280-86D37A63967D}"/>
              </c:ext>
            </c:extLst>
          </c:dPt>
          <c:dPt>
            <c:idx val="3"/>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FBCF-42BD-8280-86D37A63967D}"/>
              </c:ext>
            </c:extLst>
          </c:dPt>
          <c:dPt>
            <c:idx val="4"/>
            <c:bubble3D val="0"/>
            <c:spPr>
              <a:solidFill>
                <a:srgbClr val="C000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FBCF-42BD-8280-86D37A63967D}"/>
              </c:ext>
            </c:extLst>
          </c:dPt>
          <c:dPt>
            <c:idx val="5"/>
            <c:bubble3D val="0"/>
            <c:spPr>
              <a:solidFill>
                <a:srgbClr val="FFC0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FBCF-42BD-8280-86D37A63967D}"/>
              </c:ext>
            </c:extLst>
          </c:dPt>
          <c:dPt>
            <c:idx val="6"/>
            <c:bubble3D val="0"/>
            <c:spPr>
              <a:solidFill>
                <a:srgbClr val="009242"/>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FBCF-42BD-8280-86D37A63967D}"/>
              </c:ext>
            </c:extLst>
          </c:dPt>
          <c:dPt>
            <c:idx val="7"/>
            <c:bubble3D val="0"/>
            <c:extLst xmlns:c16r2="http://schemas.microsoft.com/office/drawing/2015/06/chart">
              <c:ext xmlns:c16="http://schemas.microsoft.com/office/drawing/2014/chart" uri="{C3380CC4-5D6E-409C-BE32-E72D297353CC}">
                <c16:uniqueId val="{0000000E-FBCF-42BD-8280-86D37A63967D}"/>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BCF-42BD-8280-86D37A63967D}"/>
                </c:ext>
              </c:extLst>
            </c:dLbl>
            <c:dLbl>
              <c:idx val="1"/>
              <c:layout>
                <c:manualLayout>
                  <c:x val="5.501123001144681E-2"/>
                  <c:y val="-6.349782785772467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BCF-42BD-8280-86D37A63967D}"/>
                </c:ext>
              </c:extLst>
            </c:dLbl>
            <c:dLbl>
              <c:idx val="2"/>
              <c:layout>
                <c:manualLayout>
                  <c:x val="-1.3614762912345208E-3"/>
                  <c:y val="0.1508620689655172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BCF-42BD-8280-86D37A63967D}"/>
                </c:ext>
              </c:extLst>
            </c:dLbl>
            <c:dLbl>
              <c:idx val="3"/>
              <c:layout>
                <c:manualLayout>
                  <c:x val="8.3722120087411974E-3"/>
                  <c:y val="4.05079079554710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BCF-42BD-8280-86D37A63967D}"/>
                </c:ext>
              </c:extLst>
            </c:dLbl>
            <c:dLbl>
              <c:idx val="4"/>
              <c:layout>
                <c:manualLayout>
                  <c:x val="-1.6644264455929793E-2"/>
                  <c:y val="-4.7261064349714906E-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BCF-42BD-8280-86D37A63967D}"/>
                </c:ext>
              </c:extLst>
            </c:dLbl>
            <c:dLbl>
              <c:idx val="5"/>
              <c:layout>
                <c:manualLayout>
                  <c:x val="0"/>
                  <c:y val="-9.8777594544982702E-17"/>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BCF-42BD-8280-86D37A63967D}"/>
                </c:ext>
              </c:extLst>
            </c:dLbl>
            <c:dLbl>
              <c:idx val="6"/>
              <c:layout>
                <c:manualLayout>
                  <c:x val="-2.7595259981268862E-2"/>
                  <c:y val="-2.693965517241369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FBCF-42BD-8280-86D37A63967D}"/>
                </c:ext>
              </c:extLst>
            </c:dLbl>
            <c:spPr>
              <a:noFill/>
              <a:ln w="25363">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Blad1!$A$2:$A$9</c:f>
              <c:strCache>
                <c:ptCount val="7"/>
                <c:pt idx="0">
                  <c:v>Sector</c:v>
                </c:pt>
                <c:pt idx="1">
                  <c:v>Chemicals and health</c:v>
                </c:pt>
                <c:pt idx="2">
                  <c:v>Horizontal legislation for goods &amp; non-harmonized sectors</c:v>
                </c:pt>
                <c:pt idx="3">
                  <c:v>Public procurement</c:v>
                </c:pt>
                <c:pt idx="4">
                  <c:v>Services</c:v>
                </c:pt>
                <c:pt idx="5">
                  <c:v>SME Policy</c:v>
                </c:pt>
                <c:pt idx="6">
                  <c:v>Regulated professions</c:v>
                </c:pt>
              </c:strCache>
            </c:strRef>
          </c:cat>
          <c:val>
            <c:numRef>
              <c:f>Blad1!$B$2:$B$9</c:f>
              <c:numCache>
                <c:formatCode>General</c:formatCode>
                <c:ptCount val="8"/>
                <c:pt idx="0">
                  <c:v>0</c:v>
                </c:pt>
                <c:pt idx="1">
                  <c:v>3</c:v>
                </c:pt>
                <c:pt idx="2">
                  <c:v>2</c:v>
                </c:pt>
                <c:pt idx="3">
                  <c:v>1</c:v>
                </c:pt>
                <c:pt idx="4">
                  <c:v>1</c:v>
                </c:pt>
                <c:pt idx="5">
                  <c:v>1</c:v>
                </c:pt>
                <c:pt idx="6">
                  <c:v>1</c:v>
                </c:pt>
              </c:numCache>
            </c:numRef>
          </c:val>
          <c:extLst xmlns:c16r2="http://schemas.microsoft.com/office/drawing/2015/06/chart">
            <c:ext xmlns:c16="http://schemas.microsoft.com/office/drawing/2014/chart" uri="{C3380CC4-5D6E-409C-BE32-E72D297353CC}">
              <c16:uniqueId val="{0000000F-FBCF-42BD-8280-86D37A63967D}"/>
            </c:ext>
          </c:extLst>
        </c:ser>
        <c:dLbls>
          <c:showLegendKey val="0"/>
          <c:showVal val="0"/>
          <c:showCatName val="0"/>
          <c:showSerName val="0"/>
          <c:showPercent val="0"/>
          <c:showBubbleSize val="0"/>
          <c:showLeaderLines val="0"/>
        </c:dLbls>
        <c:firstSliceAng val="234"/>
      </c:pieChart>
      <c:spPr>
        <a:noFill/>
        <a:ln w="25387">
          <a:noFill/>
        </a:ln>
      </c:spPr>
    </c:plotArea>
    <c:plotVisOnly val="1"/>
    <c:dispBlanksAs val="gap"/>
    <c:showDLblsOverMax val="0"/>
  </c:chart>
  <c:spPr>
    <a:solidFill>
      <a:schemeClr val="bg1"/>
    </a:solidFill>
    <a:ln w="951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8" b="0" i="0" u="none" strike="noStrike" kern="1200" baseline="0">
                <a:solidFill>
                  <a:srgbClr val="002060"/>
                </a:solidFill>
                <a:latin typeface="+mn-lt"/>
                <a:ea typeface="+mn-ea"/>
                <a:cs typeface="+mn-cs"/>
              </a:defRPr>
            </a:pPr>
            <a:r>
              <a:rPr lang="en-US" sz="1048" b="0" baseline="0">
                <a:solidFill>
                  <a:srgbClr val="002060"/>
                </a:solidFill>
                <a:latin typeface="Arial" panose="020B0604020202020204" pitchFamily="34" charset="0"/>
                <a:ea typeface="Verdana" panose="020B0604030504040204" pitchFamily="34" charset="0"/>
                <a:cs typeface="Arial" panose="020B0604020202020204" pitchFamily="34" charset="0"/>
              </a:rPr>
              <a:t>158 </a:t>
            </a:r>
            <a:r>
              <a:rPr lang="en-US" sz="1048"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2017</a:t>
            </a:r>
          </a:p>
        </c:rich>
      </c:tx>
      <c:overlay val="0"/>
      <c:spPr>
        <a:noFill/>
        <a:ln w="25339">
          <a:noFill/>
        </a:ln>
      </c:spPr>
    </c:title>
    <c:autoTitleDeleted val="0"/>
    <c:plotArea>
      <c:layout/>
      <c:pieChart>
        <c:varyColors val="1"/>
        <c:ser>
          <c:idx val="0"/>
          <c:order val="0"/>
          <c:tx>
            <c:strRef>
              <c:f>Blad1!$B$1</c:f>
              <c:strCache>
                <c:ptCount val="1"/>
                <c:pt idx="0">
                  <c:v>[Number of infringement cases] infringement cases in 2014</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0817-463F-857A-E3027A4FC002}"/>
              </c:ext>
            </c:extLst>
          </c:dPt>
          <c:dPt>
            <c:idx val="1"/>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0817-463F-857A-E3027A4FC002}"/>
              </c:ext>
            </c:extLst>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0817-463F-857A-E3027A4FC002}"/>
              </c:ext>
            </c:extLst>
          </c:dPt>
          <c:dPt>
            <c:idx val="3"/>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0817-463F-857A-E3027A4FC002}"/>
              </c:ext>
            </c:extLst>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0817-463F-857A-E3027A4FC002}"/>
              </c:ext>
            </c:extLst>
          </c:dPt>
          <c:dPt>
            <c:idx val="5"/>
            <c:bubble3D val="0"/>
            <c:extLst xmlns:c16r2="http://schemas.microsoft.com/office/drawing/2015/06/chart">
              <c:ext xmlns:c16="http://schemas.microsoft.com/office/drawing/2014/chart" uri="{C3380CC4-5D6E-409C-BE32-E72D297353CC}">
                <c16:uniqueId val="{0000000A-0817-463F-857A-E3027A4FC002}"/>
              </c:ext>
            </c:extLst>
          </c:dPt>
          <c:dPt>
            <c:idx val="6"/>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C-0817-463F-857A-E3027A4FC002}"/>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817-463F-857A-E3027A4FC002}"/>
                </c:ext>
              </c:extLst>
            </c:dLbl>
            <c:dLbl>
              <c:idx val="1"/>
              <c:layout>
                <c:manualLayout>
                  <c:x val="5.4815095787445174E-3"/>
                  <c:y val="5.264504980355718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817-463F-857A-E3027A4FC002}"/>
                </c:ext>
              </c:extLst>
            </c:dLbl>
            <c:dLbl>
              <c:idx val="2"/>
              <c:layout>
                <c:manualLayout>
                  <c:x val="-6.3635235894020717E-2"/>
                  <c:y val="3.0959752321981426E-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817-463F-857A-E3027A4FC002}"/>
                </c:ext>
              </c:extLst>
            </c:dLbl>
            <c:dLbl>
              <c:idx val="3"/>
              <c:layout>
                <c:manualLayout>
                  <c:x val="3.0521827747195317E-2"/>
                  <c:y val="-6.714916704626806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817-463F-857A-E3027A4FC002}"/>
                </c:ext>
              </c:extLst>
            </c:dLbl>
            <c:dLbl>
              <c:idx val="4"/>
              <c:layout>
                <c:manualLayout>
                  <c:x val="-4.976936022532067E-2"/>
                  <c:y val="-0.1868122462952999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817-463F-857A-E3027A4FC002}"/>
                </c:ext>
              </c:extLst>
            </c:dLbl>
            <c:dLbl>
              <c:idx val="5"/>
              <c:layout>
                <c:manualLayout>
                  <c:x val="8.3333333333333332E-3"/>
                  <c:y val="2.349624060150375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817-463F-857A-E3027A4FC002}"/>
                </c:ext>
              </c:extLst>
            </c:dLbl>
            <c:spPr>
              <a:noFill/>
              <a:ln w="25339">
                <a:noFill/>
              </a:ln>
            </c:spPr>
            <c:txPr>
              <a:bodyPr rot="0" spcFirstLastPara="1" vertOverflow="ellipsis" vert="horz" wrap="square" lIns="38100" tIns="19050" rIns="38100" bIns="19050" anchor="ctr" anchorCtr="1">
                <a:spAutoFit/>
              </a:bodyPr>
              <a:lstStyle/>
              <a:p>
                <a:pPr>
                  <a:defRPr sz="897"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Blad1!$A$2:$A$8</c:f>
              <c:strCache>
                <c:ptCount val="5"/>
                <c:pt idx="0">
                  <c:v>Sectors</c:v>
                </c:pt>
                <c:pt idx="1">
                  <c:v>Industry sectors</c:v>
                </c:pt>
                <c:pt idx="2">
                  <c:v>Public procurement</c:v>
                </c:pt>
                <c:pt idx="3">
                  <c:v>Services</c:v>
                </c:pt>
                <c:pt idx="4">
                  <c:v>Other</c:v>
                </c:pt>
              </c:strCache>
            </c:strRef>
          </c:cat>
          <c:val>
            <c:numRef>
              <c:f>Blad1!$B$2:$B$8</c:f>
              <c:numCache>
                <c:formatCode>General</c:formatCode>
                <c:ptCount val="7"/>
                <c:pt idx="0">
                  <c:v>0</c:v>
                </c:pt>
                <c:pt idx="1">
                  <c:v>29</c:v>
                </c:pt>
                <c:pt idx="2">
                  <c:v>54</c:v>
                </c:pt>
                <c:pt idx="3">
                  <c:v>23</c:v>
                </c:pt>
                <c:pt idx="4">
                  <c:v>52</c:v>
                </c:pt>
              </c:numCache>
            </c:numRef>
          </c:val>
          <c:extLst xmlns:c16r2="http://schemas.microsoft.com/office/drawing/2015/06/chart">
            <c:ext xmlns:c16="http://schemas.microsoft.com/office/drawing/2014/chart" uri="{C3380CC4-5D6E-409C-BE32-E72D297353CC}">
              <c16:uniqueId val="{0000000D-0817-463F-857A-E3027A4FC002}"/>
            </c:ext>
          </c:extLst>
        </c:ser>
        <c:dLbls>
          <c:showLegendKey val="0"/>
          <c:showVal val="0"/>
          <c:showCatName val="0"/>
          <c:showSerName val="0"/>
          <c:showPercent val="0"/>
          <c:showBubbleSize val="0"/>
          <c:showLeaderLines val="0"/>
        </c:dLbls>
        <c:firstSliceAng val="284"/>
      </c:pieChart>
      <c:spPr>
        <a:noFill/>
        <a:ln w="25356">
          <a:noFill/>
        </a:ln>
      </c:spPr>
    </c:plotArea>
    <c:plotVisOnly val="1"/>
    <c:dispBlanksAs val="gap"/>
    <c:showDLblsOverMax val="0"/>
  </c:chart>
  <c:spPr>
    <a:solidFill>
      <a:schemeClr val="bg1"/>
    </a:solidFill>
    <a:ln w="950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5" b="0" i="0" u="none" strike="noStrike" kern="1200" baseline="0">
                <a:solidFill>
                  <a:srgbClr val="002060"/>
                </a:solidFill>
                <a:latin typeface="+mn-lt"/>
                <a:ea typeface="+mn-ea"/>
                <a:cs typeface="+mn-cs"/>
              </a:defRPr>
            </a:pPr>
            <a:r>
              <a:rPr lang="en-US" sz="1046" b="0" baseline="0">
                <a:solidFill>
                  <a:srgbClr val="002060"/>
                </a:solidFill>
                <a:latin typeface="Arial" panose="020B0604020202020204" pitchFamily="34" charset="0"/>
                <a:ea typeface="Verdana" panose="020B0604030504040204" pitchFamily="34" charset="0"/>
                <a:cs typeface="Arial" panose="020B0604020202020204" pitchFamily="34" charset="0"/>
              </a:rPr>
              <a:t>29 new </a:t>
            </a:r>
            <a:r>
              <a:rPr lang="en-US" sz="1046"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2017</a:t>
            </a:r>
          </a:p>
        </c:rich>
      </c:tx>
      <c:overlay val="0"/>
      <c:spPr>
        <a:noFill/>
        <a:ln w="25278">
          <a:noFill/>
        </a:ln>
      </c:spPr>
    </c:title>
    <c:autoTitleDeleted val="0"/>
    <c:plotArea>
      <c:layout/>
      <c:pieChart>
        <c:varyColors val="1"/>
        <c:ser>
          <c:idx val="0"/>
          <c:order val="0"/>
          <c:tx>
            <c:strRef>
              <c:f>Blad1!$B$1</c:f>
              <c:strCache>
                <c:ptCount val="1"/>
                <c:pt idx="0">
                  <c:v>[Number of infringement cases] infringement cases in 2017</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4007-46DB-8476-3C378B5FCB1D}"/>
              </c:ext>
            </c:extLst>
          </c:dPt>
          <c:dPt>
            <c:idx val="1"/>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4007-46DB-8476-3C378B5FCB1D}"/>
              </c:ext>
            </c:extLst>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4007-46DB-8476-3C378B5FCB1D}"/>
              </c:ext>
            </c:extLst>
          </c:dPt>
          <c:dPt>
            <c:idx val="3"/>
            <c:bubble3D val="0"/>
            <c:spPr>
              <a:solidFill>
                <a:srgbClr val="0C239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4007-46DB-8476-3C378B5FCB1D}"/>
              </c:ext>
            </c:extLst>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4007-46DB-8476-3C378B5FCB1D}"/>
              </c:ext>
            </c:extLst>
          </c:dPt>
          <c:dPt>
            <c:idx val="5"/>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4007-46DB-8476-3C378B5FCB1D}"/>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007-46DB-8476-3C378B5FCB1D}"/>
                </c:ext>
              </c:extLst>
            </c:dLbl>
            <c:dLbl>
              <c:idx val="1"/>
              <c:layout>
                <c:manualLayout>
                  <c:x val="-7.5630491840693826E-3"/>
                  <c:y val="4.142300962379705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007-46DB-8476-3C378B5FCB1D}"/>
                </c:ext>
              </c:extLst>
            </c:dLbl>
            <c:dLbl>
              <c:idx val="2"/>
              <c:layout>
                <c:manualLayout>
                  <c:x val="-3.7301723154170947E-3"/>
                  <c:y val="0.113415135608049"/>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007-46DB-8476-3C378B5FCB1D}"/>
                </c:ext>
              </c:extLst>
            </c:dLbl>
            <c:dLbl>
              <c:idx val="3"/>
              <c:layout>
                <c:manualLayout>
                  <c:x val="-4.4222053765018499E-3"/>
                  <c:y val="4.564741907261592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007-46DB-8476-3C378B5FCB1D}"/>
                </c:ext>
              </c:extLst>
            </c:dLbl>
            <c:dLbl>
              <c:idx val="4"/>
              <c:layout>
                <c:manualLayout>
                  <c:x val="-9.8548890627801963E-2"/>
                  <c:y val="-0.17291338582677165"/>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007-46DB-8476-3C378B5FCB1D}"/>
                </c:ext>
              </c:extLst>
            </c:dLbl>
            <c:dLbl>
              <c:idx val="5"/>
              <c:layout>
                <c:manualLayout>
                  <c:x val="8.3333333333333332E-3"/>
                  <c:y val="2.349624060150375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007-46DB-8476-3C378B5FCB1D}"/>
                </c:ext>
              </c:extLst>
            </c:dLbl>
            <c:spPr>
              <a:noFill/>
              <a:ln w="25278">
                <a:noFill/>
              </a:ln>
            </c:spPr>
            <c:txPr>
              <a:bodyPr rot="0" spcFirstLastPara="1" vertOverflow="ellipsis" vert="horz" wrap="square" lIns="38100" tIns="19050" rIns="38100" bIns="19050" anchor="ctr" anchorCtr="1">
                <a:spAutoFit/>
              </a:bodyPr>
              <a:lstStyle/>
              <a:p>
                <a:pPr>
                  <a:defRPr sz="895"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Blad1!$A$2:$A$7</c:f>
              <c:strCache>
                <c:ptCount val="5"/>
                <c:pt idx="0">
                  <c:v>Sectors</c:v>
                </c:pt>
                <c:pt idx="1">
                  <c:v>Space &amp; defence</c:v>
                </c:pt>
                <c:pt idx="2">
                  <c:v>Public procurement</c:v>
                </c:pt>
                <c:pt idx="3">
                  <c:v>Horizontal legislation for goods &amp; non-harmonised sectors</c:v>
                </c:pt>
                <c:pt idx="4">
                  <c:v>Other</c:v>
                </c:pt>
              </c:strCache>
            </c:strRef>
          </c:cat>
          <c:val>
            <c:numRef>
              <c:f>Blad1!$B$2:$B$7</c:f>
              <c:numCache>
                <c:formatCode>General</c:formatCode>
                <c:ptCount val="6"/>
                <c:pt idx="0">
                  <c:v>0</c:v>
                </c:pt>
                <c:pt idx="1">
                  <c:v>7</c:v>
                </c:pt>
                <c:pt idx="2">
                  <c:v>5</c:v>
                </c:pt>
                <c:pt idx="3">
                  <c:v>5</c:v>
                </c:pt>
                <c:pt idx="4">
                  <c:v>12</c:v>
                </c:pt>
              </c:numCache>
            </c:numRef>
          </c:val>
          <c:extLst xmlns:c16r2="http://schemas.microsoft.com/office/drawing/2015/06/chart">
            <c:ext xmlns:c16="http://schemas.microsoft.com/office/drawing/2014/chart" uri="{C3380CC4-5D6E-409C-BE32-E72D297353CC}">
              <c16:uniqueId val="{0000000C-4007-46DB-8476-3C378B5FCB1D}"/>
            </c:ext>
          </c:extLst>
        </c:ser>
        <c:dLbls>
          <c:showLegendKey val="0"/>
          <c:showVal val="0"/>
          <c:showCatName val="0"/>
          <c:showSerName val="0"/>
          <c:showPercent val="0"/>
          <c:showBubbleSize val="0"/>
          <c:showLeaderLines val="0"/>
        </c:dLbls>
        <c:firstSliceAng val="275"/>
      </c:pieChart>
      <c:spPr>
        <a:noFill/>
        <a:ln w="25294">
          <a:noFill/>
        </a:ln>
      </c:spPr>
    </c:plotArea>
    <c:plotVisOnly val="1"/>
    <c:dispBlanksAs val="gap"/>
    <c:showDLblsOverMax val="0"/>
  </c:chart>
  <c:spPr>
    <a:solidFill>
      <a:schemeClr val="bg1"/>
    </a:solidFill>
    <a:ln w="947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2"/>
              <c:layout>
                <c:manualLayout>
                  <c:x val="-4.7026431718061673E-2"/>
                  <c:y val="6.96111111111111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4ED-429D-9C34-DE4FA959E638}"/>
                </c:ext>
              </c:extLst>
            </c:dLbl>
            <c:spPr>
              <a:noFill/>
              <a:ln w="25387">
                <a:noFill/>
              </a:ln>
            </c:spPr>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590</c:v>
                </c:pt>
                <c:pt idx="1">
                  <c:v>596</c:v>
                </c:pt>
                <c:pt idx="2">
                  <c:v>524</c:v>
                </c:pt>
                <c:pt idx="3">
                  <c:v>919</c:v>
                </c:pt>
                <c:pt idx="4">
                  <c:v>864</c:v>
                </c:pt>
              </c:numCache>
            </c:numRef>
          </c:val>
          <c:smooth val="0"/>
          <c:extLst xmlns:c16r2="http://schemas.microsoft.com/office/drawing/2015/06/chart">
            <c:ext xmlns:c16="http://schemas.microsoft.com/office/drawing/2014/chart" uri="{C3380CC4-5D6E-409C-BE32-E72D297353CC}">
              <c16:uniqueId val="{00000001-A4ED-429D-9C34-DE4FA959E638}"/>
            </c:ext>
          </c:extLst>
        </c:ser>
        <c:dLbls>
          <c:showLegendKey val="0"/>
          <c:showVal val="0"/>
          <c:showCatName val="0"/>
          <c:showSerName val="0"/>
          <c:showPercent val="0"/>
          <c:showBubbleSize val="0"/>
        </c:dLbls>
        <c:marker val="1"/>
        <c:smooth val="0"/>
        <c:axId val="294601088"/>
        <c:axId val="294602624"/>
      </c:lineChart>
      <c:catAx>
        <c:axId val="294601088"/>
        <c:scaling>
          <c:orientation val="minMax"/>
        </c:scaling>
        <c:delete val="0"/>
        <c:axPos val="b"/>
        <c:numFmt formatCode="General" sourceLinked="1"/>
        <c:majorTickMark val="none"/>
        <c:minorTickMark val="none"/>
        <c:tickLblPos val="nextTo"/>
        <c:spPr>
          <a:noFill/>
          <a:ln w="12673"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94602624"/>
        <c:crosses val="autoZero"/>
        <c:auto val="1"/>
        <c:lblAlgn val="ctr"/>
        <c:lblOffset val="100"/>
        <c:noMultiLvlLbl val="0"/>
      </c:catAx>
      <c:valAx>
        <c:axId val="294602624"/>
        <c:scaling>
          <c:orientation val="minMax"/>
          <c:min val="400"/>
        </c:scaling>
        <c:delete val="1"/>
        <c:axPos val="l"/>
        <c:majorGridlines>
          <c:spPr>
            <a:ln w="9505" cap="flat" cmpd="sng" algn="ctr">
              <a:solidFill>
                <a:schemeClr val="tx1">
                  <a:lumMod val="15000"/>
                  <a:lumOff val="85000"/>
                </a:schemeClr>
              </a:solidFill>
              <a:round/>
            </a:ln>
            <a:effectLst/>
          </c:spPr>
        </c:majorGridlines>
        <c:numFmt formatCode="General" sourceLinked="1"/>
        <c:majorTickMark val="out"/>
        <c:minorTickMark val="none"/>
        <c:tickLblPos val="nextTo"/>
        <c:crossAx val="294601088"/>
        <c:crosses val="autoZero"/>
        <c:crossBetween val="between"/>
      </c:valAx>
      <c:spPr>
        <a:noFill/>
        <a:ln w="25387">
          <a:noFill/>
        </a:ln>
      </c:spPr>
    </c:plotArea>
    <c:plotVisOnly val="1"/>
    <c:dispBlanksAs val="gap"/>
    <c:showDLblsOverMax val="0"/>
  </c:chart>
  <c:spPr>
    <a:solidFill>
      <a:schemeClr val="bg1"/>
    </a:solidFill>
    <a:ln w="950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8"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GB" sz="1098" b="0">
                <a:solidFill>
                  <a:srgbClr val="002060"/>
                </a:solidFill>
                <a:latin typeface="Arial" panose="020B0604020202020204" pitchFamily="34" charset="0"/>
                <a:cs typeface="Arial" panose="020B0604020202020204" pitchFamily="34" charset="0"/>
              </a:rPr>
              <a:t>864 complaints in 2017</a:t>
            </a:r>
          </a:p>
        </c:rich>
      </c:tx>
      <c:overlay val="0"/>
      <c:spPr>
        <a:noFill/>
        <a:ln w="25339">
          <a:noFill/>
        </a:ln>
      </c:spPr>
    </c:title>
    <c:autoTitleDeleted val="0"/>
    <c:plotArea>
      <c:layout/>
      <c:pieChart>
        <c:varyColors val="1"/>
        <c:ser>
          <c:idx val="0"/>
          <c:order val="0"/>
          <c:tx>
            <c:strRef>
              <c:f>Blad1!$B$1</c:f>
              <c:strCache>
                <c:ptCount val="1"/>
                <c:pt idx="0">
                  <c:v>[Number of new complaints] complaints in 2014</c:v>
                </c:pt>
              </c:strCache>
            </c:strRef>
          </c:tx>
          <c:spPr>
            <a:solidFill>
              <a:srgbClr val="92D050"/>
            </a:solidFill>
            <a:scene3d>
              <a:camera prst="orthographicFront"/>
              <a:lightRig rig="threePt" dir="t"/>
            </a:scene3d>
            <a:sp3d>
              <a:bevelT w="63500" h="25400"/>
            </a:sp3d>
          </c:spPr>
          <c:dPt>
            <c:idx val="0"/>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7D0A-424D-B1E9-68E527A86575}"/>
              </c:ext>
            </c:extLst>
          </c:dPt>
          <c:dPt>
            <c:idx val="1"/>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7D0A-424D-B1E9-68E527A86575}"/>
              </c:ext>
            </c:extLst>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7D0A-424D-B1E9-68E527A86575}"/>
              </c:ext>
            </c:extLst>
          </c:dPt>
          <c:dPt>
            <c:idx val="3"/>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7D0A-424D-B1E9-68E527A86575}"/>
              </c:ext>
            </c:extLst>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7D0A-424D-B1E9-68E527A86575}"/>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D0A-424D-B1E9-68E527A86575}"/>
                </c:ext>
              </c:extLst>
            </c:dLbl>
            <c:dLbl>
              <c:idx val="1"/>
              <c:layout>
                <c:manualLayout>
                  <c:x val="-1.9295258170162359E-2"/>
                  <c:y val="0.11832114735658043"/>
                </c:manualLayout>
              </c:layout>
              <c:spPr>
                <a:noFill/>
                <a:ln w="25339">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D0A-424D-B1E9-68E527A86575}"/>
                </c:ext>
              </c:extLst>
            </c:dLbl>
            <c:dLbl>
              <c:idx val="2"/>
              <c:layout>
                <c:manualLayout>
                  <c:x val="5.2076074837990385E-3"/>
                  <c:y val="-2.712718945846055E-2"/>
                </c:manualLayout>
              </c:layout>
              <c:spPr>
                <a:noFill/>
                <a:ln w="25339">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D0A-424D-B1E9-68E527A86575}"/>
                </c:ext>
              </c:extLst>
            </c:dLbl>
            <c:dLbl>
              <c:idx val="3"/>
              <c:layout>
                <c:manualLayout>
                  <c:x val="-5.2583443662462545E-3"/>
                  <c:y val="-2.9005302908565E-3"/>
                </c:manualLayout>
              </c:layout>
              <c:spPr>
                <a:noFill/>
                <a:ln w="25339">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D0A-424D-B1E9-68E527A86575}"/>
                </c:ext>
              </c:extLst>
            </c:dLbl>
            <c:dLbl>
              <c:idx val="4"/>
              <c:layout>
                <c:manualLayout>
                  <c:x val="-1.4467304958973151E-2"/>
                  <c:y val="-2.1968196957836412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D0A-424D-B1E9-68E527A86575}"/>
                </c:ext>
              </c:extLst>
            </c:dLbl>
            <c:dLbl>
              <c:idx val="5"/>
              <c:layout>
                <c:manualLayout>
                  <c:x val="0.11902298549890566"/>
                  <c:y val="-0.13890884253503408"/>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D0A-424D-B1E9-68E527A86575}"/>
                </c:ext>
              </c:extLst>
            </c:dLbl>
            <c:dLbl>
              <c:idx val="6"/>
              <c:layout>
                <c:manualLayout>
                  <c:x val="-1.1074197120708749E-2"/>
                  <c:y val="-6.572806920261728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D0A-424D-B1E9-68E527A86575}"/>
                </c:ext>
              </c:extLst>
            </c:dLbl>
            <c:dLbl>
              <c:idx val="7"/>
              <c:layout>
                <c:manualLayout>
                  <c:x val="1.0266085925305849E-2"/>
                  <c:y val="-7.981220657276995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7D0A-424D-B1E9-68E527A86575}"/>
                </c:ext>
              </c:extLst>
            </c:dLbl>
            <c:dLbl>
              <c:idx val="8"/>
              <c:layout>
                <c:manualLayout>
                  <c:x val="4.4296788482835095E-2"/>
                  <c:y val="-9.389671361502346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7D0A-424D-B1E9-68E527A86575}"/>
                </c:ext>
              </c:extLst>
            </c:dLbl>
            <c:dLbl>
              <c:idx val="9"/>
              <c:layout>
                <c:manualLayout>
                  <c:x val="4.9833887043189369E-2"/>
                  <c:y val="-5.591845033455325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7D0A-424D-B1E9-68E527A86575}"/>
                </c:ext>
              </c:extLst>
            </c:dLbl>
            <c:dLbl>
              <c:idx val="10"/>
              <c:layout>
                <c:manualLayout>
                  <c:x val="6.9213732004429582E-2"/>
                  <c:y val="0.107981220657277"/>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7D0A-424D-B1E9-68E527A86575}"/>
                </c:ext>
              </c:extLst>
            </c:dLbl>
            <c:dLbl>
              <c:idx val="11"/>
              <c:layout>
                <c:manualLayout>
                  <c:x val="-0.13565891472868216"/>
                  <c:y val="8.920187793427229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7D0A-424D-B1E9-68E527A86575}"/>
                </c:ext>
              </c:extLst>
            </c:dLbl>
            <c:spPr>
              <a:noFill/>
              <a:ln w="2533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0">
                  <c:v>Sector</c:v>
                </c:pt>
                <c:pt idx="1">
                  <c:v>Free movement and citizenship rights</c:v>
                </c:pt>
                <c:pt idx="2">
                  <c:v>Fundamental rights</c:v>
                </c:pt>
                <c:pt idx="3">
                  <c:v>Civil Justice</c:v>
                </c:pt>
                <c:pt idx="4">
                  <c:v>Other</c:v>
                </c:pt>
              </c:strCache>
            </c:strRef>
          </c:cat>
          <c:val>
            <c:numRef>
              <c:f>Blad1!$B$2:$B$6</c:f>
              <c:numCache>
                <c:formatCode>General</c:formatCode>
                <c:ptCount val="5"/>
                <c:pt idx="0">
                  <c:v>0</c:v>
                </c:pt>
                <c:pt idx="1">
                  <c:v>278</c:v>
                </c:pt>
                <c:pt idx="2">
                  <c:v>106</c:v>
                </c:pt>
                <c:pt idx="3">
                  <c:v>94</c:v>
                </c:pt>
                <c:pt idx="4">
                  <c:v>386</c:v>
                </c:pt>
              </c:numCache>
            </c:numRef>
          </c:val>
          <c:extLst xmlns:c16r2="http://schemas.microsoft.com/office/drawing/2015/06/chart">
            <c:ext xmlns:c16="http://schemas.microsoft.com/office/drawing/2014/chart" uri="{C3380CC4-5D6E-409C-BE32-E72D297353CC}">
              <c16:uniqueId val="{00000011-7D0A-424D-B1E9-68E527A86575}"/>
            </c:ext>
          </c:extLst>
        </c:ser>
        <c:dLbls>
          <c:showLegendKey val="0"/>
          <c:showVal val="0"/>
          <c:showCatName val="0"/>
          <c:showSerName val="0"/>
          <c:showPercent val="0"/>
          <c:showBubbleSize val="0"/>
          <c:showLeaderLines val="0"/>
        </c:dLbls>
        <c:firstSliceAng val="328"/>
      </c:pieChart>
      <c:spPr>
        <a:noFill/>
        <a:ln w="25356">
          <a:noFill/>
        </a:ln>
      </c:spPr>
    </c:plotArea>
    <c:plotVisOnly val="1"/>
    <c:dispBlanksAs val="gap"/>
    <c:showDLblsOverMax val="0"/>
  </c:chart>
  <c:spPr>
    <a:solidFill>
      <a:schemeClr val="bg1"/>
    </a:solidFill>
    <a:ln w="950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2"/>
              <c:layout>
                <c:manualLayout>
                  <c:x val="-4.1851745276026545E-2"/>
                  <c:y val="5.76814792614590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C76-45DF-9514-FBAE933C2293}"/>
                </c:ext>
              </c:extLst>
            </c:dLbl>
            <c:dLbl>
              <c:idx val="4"/>
              <c:layout>
                <c:manualLayout>
                  <c:x val="-3.4171227809201482E-2"/>
                  <c:y val="-7.420149087790796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C76-45DF-9514-FBAE933C2293}"/>
                </c:ext>
              </c:extLst>
            </c:dLbl>
            <c:spPr>
              <a:noFill/>
              <a:ln w="25352">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176</c:v>
                </c:pt>
                <c:pt idx="1">
                  <c:v>74</c:v>
                </c:pt>
                <c:pt idx="2">
                  <c:v>103</c:v>
                </c:pt>
                <c:pt idx="3">
                  <c:v>50</c:v>
                </c:pt>
                <c:pt idx="4">
                  <c:v>0</c:v>
                </c:pt>
              </c:numCache>
            </c:numRef>
          </c:val>
          <c:smooth val="0"/>
          <c:extLst xmlns:c16r2="http://schemas.microsoft.com/office/drawing/2015/06/chart">
            <c:ext xmlns:c16="http://schemas.microsoft.com/office/drawing/2014/chart" uri="{C3380CC4-5D6E-409C-BE32-E72D297353CC}">
              <c16:uniqueId val="{00000002-CC76-45DF-9514-FBAE933C2293}"/>
            </c:ext>
          </c:extLst>
        </c:ser>
        <c:dLbls>
          <c:showLegendKey val="0"/>
          <c:showVal val="0"/>
          <c:showCatName val="0"/>
          <c:showSerName val="0"/>
          <c:showPercent val="0"/>
          <c:showBubbleSize val="0"/>
        </c:dLbls>
        <c:marker val="1"/>
        <c:smooth val="0"/>
        <c:axId val="318045568"/>
        <c:axId val="318047360"/>
      </c:lineChart>
      <c:catAx>
        <c:axId val="318045568"/>
        <c:scaling>
          <c:orientation val="minMax"/>
        </c:scaling>
        <c:delete val="0"/>
        <c:axPos val="b"/>
        <c:numFmt formatCode="General" sourceLinked="1"/>
        <c:majorTickMark val="none"/>
        <c:minorTickMark val="none"/>
        <c:tickLblPos val="nextTo"/>
        <c:spPr>
          <a:noFill/>
          <a:ln w="12676"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18047360"/>
        <c:crosses val="autoZero"/>
        <c:auto val="1"/>
        <c:lblAlgn val="ctr"/>
        <c:lblOffset val="100"/>
        <c:noMultiLvlLbl val="0"/>
      </c:catAx>
      <c:valAx>
        <c:axId val="318047360"/>
        <c:scaling>
          <c:orientation val="minMax"/>
        </c:scaling>
        <c:delete val="1"/>
        <c:axPos val="l"/>
        <c:majorGridlines>
          <c:spPr>
            <a:ln w="9507" cap="flat" cmpd="sng" algn="ctr">
              <a:solidFill>
                <a:schemeClr val="tx1">
                  <a:lumMod val="15000"/>
                  <a:lumOff val="85000"/>
                </a:schemeClr>
              </a:solidFill>
              <a:round/>
            </a:ln>
            <a:effectLst/>
          </c:spPr>
        </c:majorGridlines>
        <c:numFmt formatCode="General" sourceLinked="1"/>
        <c:majorTickMark val="out"/>
        <c:minorTickMark val="none"/>
        <c:tickLblPos val="nextTo"/>
        <c:crossAx val="318045568"/>
        <c:crosses val="autoZero"/>
        <c:crossBetween val="between"/>
      </c:valAx>
      <c:spPr>
        <a:noFill/>
        <a:ln w="25375">
          <a:noFill/>
        </a:ln>
      </c:spPr>
    </c:plotArea>
    <c:plotVisOnly val="1"/>
    <c:dispBlanksAs val="gap"/>
    <c:showDLblsOverMax val="0"/>
  </c:chart>
  <c:spPr>
    <a:solidFill>
      <a:schemeClr val="bg1"/>
    </a:solidFill>
    <a:ln w="950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777777777777776E-2"/>
          <c:y val="5.642688731705147E-2"/>
          <c:w val="0.93888888888888888"/>
          <c:h val="0.68938833861830617"/>
        </c:manualLayout>
      </c:layout>
      <c:lineChart>
        <c:grouping val="standard"/>
        <c:varyColors val="0"/>
        <c:ser>
          <c:idx val="0"/>
          <c:order val="0"/>
          <c:tx>
            <c:strRef>
              <c:f>Blad1!$B$2</c:f>
              <c:strCache>
                <c:ptCount val="1"/>
                <c:pt idx="0">
                  <c:v>Justice and Consumers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5729221347331583E-2"/>
                  <c:y val="5.582098847813515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2C2-4126-AC26-5B621F192AFF}"/>
                </c:ext>
              </c:extLst>
            </c:dLbl>
            <c:dLbl>
              <c:idx val="1"/>
              <c:layout>
                <c:manualLayout>
                  <c:x val="-6.1284776902887139E-2"/>
                  <c:y val="-8.783936651583708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102-4F3F-98A9-EA3DEABCEECA}"/>
                </c:ext>
              </c:extLst>
            </c:dLbl>
            <c:dLbl>
              <c:idx val="2"/>
              <c:layout>
                <c:manualLayout>
                  <c:x val="-6.1284776902887139E-2"/>
                  <c:y val="-7.0790960451977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2C2-4126-AC26-5B621F192AFF}"/>
                </c:ext>
              </c:extLst>
            </c:dLbl>
            <c:dLbl>
              <c:idx val="3"/>
              <c:layout>
                <c:manualLayout>
                  <c:x val="-5.5729221347331583E-2"/>
                  <c:y val="-7.761752136752136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2C2-4126-AC26-5B621F192AFF}"/>
                </c:ext>
              </c:extLst>
            </c:dLbl>
            <c:dLbl>
              <c:idx val="4"/>
              <c:layout>
                <c:manualLayout>
                  <c:x val="-5.2951443569553808E-2"/>
                  <c:y val="-7.761794198802073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2C2-4126-AC26-5B621F192AFF}"/>
                </c:ext>
              </c:extLst>
            </c:dLbl>
            <c:spPr>
              <a:noFill/>
              <a:ln>
                <a:noFill/>
              </a:ln>
              <a:effectLst/>
            </c:spPr>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0%</c:formatCode>
                <c:ptCount val="5"/>
                <c:pt idx="0">
                  <c:v>0.64</c:v>
                </c:pt>
                <c:pt idx="1">
                  <c:v>0.76</c:v>
                </c:pt>
                <c:pt idx="2">
                  <c:v>0.79</c:v>
                </c:pt>
                <c:pt idx="3">
                  <c:v>0.8</c:v>
                </c:pt>
                <c:pt idx="4">
                  <c:v>0.88</c:v>
                </c:pt>
              </c:numCache>
            </c:numRef>
          </c:val>
          <c:smooth val="0"/>
          <c:extLst xmlns:c16r2="http://schemas.microsoft.com/office/drawing/2015/06/chart">
            <c:ext xmlns:c16="http://schemas.microsoft.com/office/drawing/2014/chart" uri="{C3380CC4-5D6E-409C-BE32-E72D297353CC}">
              <c16:uniqueId val="{00000004-C2C2-4126-AC26-5B621F192AFF}"/>
            </c:ext>
          </c:extLst>
        </c:ser>
        <c:ser>
          <c:idx val="1"/>
          <c:order val="1"/>
          <c:tx>
            <c:strRef>
              <c:f>Blad1!$C$2</c:f>
              <c:strCache>
                <c:ptCount val="1"/>
                <c:pt idx="0">
                  <c:v>General rate for all policy areas</c:v>
                </c:pt>
              </c:strCache>
            </c:strRef>
          </c:tx>
          <c:spPr>
            <a:ln w="25373">
              <a:solidFill>
                <a:srgbClr val="92D050"/>
              </a:solidFill>
            </a:ln>
          </c:spPr>
          <c:marker>
            <c:symbol val="square"/>
            <c:size val="5"/>
            <c:spPr>
              <a:solidFill>
                <a:srgbClr val="92D050"/>
              </a:solidFill>
              <a:ln>
                <a:solidFill>
                  <a:srgbClr val="92D050"/>
                </a:solidFill>
              </a:ln>
            </c:spPr>
          </c:marker>
          <c:dLbls>
            <c:dLbl>
              <c:idx val="0"/>
              <c:layout>
                <c:manualLayout>
                  <c:x val="-6.6840332458442689E-2"/>
                  <c:y val="-9.08086008479709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2C2-4126-AC26-5B621F192AFF}"/>
                </c:ext>
              </c:extLst>
            </c:dLbl>
            <c:dLbl>
              <c:idx val="1"/>
              <c:layout>
                <c:manualLayout>
                  <c:x val="-4.4618110236220469E-2"/>
                  <c:y val="7.08710407239818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102-4F3F-98A9-EA3DEABCEECA}"/>
                </c:ext>
              </c:extLst>
            </c:dLbl>
            <c:dLbl>
              <c:idx val="2"/>
              <c:layout>
                <c:manualLayout>
                  <c:x val="-4.7395888013998251E-2"/>
                  <c:y val="6.512853172765174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2C2-4126-AC26-5B621F192AFF}"/>
                </c:ext>
              </c:extLst>
            </c:dLbl>
            <c:dLbl>
              <c:idx val="3"/>
              <c:layout>
                <c:manualLayout>
                  <c:x val="-3.906255468066492E-2"/>
                  <c:y val="6.09630526953362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2C2-4126-AC26-5B621F192AFF}"/>
                </c:ext>
              </c:extLst>
            </c:dLbl>
            <c:dLbl>
              <c:idx val="4"/>
              <c:layout>
                <c:manualLayout>
                  <c:x val="-4.4618110236220469E-2"/>
                  <c:y val="6.693358748708447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2C2-4126-AC26-5B621F192AFF}"/>
                </c:ext>
              </c:extLst>
            </c:dLbl>
            <c:spPr>
              <a:noFill/>
              <a:ln>
                <a:noFill/>
              </a:ln>
              <a:effectLst/>
            </c:spPr>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Blad1!$C$3:$C$7</c:f>
              <c:numCache>
                <c:formatCode>0%</c:formatCode>
                <c:ptCount val="5"/>
                <c:pt idx="0">
                  <c:v>0.7</c:v>
                </c:pt>
                <c:pt idx="1">
                  <c:v>0.75</c:v>
                </c:pt>
                <c:pt idx="2">
                  <c:v>0.75</c:v>
                </c:pt>
                <c:pt idx="3">
                  <c:v>0.72</c:v>
                </c:pt>
                <c:pt idx="4">
                  <c:v>0.77</c:v>
                </c:pt>
              </c:numCache>
            </c:numRef>
          </c:val>
          <c:smooth val="0"/>
          <c:extLst xmlns:c16r2="http://schemas.microsoft.com/office/drawing/2015/06/chart">
            <c:ext xmlns:c16="http://schemas.microsoft.com/office/drawing/2014/chart" uri="{C3380CC4-5D6E-409C-BE32-E72D297353CC}">
              <c16:uniqueId val="{00000009-C2C2-4126-AC26-5B621F192AFF}"/>
            </c:ext>
          </c:extLst>
        </c:ser>
        <c:dLbls>
          <c:showLegendKey val="0"/>
          <c:showVal val="0"/>
          <c:showCatName val="0"/>
          <c:showSerName val="0"/>
          <c:showPercent val="0"/>
          <c:showBubbleSize val="0"/>
        </c:dLbls>
        <c:marker val="1"/>
        <c:smooth val="0"/>
        <c:axId val="318127104"/>
        <c:axId val="318137088"/>
      </c:lineChart>
      <c:catAx>
        <c:axId val="318127104"/>
        <c:scaling>
          <c:orientation val="minMax"/>
        </c:scaling>
        <c:delete val="0"/>
        <c:axPos val="b"/>
        <c:numFmt formatCode="General" sourceLinked="1"/>
        <c:majorTickMark val="none"/>
        <c:minorTickMark val="none"/>
        <c:tickLblPos val="nextTo"/>
        <c:spPr>
          <a:noFill/>
          <a:ln w="12687"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18137088"/>
        <c:crosses val="autoZero"/>
        <c:auto val="1"/>
        <c:lblAlgn val="ctr"/>
        <c:lblOffset val="100"/>
        <c:noMultiLvlLbl val="0"/>
      </c:catAx>
      <c:valAx>
        <c:axId val="318137088"/>
        <c:scaling>
          <c:orientation val="minMax"/>
          <c:min val="0.4"/>
        </c:scaling>
        <c:delete val="1"/>
        <c:axPos val="l"/>
        <c:majorGridlines>
          <c:spPr>
            <a:ln w="9515" cap="flat" cmpd="sng" algn="ctr">
              <a:solidFill>
                <a:schemeClr val="tx1">
                  <a:lumMod val="15000"/>
                  <a:lumOff val="85000"/>
                </a:schemeClr>
              </a:solidFill>
              <a:round/>
            </a:ln>
            <a:effectLst/>
          </c:spPr>
        </c:majorGridlines>
        <c:numFmt formatCode="0%" sourceLinked="1"/>
        <c:majorTickMark val="none"/>
        <c:minorTickMark val="none"/>
        <c:tickLblPos val="nextTo"/>
        <c:crossAx val="318127104"/>
        <c:crosses val="autoZero"/>
        <c:crossBetween val="between"/>
      </c:valAx>
      <c:spPr>
        <a:noFill/>
        <a:ln w="25373">
          <a:noFill/>
        </a:ln>
      </c:spPr>
    </c:plotArea>
    <c:legend>
      <c:legendPos val="b"/>
      <c:overlay val="0"/>
      <c:txPr>
        <a:bodyPr/>
        <a:lstStyle/>
        <a:p>
          <a:pPr>
            <a:defRPr sz="899">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1"/>
              <c:layout>
                <c:manualLayout>
                  <c:x val="-4.2127303182579567E-2"/>
                  <c:y val="7.94583890010138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26A-4ADC-8977-A0EEE6C18671}"/>
                </c:ext>
              </c:extLst>
            </c:dLbl>
            <c:dLbl>
              <c:idx val="2"/>
              <c:layout>
                <c:manualLayout>
                  <c:x val="-3.411501954215522E-2"/>
                  <c:y val="6.901323706377858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26A-4ADC-8977-A0EEE6C18671}"/>
                </c:ext>
              </c:extLst>
            </c:dLbl>
            <c:dLbl>
              <c:idx val="4"/>
              <c:layout>
                <c:manualLayout>
                  <c:x val="-3.9698492462311559E-2"/>
                  <c:y val="6.299638989169674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26A-4ADC-8977-A0EEE6C18671}"/>
                </c:ext>
              </c:extLst>
            </c:dLbl>
            <c:spPr>
              <a:noFill/>
              <a:ln w="25409">
                <a:noFill/>
              </a:ln>
            </c:spPr>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Blad1!$A$4:$A$8</c:f>
              <c:numCache>
                <c:formatCode>General</c:formatCode>
                <c:ptCount val="5"/>
                <c:pt idx="0">
                  <c:v>2013</c:v>
                </c:pt>
                <c:pt idx="1">
                  <c:v>2014</c:v>
                </c:pt>
                <c:pt idx="2">
                  <c:v>2015</c:v>
                </c:pt>
                <c:pt idx="3">
                  <c:v>2016</c:v>
                </c:pt>
                <c:pt idx="4">
                  <c:v>2017</c:v>
                </c:pt>
              </c:numCache>
            </c:numRef>
          </c:cat>
          <c:val>
            <c:numRef>
              <c:f>Blad1!$B$4:$B$8</c:f>
              <c:numCache>
                <c:formatCode>General</c:formatCode>
                <c:ptCount val="5"/>
                <c:pt idx="0">
                  <c:v>67</c:v>
                </c:pt>
                <c:pt idx="1">
                  <c:v>82</c:v>
                </c:pt>
                <c:pt idx="2">
                  <c:v>80</c:v>
                </c:pt>
                <c:pt idx="3">
                  <c:v>88</c:v>
                </c:pt>
                <c:pt idx="4">
                  <c:v>125</c:v>
                </c:pt>
              </c:numCache>
            </c:numRef>
          </c:val>
          <c:smooth val="0"/>
          <c:extLst xmlns:c16r2="http://schemas.microsoft.com/office/drawing/2015/06/chart">
            <c:ext xmlns:c16="http://schemas.microsoft.com/office/drawing/2014/chart" uri="{C3380CC4-5D6E-409C-BE32-E72D297353CC}">
              <c16:uniqueId val="{00000003-926A-4ADC-8977-A0EEE6C18671}"/>
            </c:ext>
          </c:extLst>
        </c:ser>
        <c:dLbls>
          <c:showLegendKey val="0"/>
          <c:showVal val="0"/>
          <c:showCatName val="0"/>
          <c:showSerName val="0"/>
          <c:showPercent val="0"/>
          <c:showBubbleSize val="0"/>
        </c:dLbls>
        <c:marker val="1"/>
        <c:smooth val="0"/>
        <c:axId val="318155008"/>
        <c:axId val="318160896"/>
      </c:lineChart>
      <c:catAx>
        <c:axId val="318155008"/>
        <c:scaling>
          <c:orientation val="minMax"/>
        </c:scaling>
        <c:delete val="0"/>
        <c:axPos val="b"/>
        <c:numFmt formatCode="General" sourceLinked="1"/>
        <c:majorTickMark val="none"/>
        <c:minorTickMark val="none"/>
        <c:tickLblPos val="nextTo"/>
        <c:spPr>
          <a:noFill/>
          <a:ln w="12699"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318160896"/>
        <c:crosses val="autoZero"/>
        <c:auto val="1"/>
        <c:lblAlgn val="ctr"/>
        <c:lblOffset val="100"/>
        <c:noMultiLvlLbl val="0"/>
      </c:catAx>
      <c:valAx>
        <c:axId val="318160896"/>
        <c:scaling>
          <c:orientation val="minMax"/>
          <c:min val="55"/>
        </c:scaling>
        <c:delete val="1"/>
        <c:axPos val="l"/>
        <c:majorGridlines>
          <c:spPr>
            <a:ln w="9523" cap="flat" cmpd="sng" algn="ctr">
              <a:solidFill>
                <a:schemeClr val="tx1">
                  <a:lumMod val="15000"/>
                  <a:lumOff val="85000"/>
                </a:schemeClr>
              </a:solidFill>
              <a:round/>
            </a:ln>
            <a:effectLst/>
          </c:spPr>
        </c:majorGridlines>
        <c:numFmt formatCode="General" sourceLinked="1"/>
        <c:majorTickMark val="out"/>
        <c:minorTickMark val="none"/>
        <c:tickLblPos val="nextTo"/>
        <c:crossAx val="318155008"/>
        <c:crosses val="autoZero"/>
        <c:crossBetween val="between"/>
      </c:valAx>
      <c:spPr>
        <a:noFill/>
        <a:ln w="25409">
          <a:noFill/>
        </a:ln>
      </c:spPr>
    </c:plotArea>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GB" sz="1097" b="0">
                <a:solidFill>
                  <a:srgbClr val="002060"/>
                </a:solidFill>
                <a:latin typeface="Arial" panose="020B0604020202020204" pitchFamily="34" charset="0"/>
                <a:cs typeface="Arial" panose="020B0604020202020204" pitchFamily="34" charset="0"/>
              </a:rPr>
              <a:t>84 complaints in 2017</a:t>
            </a:r>
          </a:p>
        </c:rich>
      </c:tx>
      <c:overlay val="0"/>
      <c:spPr>
        <a:noFill/>
        <a:ln w="25310">
          <a:noFill/>
        </a:ln>
      </c:spPr>
    </c:title>
    <c:autoTitleDeleted val="0"/>
    <c:plotArea>
      <c:layout/>
      <c:pieChart>
        <c:varyColors val="1"/>
        <c:ser>
          <c:idx val="0"/>
          <c:order val="0"/>
          <c:tx>
            <c:strRef>
              <c:f>Blad1!$B$1</c:f>
              <c:strCache>
                <c:ptCount val="1"/>
                <c:pt idx="0">
                  <c:v>[Number of new complaints] complaints in 2014</c:v>
                </c:pt>
              </c:strCache>
            </c:strRef>
          </c:tx>
          <c:spPr>
            <a:solidFill>
              <a:srgbClr val="92D050"/>
            </a:solidFill>
            <a:scene3d>
              <a:camera prst="orthographicFront"/>
              <a:lightRig rig="threePt" dir="t"/>
            </a:scene3d>
            <a:sp3d>
              <a:bevelT w="63500" h="25400"/>
            </a:sp3d>
          </c:spPr>
          <c:dPt>
            <c:idx val="0"/>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19BE-4E9F-B857-625F68D8AE3D}"/>
              </c:ext>
            </c:extLst>
          </c:dPt>
          <c:dPt>
            <c:idx val="1"/>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19BE-4E9F-B857-625F68D8AE3D}"/>
              </c:ext>
            </c:extLst>
          </c:dPt>
          <c:dPt>
            <c:idx val="2"/>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19BE-4E9F-B857-625F68D8AE3D}"/>
              </c:ext>
            </c:extLst>
          </c:dPt>
          <c:dPt>
            <c:idx val="3"/>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19BE-4E9F-B857-625F68D8AE3D}"/>
              </c:ext>
            </c:extLst>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19BE-4E9F-B857-625F68D8AE3D}"/>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9BE-4E9F-B857-625F68D8AE3D}"/>
                </c:ext>
              </c:extLst>
            </c:dLbl>
            <c:dLbl>
              <c:idx val="1"/>
              <c:layout>
                <c:manualLayout>
                  <c:x val="7.4828172961430668E-3"/>
                  <c:y val="-0.31613527817219567"/>
                </c:manualLayout>
              </c:layout>
              <c:spPr>
                <a:noFill/>
                <a:ln w="25310">
                  <a:noFill/>
                </a:ln>
              </c:spPr>
              <c:txPr>
                <a:bodyPr rot="0" spcFirstLastPara="1" vertOverflow="ellipsis" vert="horz" wrap="square" lIns="38100" tIns="19050" rIns="38100" bIns="19050" anchor="ctr" anchorCtr="1">
                  <a:spAutoFit/>
                </a:bodyPr>
                <a:lstStyle/>
                <a:p>
                  <a:pPr>
                    <a:defRPr sz="896"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19BE-4E9F-B857-625F68D8AE3D}"/>
                </c:ext>
              </c:extLst>
            </c:dLbl>
            <c:dLbl>
              <c:idx val="2"/>
              <c:layout>
                <c:manualLayout>
                  <c:x val="-5.1341668890964899E-3"/>
                  <c:y val="7.2574464308764686E-2"/>
                </c:manualLayout>
              </c:layout>
              <c:spPr>
                <a:noFill/>
                <a:ln w="25310">
                  <a:noFill/>
                </a:ln>
              </c:spPr>
              <c:txPr>
                <a:bodyPr rot="0" spcFirstLastPara="1" vertOverflow="ellipsis" vert="horz" wrap="square" lIns="38100" tIns="19050" rIns="38100" bIns="19050" anchor="ctr" anchorCtr="1">
                  <a:spAutoFit/>
                </a:bodyPr>
                <a:lstStyle/>
                <a:p>
                  <a:pPr>
                    <a:defRPr sz="896"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19BE-4E9F-B857-625F68D8AE3D}"/>
                </c:ext>
              </c:extLst>
            </c:dLbl>
            <c:dLbl>
              <c:idx val="3"/>
              <c:layout>
                <c:manualLayout>
                  <c:x val="-4.0287601761644203E-4"/>
                  <c:y val="-1.4940864205498902E-2"/>
                </c:manualLayout>
              </c:layout>
              <c:spPr>
                <a:noFill/>
                <a:ln w="25310">
                  <a:noFill/>
                </a:ln>
              </c:spPr>
              <c:txPr>
                <a:bodyPr rot="0" spcFirstLastPara="1" vertOverflow="ellipsis" vert="horz" wrap="square" lIns="38100" tIns="19050" rIns="38100" bIns="19050" anchor="ctr" anchorCtr="1">
                  <a:spAutoFit/>
                </a:bodyPr>
                <a:lstStyle/>
                <a:p>
                  <a:pPr>
                    <a:defRPr sz="896"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19BE-4E9F-B857-625F68D8AE3D}"/>
                </c:ext>
              </c:extLst>
            </c:dLbl>
            <c:dLbl>
              <c:idx val="4"/>
              <c:layout>
                <c:manualLayout>
                  <c:x val="4.706533776301218E-2"/>
                  <c:y val="-6.572843887471813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19BE-4E9F-B857-625F68D8AE3D}"/>
                </c:ext>
              </c:extLst>
            </c:dLbl>
            <c:dLbl>
              <c:idx val="5"/>
              <c:layout>
                <c:manualLayout>
                  <c:x val="5.5122470156346737E-3"/>
                  <c:y val="4.5358766773871575E-4"/>
                </c:manualLayout>
              </c:layout>
              <c:spPr>
                <a:noFill/>
                <a:ln w="25310">
                  <a:noFill/>
                </a:ln>
              </c:spPr>
              <c:txPr>
                <a:bodyPr rot="0" spcFirstLastPara="1" vertOverflow="ellipsis" vert="horz" wrap="square" lIns="38100" tIns="19050" rIns="38100" bIns="19050" anchor="ctr" anchorCtr="1">
                  <a:spAutoFit/>
                </a:bodyPr>
                <a:lstStyle/>
                <a:p>
                  <a:pPr>
                    <a:defRPr sz="848"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9BE-4E9F-B857-625F68D8AE3D}"/>
                </c:ext>
              </c:extLst>
            </c:dLbl>
            <c:dLbl>
              <c:idx val="6"/>
              <c:layout>
                <c:manualLayout>
                  <c:x val="-2.7685492801770854E-3"/>
                  <c:y val="4.2253521126760653E-2"/>
                </c:manualLayout>
              </c:layout>
              <c:spPr>
                <a:noFill/>
                <a:ln w="25310">
                  <a:noFill/>
                </a:ln>
              </c:spPr>
              <c:txPr>
                <a:bodyPr rot="0" spcFirstLastPara="1" vertOverflow="ellipsis" vert="horz" wrap="square" lIns="38100" tIns="19050" rIns="38100" bIns="19050" anchor="ctr" anchorCtr="1">
                  <a:spAutoFit/>
                </a:bodyPr>
                <a:lstStyle/>
                <a:p>
                  <a:pPr>
                    <a:defRPr sz="848"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9BE-4E9F-B857-625F68D8AE3D}"/>
                </c:ext>
              </c:extLst>
            </c:dLbl>
            <c:dLbl>
              <c:idx val="7"/>
              <c:layout>
                <c:manualLayout>
                  <c:x val="-2.5616710701859943E-2"/>
                  <c:y val="0.10328638497652583"/>
                </c:manualLayout>
              </c:layout>
              <c:spPr>
                <a:noFill/>
                <a:ln w="25310">
                  <a:noFill/>
                </a:ln>
              </c:spPr>
              <c:txPr>
                <a:bodyPr rot="0" spcFirstLastPara="1" vertOverflow="ellipsis" vert="horz" wrap="square" lIns="38100" tIns="19050" rIns="38100" bIns="19050" anchor="ctr" anchorCtr="1">
                  <a:spAutoFit/>
                </a:bodyPr>
                <a:lstStyle/>
                <a:p>
                  <a:pPr>
                    <a:defRPr sz="848"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9BE-4E9F-B857-625F68D8AE3D}"/>
                </c:ext>
              </c:extLst>
            </c:dLbl>
            <c:spPr>
              <a:noFill/>
              <a:ln w="25310">
                <a:noFill/>
              </a:ln>
            </c:spPr>
            <c:txPr>
              <a:bodyPr rot="0" spcFirstLastPara="1" vertOverflow="ellipsis" vert="horz" wrap="square" lIns="38100" tIns="19050" rIns="38100" bIns="19050" anchor="ctr" anchorCtr="1">
                <a:spAutoFit/>
              </a:bodyPr>
              <a:lstStyle/>
              <a:p>
                <a:pPr>
                  <a:defRPr sz="896"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0">
                  <c:v>Sector</c:v>
                </c:pt>
                <c:pt idx="1">
                  <c:v>Audiovisual and media services</c:v>
                </c:pt>
                <c:pt idx="2">
                  <c:v>Electronic communications</c:v>
                </c:pt>
                <c:pt idx="3">
                  <c:v>Cybersecurity and digital trust</c:v>
                </c:pt>
                <c:pt idx="4">
                  <c:v>Other</c:v>
                </c:pt>
              </c:strCache>
            </c:strRef>
          </c:cat>
          <c:val>
            <c:numRef>
              <c:f>Blad1!$B$2:$B$6</c:f>
              <c:numCache>
                <c:formatCode>General</c:formatCode>
                <c:ptCount val="5"/>
                <c:pt idx="0">
                  <c:v>0</c:v>
                </c:pt>
                <c:pt idx="1">
                  <c:v>34</c:v>
                </c:pt>
                <c:pt idx="2">
                  <c:v>25</c:v>
                </c:pt>
                <c:pt idx="3">
                  <c:v>10</c:v>
                </c:pt>
                <c:pt idx="4">
                  <c:v>15</c:v>
                </c:pt>
              </c:numCache>
            </c:numRef>
          </c:val>
          <c:extLst xmlns:c16r2="http://schemas.microsoft.com/office/drawing/2015/06/chart">
            <c:ext xmlns:c16="http://schemas.microsoft.com/office/drawing/2014/chart" uri="{C3380CC4-5D6E-409C-BE32-E72D297353CC}">
              <c16:uniqueId val="{0000000D-19BE-4E9F-B857-625F68D8AE3D}"/>
            </c:ext>
          </c:extLst>
        </c:ser>
        <c:dLbls>
          <c:showLegendKey val="0"/>
          <c:showVal val="0"/>
          <c:showCatName val="0"/>
          <c:showSerName val="0"/>
          <c:showPercent val="0"/>
          <c:showBubbleSize val="0"/>
          <c:showLeaderLines val="0"/>
        </c:dLbls>
        <c:firstSliceAng val="179"/>
      </c:pieChart>
      <c:spPr>
        <a:noFill/>
        <a:ln w="25327">
          <a:noFill/>
        </a:ln>
      </c:spPr>
    </c:plotArea>
    <c:plotVisOnly val="1"/>
    <c:dispBlanksAs val="gap"/>
    <c:showDLblsOverMax val="0"/>
  </c:chart>
  <c:spPr>
    <a:solidFill>
      <a:schemeClr val="bg1"/>
    </a:solidFill>
    <a:ln w="949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9" b="0" i="0" u="none" strike="noStrike" kern="1200" baseline="0">
                <a:solidFill>
                  <a:srgbClr val="002060"/>
                </a:solidFill>
                <a:latin typeface="+mn-lt"/>
                <a:ea typeface="+mn-ea"/>
                <a:cs typeface="+mn-cs"/>
              </a:defRPr>
            </a:pPr>
            <a:r>
              <a:rPr lang="en-US" sz="1049" b="0" baseline="0">
                <a:solidFill>
                  <a:srgbClr val="002060"/>
                </a:solidFill>
                <a:latin typeface="Arial" panose="020B0604020202020204" pitchFamily="34" charset="0"/>
                <a:ea typeface="Verdana" panose="020B0604030504040204" pitchFamily="34" charset="0"/>
                <a:cs typeface="Arial" panose="020B0604020202020204" pitchFamily="34" charset="0"/>
              </a:rPr>
              <a:t>125 </a:t>
            </a:r>
            <a:r>
              <a:rPr lang="en-US" sz="1049"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2017</a:t>
            </a:r>
          </a:p>
        </c:rich>
      </c:tx>
      <c:layout>
        <c:manualLayout>
          <c:xMode val="edge"/>
          <c:yMode val="edge"/>
          <c:x val="0.29329272943446172"/>
          <c:y val="2.9339730971128606E-2"/>
        </c:manualLayout>
      </c:layout>
      <c:overlay val="0"/>
      <c:spPr>
        <a:noFill/>
        <a:ln w="25358">
          <a:noFill/>
        </a:ln>
      </c:spPr>
    </c:title>
    <c:autoTitleDeleted val="0"/>
    <c:plotArea>
      <c:layout>
        <c:manualLayout>
          <c:layoutTarget val="inner"/>
          <c:xMode val="edge"/>
          <c:yMode val="edge"/>
          <c:x val="0.33068202841525057"/>
          <c:y val="0.22884031094238708"/>
          <c:w val="0.36391625669906846"/>
          <c:h val="0.70538313392644114"/>
        </c:manualLayout>
      </c:layout>
      <c:pieChart>
        <c:varyColors val="1"/>
        <c:ser>
          <c:idx val="0"/>
          <c:order val="0"/>
          <c:tx>
            <c:strRef>
              <c:f>Blad1!$B$1</c:f>
              <c:strCache>
                <c:ptCount val="1"/>
                <c:pt idx="0">
                  <c:v>[Number of infringement cases] infringement cases in 2014</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46A5-4066-BDAC-02045E833518}"/>
              </c:ext>
            </c:extLst>
          </c:dPt>
          <c:dPt>
            <c:idx val="1"/>
            <c:bubble3D val="0"/>
            <c:spPr>
              <a:solidFill>
                <a:srgbClr val="C0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46A5-4066-BDAC-02045E833518}"/>
              </c:ext>
            </c:extLst>
          </c:dPt>
          <c:dPt>
            <c:idx val="2"/>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46A5-4066-BDAC-02045E833518}"/>
              </c:ext>
            </c:extLst>
          </c:dPt>
          <c:dPt>
            <c:idx val="3"/>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46A5-4066-BDAC-02045E833518}"/>
              </c:ext>
            </c:extLst>
          </c:dPt>
          <c:dPt>
            <c:idx val="4"/>
            <c:bubble3D val="0"/>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46A5-4066-BDAC-02045E833518}"/>
              </c:ext>
            </c:extLst>
          </c:dPt>
          <c:dPt>
            <c:idx val="5"/>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46A5-4066-BDAC-02045E833518}"/>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6A5-4066-BDAC-02045E833518}"/>
                </c:ext>
              </c:extLst>
            </c:dLbl>
            <c:dLbl>
              <c:idx val="1"/>
              <c:layout>
                <c:manualLayout>
                  <c:x val="4.210165196499658E-2"/>
                  <c:y val="-4.023473036985914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6A5-4066-BDAC-02045E833518}"/>
                </c:ext>
              </c:extLst>
            </c:dLbl>
            <c:dLbl>
              <c:idx val="2"/>
              <c:layout>
                <c:manualLayout>
                  <c:x val="-1.6294740718657382E-2"/>
                  <c:y val="9.4707783041063868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6A5-4066-BDAC-02045E833518}"/>
                </c:ext>
              </c:extLst>
            </c:dLbl>
            <c:dLbl>
              <c:idx val="3"/>
              <c:layout>
                <c:manualLayout>
                  <c:x val="-3.0174227943110675E-3"/>
                  <c:y val="-4.200442325187439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6A5-4066-BDAC-02045E833518}"/>
                </c:ext>
              </c:extLst>
            </c:dLbl>
            <c:dLbl>
              <c:idx val="4"/>
              <c:layout>
                <c:manualLayout>
                  <c:x val="4.4623002998789962E-2"/>
                  <c:y val="-9.158405747090388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6A5-4066-BDAC-02045E833518}"/>
                </c:ext>
              </c:extLst>
            </c:dLbl>
            <c:dLbl>
              <c:idx val="5"/>
              <c:layout>
                <c:manualLayout>
                  <c:x val="-5.8419409711870651E-2"/>
                  <c:y val="-7.701555980801214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6A5-4066-BDAC-02045E833518}"/>
                </c:ext>
              </c:extLst>
            </c:dLbl>
            <c:dLbl>
              <c:idx val="6"/>
              <c:layout>
                <c:manualLayout>
                  <c:x val="-4.4340877540913225E-2"/>
                  <c:y val="-1.8719566332885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46A5-4066-BDAC-02045E833518}"/>
                </c:ext>
              </c:extLst>
            </c:dLbl>
            <c:dLbl>
              <c:idx val="7"/>
              <c:layout>
                <c:manualLayout>
                  <c:x val="-2.4916943521594685E-2"/>
                  <c:y val="6.53594771241830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46A5-4066-BDAC-02045E833518}"/>
                </c:ext>
              </c:extLst>
            </c:dLbl>
            <c:dLbl>
              <c:idx val="8"/>
              <c:layout>
                <c:manualLayout>
                  <c:x val="5.8139534883720929E-2"/>
                  <c:y val="-6.06909430438842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46A5-4066-BDAC-02045E833518}"/>
                </c:ext>
              </c:extLst>
            </c:dLbl>
            <c:spPr>
              <a:noFill/>
              <a:ln w="2535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Blad1!$A$2:$A$7</c:f>
              <c:strCache>
                <c:ptCount val="6"/>
                <c:pt idx="0">
                  <c:v>Sectors</c:v>
                </c:pt>
                <c:pt idx="1">
                  <c:v>Judicial cooperation in criminal matter</c:v>
                </c:pt>
                <c:pt idx="2">
                  <c:v>Criminal law</c:v>
                </c:pt>
                <c:pt idx="3">
                  <c:v>Consumer and marketing law</c:v>
                </c:pt>
                <c:pt idx="4">
                  <c:v>Financial crime</c:v>
                </c:pt>
                <c:pt idx="5">
                  <c:v>Other</c:v>
                </c:pt>
              </c:strCache>
            </c:strRef>
          </c:cat>
          <c:val>
            <c:numRef>
              <c:f>Blad1!$B$2:$B$7</c:f>
              <c:numCache>
                <c:formatCode>General</c:formatCode>
                <c:ptCount val="6"/>
                <c:pt idx="0">
                  <c:v>0</c:v>
                </c:pt>
                <c:pt idx="1">
                  <c:v>43</c:v>
                </c:pt>
                <c:pt idx="2">
                  <c:v>20</c:v>
                </c:pt>
                <c:pt idx="3">
                  <c:v>19</c:v>
                </c:pt>
                <c:pt idx="4">
                  <c:v>18</c:v>
                </c:pt>
                <c:pt idx="5">
                  <c:v>25</c:v>
                </c:pt>
              </c:numCache>
            </c:numRef>
          </c:val>
          <c:extLst xmlns:c16r2="http://schemas.microsoft.com/office/drawing/2015/06/chart">
            <c:ext xmlns:c16="http://schemas.microsoft.com/office/drawing/2014/chart" uri="{C3380CC4-5D6E-409C-BE32-E72D297353CC}">
              <c16:uniqueId val="{0000000F-46A5-4066-BDAC-02045E833518}"/>
            </c:ext>
          </c:extLst>
        </c:ser>
        <c:dLbls>
          <c:showLegendKey val="0"/>
          <c:showVal val="0"/>
          <c:showCatName val="0"/>
          <c:showSerName val="0"/>
          <c:showPercent val="0"/>
          <c:showBubbleSize val="0"/>
          <c:showLeaderLines val="0"/>
        </c:dLbls>
        <c:firstSliceAng val="239"/>
      </c:pieChart>
      <c:spPr>
        <a:noFill/>
        <a:ln w="25375">
          <a:noFill/>
        </a:ln>
      </c:spPr>
    </c:plotArea>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9" b="0" i="0" u="none" strike="noStrike" kern="1200" baseline="0">
                <a:solidFill>
                  <a:srgbClr val="002060"/>
                </a:solidFill>
                <a:latin typeface="+mn-lt"/>
                <a:ea typeface="+mn-ea"/>
                <a:cs typeface="+mn-cs"/>
              </a:defRPr>
            </a:pPr>
            <a:r>
              <a:rPr lang="en-US" sz="1049" b="0" baseline="0">
                <a:solidFill>
                  <a:srgbClr val="002060"/>
                </a:solidFill>
                <a:latin typeface="Arial" panose="020B0604020202020204" pitchFamily="34" charset="0"/>
                <a:ea typeface="Verdana" panose="020B0604030504040204" pitchFamily="34" charset="0"/>
                <a:cs typeface="Arial" panose="020B0604020202020204" pitchFamily="34" charset="0"/>
              </a:rPr>
              <a:t>48 new </a:t>
            </a:r>
            <a:r>
              <a:rPr lang="en-US" sz="1049"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2017</a:t>
            </a:r>
          </a:p>
        </c:rich>
      </c:tx>
      <c:layout>
        <c:manualLayout>
          <c:xMode val="edge"/>
          <c:yMode val="edge"/>
          <c:x val="0.26198615259299485"/>
          <c:y val="2.9339794064203513E-2"/>
        </c:manualLayout>
      </c:layout>
      <c:overlay val="0"/>
      <c:spPr>
        <a:noFill/>
        <a:ln w="25369">
          <a:noFill/>
        </a:ln>
      </c:spPr>
    </c:title>
    <c:autoTitleDeleted val="0"/>
    <c:plotArea>
      <c:layout/>
      <c:pieChart>
        <c:varyColors val="1"/>
        <c:ser>
          <c:idx val="0"/>
          <c:order val="0"/>
          <c:tx>
            <c:strRef>
              <c:f>Blad1!$B$1</c:f>
              <c:strCache>
                <c:ptCount val="1"/>
                <c:pt idx="0">
                  <c:v>[Number of infringement cases] infringement cases in 2014</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9748-4E81-8DF0-022496D96440}"/>
              </c:ext>
            </c:extLst>
          </c:dPt>
          <c:dPt>
            <c:idx val="1"/>
            <c:bubble3D val="0"/>
            <c:spPr>
              <a:solidFill>
                <a:srgbClr val="C0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9748-4E81-8DF0-022496D96440}"/>
              </c:ext>
            </c:extLst>
          </c:dPt>
          <c:dPt>
            <c:idx val="2"/>
            <c:bubble3D val="0"/>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9748-4E81-8DF0-022496D96440}"/>
              </c:ext>
            </c:extLst>
          </c:dPt>
          <c:dPt>
            <c:idx val="3"/>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9748-4E81-8DF0-022496D96440}"/>
              </c:ext>
            </c:extLst>
          </c:dPt>
          <c:dPt>
            <c:idx val="4"/>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9748-4E81-8DF0-022496D96440}"/>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748-4E81-8DF0-022496D96440}"/>
                </c:ext>
              </c:extLst>
            </c:dLbl>
            <c:dLbl>
              <c:idx val="1"/>
              <c:layout>
                <c:manualLayout>
                  <c:x val="8.3272140139785903E-3"/>
                  <c:y val="-0.47907516434298919"/>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748-4E81-8DF0-022496D96440}"/>
                </c:ext>
              </c:extLst>
            </c:dLbl>
            <c:dLbl>
              <c:idx val="2"/>
              <c:layout>
                <c:manualLayout>
                  <c:x val="-1.6744890736972485E-2"/>
                  <c:y val="7.7092212670663877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748-4E81-8DF0-022496D96440}"/>
                </c:ext>
              </c:extLst>
            </c:dLbl>
            <c:dLbl>
              <c:idx val="3"/>
              <c:layout>
                <c:manualLayout>
                  <c:x val="1.1347651066088649E-2"/>
                  <c:y val="-3.029419201040237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748-4E81-8DF0-022496D96440}"/>
                </c:ext>
              </c:extLst>
            </c:dLbl>
            <c:dLbl>
              <c:idx val="4"/>
              <c:layout>
                <c:manualLayout>
                  <c:x val="-1.891090860833407E-4"/>
                  <c:y val="1.271942498013436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748-4E81-8DF0-022496D96440}"/>
                </c:ext>
              </c:extLst>
            </c:dLbl>
            <c:dLbl>
              <c:idx val="5"/>
              <c:layout>
                <c:manualLayout>
                  <c:x val="8.3333333333333332E-3"/>
                  <c:y val="2.349624060150375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748-4E81-8DF0-022496D96440}"/>
                </c:ext>
              </c:extLst>
            </c:dLbl>
            <c:spPr>
              <a:noFill/>
              <a:ln w="2536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0">
                  <c:v>Sectors</c:v>
                </c:pt>
                <c:pt idx="1">
                  <c:v>Judicial cooperation in criminal matters</c:v>
                </c:pt>
                <c:pt idx="2">
                  <c:v>Financial crime</c:v>
                </c:pt>
                <c:pt idx="3">
                  <c:v>Consumer and Marketing law</c:v>
                </c:pt>
                <c:pt idx="4">
                  <c:v>Rule of law</c:v>
                </c:pt>
              </c:strCache>
            </c:strRef>
          </c:cat>
          <c:val>
            <c:numRef>
              <c:f>Blad1!$B$2:$B$6</c:f>
              <c:numCache>
                <c:formatCode>General</c:formatCode>
                <c:ptCount val="5"/>
                <c:pt idx="0">
                  <c:v>0</c:v>
                </c:pt>
                <c:pt idx="1">
                  <c:v>25</c:v>
                </c:pt>
                <c:pt idx="2">
                  <c:v>18</c:v>
                </c:pt>
                <c:pt idx="3">
                  <c:v>3</c:v>
                </c:pt>
                <c:pt idx="4">
                  <c:v>2</c:v>
                </c:pt>
              </c:numCache>
            </c:numRef>
          </c:val>
          <c:extLst xmlns:c16r2="http://schemas.microsoft.com/office/drawing/2015/06/chart">
            <c:ext xmlns:c16="http://schemas.microsoft.com/office/drawing/2014/chart" uri="{C3380CC4-5D6E-409C-BE32-E72D297353CC}">
              <c16:uniqueId val="{0000000B-9748-4E81-8DF0-022496D96440}"/>
            </c:ext>
          </c:extLst>
        </c:ser>
        <c:dLbls>
          <c:showLegendKey val="0"/>
          <c:showVal val="0"/>
          <c:showCatName val="0"/>
          <c:showSerName val="0"/>
          <c:showPercent val="0"/>
          <c:showBubbleSize val="0"/>
          <c:showLeaderLines val="0"/>
        </c:dLbls>
        <c:firstSliceAng val="145"/>
      </c:pieChart>
      <c:spPr>
        <a:noFill/>
        <a:ln w="25386">
          <a:noFill/>
        </a:ln>
      </c:spPr>
    </c:plotArea>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3.7985293160668968E-2"/>
                  <c:y val="7.29884725947718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703-4A5F-B5E8-054963A108CA}"/>
                </c:ext>
              </c:extLst>
            </c:dLbl>
            <c:dLbl>
              <c:idx val="1"/>
              <c:layout>
                <c:manualLayout>
                  <c:x val="-3.6111581093685605E-2"/>
                  <c:y val="9.679799640429562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703-4A5F-B5E8-054963A108CA}"/>
                </c:ext>
              </c:extLst>
            </c:dLbl>
            <c:dLbl>
              <c:idx val="2"/>
              <c:layout>
                <c:manualLayout>
                  <c:x val="-3.9173553719008262E-2"/>
                  <c:y val="-5.818070818070818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703-4A5F-B5E8-054963A108CA}"/>
                </c:ext>
              </c:extLst>
            </c:dLbl>
            <c:spPr>
              <a:noFill/>
              <a:ln w="25415">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19</c:v>
                </c:pt>
                <c:pt idx="1">
                  <c:v>38</c:v>
                </c:pt>
                <c:pt idx="2">
                  <c:v>30</c:v>
                </c:pt>
                <c:pt idx="3">
                  <c:v>34</c:v>
                </c:pt>
                <c:pt idx="4">
                  <c:v>41</c:v>
                </c:pt>
              </c:numCache>
            </c:numRef>
          </c:val>
          <c:smooth val="0"/>
          <c:extLst xmlns:c16r2="http://schemas.microsoft.com/office/drawing/2015/06/chart">
            <c:ext xmlns:c16="http://schemas.microsoft.com/office/drawing/2014/chart" uri="{C3380CC4-5D6E-409C-BE32-E72D297353CC}">
              <c16:uniqueId val="{00000003-1703-4A5F-B5E8-054963A108CA}"/>
            </c:ext>
          </c:extLst>
        </c:ser>
        <c:dLbls>
          <c:showLegendKey val="0"/>
          <c:showVal val="0"/>
          <c:showCatName val="0"/>
          <c:showSerName val="0"/>
          <c:showPercent val="0"/>
          <c:showBubbleSize val="0"/>
        </c:dLbls>
        <c:marker val="1"/>
        <c:smooth val="0"/>
        <c:axId val="321701376"/>
        <c:axId val="321702912"/>
      </c:lineChart>
      <c:catAx>
        <c:axId val="321701376"/>
        <c:scaling>
          <c:orientation val="minMax"/>
        </c:scaling>
        <c:delete val="0"/>
        <c:axPos val="b"/>
        <c:numFmt formatCode="General" sourceLinked="1"/>
        <c:majorTickMark val="none"/>
        <c:minorTickMark val="none"/>
        <c:tickLblPos val="nextTo"/>
        <c:spPr>
          <a:noFill/>
          <a:ln w="12707"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321702912"/>
        <c:crosses val="autoZero"/>
        <c:auto val="1"/>
        <c:lblAlgn val="ctr"/>
        <c:lblOffset val="100"/>
        <c:noMultiLvlLbl val="0"/>
      </c:catAx>
      <c:valAx>
        <c:axId val="321702912"/>
        <c:scaling>
          <c:orientation val="minMax"/>
        </c:scaling>
        <c:delete val="1"/>
        <c:axPos val="l"/>
        <c:majorGridlines>
          <c:spPr>
            <a:ln w="9530" cap="flat" cmpd="sng" algn="ctr">
              <a:solidFill>
                <a:schemeClr val="tx1">
                  <a:lumMod val="15000"/>
                  <a:lumOff val="85000"/>
                </a:schemeClr>
              </a:solidFill>
              <a:round/>
            </a:ln>
            <a:effectLst/>
          </c:spPr>
        </c:majorGridlines>
        <c:numFmt formatCode="General" sourceLinked="1"/>
        <c:majorTickMark val="out"/>
        <c:minorTickMark val="none"/>
        <c:tickLblPos val="nextTo"/>
        <c:crossAx val="321701376"/>
        <c:crosses val="autoZero"/>
        <c:crossBetween val="between"/>
      </c:valAx>
      <c:spPr>
        <a:noFill/>
        <a:ln w="25409">
          <a:noFill/>
        </a:ln>
      </c:spPr>
    </c:plotArea>
    <c:plotVisOnly val="1"/>
    <c:dispBlanksAs val="gap"/>
    <c:showDLblsOverMax val="0"/>
  </c:chart>
  <c:spPr>
    <a:solidFill>
      <a:schemeClr val="bg1"/>
    </a:solidFill>
    <a:ln w="953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2"/>
              <c:layout>
                <c:manualLayout>
                  <c:x val="-3.9532944120100083E-2"/>
                  <c:y val="-4.864726901480345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858-4C01-BCB6-312DD305AFB2}"/>
                </c:ext>
              </c:extLst>
            </c:dLbl>
            <c:spPr>
              <a:noFill/>
              <a:ln w="25363">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16</c:v>
                </c:pt>
                <c:pt idx="1">
                  <c:v>12</c:v>
                </c:pt>
                <c:pt idx="2">
                  <c:v>8</c:v>
                </c:pt>
                <c:pt idx="3">
                  <c:v>6</c:v>
                </c:pt>
                <c:pt idx="4">
                  <c:v>12</c:v>
                </c:pt>
              </c:numCache>
            </c:numRef>
          </c:val>
          <c:smooth val="0"/>
          <c:extLst xmlns:c16r2="http://schemas.microsoft.com/office/drawing/2015/06/chart">
            <c:ext xmlns:c16="http://schemas.microsoft.com/office/drawing/2014/chart" uri="{C3380CC4-5D6E-409C-BE32-E72D297353CC}">
              <c16:uniqueId val="{00000001-7858-4C01-BCB6-312DD305AFB2}"/>
            </c:ext>
          </c:extLst>
        </c:ser>
        <c:dLbls>
          <c:showLegendKey val="0"/>
          <c:showVal val="0"/>
          <c:showCatName val="0"/>
          <c:showSerName val="0"/>
          <c:showPercent val="0"/>
          <c:showBubbleSize val="0"/>
        </c:dLbls>
        <c:marker val="1"/>
        <c:smooth val="0"/>
        <c:axId val="333531776"/>
        <c:axId val="333537664"/>
      </c:lineChart>
      <c:catAx>
        <c:axId val="333531776"/>
        <c:scaling>
          <c:orientation val="minMax"/>
        </c:scaling>
        <c:delete val="0"/>
        <c:axPos val="b"/>
        <c:numFmt formatCode="General" sourceLinked="1"/>
        <c:majorTickMark val="none"/>
        <c:minorTickMark val="none"/>
        <c:tickLblPos val="nextTo"/>
        <c:spPr>
          <a:noFill/>
          <a:ln w="12682"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3537664"/>
        <c:crosses val="autoZero"/>
        <c:auto val="1"/>
        <c:lblAlgn val="ctr"/>
        <c:lblOffset val="100"/>
        <c:noMultiLvlLbl val="0"/>
      </c:catAx>
      <c:valAx>
        <c:axId val="333537664"/>
        <c:scaling>
          <c:orientation val="minMax"/>
        </c:scaling>
        <c:delete val="1"/>
        <c:axPos val="l"/>
        <c:majorGridlines>
          <c:spPr>
            <a:ln w="9511" cap="flat" cmpd="sng" algn="ctr">
              <a:solidFill>
                <a:schemeClr val="tx1">
                  <a:lumMod val="15000"/>
                  <a:lumOff val="85000"/>
                </a:schemeClr>
              </a:solidFill>
              <a:round/>
            </a:ln>
            <a:effectLst/>
          </c:spPr>
        </c:majorGridlines>
        <c:numFmt formatCode="General" sourceLinked="1"/>
        <c:majorTickMark val="out"/>
        <c:minorTickMark val="none"/>
        <c:tickLblPos val="nextTo"/>
        <c:crossAx val="333531776"/>
        <c:crosses val="autoZero"/>
        <c:crossBetween val="between"/>
      </c:valAx>
      <c:spPr>
        <a:noFill/>
        <a:ln w="25409">
          <a:noFill/>
        </a:ln>
      </c:spPr>
    </c:plotArea>
    <c:plotVisOnly val="1"/>
    <c:dispBlanksAs val="gap"/>
    <c:showDLblsOverMax val="0"/>
  </c:chart>
  <c:spPr>
    <a:solidFill>
      <a:schemeClr val="bg1"/>
    </a:solidFill>
    <a:ln w="951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8"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GB" sz="1098" b="0">
                <a:solidFill>
                  <a:srgbClr val="002060"/>
                </a:solidFill>
                <a:latin typeface="Arial" panose="020B0604020202020204" pitchFamily="34" charset="0"/>
                <a:cs typeface="Arial" panose="020B0604020202020204" pitchFamily="34" charset="0"/>
              </a:rPr>
              <a:t>12 complaints in 2017</a:t>
            </a:r>
          </a:p>
        </c:rich>
      </c:tx>
      <c:overlay val="0"/>
      <c:spPr>
        <a:noFill/>
        <a:ln w="25339">
          <a:noFill/>
        </a:ln>
      </c:spPr>
    </c:title>
    <c:autoTitleDeleted val="0"/>
    <c:plotArea>
      <c:layout/>
      <c:pieChart>
        <c:varyColors val="1"/>
        <c:ser>
          <c:idx val="0"/>
          <c:order val="0"/>
          <c:tx>
            <c:strRef>
              <c:f>Blad1!$B$1</c:f>
              <c:strCache>
                <c:ptCount val="1"/>
                <c:pt idx="0">
                  <c:v>[Number of new complaints] complaints in 2014</c:v>
                </c:pt>
              </c:strCache>
            </c:strRef>
          </c:tx>
          <c:spPr>
            <a:solidFill>
              <a:srgbClr val="92D050"/>
            </a:solidFill>
            <a:scene3d>
              <a:camera prst="orthographicFront"/>
              <a:lightRig rig="threePt" dir="t"/>
            </a:scene3d>
            <a:sp3d>
              <a:bevelT w="63500" h="25400"/>
            </a:sp3d>
          </c:spPr>
          <c:dPt>
            <c:idx val="0"/>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E61D-48D2-BB19-A308EAD92BBF}"/>
              </c:ext>
            </c:extLst>
          </c:dPt>
          <c:dPt>
            <c:idx val="1"/>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E61D-48D2-BB19-A308EAD92BBF}"/>
              </c:ext>
            </c:extLst>
          </c:dPt>
          <c:dPt>
            <c:idx val="2"/>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E61D-48D2-BB19-A308EAD92BBF}"/>
              </c:ext>
            </c:extLst>
          </c:dPt>
          <c:dPt>
            <c:idx val="3"/>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E61D-48D2-BB19-A308EAD92BBF}"/>
              </c:ext>
            </c:extLst>
          </c:dPt>
          <c:dPt>
            <c:idx val="4"/>
            <c:bubble3D val="0"/>
            <c:spPr>
              <a:solidFill>
                <a:srgbClr val="C0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E61D-48D2-BB19-A308EAD92BBF}"/>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61D-48D2-BB19-A308EAD92BBF}"/>
                </c:ext>
              </c:extLst>
            </c:dLbl>
            <c:dLbl>
              <c:idx val="1"/>
              <c:layout>
                <c:manualLayout>
                  <c:x val="-4.4184638701135807E-2"/>
                  <c:y val="-0.22861762815362366"/>
                </c:manualLayout>
              </c:layout>
              <c:spPr>
                <a:noFill/>
                <a:ln w="25339">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61D-48D2-BB19-A308EAD92BBF}"/>
                </c:ext>
              </c:extLst>
            </c:dLbl>
            <c:dLbl>
              <c:idx val="2"/>
              <c:layout>
                <c:manualLayout>
                  <c:x val="1.0738510991854858E-2"/>
                  <c:y val="-4.243321078283456E-2"/>
                </c:manualLayout>
              </c:layout>
              <c:spPr>
                <a:noFill/>
                <a:ln w="25339">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61D-48D2-BB19-A308EAD92BBF}"/>
                </c:ext>
              </c:extLst>
            </c:dLbl>
            <c:dLbl>
              <c:idx val="3"/>
              <c:layout>
                <c:manualLayout>
                  <c:x val="-4.1209747037434276E-2"/>
                  <c:y val="3.7915764915350494E-2"/>
                </c:manualLayout>
              </c:layout>
              <c:spPr>
                <a:noFill/>
                <a:ln w="25339">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61D-48D2-BB19-A308EAD92BBF}"/>
                </c:ext>
              </c:extLst>
            </c:dLbl>
            <c:dLbl>
              <c:idx val="4"/>
              <c:layout>
                <c:manualLayout>
                  <c:x val="-1.4467304958973151E-2"/>
                  <c:y val="-2.1968196957836412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61D-48D2-BB19-A308EAD92BBF}"/>
                </c:ext>
              </c:extLst>
            </c:dLbl>
            <c:dLbl>
              <c:idx val="5"/>
              <c:layout>
                <c:manualLayout>
                  <c:x val="0.11902298549890566"/>
                  <c:y val="-0.13890884253503408"/>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61D-48D2-BB19-A308EAD92BBF}"/>
                </c:ext>
              </c:extLst>
            </c:dLbl>
            <c:dLbl>
              <c:idx val="6"/>
              <c:layout>
                <c:manualLayout>
                  <c:x val="-1.1074197120708749E-2"/>
                  <c:y val="-6.572806920261728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61D-48D2-BB19-A308EAD92BBF}"/>
                </c:ext>
              </c:extLst>
            </c:dLbl>
            <c:dLbl>
              <c:idx val="7"/>
              <c:layout>
                <c:manualLayout>
                  <c:x val="1.0266085925305849E-2"/>
                  <c:y val="-7.981220657276995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E61D-48D2-BB19-A308EAD92BBF}"/>
                </c:ext>
              </c:extLst>
            </c:dLbl>
            <c:dLbl>
              <c:idx val="8"/>
              <c:layout>
                <c:manualLayout>
                  <c:x val="4.4296788482835095E-2"/>
                  <c:y val="-9.389671361502346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E61D-48D2-BB19-A308EAD92BBF}"/>
                </c:ext>
              </c:extLst>
            </c:dLbl>
            <c:dLbl>
              <c:idx val="9"/>
              <c:layout>
                <c:manualLayout>
                  <c:x val="4.9833887043189369E-2"/>
                  <c:y val="-5.591845033455325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E61D-48D2-BB19-A308EAD92BBF}"/>
                </c:ext>
              </c:extLst>
            </c:dLbl>
            <c:dLbl>
              <c:idx val="10"/>
              <c:layout>
                <c:manualLayout>
                  <c:x val="6.9213732004429582E-2"/>
                  <c:y val="0.107981220657277"/>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E61D-48D2-BB19-A308EAD92BBF}"/>
                </c:ext>
              </c:extLst>
            </c:dLbl>
            <c:dLbl>
              <c:idx val="11"/>
              <c:layout>
                <c:manualLayout>
                  <c:x val="-0.13565891472868216"/>
                  <c:y val="8.920187793427229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E61D-48D2-BB19-A308EAD92BBF}"/>
                </c:ext>
              </c:extLst>
            </c:dLbl>
            <c:spPr>
              <a:noFill/>
              <a:ln w="2533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3"/>
                <c:pt idx="0">
                  <c:v>Sector</c:v>
                </c:pt>
                <c:pt idx="1">
                  <c:v>Fisheries</c:v>
                </c:pt>
                <c:pt idx="2">
                  <c:v>Other</c:v>
                </c:pt>
              </c:strCache>
            </c:strRef>
          </c:cat>
          <c:val>
            <c:numRef>
              <c:f>Blad1!$B$2:$B$6</c:f>
              <c:numCache>
                <c:formatCode>General</c:formatCode>
                <c:ptCount val="5"/>
                <c:pt idx="0">
                  <c:v>0</c:v>
                </c:pt>
                <c:pt idx="1">
                  <c:v>8</c:v>
                </c:pt>
                <c:pt idx="2">
                  <c:v>4</c:v>
                </c:pt>
              </c:numCache>
            </c:numRef>
          </c:val>
          <c:extLst xmlns:c16r2="http://schemas.microsoft.com/office/drawing/2015/06/chart">
            <c:ext xmlns:c16="http://schemas.microsoft.com/office/drawing/2014/chart" uri="{C3380CC4-5D6E-409C-BE32-E72D297353CC}">
              <c16:uniqueId val="{00000011-E61D-48D2-BB19-A308EAD92BBF}"/>
            </c:ext>
          </c:extLst>
        </c:ser>
        <c:dLbls>
          <c:showLegendKey val="0"/>
          <c:showVal val="0"/>
          <c:showCatName val="0"/>
          <c:showSerName val="0"/>
          <c:showPercent val="0"/>
          <c:showBubbleSize val="0"/>
          <c:showLeaderLines val="0"/>
        </c:dLbls>
        <c:firstSliceAng val="328"/>
      </c:pieChart>
      <c:spPr>
        <a:noFill/>
        <a:ln w="25356">
          <a:noFill/>
        </a:ln>
      </c:spPr>
    </c:plotArea>
    <c:plotVisOnly val="1"/>
    <c:dispBlanksAs val="gap"/>
    <c:showDLblsOverMax val="0"/>
  </c:chart>
  <c:spPr>
    <a:solidFill>
      <a:schemeClr val="bg1"/>
    </a:solidFill>
    <a:ln w="950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Maritime affairs and fisheries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a:noFill/>
              </a:ln>
              <a:effectLst/>
            </c:spPr>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0%</c:formatCode>
                <c:ptCount val="5"/>
                <c:pt idx="0">
                  <c:v>0.91</c:v>
                </c:pt>
                <c:pt idx="1">
                  <c:v>0.92</c:v>
                </c:pt>
                <c:pt idx="2">
                  <c:v>0.88</c:v>
                </c:pt>
                <c:pt idx="3">
                  <c:v>0.9</c:v>
                </c:pt>
                <c:pt idx="4">
                  <c:v>1</c:v>
                </c:pt>
              </c:numCache>
            </c:numRef>
          </c:val>
          <c:smooth val="0"/>
          <c:extLst xmlns:c16r2="http://schemas.microsoft.com/office/drawing/2015/06/chart">
            <c:ext xmlns:c16="http://schemas.microsoft.com/office/drawing/2014/chart" uri="{C3380CC4-5D6E-409C-BE32-E72D297353CC}">
              <c16:uniqueId val="{00000000-7ADF-4F4C-803A-FEE2F653E5A3}"/>
            </c:ext>
          </c:extLst>
        </c:ser>
        <c:ser>
          <c:idx val="1"/>
          <c:order val="1"/>
          <c:tx>
            <c:strRef>
              <c:f>Blad1!$C$2</c:f>
              <c:strCache>
                <c:ptCount val="1"/>
                <c:pt idx="0">
                  <c:v>General rate for all policy areas</c:v>
                </c:pt>
              </c:strCache>
            </c:strRef>
          </c:tx>
          <c:spPr>
            <a:ln w="25382">
              <a:solidFill>
                <a:srgbClr val="92D050"/>
              </a:solidFill>
            </a:ln>
          </c:spPr>
          <c:marker>
            <c:symbol val="square"/>
            <c:size val="4"/>
            <c:spPr>
              <a:solidFill>
                <a:srgbClr val="92D050"/>
              </a:solidFill>
              <a:ln>
                <a:solidFill>
                  <a:srgbClr val="92D050"/>
                </a:solidFill>
              </a:ln>
            </c:spPr>
          </c:marker>
          <c:dLbls>
            <c:spPr>
              <a:noFill/>
              <a:ln>
                <a:noFill/>
              </a:ln>
              <a:effectLst/>
            </c:spPr>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Blad1!$C$3:$C$7</c:f>
              <c:numCache>
                <c:formatCode>0%</c:formatCode>
                <c:ptCount val="5"/>
                <c:pt idx="0">
                  <c:v>0.7</c:v>
                </c:pt>
                <c:pt idx="1">
                  <c:v>0.75</c:v>
                </c:pt>
                <c:pt idx="2">
                  <c:v>0.75</c:v>
                </c:pt>
                <c:pt idx="3">
                  <c:v>0.72</c:v>
                </c:pt>
                <c:pt idx="4">
                  <c:v>0.77</c:v>
                </c:pt>
              </c:numCache>
            </c:numRef>
          </c:val>
          <c:smooth val="0"/>
          <c:extLst xmlns:c16r2="http://schemas.microsoft.com/office/drawing/2015/06/chart">
            <c:ext xmlns:c16="http://schemas.microsoft.com/office/drawing/2014/chart" uri="{C3380CC4-5D6E-409C-BE32-E72D297353CC}">
              <c16:uniqueId val="{00000001-7ADF-4F4C-803A-FEE2F653E5A3}"/>
            </c:ext>
          </c:extLst>
        </c:ser>
        <c:dLbls>
          <c:showLegendKey val="0"/>
          <c:showVal val="0"/>
          <c:showCatName val="0"/>
          <c:showSerName val="0"/>
          <c:showPercent val="0"/>
          <c:showBubbleSize val="0"/>
        </c:dLbls>
        <c:marker val="1"/>
        <c:smooth val="0"/>
        <c:axId val="333916800"/>
        <c:axId val="333922688"/>
      </c:lineChart>
      <c:catAx>
        <c:axId val="333916800"/>
        <c:scaling>
          <c:orientation val="minMax"/>
        </c:scaling>
        <c:delete val="0"/>
        <c:axPos val="b"/>
        <c:numFmt formatCode="General" sourceLinked="1"/>
        <c:majorTickMark val="none"/>
        <c:minorTickMark val="none"/>
        <c:tickLblPos val="nextTo"/>
        <c:spPr>
          <a:noFill/>
          <a:ln w="12691"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3922688"/>
        <c:crosses val="autoZero"/>
        <c:auto val="1"/>
        <c:lblAlgn val="ctr"/>
        <c:lblOffset val="100"/>
        <c:noMultiLvlLbl val="0"/>
      </c:catAx>
      <c:valAx>
        <c:axId val="333922688"/>
        <c:scaling>
          <c:orientation val="minMax"/>
          <c:min val="0.55000000000000004"/>
        </c:scaling>
        <c:delete val="1"/>
        <c:axPos val="l"/>
        <c:majorGridlines>
          <c:spPr>
            <a:ln w="9518" cap="flat" cmpd="sng" algn="ctr">
              <a:solidFill>
                <a:schemeClr val="tx1">
                  <a:lumMod val="15000"/>
                  <a:lumOff val="85000"/>
                </a:schemeClr>
              </a:solidFill>
              <a:round/>
            </a:ln>
            <a:effectLst/>
          </c:spPr>
        </c:majorGridlines>
        <c:numFmt formatCode="0%" sourceLinked="1"/>
        <c:majorTickMark val="none"/>
        <c:minorTickMark val="none"/>
        <c:tickLblPos val="nextTo"/>
        <c:crossAx val="333916800"/>
        <c:crosses val="autoZero"/>
        <c:crossBetween val="between"/>
      </c:valAx>
      <c:spPr>
        <a:noFill/>
        <a:ln w="25382">
          <a:noFill/>
        </a:ln>
      </c:spPr>
    </c:plotArea>
    <c:legend>
      <c:legendPos val="b"/>
      <c:overlay val="0"/>
      <c:txPr>
        <a:bodyPr/>
        <a:lstStyle/>
        <a:p>
          <a:pPr>
            <a:defRPr sz="899">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3"/>
              <c:layout>
                <c:manualLayout>
                  <c:x val="-4.9827701586970502E-2"/>
                  <c:y val="-7.768050639312290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CB8-4A6C-BBFB-C134DEC4DECA}"/>
                </c:ext>
              </c:extLst>
            </c:dLbl>
            <c:dLbl>
              <c:idx val="4"/>
              <c:layout>
                <c:manualLayout>
                  <c:x val="-3.6191914964117958E-2"/>
                  <c:y val="-6.629287718345551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CB8-4A6C-BBFB-C134DEC4DECA}"/>
                </c:ext>
              </c:extLst>
            </c:dLbl>
            <c:spPr>
              <a:noFill/>
              <a:ln w="25351">
                <a:noFill/>
              </a:ln>
            </c:spPr>
            <c:txPr>
              <a:bodyPr/>
              <a:lstStyle/>
              <a:p>
                <a:pPr>
                  <a:defRPr sz="897">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120</c:v>
                </c:pt>
                <c:pt idx="1">
                  <c:v>89</c:v>
                </c:pt>
                <c:pt idx="2">
                  <c:v>90</c:v>
                </c:pt>
                <c:pt idx="3">
                  <c:v>137</c:v>
                </c:pt>
                <c:pt idx="4">
                  <c:v>100</c:v>
                </c:pt>
              </c:numCache>
            </c:numRef>
          </c:val>
          <c:smooth val="0"/>
          <c:extLst xmlns:c16r2="http://schemas.microsoft.com/office/drawing/2015/06/chart">
            <c:ext xmlns:c16="http://schemas.microsoft.com/office/drawing/2014/chart" uri="{C3380CC4-5D6E-409C-BE32-E72D297353CC}">
              <c16:uniqueId val="{00000001-8CB8-4A6C-BBFB-C134DEC4DECA}"/>
            </c:ext>
          </c:extLst>
        </c:ser>
        <c:dLbls>
          <c:showLegendKey val="0"/>
          <c:showVal val="0"/>
          <c:showCatName val="0"/>
          <c:showSerName val="0"/>
          <c:showPercent val="0"/>
          <c:showBubbleSize val="0"/>
        </c:dLbls>
        <c:marker val="1"/>
        <c:smooth val="0"/>
        <c:axId val="334426880"/>
        <c:axId val="334428416"/>
      </c:lineChart>
      <c:catAx>
        <c:axId val="334426880"/>
        <c:scaling>
          <c:orientation val="minMax"/>
        </c:scaling>
        <c:delete val="0"/>
        <c:axPos val="b"/>
        <c:numFmt formatCode="General" sourceLinked="1"/>
        <c:majorTickMark val="none"/>
        <c:minorTickMark val="none"/>
        <c:tickLblPos val="nextTo"/>
        <c:spPr>
          <a:noFill/>
          <a:ln w="12657" cap="flat" cmpd="sng" algn="ctr">
            <a:solidFill>
              <a:schemeClr val="tx1">
                <a:lumMod val="15000"/>
                <a:lumOff val="85000"/>
              </a:schemeClr>
            </a:solidFill>
            <a:round/>
          </a:ln>
          <a:effectLst/>
        </c:spPr>
        <c:txPr>
          <a:bodyPr rot="-60000000" spcFirstLastPara="1" vertOverflow="ellipsis" vert="horz" wrap="square" anchor="ctr" anchorCtr="1"/>
          <a:lstStyle/>
          <a:p>
            <a:pPr>
              <a:defRPr sz="8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4428416"/>
        <c:crosses val="autoZero"/>
        <c:auto val="1"/>
        <c:lblAlgn val="ctr"/>
        <c:lblOffset val="100"/>
        <c:noMultiLvlLbl val="0"/>
      </c:catAx>
      <c:valAx>
        <c:axId val="334428416"/>
        <c:scaling>
          <c:orientation val="minMax"/>
          <c:min val="70"/>
        </c:scaling>
        <c:delete val="1"/>
        <c:axPos val="l"/>
        <c:majorGridlines>
          <c:spPr>
            <a:ln w="9493" cap="flat" cmpd="sng" algn="ctr">
              <a:solidFill>
                <a:schemeClr val="tx1">
                  <a:lumMod val="15000"/>
                  <a:lumOff val="85000"/>
                </a:schemeClr>
              </a:solidFill>
              <a:round/>
            </a:ln>
            <a:effectLst/>
          </c:spPr>
        </c:majorGridlines>
        <c:numFmt formatCode="General" sourceLinked="1"/>
        <c:majorTickMark val="out"/>
        <c:minorTickMark val="none"/>
        <c:tickLblPos val="nextTo"/>
        <c:crossAx val="334426880"/>
        <c:crosses val="autoZero"/>
        <c:crossBetween val="between"/>
      </c:valAx>
      <c:spPr>
        <a:noFill/>
        <a:ln w="25351">
          <a:noFill/>
        </a:ln>
      </c:spPr>
    </c:plotArea>
    <c:plotVisOnly val="1"/>
    <c:dispBlanksAs val="gap"/>
    <c:showDLblsOverMax val="0"/>
  </c:chart>
  <c:spPr>
    <a:solidFill>
      <a:schemeClr val="bg1"/>
    </a:solidFill>
    <a:ln w="949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9"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GB" sz="1099" b="0">
                <a:solidFill>
                  <a:srgbClr val="002060"/>
                </a:solidFill>
                <a:latin typeface="Arial" panose="020B0604020202020204" pitchFamily="34" charset="0"/>
                <a:cs typeface="Arial" panose="020B0604020202020204" pitchFamily="34" charset="0"/>
              </a:rPr>
              <a:t>100 complaints in 2017</a:t>
            </a:r>
          </a:p>
        </c:rich>
      </c:tx>
      <c:overlay val="0"/>
      <c:spPr>
        <a:noFill/>
        <a:ln w="25360">
          <a:noFill/>
        </a:ln>
      </c:spPr>
    </c:title>
    <c:autoTitleDeleted val="0"/>
    <c:plotArea>
      <c:layout/>
      <c:pieChart>
        <c:varyColors val="1"/>
        <c:ser>
          <c:idx val="0"/>
          <c:order val="0"/>
          <c:tx>
            <c:strRef>
              <c:f>Blad1!$B$1</c:f>
              <c:strCache>
                <c:ptCount val="1"/>
                <c:pt idx="0">
                  <c:v>[Number of new complaints] complaints in 2014</c:v>
                </c:pt>
              </c:strCache>
            </c:strRef>
          </c:tx>
          <c:spPr>
            <a:solidFill>
              <a:srgbClr val="92D050"/>
            </a:solidFill>
            <a:scene3d>
              <a:camera prst="orthographicFront"/>
              <a:lightRig rig="threePt" dir="t"/>
            </a:scene3d>
            <a:sp3d>
              <a:bevelT w="63500" h="25400"/>
            </a:sp3d>
          </c:spPr>
          <c:dPt>
            <c:idx val="0"/>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4F21-474C-811A-7CB61C8F5E51}"/>
              </c:ext>
            </c:extLst>
          </c:dPt>
          <c:dPt>
            <c:idx val="1"/>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4F21-474C-811A-7CB61C8F5E51}"/>
              </c:ext>
            </c:extLst>
          </c:dPt>
          <c:dPt>
            <c:idx val="2"/>
            <c:bubble3D val="0"/>
            <c:spPr>
              <a:solidFill>
                <a:srgbClr val="C0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4F21-474C-811A-7CB61C8F5E51}"/>
              </c:ext>
            </c:extLst>
          </c:dPt>
          <c:dPt>
            <c:idx val="3"/>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4F21-474C-811A-7CB61C8F5E51}"/>
              </c:ext>
            </c:extLst>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4F21-474C-811A-7CB61C8F5E51}"/>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F21-474C-811A-7CB61C8F5E51}"/>
                </c:ext>
              </c:extLst>
            </c:dLbl>
            <c:dLbl>
              <c:idx val="1"/>
              <c:layout>
                <c:manualLayout>
                  <c:x val="-2.8817319327288735E-3"/>
                  <c:y val="0.13707117652824516"/>
                </c:manualLayout>
              </c:layout>
              <c:spPr>
                <a:noFill/>
                <a:ln w="25360">
                  <a:noFill/>
                </a:ln>
              </c:spPr>
              <c:txPr>
                <a:bodyPr rot="0" spcFirstLastPara="1" vertOverflow="ellipsis" vert="horz" wrap="square" lIns="38100" tIns="19050" rIns="38100" bIns="19050" anchor="ctr" anchorCtr="1">
                  <a:spAutoFit/>
                </a:bodyPr>
                <a:lstStyle/>
                <a:p>
                  <a:pPr>
                    <a:defRPr sz="898"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F21-474C-811A-7CB61C8F5E51}"/>
                </c:ext>
              </c:extLst>
            </c:dLbl>
            <c:dLbl>
              <c:idx val="2"/>
              <c:layout>
                <c:manualLayout>
                  <c:x val="-3.3249302912859727E-2"/>
                  <c:y val="-7.7968275231156273E-3"/>
                </c:manualLayout>
              </c:layout>
              <c:spPr>
                <a:noFill/>
                <a:ln w="25360">
                  <a:noFill/>
                </a:ln>
              </c:spPr>
              <c:txPr>
                <a:bodyPr rot="0" spcFirstLastPara="1" vertOverflow="ellipsis" vert="horz" wrap="square" lIns="38100" tIns="19050" rIns="38100" bIns="19050" anchor="ctr" anchorCtr="1">
                  <a:spAutoFit/>
                </a:bodyPr>
                <a:lstStyle/>
                <a:p>
                  <a:pPr>
                    <a:defRPr sz="898"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F21-474C-811A-7CB61C8F5E51}"/>
                </c:ext>
              </c:extLst>
            </c:dLbl>
            <c:dLbl>
              <c:idx val="3"/>
              <c:layout>
                <c:manualLayout>
                  <c:x val="8.6942987917156232E-3"/>
                  <c:y val="-4.9007171562060969E-2"/>
                </c:manualLayout>
              </c:layout>
              <c:spPr>
                <a:noFill/>
                <a:ln w="25360">
                  <a:noFill/>
                </a:ln>
              </c:spPr>
              <c:txPr>
                <a:bodyPr rot="0" spcFirstLastPara="1" vertOverflow="ellipsis" vert="horz" wrap="square" lIns="38100" tIns="19050" rIns="38100" bIns="19050" anchor="ctr" anchorCtr="1">
                  <a:spAutoFit/>
                </a:bodyPr>
                <a:lstStyle/>
                <a:p>
                  <a:pPr>
                    <a:defRPr sz="898"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F21-474C-811A-7CB61C8F5E51}"/>
                </c:ext>
              </c:extLst>
            </c:dLbl>
            <c:dLbl>
              <c:idx val="4"/>
              <c:layout>
                <c:manualLayout>
                  <c:x val="-6.1514651982533364E-2"/>
                  <c:y val="-0.14867963211030155"/>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F21-474C-811A-7CB61C8F5E51}"/>
                </c:ext>
              </c:extLst>
            </c:dLbl>
            <c:dLbl>
              <c:idx val="5"/>
              <c:layout>
                <c:manualLayout>
                  <c:x val="5.512465011640987E-3"/>
                  <c:y val="5.1484233484898898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F21-474C-811A-7CB61C8F5E51}"/>
                </c:ext>
              </c:extLst>
            </c:dLbl>
            <c:dLbl>
              <c:idx val="6"/>
              <c:layout>
                <c:manualLayout>
                  <c:x val="-4.706533776301218E-2"/>
                  <c:y val="4.225352112676056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F21-474C-811A-7CB61C8F5E51}"/>
                </c:ext>
              </c:extLst>
            </c:dLbl>
            <c:spPr>
              <a:noFill/>
              <a:ln w="25360">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0">
                  <c:v>Sector</c:v>
                </c:pt>
                <c:pt idx="1">
                  <c:v>Visa policy and document security</c:v>
                </c:pt>
                <c:pt idx="2">
                  <c:v>Asylum</c:v>
                </c:pt>
                <c:pt idx="3">
                  <c:v>Legal migration and integration</c:v>
                </c:pt>
                <c:pt idx="4">
                  <c:v>Other</c:v>
                </c:pt>
              </c:strCache>
            </c:strRef>
          </c:cat>
          <c:val>
            <c:numRef>
              <c:f>Blad1!$B$2:$B$6</c:f>
              <c:numCache>
                <c:formatCode>General</c:formatCode>
                <c:ptCount val="5"/>
                <c:pt idx="0">
                  <c:v>0</c:v>
                </c:pt>
                <c:pt idx="1">
                  <c:v>21</c:v>
                </c:pt>
                <c:pt idx="2">
                  <c:v>20</c:v>
                </c:pt>
                <c:pt idx="3">
                  <c:v>15</c:v>
                </c:pt>
                <c:pt idx="4">
                  <c:v>44</c:v>
                </c:pt>
              </c:numCache>
            </c:numRef>
          </c:val>
          <c:extLst xmlns:c16r2="http://schemas.microsoft.com/office/drawing/2015/06/chart">
            <c:ext xmlns:c16="http://schemas.microsoft.com/office/drawing/2014/chart" uri="{C3380CC4-5D6E-409C-BE32-E72D297353CC}">
              <c16:uniqueId val="{0000000C-4F21-474C-811A-7CB61C8F5E51}"/>
            </c:ext>
          </c:extLst>
        </c:ser>
        <c:dLbls>
          <c:showLegendKey val="0"/>
          <c:showVal val="0"/>
          <c:showCatName val="0"/>
          <c:showSerName val="0"/>
          <c:showPercent val="0"/>
          <c:showBubbleSize val="0"/>
          <c:showLeaderLines val="0"/>
        </c:dLbls>
        <c:firstSliceAng val="294"/>
      </c:pieChart>
      <c:spPr>
        <a:noFill/>
        <a:ln w="25377">
          <a:noFill/>
        </a:ln>
      </c:spPr>
    </c:plotArea>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000000000000001E-2"/>
          <c:y val="6.1728395061728392E-2"/>
          <c:w val="0.93888888888888888"/>
          <c:h val="0.79647127442403032"/>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4"/>
              <c:layout>
                <c:manualLayout>
                  <c:x val="-3.4236473628157897E-2"/>
                  <c:y val="6.436280594236065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96A-4E8B-80AA-0E180F77879F}"/>
                </c:ext>
              </c:extLst>
            </c:dLbl>
            <c:spPr>
              <a:noFill/>
              <a:ln w="25308">
                <a:noFill/>
              </a:ln>
            </c:spPr>
            <c:txPr>
              <a:bodyPr rot="0" spcFirstLastPara="1" vertOverflow="ellipsis" vert="horz" wrap="square" lIns="38100" tIns="19050" rIns="38100" bIns="19050" anchor="ctr" anchorCtr="1">
                <a:spAutoFit/>
              </a:bodyPr>
              <a:lstStyle/>
              <a:p>
                <a:pPr>
                  <a:defRPr sz="897"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61</c:v>
                </c:pt>
                <c:pt idx="1">
                  <c:v>37</c:v>
                </c:pt>
                <c:pt idx="2">
                  <c:v>60</c:v>
                </c:pt>
                <c:pt idx="3">
                  <c:v>35</c:v>
                </c:pt>
                <c:pt idx="4">
                  <c:v>6</c:v>
                </c:pt>
              </c:numCache>
            </c:numRef>
          </c:val>
          <c:smooth val="0"/>
          <c:extLst xmlns:c16r2="http://schemas.microsoft.com/office/drawing/2015/06/chart">
            <c:ext xmlns:c16="http://schemas.microsoft.com/office/drawing/2014/chart" uri="{C3380CC4-5D6E-409C-BE32-E72D297353CC}">
              <c16:uniqueId val="{00000001-896A-4E8B-80AA-0E180F77879F}"/>
            </c:ext>
          </c:extLst>
        </c:ser>
        <c:dLbls>
          <c:showLegendKey val="0"/>
          <c:showVal val="0"/>
          <c:showCatName val="0"/>
          <c:showSerName val="0"/>
          <c:showPercent val="0"/>
          <c:showBubbleSize val="0"/>
        </c:dLbls>
        <c:marker val="1"/>
        <c:smooth val="0"/>
        <c:axId val="334857728"/>
        <c:axId val="334859264"/>
      </c:lineChart>
      <c:catAx>
        <c:axId val="334857728"/>
        <c:scaling>
          <c:orientation val="minMax"/>
        </c:scaling>
        <c:delete val="0"/>
        <c:axPos val="b"/>
        <c:numFmt formatCode="General" sourceLinked="1"/>
        <c:majorTickMark val="none"/>
        <c:minorTickMark val="none"/>
        <c:tickLblPos val="nextTo"/>
        <c:spPr>
          <a:noFill/>
          <a:ln w="12654" cap="flat" cmpd="sng" algn="ctr">
            <a:solidFill>
              <a:schemeClr val="tx1">
                <a:lumMod val="15000"/>
                <a:lumOff val="85000"/>
              </a:schemeClr>
            </a:solidFill>
            <a:round/>
          </a:ln>
          <a:effectLst/>
        </c:spPr>
        <c:txPr>
          <a:bodyPr rot="-60000000" spcFirstLastPara="1" vertOverflow="ellipsis" vert="horz" wrap="square" anchor="ctr" anchorCtr="1"/>
          <a:lstStyle/>
          <a:p>
            <a:pPr>
              <a:defRPr sz="8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4859264"/>
        <c:crosses val="autoZero"/>
        <c:auto val="1"/>
        <c:lblAlgn val="ctr"/>
        <c:lblOffset val="100"/>
        <c:noMultiLvlLbl val="0"/>
      </c:catAx>
      <c:valAx>
        <c:axId val="334859264"/>
        <c:scaling>
          <c:orientation val="minMax"/>
        </c:scaling>
        <c:delete val="1"/>
        <c:axPos val="l"/>
        <c:majorGridlines>
          <c:spPr>
            <a:ln w="9490" cap="flat" cmpd="sng" algn="ctr">
              <a:solidFill>
                <a:schemeClr val="tx1">
                  <a:lumMod val="15000"/>
                  <a:lumOff val="85000"/>
                </a:schemeClr>
              </a:solidFill>
              <a:round/>
            </a:ln>
            <a:effectLst/>
          </c:spPr>
        </c:majorGridlines>
        <c:numFmt formatCode="General" sourceLinked="1"/>
        <c:majorTickMark val="out"/>
        <c:minorTickMark val="none"/>
        <c:tickLblPos val="nextTo"/>
        <c:crossAx val="334857728"/>
        <c:crosses val="autoZero"/>
        <c:crossBetween val="between"/>
      </c:valAx>
      <c:spPr>
        <a:noFill/>
        <a:ln w="25348">
          <a:noFill/>
        </a:ln>
      </c:spPr>
    </c:plotArea>
    <c:plotVisOnly val="1"/>
    <c:dispBlanksAs val="gap"/>
    <c:showDLblsOverMax val="0"/>
  </c:chart>
  <c:spPr>
    <a:solidFill>
      <a:schemeClr val="bg1"/>
    </a:solidFill>
    <a:ln w="949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9" b="0" i="0" u="none" strike="noStrike" kern="1200" baseline="0">
                <a:solidFill>
                  <a:srgbClr val="002060"/>
                </a:solidFill>
                <a:latin typeface="Arial" panose="020B0604020202020204" pitchFamily="34" charset="0"/>
                <a:ea typeface="+mn-ea"/>
                <a:cs typeface="Arial" panose="020B0604020202020204" pitchFamily="34" charset="0"/>
              </a:defRPr>
            </a:pPr>
            <a:r>
              <a:rPr lang="en-US" sz="1099" b="0">
                <a:solidFill>
                  <a:srgbClr val="002060"/>
                </a:solidFill>
                <a:latin typeface="Arial" panose="020B0604020202020204" pitchFamily="34" charset="0"/>
                <a:ea typeface="Verdana" panose="020B0604030504040204" pitchFamily="34" charset="0"/>
                <a:cs typeface="Arial" panose="020B0604020202020204" pitchFamily="34" charset="0"/>
              </a:rPr>
              <a:t>6 EU Pilot files opened in 2017</a:t>
            </a:r>
          </a:p>
        </c:rich>
      </c:tx>
      <c:overlay val="0"/>
      <c:spPr>
        <a:noFill/>
        <a:ln w="25363">
          <a:noFill/>
        </a:ln>
      </c:spPr>
    </c:title>
    <c:autoTitleDeleted val="0"/>
    <c:plotArea>
      <c:layout/>
      <c:pieChart>
        <c:varyColors val="1"/>
        <c:ser>
          <c:idx val="0"/>
          <c:order val="0"/>
          <c:tx>
            <c:strRef>
              <c:f>Blad1!$B$1</c:f>
              <c:strCache>
                <c:ptCount val="1"/>
                <c:pt idx="0">
                  <c:v>[Number of new EU Pilot files ] EU Pilot files opened in 2014</c:v>
                </c:pt>
              </c:strCache>
            </c:strRef>
          </c:tx>
          <c:spPr>
            <a:solidFill>
              <a:schemeClr val="accent1"/>
            </a:solidFill>
            <a:scene3d>
              <a:camera prst="orthographicFront"/>
              <a:lightRig rig="threePt" dir="t"/>
            </a:scene3d>
            <a:sp3d>
              <a:bevelT w="63500" h="25400"/>
            </a:sp3d>
          </c:spPr>
          <c:dPt>
            <c:idx val="0"/>
            <c:bubble3D val="0"/>
            <c:spPr>
              <a:solidFill>
                <a:schemeClr val="accent1"/>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180A-4326-B1A0-01E45ACA172E}"/>
              </c:ext>
            </c:extLst>
          </c:dPt>
          <c:dPt>
            <c:idx val="1"/>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180A-4326-B1A0-01E45ACA172E}"/>
              </c:ext>
            </c:extLst>
          </c:dPt>
          <c:dPt>
            <c:idx val="2"/>
            <c:bubble3D val="0"/>
            <c:spPr>
              <a:solidFill>
                <a:srgbClr val="C0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180A-4326-B1A0-01E45ACA172E}"/>
              </c:ext>
            </c:extLst>
          </c:dPt>
          <c:dPt>
            <c:idx val="3"/>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180A-4326-B1A0-01E45ACA172E}"/>
              </c:ext>
            </c:extLst>
          </c:dPt>
          <c:dPt>
            <c:idx val="4"/>
            <c:bubble3D val="0"/>
            <c:spPr>
              <a:solidFill>
                <a:srgbClr val="99663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180A-4326-B1A0-01E45ACA172E}"/>
              </c:ext>
            </c:extLst>
          </c:dPt>
          <c:dPt>
            <c:idx val="5"/>
            <c:bubble3D val="0"/>
            <c:spPr>
              <a:solidFill>
                <a:schemeClr val="accent5"/>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180A-4326-B1A0-01E45ACA172E}"/>
              </c:ext>
            </c:extLst>
          </c:dPt>
          <c:dPt>
            <c:idx val="6"/>
            <c:bubble3D val="0"/>
            <c:extLst xmlns:c16r2="http://schemas.microsoft.com/office/drawing/2015/06/chart">
              <c:ext xmlns:c16="http://schemas.microsoft.com/office/drawing/2014/chart" uri="{C3380CC4-5D6E-409C-BE32-E72D297353CC}">
                <c16:uniqueId val="{0000000C-180A-4326-B1A0-01E45ACA172E}"/>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80A-4326-B1A0-01E45ACA172E}"/>
                </c:ext>
              </c:extLst>
            </c:dLbl>
            <c:dLbl>
              <c:idx val="1"/>
              <c:layout>
                <c:manualLayout>
                  <c:x val="5.0996826112594956E-3"/>
                  <c:y val="-6.450947923355074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80A-4326-B1A0-01E45ACA172E}"/>
                </c:ext>
              </c:extLst>
            </c:dLbl>
            <c:dLbl>
              <c:idx val="2"/>
              <c:layout>
                <c:manualLayout>
                  <c:x val="4.1257067536161506E-2"/>
                  <c:y val="-6.817782433848129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80A-4326-B1A0-01E45ACA172E}"/>
                </c:ext>
              </c:extLst>
            </c:dLbl>
            <c:dLbl>
              <c:idx val="3"/>
              <c:layout>
                <c:manualLayout>
                  <c:x val="9.136459814769847E-2"/>
                  <c:y val="-0.22755609813794736"/>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80A-4326-B1A0-01E45ACA172E}"/>
                </c:ext>
              </c:extLst>
            </c:dLbl>
            <c:dLbl>
              <c:idx val="4"/>
              <c:layout>
                <c:manualLayout>
                  <c:x val="-4.1491206770959799E-2"/>
                  <c:y val="8.919012537595891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80A-4326-B1A0-01E45ACA172E}"/>
                </c:ext>
              </c:extLst>
            </c:dLbl>
            <c:spPr>
              <a:noFill/>
              <a:ln w="25363">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Blad1!$A$2:$A$8</c:f>
              <c:strCache>
                <c:ptCount val="5"/>
                <c:pt idx="0">
                  <c:v>Sector</c:v>
                </c:pt>
                <c:pt idx="1">
                  <c:v>Visas</c:v>
                </c:pt>
                <c:pt idx="2">
                  <c:v>Asylum</c:v>
                </c:pt>
                <c:pt idx="3">
                  <c:v>Legal migration and integration</c:v>
                </c:pt>
                <c:pt idx="4">
                  <c:v>Irregular migration and return</c:v>
                </c:pt>
              </c:strCache>
            </c:strRef>
          </c:cat>
          <c:val>
            <c:numRef>
              <c:f>Blad1!$B$2:$B$8</c:f>
              <c:numCache>
                <c:formatCode>General</c:formatCode>
                <c:ptCount val="7"/>
                <c:pt idx="0">
                  <c:v>0</c:v>
                </c:pt>
                <c:pt idx="1">
                  <c:v>1</c:v>
                </c:pt>
                <c:pt idx="2">
                  <c:v>1</c:v>
                </c:pt>
                <c:pt idx="3">
                  <c:v>3</c:v>
                </c:pt>
                <c:pt idx="4">
                  <c:v>1</c:v>
                </c:pt>
              </c:numCache>
            </c:numRef>
          </c:val>
          <c:extLst xmlns:c16r2="http://schemas.microsoft.com/office/drawing/2015/06/chart">
            <c:ext xmlns:c16="http://schemas.microsoft.com/office/drawing/2014/chart" uri="{C3380CC4-5D6E-409C-BE32-E72D297353CC}">
              <c16:uniqueId val="{0000000D-180A-4326-B1A0-01E45ACA172E}"/>
            </c:ext>
          </c:extLst>
        </c:ser>
        <c:dLbls>
          <c:showLegendKey val="0"/>
          <c:showVal val="0"/>
          <c:showCatName val="0"/>
          <c:showSerName val="0"/>
          <c:showPercent val="0"/>
          <c:showBubbleSize val="0"/>
          <c:showLeaderLines val="0"/>
        </c:dLbls>
        <c:firstSliceAng val="68"/>
      </c:pieChart>
      <c:spPr>
        <a:noFill/>
        <a:ln w="25387">
          <a:noFill/>
        </a:ln>
      </c:spPr>
    </c:plotArea>
    <c:plotVisOnly val="1"/>
    <c:dispBlanksAs val="gap"/>
    <c:showDLblsOverMax val="0"/>
  </c:chart>
  <c:spPr>
    <a:solidFill>
      <a:schemeClr val="bg1"/>
    </a:solidFill>
    <a:ln w="951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041191808260809E-2"/>
          <c:y val="6.9390748031496058E-2"/>
          <c:w val="0.89880529941980936"/>
          <c:h val="0.79309842519685037"/>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1"/>
              <c:layout>
                <c:manualLayout>
                  <c:x val="-4.1748903508771931E-2"/>
                  <c:y val="6.57814960629921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3504-4451-819F-725889C770D8}"/>
                </c:ext>
              </c:extLst>
            </c:dLbl>
            <c:spPr>
              <a:noFill/>
              <a:ln w="25415">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52</c:v>
                </c:pt>
                <c:pt idx="1">
                  <c:v>12</c:v>
                </c:pt>
                <c:pt idx="2">
                  <c:v>30</c:v>
                </c:pt>
                <c:pt idx="3">
                  <c:v>12</c:v>
                </c:pt>
                <c:pt idx="4">
                  <c:v>2</c:v>
                </c:pt>
              </c:numCache>
            </c:numRef>
          </c:val>
          <c:smooth val="0"/>
          <c:extLst xmlns:c16r2="http://schemas.microsoft.com/office/drawing/2015/06/chart">
            <c:ext xmlns:c16="http://schemas.microsoft.com/office/drawing/2014/chart" uri="{C3380CC4-5D6E-409C-BE32-E72D297353CC}">
              <c16:uniqueId val="{00000001-3504-4451-819F-725889C770D8}"/>
            </c:ext>
          </c:extLst>
        </c:ser>
        <c:dLbls>
          <c:dLblPos val="t"/>
          <c:showLegendKey val="0"/>
          <c:showVal val="1"/>
          <c:showCatName val="0"/>
          <c:showSerName val="0"/>
          <c:showPercent val="0"/>
          <c:showBubbleSize val="0"/>
        </c:dLbls>
        <c:marker val="1"/>
        <c:smooth val="0"/>
        <c:axId val="368100864"/>
        <c:axId val="381534976"/>
      </c:lineChart>
      <c:catAx>
        <c:axId val="368100864"/>
        <c:scaling>
          <c:orientation val="minMax"/>
        </c:scaling>
        <c:delete val="0"/>
        <c:axPos val="b"/>
        <c:numFmt formatCode="General" sourceLinked="1"/>
        <c:majorTickMark val="none"/>
        <c:minorTickMark val="none"/>
        <c:tickLblPos val="nextTo"/>
        <c:spPr>
          <a:noFill/>
          <a:ln w="12707"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81534976"/>
        <c:crosses val="autoZero"/>
        <c:auto val="1"/>
        <c:lblAlgn val="ctr"/>
        <c:lblOffset val="100"/>
        <c:noMultiLvlLbl val="0"/>
      </c:catAx>
      <c:valAx>
        <c:axId val="381534976"/>
        <c:scaling>
          <c:orientation val="minMax"/>
        </c:scaling>
        <c:delete val="1"/>
        <c:axPos val="l"/>
        <c:majorGridlines>
          <c:spPr>
            <a:ln w="9530" cap="flat" cmpd="sng" algn="ctr">
              <a:solidFill>
                <a:schemeClr val="tx1">
                  <a:lumMod val="15000"/>
                  <a:lumOff val="85000"/>
                </a:schemeClr>
              </a:solidFill>
              <a:round/>
            </a:ln>
            <a:effectLst/>
          </c:spPr>
        </c:majorGridlines>
        <c:numFmt formatCode="General" sourceLinked="1"/>
        <c:majorTickMark val="out"/>
        <c:minorTickMark val="none"/>
        <c:tickLblPos val="nextTo"/>
        <c:crossAx val="368100864"/>
        <c:crosses val="autoZero"/>
        <c:crossBetween val="between"/>
      </c:valAx>
      <c:spPr>
        <a:noFill/>
        <a:ln w="25398">
          <a:noFill/>
        </a:ln>
      </c:spPr>
    </c:plotArea>
    <c:plotVisOnly val="1"/>
    <c:dispBlanksAs val="gap"/>
    <c:showDLblsOverMax val="0"/>
  </c:chart>
  <c:spPr>
    <a:solidFill>
      <a:schemeClr val="bg1"/>
    </a:solidFill>
    <a:ln w="953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0454042081949059E-2"/>
          <c:y val="5.4545454545454543E-2"/>
          <c:w val="0.93909191583610185"/>
          <c:h val="0.66677098463420226"/>
        </c:manualLayout>
      </c:layout>
      <c:lineChart>
        <c:grouping val="standard"/>
        <c:varyColors val="0"/>
        <c:ser>
          <c:idx val="0"/>
          <c:order val="0"/>
          <c:tx>
            <c:strRef>
              <c:f>Blad1!$B$2</c:f>
              <c:strCache>
                <c:ptCount val="1"/>
                <c:pt idx="0">
                  <c:v>Migration and Home Affairs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5516388939754621E-2"/>
                  <c:y val="5.179028743979818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3A4-40A0-A381-C9130C617B4A}"/>
                </c:ext>
              </c:extLst>
            </c:dLbl>
            <c:dLbl>
              <c:idx val="3"/>
              <c:layout>
                <c:manualLayout>
                  <c:x val="-5.2747839659577439E-2"/>
                  <c:y val="5.785777081262900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3A4-40A0-A381-C9130C617B4A}"/>
                </c:ext>
              </c:extLst>
            </c:dLbl>
            <c:dLbl>
              <c:idx val="4"/>
              <c:layout>
                <c:manualLayout>
                  <c:x val="-5.5516388939754621E-2"/>
                  <c:y val="7.60621320999923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3A4-40A0-A381-C9130C617B4A}"/>
                </c:ext>
              </c:extLst>
            </c:dLbl>
            <c:spPr>
              <a:noFill/>
              <a:ln>
                <a:noFill/>
              </a:ln>
              <a:effectLst/>
            </c:spPr>
            <c:txPr>
              <a:bodyPr/>
              <a:lstStyle/>
              <a:p>
                <a:pPr>
                  <a:defRPr sz="899">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0%</c:formatCode>
                <c:ptCount val="5"/>
                <c:pt idx="0">
                  <c:v>0.6</c:v>
                </c:pt>
                <c:pt idx="1">
                  <c:v>0.8</c:v>
                </c:pt>
                <c:pt idx="2">
                  <c:v>0.8</c:v>
                </c:pt>
                <c:pt idx="3">
                  <c:v>0.65</c:v>
                </c:pt>
                <c:pt idx="4">
                  <c:v>0.62</c:v>
                </c:pt>
              </c:numCache>
            </c:numRef>
          </c:val>
          <c:smooth val="0"/>
          <c:extLst xmlns:c16r2="http://schemas.microsoft.com/office/drawing/2015/06/chart">
            <c:ext xmlns:c16="http://schemas.microsoft.com/office/drawing/2014/chart" uri="{C3380CC4-5D6E-409C-BE32-E72D297353CC}">
              <c16:uniqueId val="{00000003-B992-4C91-977F-87237F81C1E4}"/>
            </c:ext>
          </c:extLst>
        </c:ser>
        <c:ser>
          <c:idx val="1"/>
          <c:order val="1"/>
          <c:tx>
            <c:strRef>
              <c:f>Blad1!$C$2</c:f>
              <c:strCache>
                <c:ptCount val="1"/>
                <c:pt idx="0">
                  <c:v>General rate for all policy areas</c:v>
                </c:pt>
              </c:strCache>
            </c:strRef>
          </c:tx>
          <c:spPr>
            <a:ln w="25383">
              <a:solidFill>
                <a:srgbClr val="92D050"/>
              </a:solidFill>
            </a:ln>
          </c:spPr>
          <c:marker>
            <c:symbol val="square"/>
            <c:size val="4"/>
            <c:spPr>
              <a:solidFill>
                <a:srgbClr val="92D050"/>
              </a:solidFill>
              <a:ln>
                <a:solidFill>
                  <a:srgbClr val="92D050"/>
                </a:solidFill>
              </a:ln>
            </c:spPr>
          </c:marker>
          <c:dLbls>
            <c:dLbl>
              <c:idx val="0"/>
              <c:layout>
                <c:manualLayout>
                  <c:x val="-5.413211429966603E-2"/>
                  <c:y val="-6.089222918737099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3A4-40A0-A381-C9130C617B4A}"/>
                </c:ext>
              </c:extLst>
            </c:dLbl>
            <c:dLbl>
              <c:idx val="3"/>
              <c:layout>
                <c:manualLayout>
                  <c:x val="-5.1363565019488841E-2"/>
                  <c:y val="-8.516359605534745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3A4-40A0-A381-C9130C617B4A}"/>
                </c:ext>
              </c:extLst>
            </c:dLbl>
            <c:dLbl>
              <c:idx val="4"/>
              <c:layout>
                <c:manualLayout>
                  <c:x val="-5.413211429966603E-2"/>
                  <c:y val="-6.695971256020180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3A4-40A0-A381-C9130C617B4A}"/>
                </c:ext>
              </c:extLst>
            </c:dLbl>
            <c:spPr>
              <a:noFill/>
              <a:ln>
                <a:noFill/>
              </a:ln>
              <a:effectLst/>
            </c:spPr>
            <c:txPr>
              <a:bodyPr/>
              <a:lstStyle/>
              <a:p>
                <a:pPr>
                  <a:defRPr sz="899">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Blad1!$C$3:$C$7</c:f>
              <c:numCache>
                <c:formatCode>0%</c:formatCode>
                <c:ptCount val="5"/>
                <c:pt idx="0">
                  <c:v>0.7</c:v>
                </c:pt>
                <c:pt idx="1">
                  <c:v>0.75</c:v>
                </c:pt>
                <c:pt idx="2">
                  <c:v>0.75</c:v>
                </c:pt>
                <c:pt idx="3">
                  <c:v>0.72</c:v>
                </c:pt>
                <c:pt idx="4">
                  <c:v>0.77</c:v>
                </c:pt>
              </c:numCache>
            </c:numRef>
          </c:val>
          <c:smooth val="0"/>
          <c:extLst xmlns:c16r2="http://schemas.microsoft.com/office/drawing/2015/06/chart">
            <c:ext xmlns:c16="http://schemas.microsoft.com/office/drawing/2014/chart" uri="{C3380CC4-5D6E-409C-BE32-E72D297353CC}">
              <c16:uniqueId val="{00000007-B992-4C91-977F-87237F81C1E4}"/>
            </c:ext>
          </c:extLst>
        </c:ser>
        <c:dLbls>
          <c:showLegendKey val="0"/>
          <c:showVal val="0"/>
          <c:showCatName val="0"/>
          <c:showSerName val="0"/>
          <c:showPercent val="0"/>
          <c:showBubbleSize val="0"/>
        </c:dLbls>
        <c:marker val="1"/>
        <c:smooth val="0"/>
        <c:axId val="334947456"/>
        <c:axId val="334948992"/>
      </c:lineChart>
      <c:catAx>
        <c:axId val="334947456"/>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4948992"/>
        <c:crosses val="autoZero"/>
        <c:auto val="1"/>
        <c:lblAlgn val="ctr"/>
        <c:lblOffset val="100"/>
        <c:noMultiLvlLbl val="0"/>
      </c:catAx>
      <c:valAx>
        <c:axId val="334948992"/>
        <c:scaling>
          <c:orientation val="minMax"/>
        </c:scaling>
        <c:delete val="1"/>
        <c:axPos val="l"/>
        <c:majorGridlines>
          <c:spPr>
            <a:ln w="9519" cap="flat" cmpd="sng" algn="ctr">
              <a:solidFill>
                <a:schemeClr val="tx1">
                  <a:lumMod val="15000"/>
                  <a:lumOff val="85000"/>
                </a:schemeClr>
              </a:solidFill>
              <a:round/>
            </a:ln>
            <a:effectLst/>
          </c:spPr>
        </c:majorGridlines>
        <c:numFmt formatCode="0%" sourceLinked="1"/>
        <c:majorTickMark val="out"/>
        <c:minorTickMark val="none"/>
        <c:tickLblPos val="nextTo"/>
        <c:crossAx val="334947456"/>
        <c:crosses val="autoZero"/>
        <c:crossBetween val="between"/>
      </c:valAx>
      <c:spPr>
        <a:noFill/>
        <a:ln w="25383">
          <a:noFill/>
        </a:ln>
      </c:spPr>
    </c:plotArea>
    <c:legend>
      <c:legendPos val="b"/>
      <c:overlay val="0"/>
      <c:txPr>
        <a:bodyPr/>
        <a:lstStyle/>
        <a:p>
          <a:pPr>
            <a:defRPr sz="899">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Pt>
            <c:idx val="0"/>
            <c:marker>
              <c:spPr>
                <a:effectLst>
                  <a:outerShdw blurRad="40000" dist="23000" dir="5400000" rotWithShape="0">
                    <a:schemeClr val="bg1">
                      <a:alpha val="35000"/>
                    </a:schemeClr>
                  </a:outerShdw>
                </a:effectLst>
              </c:spPr>
            </c:marker>
            <c:bubble3D val="0"/>
            <c:spPr>
              <a:effectLst>
                <a:outerShdw blurRad="40000" dist="23000" dir="5400000" rotWithShape="0">
                  <a:schemeClr val="bg1">
                    <a:alpha val="35000"/>
                  </a:schemeClr>
                </a:outerShdw>
              </a:effectLst>
            </c:spPr>
            <c:extLst xmlns:c16r2="http://schemas.microsoft.com/office/drawing/2015/06/chart">
              <c:ext xmlns:c16="http://schemas.microsoft.com/office/drawing/2014/chart" uri="{C3380CC4-5D6E-409C-BE32-E72D297353CC}">
                <c16:uniqueId val="{00000001-53D7-45AE-B5C4-E7026A41E81E}"/>
              </c:ext>
            </c:extLst>
          </c:dPt>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Blad1!$A$4:$A$8</c:f>
              <c:numCache>
                <c:formatCode>General</c:formatCode>
                <c:ptCount val="5"/>
                <c:pt idx="0">
                  <c:v>2013</c:v>
                </c:pt>
                <c:pt idx="1">
                  <c:v>2014</c:v>
                </c:pt>
                <c:pt idx="2">
                  <c:v>2015</c:v>
                </c:pt>
                <c:pt idx="3">
                  <c:v>2016</c:v>
                </c:pt>
                <c:pt idx="4">
                  <c:v>2017</c:v>
                </c:pt>
              </c:numCache>
            </c:numRef>
          </c:cat>
          <c:val>
            <c:numRef>
              <c:f>Blad1!$B$4:$B$8</c:f>
              <c:numCache>
                <c:formatCode>General</c:formatCode>
                <c:ptCount val="5"/>
                <c:pt idx="0">
                  <c:v>44</c:v>
                </c:pt>
                <c:pt idx="1">
                  <c:v>79</c:v>
                </c:pt>
                <c:pt idx="2">
                  <c:v>109</c:v>
                </c:pt>
                <c:pt idx="3">
                  <c:v>138</c:v>
                </c:pt>
                <c:pt idx="4">
                  <c:v>129</c:v>
                </c:pt>
              </c:numCache>
            </c:numRef>
          </c:val>
          <c:smooth val="0"/>
          <c:extLst xmlns:c16r2="http://schemas.microsoft.com/office/drawing/2015/06/chart">
            <c:ext xmlns:c16="http://schemas.microsoft.com/office/drawing/2014/chart" uri="{C3380CC4-5D6E-409C-BE32-E72D297353CC}">
              <c16:uniqueId val="{00000002-53D7-45AE-B5C4-E7026A41E81E}"/>
            </c:ext>
          </c:extLst>
        </c:ser>
        <c:dLbls>
          <c:showLegendKey val="0"/>
          <c:showVal val="0"/>
          <c:showCatName val="0"/>
          <c:showSerName val="0"/>
          <c:showPercent val="0"/>
          <c:showBubbleSize val="0"/>
        </c:dLbls>
        <c:marker val="1"/>
        <c:smooth val="0"/>
        <c:axId val="335114624"/>
        <c:axId val="335116160"/>
      </c:lineChart>
      <c:catAx>
        <c:axId val="3351146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5116160"/>
        <c:crosses val="autoZero"/>
        <c:auto val="1"/>
        <c:lblAlgn val="ctr"/>
        <c:lblOffset val="100"/>
        <c:noMultiLvlLbl val="0"/>
      </c:catAx>
      <c:valAx>
        <c:axId val="33511616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335114624"/>
        <c:crosses val="autoZero"/>
        <c:crossBetween val="between"/>
      </c:valAx>
      <c:spPr>
        <a:noFill/>
        <a:ln w="2541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9" b="0" i="0" u="none" strike="noStrike" kern="1200" baseline="0">
                <a:solidFill>
                  <a:srgbClr val="002060"/>
                </a:solidFill>
                <a:latin typeface="+mn-lt"/>
                <a:ea typeface="+mn-ea"/>
                <a:cs typeface="+mn-cs"/>
              </a:defRPr>
            </a:pPr>
            <a:r>
              <a:rPr lang="en-US" sz="1049" b="0" baseline="0">
                <a:solidFill>
                  <a:srgbClr val="002060"/>
                </a:solidFill>
                <a:latin typeface="Arial" panose="020B0604020202020204" pitchFamily="34" charset="0"/>
                <a:ea typeface="Verdana" panose="020B0604030504040204" pitchFamily="34" charset="0"/>
                <a:cs typeface="Arial" panose="020B0604020202020204" pitchFamily="34" charset="0"/>
              </a:rPr>
              <a:t>129 </a:t>
            </a:r>
            <a:r>
              <a:rPr lang="en-US" sz="1049"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2017</a:t>
            </a:r>
          </a:p>
        </c:rich>
      </c:tx>
      <c:overlay val="0"/>
      <c:spPr>
        <a:noFill/>
        <a:ln w="25361">
          <a:noFill/>
        </a:ln>
      </c:spPr>
    </c:title>
    <c:autoTitleDeleted val="0"/>
    <c:plotArea>
      <c:layout/>
      <c:pieChart>
        <c:varyColors val="1"/>
        <c:ser>
          <c:idx val="0"/>
          <c:order val="0"/>
          <c:tx>
            <c:strRef>
              <c:f>Blad1!$B$1</c:f>
              <c:strCache>
                <c:ptCount val="1"/>
                <c:pt idx="0">
                  <c:v>[Number of infringement cases] infringement cases in 2014</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B216-42E2-8227-BB92104797AC}"/>
              </c:ext>
            </c:extLst>
          </c:dPt>
          <c:dPt>
            <c:idx val="1"/>
            <c:bubble3D val="0"/>
            <c:spPr>
              <a:solidFill>
                <a:srgbClr val="C0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B216-42E2-8227-BB92104797AC}"/>
              </c:ext>
            </c:extLst>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B216-42E2-8227-BB92104797AC}"/>
              </c:ext>
            </c:extLst>
          </c:dPt>
          <c:dPt>
            <c:idx val="3"/>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B216-42E2-8227-BB92104797AC}"/>
              </c:ext>
            </c:extLst>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B216-42E2-8227-BB92104797AC}"/>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216-42E2-8227-BB92104797AC}"/>
                </c:ext>
              </c:extLst>
            </c:dLbl>
            <c:dLbl>
              <c:idx val="1"/>
              <c:layout>
                <c:manualLayout>
                  <c:x val="1.1013586100973223E-2"/>
                  <c:y val="2.455132514601105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216-42E2-8227-BB92104797AC}"/>
                </c:ext>
              </c:extLst>
            </c:dLbl>
            <c:dLbl>
              <c:idx val="2"/>
              <c:layout>
                <c:manualLayout>
                  <c:x val="-3.3783166026047695E-2"/>
                  <c:y val="9.017507322454258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216-42E2-8227-BB92104797AC}"/>
                </c:ext>
              </c:extLst>
            </c:dLbl>
            <c:dLbl>
              <c:idx val="3"/>
              <c:layout>
                <c:manualLayout>
                  <c:x val="-1.3201104601261336E-3"/>
                  <c:y val="-9.7459964243599984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216-42E2-8227-BB92104797AC}"/>
                </c:ext>
              </c:extLst>
            </c:dLbl>
            <c:dLbl>
              <c:idx val="4"/>
              <c:layout>
                <c:manualLayout>
                  <c:x val="5.460545956636937E-2"/>
                  <c:y val="-6.526826809692266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216-42E2-8227-BB92104797AC}"/>
                </c:ext>
              </c:extLst>
            </c:dLbl>
            <c:dLbl>
              <c:idx val="5"/>
              <c:layout>
                <c:manualLayout>
                  <c:x val="8.3333333333333332E-3"/>
                  <c:y val="2.349624060150375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216-42E2-8227-BB92104797AC}"/>
                </c:ext>
              </c:extLst>
            </c:dLbl>
            <c:spPr>
              <a:noFill/>
              <a:ln w="25361">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0">
                  <c:v>Sectors</c:v>
                </c:pt>
                <c:pt idx="1">
                  <c:v>Asylum</c:v>
                </c:pt>
                <c:pt idx="2">
                  <c:v>Legal migration and integration</c:v>
                </c:pt>
                <c:pt idx="3">
                  <c:v>Organised crime and drugs policy</c:v>
                </c:pt>
                <c:pt idx="4">
                  <c:v>Other</c:v>
                </c:pt>
              </c:strCache>
            </c:strRef>
          </c:cat>
          <c:val>
            <c:numRef>
              <c:f>Blad1!$B$2:$B$6</c:f>
              <c:numCache>
                <c:formatCode>General</c:formatCode>
                <c:ptCount val="5"/>
                <c:pt idx="0">
                  <c:v>0</c:v>
                </c:pt>
                <c:pt idx="1">
                  <c:v>58</c:v>
                </c:pt>
                <c:pt idx="2">
                  <c:v>32</c:v>
                </c:pt>
                <c:pt idx="3">
                  <c:v>18</c:v>
                </c:pt>
                <c:pt idx="4">
                  <c:v>21</c:v>
                </c:pt>
              </c:numCache>
            </c:numRef>
          </c:val>
          <c:extLst xmlns:c16r2="http://schemas.microsoft.com/office/drawing/2015/06/chart">
            <c:ext xmlns:c16="http://schemas.microsoft.com/office/drawing/2014/chart" uri="{C3380CC4-5D6E-409C-BE32-E72D297353CC}">
              <c16:uniqueId val="{0000000B-B216-42E2-8227-BB92104797AC}"/>
            </c:ext>
          </c:extLst>
        </c:ser>
        <c:dLbls>
          <c:showLegendKey val="0"/>
          <c:showVal val="0"/>
          <c:showCatName val="0"/>
          <c:showSerName val="0"/>
          <c:showPercent val="0"/>
          <c:showBubbleSize val="0"/>
          <c:showLeaderLines val="0"/>
        </c:dLbls>
        <c:firstSliceAng val="178"/>
      </c:pieChart>
      <c:spPr>
        <a:noFill/>
        <a:ln w="25378">
          <a:noFill/>
        </a:ln>
      </c:spPr>
    </c:plotArea>
    <c:plotVisOnly val="1"/>
    <c:dispBlanksAs val="gap"/>
    <c:showDLblsOverMax val="0"/>
  </c:chart>
  <c:spPr>
    <a:solidFill>
      <a:schemeClr val="bg1"/>
    </a:solidFill>
    <a:ln w="951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49" b="0" i="0" u="none" strike="noStrike" kern="1200" baseline="0">
                <a:solidFill>
                  <a:srgbClr val="002060"/>
                </a:solidFill>
                <a:latin typeface="Arial" panose="020B0604020202020204" pitchFamily="34" charset="0"/>
                <a:ea typeface="+mn-ea"/>
                <a:cs typeface="Arial" panose="020B0604020202020204" pitchFamily="34" charset="0"/>
              </a:defRPr>
            </a:pPr>
            <a:r>
              <a:rPr lang="en-US" sz="1049" b="0" i="0" baseline="0">
                <a:effectLst/>
                <a:latin typeface="Arial" panose="020B0604020202020204" pitchFamily="34" charset="0"/>
                <a:cs typeface="Arial" panose="020B0604020202020204" pitchFamily="34" charset="0"/>
              </a:rPr>
              <a:t>26 new infringement cases in 2017</a:t>
            </a:r>
            <a:endParaRPr lang="en-GB" sz="1050">
              <a:effectLst/>
              <a:latin typeface="Arial" panose="020B0604020202020204" pitchFamily="34" charset="0"/>
              <a:cs typeface="Arial" panose="020B0604020202020204" pitchFamily="34" charset="0"/>
            </a:endParaRPr>
          </a:p>
        </c:rich>
      </c:tx>
      <c:overlay val="0"/>
      <c:spPr>
        <a:noFill/>
        <a:ln w="25358">
          <a:noFill/>
        </a:ln>
      </c:spPr>
    </c:title>
    <c:autoTitleDeleted val="0"/>
    <c:plotArea>
      <c:layout/>
      <c:pieChart>
        <c:varyColors val="1"/>
        <c:ser>
          <c:idx val="0"/>
          <c:order val="0"/>
          <c:tx>
            <c:strRef>
              <c:f>Blad1!$B$1</c:f>
              <c:strCache>
                <c:ptCount val="1"/>
                <c:pt idx="0">
                  <c:v>[Number of infringement cases] infringement cases in 2017</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69DF-4472-A447-FE863B07A23A}"/>
              </c:ext>
            </c:extLst>
          </c:dPt>
          <c:dPt>
            <c:idx val="1"/>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69DF-4472-A447-FE863B07A23A}"/>
              </c:ext>
            </c:extLst>
          </c:dPt>
          <c:dPt>
            <c:idx val="2"/>
            <c:bubble3D val="0"/>
            <c:spPr>
              <a:solidFill>
                <a:srgbClr val="C0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69DF-4472-A447-FE863B07A23A}"/>
              </c:ext>
            </c:extLst>
          </c:dPt>
          <c:dPt>
            <c:idx val="3"/>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69DF-4472-A447-FE863B07A23A}"/>
              </c:ext>
            </c:extLst>
          </c:dPt>
          <c:dPt>
            <c:idx val="4"/>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69DF-4472-A447-FE863B07A23A}"/>
              </c:ext>
            </c:extLst>
          </c:dPt>
          <c:dPt>
            <c:idx val="5"/>
            <c:bubble3D val="0"/>
            <c:extLst xmlns:c16r2="http://schemas.microsoft.com/office/drawing/2015/06/chart">
              <c:ext xmlns:c16="http://schemas.microsoft.com/office/drawing/2014/chart" uri="{C3380CC4-5D6E-409C-BE32-E72D297353CC}">
                <c16:uniqueId val="{0000000A-69DF-4472-A447-FE863B07A23A}"/>
              </c:ext>
            </c:extLst>
          </c:dPt>
          <c:dPt>
            <c:idx val="6"/>
            <c:bubble3D val="0"/>
            <c:spPr>
              <a:solidFill>
                <a:srgbClr val="00B0F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C-69DF-4472-A447-FE863B07A23A}"/>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9DF-4472-A447-FE863B07A23A}"/>
                </c:ext>
              </c:extLst>
            </c:dLbl>
            <c:dLbl>
              <c:idx val="1"/>
              <c:layout>
                <c:manualLayout>
                  <c:x val="2.1937277890042507E-2"/>
                  <c:y val="-0.4538467095282814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9DF-4472-A447-FE863B07A23A}"/>
                </c:ext>
              </c:extLst>
            </c:dLbl>
            <c:dLbl>
              <c:idx val="2"/>
              <c:layout>
                <c:manualLayout>
                  <c:x val="-3.5960473137760435E-2"/>
                  <c:y val="-2.433495268366683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9DF-4472-A447-FE863B07A23A}"/>
                </c:ext>
              </c:extLst>
            </c:dLbl>
            <c:dLbl>
              <c:idx val="3"/>
              <c:layout>
                <c:manualLayout>
                  <c:x val="1.9453527611374161E-2"/>
                  <c:y val="8.826583592938733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9DF-4472-A447-FE863B07A23A}"/>
                </c:ext>
              </c:extLst>
            </c:dLbl>
            <c:dLbl>
              <c:idx val="4"/>
              <c:layout>
                <c:manualLayout>
                  <c:x val="8.5577660093373283E-5"/>
                  <c:y val="5.424176479086902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9DF-4472-A447-FE863B07A23A}"/>
                </c:ext>
              </c:extLst>
            </c:dLbl>
            <c:dLbl>
              <c:idx val="5"/>
              <c:layout>
                <c:manualLayout>
                  <c:x val="8.3333333333333332E-3"/>
                  <c:y val="2.349624060150375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9DF-4472-A447-FE863B07A23A}"/>
                </c:ext>
              </c:extLst>
            </c:dLbl>
            <c:dLbl>
              <c:idx val="6"/>
              <c:layout>
                <c:manualLayout>
                  <c:x val="-2.2121668304744272E-2"/>
                  <c:y val="0.22484273945887939"/>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69DF-4472-A447-FE863B07A23A}"/>
                </c:ext>
              </c:extLst>
            </c:dLbl>
            <c:spPr>
              <a:noFill/>
              <a:ln w="25358">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Blad1!$A$2:$A$8</c:f>
              <c:strCache>
                <c:ptCount val="7"/>
                <c:pt idx="0">
                  <c:v>Sectors</c:v>
                </c:pt>
                <c:pt idx="1">
                  <c:v>Legal migration and integration</c:v>
                </c:pt>
                <c:pt idx="2">
                  <c:v>Asylum</c:v>
                </c:pt>
                <c:pt idx="4">
                  <c:v>Information systems for borders and security</c:v>
                </c:pt>
                <c:pt idx="6">
                  <c:v>Visa policy and document security</c:v>
                </c:pt>
              </c:strCache>
            </c:strRef>
          </c:cat>
          <c:val>
            <c:numRef>
              <c:f>Blad1!$B$2:$B$8</c:f>
              <c:numCache>
                <c:formatCode>General</c:formatCode>
                <c:ptCount val="7"/>
                <c:pt idx="0">
                  <c:v>0</c:v>
                </c:pt>
                <c:pt idx="1">
                  <c:v>21</c:v>
                </c:pt>
                <c:pt idx="2">
                  <c:v>3</c:v>
                </c:pt>
                <c:pt idx="4">
                  <c:v>1</c:v>
                </c:pt>
                <c:pt idx="6">
                  <c:v>1</c:v>
                </c:pt>
              </c:numCache>
            </c:numRef>
          </c:val>
          <c:extLst xmlns:c16r2="http://schemas.microsoft.com/office/drawing/2015/06/chart">
            <c:ext xmlns:c16="http://schemas.microsoft.com/office/drawing/2014/chart" uri="{C3380CC4-5D6E-409C-BE32-E72D297353CC}">
              <c16:uniqueId val="{0000000D-69DF-4472-A447-FE863B07A23A}"/>
            </c:ext>
          </c:extLst>
        </c:ser>
        <c:dLbls>
          <c:showLegendKey val="0"/>
          <c:showVal val="0"/>
          <c:showCatName val="0"/>
          <c:showSerName val="0"/>
          <c:showPercent val="0"/>
          <c:showBubbleSize val="0"/>
          <c:showLeaderLines val="0"/>
        </c:dLbls>
        <c:firstSliceAng val="98"/>
      </c:pieChart>
      <c:spPr>
        <a:noFill/>
        <a:ln w="25375">
          <a:noFill/>
        </a:ln>
      </c:spPr>
    </c:plotArea>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326">
                <a:noFill/>
              </a:ln>
            </c:spPr>
            <c:txPr>
              <a:bodyPr rot="0" spcFirstLastPara="1" vertOverflow="ellipsis" vert="horz" wrap="square" lIns="38100" tIns="19050" rIns="38100" bIns="19050" anchor="ctr" anchorCtr="1">
                <a:spAutoFit/>
              </a:bodyPr>
              <a:lstStyle/>
              <a:p>
                <a:pPr>
                  <a:defRPr sz="897"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23</c:v>
                </c:pt>
                <c:pt idx="1">
                  <c:v>37</c:v>
                </c:pt>
                <c:pt idx="2">
                  <c:v>48</c:v>
                </c:pt>
                <c:pt idx="3">
                  <c:v>39</c:v>
                </c:pt>
                <c:pt idx="4">
                  <c:v>17</c:v>
                </c:pt>
              </c:numCache>
            </c:numRef>
          </c:val>
          <c:smooth val="0"/>
          <c:extLst xmlns:c16r2="http://schemas.microsoft.com/office/drawing/2015/06/chart">
            <c:ext xmlns:c16="http://schemas.microsoft.com/office/drawing/2014/chart" uri="{C3380CC4-5D6E-409C-BE32-E72D297353CC}">
              <c16:uniqueId val="{00000000-5E4F-4DFC-A3FD-9CAD9112E29A}"/>
            </c:ext>
          </c:extLst>
        </c:ser>
        <c:dLbls>
          <c:showLegendKey val="0"/>
          <c:showVal val="0"/>
          <c:showCatName val="0"/>
          <c:showSerName val="0"/>
          <c:showPercent val="0"/>
          <c:showBubbleSize val="0"/>
        </c:dLbls>
        <c:marker val="1"/>
        <c:smooth val="0"/>
        <c:axId val="338487552"/>
        <c:axId val="338489344"/>
      </c:lineChart>
      <c:catAx>
        <c:axId val="338487552"/>
        <c:scaling>
          <c:orientation val="minMax"/>
        </c:scaling>
        <c:delete val="0"/>
        <c:axPos val="b"/>
        <c:numFmt formatCode="General" sourceLinked="1"/>
        <c:majorTickMark val="none"/>
        <c:minorTickMark val="none"/>
        <c:tickLblPos val="nextTo"/>
        <c:spPr>
          <a:noFill/>
          <a:ln w="12663" cap="flat" cmpd="sng" algn="ctr">
            <a:solidFill>
              <a:schemeClr val="tx1">
                <a:lumMod val="15000"/>
                <a:lumOff val="85000"/>
              </a:schemeClr>
            </a:solidFill>
            <a:round/>
          </a:ln>
          <a:effectLst/>
        </c:spPr>
        <c:txPr>
          <a:bodyPr rot="-60000000" spcFirstLastPara="1" vertOverflow="ellipsis" vert="horz" wrap="square" anchor="ctr" anchorCtr="1"/>
          <a:lstStyle/>
          <a:p>
            <a:pPr>
              <a:defRPr sz="8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8489344"/>
        <c:crosses val="autoZero"/>
        <c:auto val="1"/>
        <c:lblAlgn val="ctr"/>
        <c:lblOffset val="100"/>
        <c:noMultiLvlLbl val="0"/>
      </c:catAx>
      <c:valAx>
        <c:axId val="338489344"/>
        <c:scaling>
          <c:orientation val="minMax"/>
        </c:scaling>
        <c:delete val="1"/>
        <c:axPos val="l"/>
        <c:majorGridlines>
          <c:spPr>
            <a:ln w="9498" cap="flat" cmpd="sng" algn="ctr">
              <a:solidFill>
                <a:schemeClr val="tx1">
                  <a:lumMod val="15000"/>
                  <a:lumOff val="85000"/>
                </a:schemeClr>
              </a:solidFill>
              <a:round/>
            </a:ln>
            <a:effectLst/>
          </c:spPr>
        </c:majorGridlines>
        <c:numFmt formatCode="General" sourceLinked="1"/>
        <c:majorTickMark val="out"/>
        <c:minorTickMark val="none"/>
        <c:tickLblPos val="nextTo"/>
        <c:crossAx val="338487552"/>
        <c:crosses val="autoZero"/>
        <c:crossBetween val="between"/>
      </c:valAx>
      <c:spPr>
        <a:noFill/>
        <a:ln w="25375">
          <a:noFill/>
        </a:ln>
      </c:spPr>
    </c:plotArea>
    <c:plotVisOnly val="1"/>
    <c:dispBlanksAs val="gap"/>
    <c:showDLblsOverMax val="0"/>
  </c:chart>
  <c:spPr>
    <a:solidFill>
      <a:schemeClr val="bg1"/>
    </a:solidFill>
    <a:ln w="949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387">
                <a:noFill/>
              </a:ln>
            </c:spPr>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102</c:v>
                </c:pt>
                <c:pt idx="1">
                  <c:v>124</c:v>
                </c:pt>
                <c:pt idx="2">
                  <c:v>155</c:v>
                </c:pt>
                <c:pt idx="3">
                  <c:v>193</c:v>
                </c:pt>
                <c:pt idx="4">
                  <c:v>173</c:v>
                </c:pt>
              </c:numCache>
            </c:numRef>
          </c:val>
          <c:smooth val="0"/>
          <c:extLst xmlns:c16r2="http://schemas.microsoft.com/office/drawing/2015/06/chart">
            <c:ext xmlns:c16="http://schemas.microsoft.com/office/drawing/2014/chart" uri="{C3380CC4-5D6E-409C-BE32-E72D297353CC}">
              <c16:uniqueId val="{00000000-A00C-4664-AF2C-CD7B2B2A3785}"/>
            </c:ext>
          </c:extLst>
        </c:ser>
        <c:dLbls>
          <c:showLegendKey val="0"/>
          <c:showVal val="0"/>
          <c:showCatName val="0"/>
          <c:showSerName val="0"/>
          <c:showPercent val="0"/>
          <c:showBubbleSize val="0"/>
        </c:dLbls>
        <c:marker val="1"/>
        <c:smooth val="0"/>
        <c:axId val="341265024"/>
        <c:axId val="341275008"/>
      </c:lineChart>
      <c:catAx>
        <c:axId val="341265024"/>
        <c:scaling>
          <c:orientation val="minMax"/>
        </c:scaling>
        <c:delete val="0"/>
        <c:axPos val="b"/>
        <c:numFmt formatCode="General" sourceLinked="1"/>
        <c:majorTickMark val="none"/>
        <c:minorTickMark val="none"/>
        <c:tickLblPos val="nextTo"/>
        <c:spPr>
          <a:noFill/>
          <a:ln w="12687"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41275008"/>
        <c:crosses val="autoZero"/>
        <c:auto val="1"/>
        <c:lblAlgn val="ctr"/>
        <c:lblOffset val="100"/>
        <c:noMultiLvlLbl val="0"/>
      </c:catAx>
      <c:valAx>
        <c:axId val="341275008"/>
        <c:scaling>
          <c:orientation val="minMax"/>
          <c:min val="40"/>
        </c:scaling>
        <c:delete val="1"/>
        <c:axPos val="l"/>
        <c:majorGridlines>
          <c:spPr>
            <a:ln w="9515" cap="flat" cmpd="sng" algn="ctr">
              <a:solidFill>
                <a:schemeClr val="tx1">
                  <a:lumMod val="15000"/>
                  <a:lumOff val="85000"/>
                </a:schemeClr>
              </a:solidFill>
              <a:round/>
            </a:ln>
            <a:effectLst/>
          </c:spPr>
        </c:majorGridlines>
        <c:numFmt formatCode="General" sourceLinked="1"/>
        <c:majorTickMark val="out"/>
        <c:minorTickMark val="none"/>
        <c:tickLblPos val="nextTo"/>
        <c:crossAx val="341265024"/>
        <c:crosses val="autoZero"/>
        <c:crossBetween val="between"/>
      </c:valAx>
      <c:spPr>
        <a:noFill/>
        <a:ln w="25387">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9"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GB" sz="1099" b="0">
                <a:solidFill>
                  <a:srgbClr val="002060"/>
                </a:solidFill>
                <a:latin typeface="Arial" panose="020B0604020202020204" pitchFamily="34" charset="0"/>
                <a:cs typeface="Arial" panose="020B0604020202020204" pitchFamily="34" charset="0"/>
              </a:rPr>
              <a:t>173 complaints in 2017</a:t>
            </a:r>
          </a:p>
        </c:rich>
      </c:tx>
      <c:overlay val="0"/>
      <c:spPr>
        <a:noFill/>
        <a:ln w="25358">
          <a:noFill/>
        </a:ln>
      </c:spPr>
    </c:title>
    <c:autoTitleDeleted val="0"/>
    <c:plotArea>
      <c:layout/>
      <c:pieChart>
        <c:varyColors val="1"/>
        <c:ser>
          <c:idx val="0"/>
          <c:order val="0"/>
          <c:tx>
            <c:strRef>
              <c:f>Blad1!$B$1</c:f>
              <c:strCache>
                <c:ptCount val="1"/>
                <c:pt idx="0">
                  <c:v>[Number of new complaints] complaints in 2017</c:v>
                </c:pt>
              </c:strCache>
            </c:strRef>
          </c:tx>
          <c:spPr>
            <a:solidFill>
              <a:srgbClr val="92D050"/>
            </a:solidFill>
            <a:scene3d>
              <a:camera prst="orthographicFront"/>
              <a:lightRig rig="threePt" dir="t"/>
            </a:scene3d>
            <a:sp3d>
              <a:bevelT w="63500" h="25400"/>
            </a:sp3d>
          </c:spPr>
          <c:dPt>
            <c:idx val="0"/>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6B74-4521-9B3F-2BE1DDFF18B3}"/>
              </c:ext>
            </c:extLst>
          </c:dPt>
          <c:dPt>
            <c:idx val="1"/>
            <c:bubble3D val="0"/>
            <c:explosion val="1"/>
            <c:spPr>
              <a:solidFill>
                <a:srgbClr val="009242"/>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6B74-4521-9B3F-2BE1DDFF18B3}"/>
              </c:ext>
            </c:extLst>
          </c:dPt>
          <c:dPt>
            <c:idx val="2"/>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6B74-4521-9B3F-2BE1DDFF18B3}"/>
              </c:ext>
            </c:extLst>
          </c:dPt>
          <c:dPt>
            <c:idx val="3"/>
            <c:bubble3D val="0"/>
            <c:spPr>
              <a:solidFill>
                <a:srgbClr val="C0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6B74-4521-9B3F-2BE1DDFF18B3}"/>
              </c:ext>
            </c:extLst>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6B74-4521-9B3F-2BE1DDFF18B3}"/>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B74-4521-9B3F-2BE1DDFF18B3}"/>
                </c:ext>
              </c:extLst>
            </c:dLbl>
            <c:dLbl>
              <c:idx val="1"/>
              <c:layout>
                <c:manualLayout>
                  <c:x val="-7.1921767678065282E-2"/>
                  <c:y val="0.12686466304783989"/>
                </c:manualLayout>
              </c:layout>
              <c:spPr>
                <a:noFill/>
                <a:ln w="25358">
                  <a:noFill/>
                </a:ln>
              </c:spPr>
              <c:txPr>
                <a:bodyPr rot="0" spcFirstLastPara="1" vertOverflow="ellipsis" vert="horz" wrap="square" lIns="38100" tIns="19050" rIns="38100" bIns="19050" anchor="ctr" anchorCtr="1">
                  <a:spAutoFit/>
                </a:bodyPr>
                <a:lstStyle/>
                <a:p>
                  <a:pPr>
                    <a:defRPr sz="898"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B74-4521-9B3F-2BE1DDFF18B3}"/>
                </c:ext>
              </c:extLst>
            </c:dLbl>
            <c:dLbl>
              <c:idx val="2"/>
              <c:layout>
                <c:manualLayout>
                  <c:x val="-1.9721384329446381E-2"/>
                  <c:y val="-7.4014498187726541E-2"/>
                </c:manualLayout>
              </c:layout>
              <c:spPr>
                <a:noFill/>
                <a:ln w="25358">
                  <a:noFill/>
                </a:ln>
              </c:spPr>
              <c:txPr>
                <a:bodyPr rot="0" spcFirstLastPara="1" vertOverflow="ellipsis" vert="horz" wrap="square" lIns="38100" tIns="19050" rIns="38100" bIns="19050" anchor="ctr" anchorCtr="1">
                  <a:spAutoFit/>
                </a:bodyPr>
                <a:lstStyle/>
                <a:p>
                  <a:pPr>
                    <a:defRPr sz="84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B74-4521-9B3F-2BE1DDFF18B3}"/>
                </c:ext>
              </c:extLst>
            </c:dLbl>
            <c:dLbl>
              <c:idx val="3"/>
              <c:layout>
                <c:manualLayout>
                  <c:x val="1.6906746281447716E-2"/>
                  <c:y val="-1.4906843733380644E-2"/>
                </c:manualLayout>
              </c:layout>
              <c:spPr>
                <a:noFill/>
                <a:ln w="25358">
                  <a:noFill/>
                </a:ln>
              </c:spPr>
              <c:txPr>
                <a:bodyPr rot="0" spcFirstLastPara="1" vertOverflow="ellipsis" vert="horz" wrap="square" lIns="38100" tIns="19050" rIns="38100" bIns="19050" anchor="ctr" anchorCtr="1">
                  <a:spAutoFit/>
                </a:bodyPr>
                <a:lstStyle/>
                <a:p>
                  <a:pPr>
                    <a:defRPr sz="898"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B74-4521-9B3F-2BE1DDFF18B3}"/>
                </c:ext>
              </c:extLst>
            </c:dLbl>
            <c:dLbl>
              <c:idx val="4"/>
              <c:layout>
                <c:manualLayout>
                  <c:x val="-8.0170362973901191E-2"/>
                  <c:y val="-5.654483078644417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B74-4521-9B3F-2BE1DDFF18B3}"/>
                </c:ext>
              </c:extLst>
            </c:dLbl>
            <c:dLbl>
              <c:idx val="5"/>
              <c:layout>
                <c:manualLayout>
                  <c:x val="1.1049563571995361E-2"/>
                  <c:y val="-8.853996800695770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B74-4521-9B3F-2BE1DDFF18B3}"/>
                </c:ext>
              </c:extLst>
            </c:dLbl>
            <c:dLbl>
              <c:idx val="6"/>
              <c:layout>
                <c:manualLayout>
                  <c:x val="-4.706533776301218E-2"/>
                  <c:y val="4.225352112676056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B74-4521-9B3F-2BE1DDFF18B3}"/>
                </c:ext>
              </c:extLst>
            </c:dLbl>
            <c:spPr>
              <a:noFill/>
              <a:ln w="25358">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0">
                  <c:v>Sector</c:v>
                </c:pt>
                <c:pt idx="1">
                  <c:v>Road transport</c:v>
                </c:pt>
                <c:pt idx="2">
                  <c:v>Road safety</c:v>
                </c:pt>
                <c:pt idx="3">
                  <c:v>Passengers rights</c:v>
                </c:pt>
                <c:pt idx="4">
                  <c:v>Other</c:v>
                </c:pt>
              </c:strCache>
            </c:strRef>
          </c:cat>
          <c:val>
            <c:numRef>
              <c:f>Blad1!$B$2:$B$6</c:f>
              <c:numCache>
                <c:formatCode>General</c:formatCode>
                <c:ptCount val="5"/>
                <c:pt idx="0">
                  <c:v>0</c:v>
                </c:pt>
                <c:pt idx="1">
                  <c:v>64</c:v>
                </c:pt>
                <c:pt idx="2">
                  <c:v>33</c:v>
                </c:pt>
                <c:pt idx="3">
                  <c:v>23</c:v>
                </c:pt>
                <c:pt idx="4">
                  <c:v>53</c:v>
                </c:pt>
              </c:numCache>
            </c:numRef>
          </c:val>
          <c:extLst xmlns:c16r2="http://schemas.microsoft.com/office/drawing/2015/06/chart">
            <c:ext xmlns:c16="http://schemas.microsoft.com/office/drawing/2014/chart" uri="{C3380CC4-5D6E-409C-BE32-E72D297353CC}">
              <c16:uniqueId val="{0000000C-6B74-4521-9B3F-2BE1DDFF18B3}"/>
            </c:ext>
          </c:extLst>
        </c:ser>
        <c:dLbls>
          <c:showLegendKey val="0"/>
          <c:showVal val="0"/>
          <c:showCatName val="0"/>
          <c:showSerName val="0"/>
          <c:showPercent val="0"/>
          <c:showBubbleSize val="0"/>
          <c:showLeaderLines val="0"/>
        </c:dLbls>
        <c:firstSliceAng val="266"/>
      </c:pieChart>
      <c:spPr>
        <a:noFill/>
        <a:ln w="25375">
          <a:noFill/>
        </a:ln>
      </c:spPr>
    </c:plotArea>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59381898454746E-2"/>
          <c:y val="8.6206896551724144E-2"/>
          <c:w val="0.93930273748129822"/>
          <c:h val="0.81635945824808975"/>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346">
                <a:noFill/>
              </a:ln>
            </c:spPr>
            <c:txPr>
              <a:bodyPr/>
              <a:lstStyle/>
              <a:p>
                <a:pPr>
                  <a:defRPr sz="898">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286</c:v>
                </c:pt>
                <c:pt idx="1">
                  <c:v>156</c:v>
                </c:pt>
                <c:pt idx="2">
                  <c:v>123</c:v>
                </c:pt>
                <c:pt idx="3">
                  <c:v>106</c:v>
                </c:pt>
                <c:pt idx="4">
                  <c:v>5</c:v>
                </c:pt>
              </c:numCache>
            </c:numRef>
          </c:val>
          <c:smooth val="0"/>
          <c:extLst xmlns:c16r2="http://schemas.microsoft.com/office/drawing/2015/06/chart">
            <c:ext xmlns:c16="http://schemas.microsoft.com/office/drawing/2014/chart" uri="{C3380CC4-5D6E-409C-BE32-E72D297353CC}">
              <c16:uniqueId val="{00000000-3942-425A-8816-CB94A03128AE}"/>
            </c:ext>
          </c:extLst>
        </c:ser>
        <c:dLbls>
          <c:showLegendKey val="0"/>
          <c:showVal val="0"/>
          <c:showCatName val="0"/>
          <c:showSerName val="0"/>
          <c:showPercent val="0"/>
          <c:showBubbleSize val="0"/>
        </c:dLbls>
        <c:marker val="1"/>
        <c:smooth val="0"/>
        <c:axId val="341360000"/>
        <c:axId val="341365888"/>
      </c:lineChart>
      <c:catAx>
        <c:axId val="341360000"/>
        <c:scaling>
          <c:orientation val="minMax"/>
        </c:scaling>
        <c:delete val="0"/>
        <c:axPos val="b"/>
        <c:numFmt formatCode="General" sourceLinked="1"/>
        <c:majorTickMark val="none"/>
        <c:minorTickMark val="none"/>
        <c:tickLblPos val="nextTo"/>
        <c:spPr>
          <a:noFill/>
          <a:ln w="12668"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41365888"/>
        <c:crosses val="autoZero"/>
        <c:auto val="1"/>
        <c:lblAlgn val="ctr"/>
        <c:lblOffset val="100"/>
        <c:noMultiLvlLbl val="0"/>
      </c:catAx>
      <c:valAx>
        <c:axId val="341365888"/>
        <c:scaling>
          <c:orientation val="minMax"/>
          <c:min val="0"/>
        </c:scaling>
        <c:delete val="1"/>
        <c:axPos val="l"/>
        <c:majorGridlines>
          <c:spPr>
            <a:ln w="9501" cap="flat" cmpd="sng" algn="ctr">
              <a:solidFill>
                <a:schemeClr val="tx1">
                  <a:lumMod val="15000"/>
                  <a:lumOff val="85000"/>
                </a:schemeClr>
              </a:solidFill>
              <a:round/>
            </a:ln>
            <a:effectLst/>
          </c:spPr>
        </c:majorGridlines>
        <c:numFmt formatCode="General" sourceLinked="1"/>
        <c:majorTickMark val="none"/>
        <c:minorTickMark val="none"/>
        <c:tickLblPos val="nextTo"/>
        <c:crossAx val="341360000"/>
        <c:crosses val="autoZero"/>
        <c:crossBetween val="between"/>
      </c:valAx>
    </c:plotArea>
    <c:plotVisOnly val="1"/>
    <c:dispBlanksAs val="gap"/>
    <c:showDLblsOverMax val="0"/>
  </c:chart>
  <c:spPr>
    <a:solidFill>
      <a:schemeClr val="bg1"/>
    </a:solidFill>
    <a:ln w="950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8" b="0" i="0" u="none" strike="noStrike" kern="1200" baseline="0">
                <a:solidFill>
                  <a:srgbClr val="002060"/>
                </a:solidFill>
                <a:latin typeface="Arial" panose="020B0604020202020204" pitchFamily="34" charset="0"/>
                <a:ea typeface="+mn-ea"/>
                <a:cs typeface="Arial" panose="020B0604020202020204" pitchFamily="34" charset="0"/>
              </a:defRPr>
            </a:pPr>
            <a:r>
              <a:rPr lang="en-US" sz="1098" b="0" baseline="0">
                <a:solidFill>
                  <a:srgbClr val="002060"/>
                </a:solidFill>
                <a:latin typeface="Arial" panose="020B0604020202020204" pitchFamily="34" charset="0"/>
                <a:ea typeface="Verdana" panose="020B0604030504040204" pitchFamily="34" charset="0"/>
                <a:cs typeface="Arial" panose="020B0604020202020204" pitchFamily="34" charset="0"/>
              </a:rPr>
              <a:t>5 </a:t>
            </a:r>
            <a:r>
              <a:rPr lang="en-US" sz="1098" b="0">
                <a:solidFill>
                  <a:srgbClr val="002060"/>
                </a:solidFill>
                <a:latin typeface="Arial" panose="020B0604020202020204" pitchFamily="34" charset="0"/>
                <a:ea typeface="Verdana" panose="020B0604030504040204" pitchFamily="34" charset="0"/>
                <a:cs typeface="Arial" panose="020B0604020202020204" pitchFamily="34" charset="0"/>
              </a:rPr>
              <a:t>EU Pilot files opened in 2017</a:t>
            </a:r>
          </a:p>
        </c:rich>
      </c:tx>
      <c:layout>
        <c:manualLayout>
          <c:xMode val="edge"/>
          <c:yMode val="edge"/>
          <c:x val="0.26448678845974294"/>
          <c:y val="2.5833048042907679E-3"/>
        </c:manualLayout>
      </c:layout>
      <c:overlay val="0"/>
      <c:spPr>
        <a:noFill/>
        <a:ln w="25329">
          <a:noFill/>
        </a:ln>
      </c:spPr>
    </c:title>
    <c:autoTitleDeleted val="0"/>
    <c:plotArea>
      <c:layout/>
      <c:pieChart>
        <c:varyColors val="1"/>
        <c:ser>
          <c:idx val="0"/>
          <c:order val="0"/>
          <c:tx>
            <c:strRef>
              <c:f>Blad1!$B$1</c:f>
              <c:strCache>
                <c:ptCount val="1"/>
                <c:pt idx="0">
                  <c:v>[Number of new EU Pilot files ] EU Pilot files opened in 2014</c:v>
                </c:pt>
              </c:strCache>
            </c:strRef>
          </c:tx>
          <c:spPr>
            <a:solidFill>
              <a:schemeClr val="accent1"/>
            </a:solidFill>
            <a:scene3d>
              <a:camera prst="orthographicFront"/>
              <a:lightRig rig="threePt" dir="t"/>
            </a:scene3d>
            <a:sp3d>
              <a:bevelT w="63500" h="25400"/>
            </a:sp3d>
          </c:spPr>
          <c:dPt>
            <c:idx val="0"/>
            <c:bubble3D val="0"/>
            <c:spPr>
              <a:solidFill>
                <a:schemeClr val="accent1"/>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A8F3-4437-9234-756254266A7C}"/>
              </c:ext>
            </c:extLst>
          </c:dPt>
          <c:dPt>
            <c:idx val="1"/>
            <c:bubble3D val="0"/>
            <c:spPr>
              <a:solidFill>
                <a:srgbClr val="009242"/>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A8F3-4437-9234-756254266A7C}"/>
              </c:ext>
            </c:extLst>
          </c:dPt>
          <c:dPt>
            <c:idx val="2"/>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A8F3-4437-9234-756254266A7C}"/>
              </c:ext>
            </c:extLst>
          </c:dPt>
          <c:dPt>
            <c:idx val="3"/>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A8F3-4437-9234-756254266A7C}"/>
              </c:ext>
            </c:extLst>
          </c:dPt>
          <c:dPt>
            <c:idx val="4"/>
            <c:bubble3D val="0"/>
            <c:spPr>
              <a:solidFill>
                <a:srgbClr val="FF99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A8F3-4437-9234-756254266A7C}"/>
              </c:ext>
            </c:extLst>
          </c:dPt>
          <c:dPt>
            <c:idx val="5"/>
            <c:bubble3D val="0"/>
            <c:spPr>
              <a:solidFill>
                <a:srgbClr val="0070C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A8F3-4437-9234-756254266A7C}"/>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8F3-4437-9234-756254266A7C}"/>
                </c:ext>
              </c:extLst>
            </c:dLbl>
            <c:dLbl>
              <c:idx val="1"/>
              <c:layout>
                <c:manualLayout>
                  <c:x val="2.8746390210458522E-2"/>
                  <c:y val="0.1111196698238807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8F3-4437-9234-756254266A7C}"/>
                </c:ext>
              </c:extLst>
            </c:dLbl>
            <c:dLbl>
              <c:idx val="2"/>
              <c:layout>
                <c:manualLayout>
                  <c:x val="9.5403711887792689E-3"/>
                  <c:y val="4.386292746015443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8F3-4437-9234-756254266A7C}"/>
                </c:ext>
              </c:extLst>
            </c:dLbl>
            <c:dLbl>
              <c:idx val="3"/>
              <c:layout>
                <c:manualLayout>
                  <c:x val="-0.23255008143744879"/>
                  <c:y val="-2.3997679637871353E-3"/>
                </c:manualLayout>
              </c:layout>
              <c:spPr>
                <a:noFill/>
                <a:ln w="25329">
                  <a:noFill/>
                </a:ln>
              </c:spPr>
              <c:txPr>
                <a:bodyPr rot="0" spcFirstLastPara="1" vertOverflow="ellipsis" vert="horz" wrap="square" lIns="38100" tIns="19050" rIns="38100" bIns="19050" anchor="ctr" anchorCtr="1">
                  <a:spAutoFit/>
                </a:bodyPr>
                <a:lstStyle/>
                <a:p>
                  <a:pPr>
                    <a:defRPr sz="848"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8F3-4437-9234-756254266A7C}"/>
                </c:ext>
              </c:extLst>
            </c:dLbl>
            <c:dLbl>
              <c:idx val="4"/>
              <c:layout>
                <c:manualLayout>
                  <c:x val="-4.6545048205607958E-3"/>
                  <c:y val="-0.2212265385255846"/>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8F3-4437-9234-756254266A7C}"/>
                </c:ext>
              </c:extLst>
            </c:dLbl>
            <c:dLbl>
              <c:idx val="5"/>
              <c:layout>
                <c:manualLayout>
                  <c:x val="5.5994729907773384E-2"/>
                  <c:y val="6.0386473429951829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8F3-4437-9234-756254266A7C}"/>
                </c:ext>
              </c:extLst>
            </c:dLbl>
            <c:spPr>
              <a:noFill/>
              <a:ln w="25329">
                <a:noFill/>
              </a:ln>
            </c:spPr>
            <c:txPr>
              <a:bodyPr rot="0" spcFirstLastPara="1" vertOverflow="ellipsis" vert="horz" wrap="square" lIns="38100" tIns="19050" rIns="38100" bIns="19050" anchor="ctr" anchorCtr="1">
                <a:spAutoFit/>
              </a:bodyPr>
              <a:lstStyle/>
              <a:p>
                <a:pPr>
                  <a:defRPr sz="897"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Blad1!$A$2:$A$7</c:f>
              <c:strCache>
                <c:ptCount val="6"/>
                <c:pt idx="0">
                  <c:v>Sector</c:v>
                </c:pt>
                <c:pt idx="1">
                  <c:v>Road transport</c:v>
                </c:pt>
                <c:pt idx="2">
                  <c:v>Maritime transports and logistics</c:v>
                </c:pt>
                <c:pt idx="3">
                  <c:v>Single European rail area</c:v>
                </c:pt>
                <c:pt idx="4">
                  <c:v>Public transport services(rail and road)</c:v>
                </c:pt>
                <c:pt idx="5">
                  <c:v>Maritime safety</c:v>
                </c:pt>
              </c:strCache>
            </c:strRef>
          </c:cat>
          <c:val>
            <c:numRef>
              <c:f>Blad1!$B$2:$B$7</c:f>
              <c:numCache>
                <c:formatCode>General</c:formatCode>
                <c:ptCount val="6"/>
                <c:pt idx="0">
                  <c:v>0</c:v>
                </c:pt>
                <c:pt idx="1">
                  <c:v>1</c:v>
                </c:pt>
                <c:pt idx="2">
                  <c:v>1</c:v>
                </c:pt>
                <c:pt idx="3">
                  <c:v>1</c:v>
                </c:pt>
                <c:pt idx="4">
                  <c:v>1</c:v>
                </c:pt>
                <c:pt idx="5">
                  <c:v>1</c:v>
                </c:pt>
              </c:numCache>
            </c:numRef>
          </c:val>
          <c:extLst xmlns:c16r2="http://schemas.microsoft.com/office/drawing/2015/06/chart">
            <c:ext xmlns:c16="http://schemas.microsoft.com/office/drawing/2014/chart" uri="{C3380CC4-5D6E-409C-BE32-E72D297353CC}">
              <c16:uniqueId val="{0000000C-A8F3-4437-9234-756254266A7C}"/>
            </c:ext>
          </c:extLst>
        </c:ser>
        <c:dLbls>
          <c:showLegendKey val="0"/>
          <c:showVal val="0"/>
          <c:showCatName val="0"/>
          <c:showSerName val="0"/>
          <c:showPercent val="0"/>
          <c:showBubbleSize val="0"/>
          <c:showLeaderLines val="0"/>
        </c:dLbls>
        <c:firstSliceAng val="0"/>
      </c:pieChart>
      <c:spPr>
        <a:noFill/>
        <a:ln w="25353">
          <a:noFill/>
        </a:ln>
      </c:spPr>
    </c:plotArea>
    <c:plotVisOnly val="1"/>
    <c:dispBlanksAs val="gap"/>
    <c:showDLblsOverMax val="0"/>
  </c:chart>
  <c:spPr>
    <a:solidFill>
      <a:schemeClr val="bg1"/>
    </a:solidFill>
    <a:ln w="949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Mobility and transport</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2"/>
              <c:layout>
                <c:manualLayout>
                  <c:x val="-5.5738361652161901E-2"/>
                  <c:y val="-8.072792362768496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B0B-431D-A1CF-8CEEFE640F78}"/>
                </c:ext>
              </c:extLst>
            </c:dLbl>
            <c:dLbl>
              <c:idx val="3"/>
              <c:layout>
                <c:manualLayout>
                  <c:x val="-4.4430638030711275E-2"/>
                  <c:y val="-6.329646705346042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A49-4CE2-B382-4BC3B1D3F1B3}"/>
                </c:ext>
              </c:extLst>
            </c:dLbl>
            <c:dLbl>
              <c:idx val="4"/>
              <c:layout>
                <c:manualLayout>
                  <c:x val="-4.1701328031670357E-2"/>
                  <c:y val="-5.77302631578947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A49-4CE2-B382-4BC3B1D3F1B3}"/>
                </c:ext>
              </c:extLst>
            </c:dLbl>
            <c:spPr>
              <a:noFill/>
              <a:ln>
                <a:noFill/>
              </a:ln>
              <a:effectLst/>
            </c:spPr>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0%</c:formatCode>
                <c:ptCount val="5"/>
                <c:pt idx="0">
                  <c:v>0.62</c:v>
                </c:pt>
                <c:pt idx="1">
                  <c:v>0.63</c:v>
                </c:pt>
                <c:pt idx="2">
                  <c:v>0.76</c:v>
                </c:pt>
                <c:pt idx="3">
                  <c:v>0.75</c:v>
                </c:pt>
                <c:pt idx="4">
                  <c:v>0.84</c:v>
                </c:pt>
              </c:numCache>
            </c:numRef>
          </c:val>
          <c:smooth val="0"/>
          <c:extLst xmlns:c16r2="http://schemas.microsoft.com/office/drawing/2015/06/chart">
            <c:ext xmlns:c16="http://schemas.microsoft.com/office/drawing/2014/chart" uri="{C3380CC4-5D6E-409C-BE32-E72D297353CC}">
              <c16:uniqueId val="{00000002-EA49-4CE2-B382-4BC3B1D3F1B3}"/>
            </c:ext>
          </c:extLst>
        </c:ser>
        <c:ser>
          <c:idx val="1"/>
          <c:order val="1"/>
          <c:tx>
            <c:strRef>
              <c:f>Blad1!$C$2</c:f>
              <c:strCache>
                <c:ptCount val="1"/>
                <c:pt idx="0">
                  <c:v>General rate for all policy areas</c:v>
                </c:pt>
              </c:strCache>
            </c:strRef>
          </c:tx>
          <c:spPr>
            <a:ln w="25402">
              <a:solidFill>
                <a:srgbClr val="92D050"/>
              </a:solidFill>
            </a:ln>
          </c:spPr>
          <c:marker>
            <c:symbol val="square"/>
            <c:size val="5"/>
            <c:spPr>
              <a:solidFill>
                <a:srgbClr val="92D050"/>
              </a:solidFill>
              <a:ln>
                <a:solidFill>
                  <a:srgbClr val="92D050"/>
                </a:solidFill>
              </a:ln>
            </c:spPr>
          </c:marker>
          <c:dLbls>
            <c:dLbl>
              <c:idx val="2"/>
              <c:layout>
                <c:manualLayout>
                  <c:x val="-5.2814385043974767E-2"/>
                  <c:y val="7.4761336515513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B0B-431D-A1CF-8CEEFE640F78}"/>
                </c:ext>
              </c:extLst>
            </c:dLbl>
            <c:dLbl>
              <c:idx val="3"/>
              <c:layout>
                <c:manualLayout>
                  <c:x val="-4.7114168868426329E-2"/>
                  <c:y val="5.77298314684348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A49-4CE2-B382-4BC3B1D3F1B3}"/>
                </c:ext>
              </c:extLst>
            </c:dLbl>
            <c:dLbl>
              <c:idx val="4"/>
              <c:layout>
                <c:manualLayout>
                  <c:x val="-4.7238426592024735E-2"/>
                  <c:y val="5.77302631578947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A49-4CE2-B382-4BC3B1D3F1B3}"/>
                </c:ext>
              </c:extLst>
            </c:dLbl>
            <c:spPr>
              <a:noFill/>
              <a:ln>
                <a:noFill/>
              </a:ln>
              <a:effectLst/>
            </c:spPr>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Blad1!$C$3:$C$7</c:f>
              <c:numCache>
                <c:formatCode>0%</c:formatCode>
                <c:ptCount val="5"/>
                <c:pt idx="0">
                  <c:v>0.7</c:v>
                </c:pt>
                <c:pt idx="1">
                  <c:v>0.75</c:v>
                </c:pt>
                <c:pt idx="2">
                  <c:v>0.75</c:v>
                </c:pt>
                <c:pt idx="3">
                  <c:v>0.72</c:v>
                </c:pt>
                <c:pt idx="4">
                  <c:v>0.77</c:v>
                </c:pt>
              </c:numCache>
            </c:numRef>
          </c:val>
          <c:smooth val="0"/>
          <c:extLst xmlns:c16r2="http://schemas.microsoft.com/office/drawing/2015/06/chart">
            <c:ext xmlns:c16="http://schemas.microsoft.com/office/drawing/2014/chart" uri="{C3380CC4-5D6E-409C-BE32-E72D297353CC}">
              <c16:uniqueId val="{00000005-EA49-4CE2-B382-4BC3B1D3F1B3}"/>
            </c:ext>
          </c:extLst>
        </c:ser>
        <c:dLbls>
          <c:showLegendKey val="0"/>
          <c:showVal val="0"/>
          <c:showCatName val="0"/>
          <c:showSerName val="0"/>
          <c:showPercent val="0"/>
          <c:showBubbleSize val="0"/>
        </c:dLbls>
        <c:marker val="1"/>
        <c:smooth val="0"/>
        <c:axId val="341527936"/>
        <c:axId val="341529728"/>
      </c:lineChart>
      <c:catAx>
        <c:axId val="341527936"/>
        <c:scaling>
          <c:orientation val="minMax"/>
        </c:scaling>
        <c:delete val="0"/>
        <c:axPos val="b"/>
        <c:numFmt formatCode="General" sourceLinked="1"/>
        <c:majorTickMark val="none"/>
        <c:minorTickMark val="none"/>
        <c:tickLblPos val="nextTo"/>
        <c:spPr>
          <a:noFill/>
          <a:ln w="12701"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341529728"/>
        <c:crosses val="autoZero"/>
        <c:auto val="1"/>
        <c:lblAlgn val="ctr"/>
        <c:lblOffset val="100"/>
        <c:noMultiLvlLbl val="0"/>
      </c:catAx>
      <c:valAx>
        <c:axId val="341529728"/>
        <c:scaling>
          <c:orientation val="minMax"/>
          <c:min val="0.5"/>
        </c:scaling>
        <c:delete val="1"/>
        <c:axPos val="l"/>
        <c:majorGridlines>
          <c:spPr>
            <a:ln w="9526" cap="flat" cmpd="sng" algn="ctr">
              <a:solidFill>
                <a:schemeClr val="tx1">
                  <a:lumMod val="15000"/>
                  <a:lumOff val="85000"/>
                </a:schemeClr>
              </a:solidFill>
              <a:round/>
            </a:ln>
            <a:effectLst/>
          </c:spPr>
        </c:majorGridlines>
        <c:numFmt formatCode="0%" sourceLinked="1"/>
        <c:majorTickMark val="out"/>
        <c:minorTickMark val="none"/>
        <c:tickLblPos val="nextTo"/>
        <c:crossAx val="341527936"/>
        <c:crosses val="autoZero"/>
        <c:crossBetween val="between"/>
      </c:valAx>
      <c:spPr>
        <a:noFill/>
        <a:ln w="25402">
          <a:noFill/>
        </a:ln>
      </c:spPr>
    </c:plotArea>
    <c:legend>
      <c:legendPos val="b"/>
      <c:overlay val="0"/>
    </c:legend>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9" b="0" i="0" u="none" strike="noStrike" kern="1200" baseline="0">
                <a:solidFill>
                  <a:srgbClr val="002060"/>
                </a:solidFill>
                <a:latin typeface="Arial" panose="020B0604020202020204" pitchFamily="34" charset="0"/>
                <a:ea typeface="+mn-ea"/>
                <a:cs typeface="Arial" panose="020B0604020202020204" pitchFamily="34" charset="0"/>
              </a:defRPr>
            </a:pPr>
            <a:r>
              <a:rPr lang="en-US" sz="1099" b="0">
                <a:solidFill>
                  <a:srgbClr val="002060"/>
                </a:solidFill>
                <a:latin typeface="Arial" panose="020B0604020202020204" pitchFamily="34" charset="0"/>
                <a:ea typeface="Verdana" panose="020B0604030504040204" pitchFamily="34" charset="0"/>
                <a:cs typeface="Arial" panose="020B0604020202020204" pitchFamily="34" charset="0"/>
              </a:rPr>
              <a:t>2 EU Pilot files opened in 2017</a:t>
            </a:r>
          </a:p>
        </c:rich>
      </c:tx>
      <c:overlay val="0"/>
      <c:spPr>
        <a:noFill/>
        <a:ln w="25363">
          <a:noFill/>
        </a:ln>
      </c:spPr>
    </c:title>
    <c:autoTitleDeleted val="0"/>
    <c:plotArea>
      <c:layout/>
      <c:pieChart>
        <c:varyColors val="1"/>
        <c:ser>
          <c:idx val="0"/>
          <c:order val="0"/>
          <c:tx>
            <c:strRef>
              <c:f>Blad1!$B$1</c:f>
              <c:strCache>
                <c:ptCount val="1"/>
                <c:pt idx="0">
                  <c:v>[Number of new EU Pilot files ] EU Pilot files opened in 2014</c:v>
                </c:pt>
              </c:strCache>
            </c:strRef>
          </c:tx>
          <c:spPr>
            <a:solidFill>
              <a:srgbClr val="95C154"/>
            </a:solidFill>
            <a:scene3d>
              <a:camera prst="orthographicFront"/>
              <a:lightRig rig="threePt" dir="t"/>
            </a:scene3d>
            <a:sp3d>
              <a:bevelT w="63500" h="25400"/>
            </a:sp3d>
          </c:spPr>
          <c:dPt>
            <c:idx val="0"/>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5F90-44FB-9210-66D948552E87}"/>
              </c:ext>
            </c:extLst>
          </c:dPt>
          <c:dPt>
            <c:idx val="1"/>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5F90-44FB-9210-66D948552E87}"/>
              </c:ext>
            </c:extLst>
          </c:dPt>
          <c:dPt>
            <c:idx val="2"/>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5F90-44FB-9210-66D948552E87}"/>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F90-44FB-9210-66D948552E87}"/>
                </c:ext>
              </c:extLst>
            </c:dLbl>
            <c:dLbl>
              <c:idx val="1"/>
              <c:layout>
                <c:manualLayout>
                  <c:x val="5.3184835764373835E-2"/>
                  <c:y val="0.17072280211233928"/>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5F90-44FB-9210-66D948552E87}"/>
                </c:ext>
              </c:extLst>
            </c:dLbl>
            <c:dLbl>
              <c:idx val="2"/>
              <c:layout>
                <c:manualLayout>
                  <c:x val="-5.5946576628252594E-2"/>
                  <c:y val="-9.646302250803848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5F90-44FB-9210-66D948552E87}"/>
                </c:ext>
              </c:extLst>
            </c:dLbl>
            <c:dLbl>
              <c:idx val="3"/>
              <c:layout>
                <c:manualLayout>
                  <c:x val="1.9315456015017992E-2"/>
                  <c:y val="3.589703210175650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F90-44FB-9210-66D948552E87}"/>
                </c:ext>
              </c:extLst>
            </c:dLbl>
            <c:spPr>
              <a:noFill/>
              <a:ln w="25363">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Blad1!$A$2:$A$4</c:f>
              <c:strCache>
                <c:ptCount val="3"/>
                <c:pt idx="0">
                  <c:v>Sector</c:v>
                </c:pt>
                <c:pt idx="1">
                  <c:v>Electronic communications</c:v>
                </c:pt>
                <c:pt idx="2">
                  <c:v>Cybersecurity and digital trust</c:v>
                </c:pt>
              </c:strCache>
            </c:strRef>
          </c:cat>
          <c:val>
            <c:numRef>
              <c:f>Blad1!$B$2:$B$4</c:f>
              <c:numCache>
                <c:formatCode>General</c:formatCode>
                <c:ptCount val="3"/>
                <c:pt idx="0">
                  <c:v>0</c:v>
                </c:pt>
                <c:pt idx="1">
                  <c:v>1</c:v>
                </c:pt>
                <c:pt idx="2">
                  <c:v>1</c:v>
                </c:pt>
              </c:numCache>
            </c:numRef>
          </c:val>
          <c:extLst xmlns:c16r2="http://schemas.microsoft.com/office/drawing/2015/06/chart">
            <c:ext xmlns:c16="http://schemas.microsoft.com/office/drawing/2014/chart" uri="{C3380CC4-5D6E-409C-BE32-E72D297353CC}">
              <c16:uniqueId val="{00000007-5F90-44FB-9210-66D948552E87}"/>
            </c:ext>
          </c:extLst>
        </c:ser>
        <c:dLbls>
          <c:showLegendKey val="0"/>
          <c:showVal val="0"/>
          <c:showCatName val="0"/>
          <c:showSerName val="0"/>
          <c:showPercent val="0"/>
          <c:showBubbleSize val="0"/>
          <c:showLeaderLines val="0"/>
        </c:dLbls>
        <c:firstSliceAng val="302"/>
      </c:pieChart>
      <c:spPr>
        <a:noFill/>
        <a:ln w="25387">
          <a:noFill/>
        </a:ln>
      </c:spPr>
    </c:plotArea>
    <c:plotVisOnly val="1"/>
    <c:dispBlanksAs val="gap"/>
    <c:showDLblsOverMax val="0"/>
  </c:chart>
  <c:spPr>
    <a:solidFill>
      <a:schemeClr val="bg1"/>
    </a:solidFill>
    <a:ln w="951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1"/>
              <c:layout>
                <c:manualLayout>
                  <c:x val="-4.4611166153899637E-2"/>
                  <c:y val="5.452082912712834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74A-4846-A2AA-12C210D82266}"/>
                </c:ext>
              </c:extLst>
            </c:dLbl>
            <c:spPr>
              <a:noFill/>
              <a:ln w="25377">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Blad1!$A$4:$A$8</c:f>
              <c:numCache>
                <c:formatCode>General</c:formatCode>
                <c:ptCount val="5"/>
                <c:pt idx="0">
                  <c:v>2013</c:v>
                </c:pt>
                <c:pt idx="1">
                  <c:v>2014</c:v>
                </c:pt>
                <c:pt idx="2">
                  <c:v>2015</c:v>
                </c:pt>
                <c:pt idx="3">
                  <c:v>2016</c:v>
                </c:pt>
                <c:pt idx="4">
                  <c:v>2017</c:v>
                </c:pt>
              </c:numCache>
            </c:numRef>
          </c:cat>
          <c:val>
            <c:numRef>
              <c:f>Blad1!$B$4:$B$8</c:f>
              <c:numCache>
                <c:formatCode>General</c:formatCode>
                <c:ptCount val="5"/>
                <c:pt idx="0">
                  <c:v>165</c:v>
                </c:pt>
                <c:pt idx="1">
                  <c:v>223</c:v>
                </c:pt>
                <c:pt idx="2">
                  <c:v>241</c:v>
                </c:pt>
                <c:pt idx="3">
                  <c:v>191</c:v>
                </c:pt>
                <c:pt idx="4">
                  <c:v>248</c:v>
                </c:pt>
              </c:numCache>
            </c:numRef>
          </c:val>
          <c:smooth val="0"/>
          <c:extLst xmlns:c16r2="http://schemas.microsoft.com/office/drawing/2015/06/chart">
            <c:ext xmlns:c16="http://schemas.microsoft.com/office/drawing/2014/chart" uri="{C3380CC4-5D6E-409C-BE32-E72D297353CC}">
              <c16:uniqueId val="{00000001-474A-4846-A2AA-12C210D82266}"/>
            </c:ext>
          </c:extLst>
        </c:ser>
        <c:dLbls>
          <c:showLegendKey val="0"/>
          <c:showVal val="0"/>
          <c:showCatName val="0"/>
          <c:showSerName val="0"/>
          <c:showPercent val="0"/>
          <c:showBubbleSize val="0"/>
        </c:dLbls>
        <c:marker val="1"/>
        <c:smooth val="0"/>
        <c:axId val="341793024"/>
        <c:axId val="341803008"/>
      </c:lineChart>
      <c:catAx>
        <c:axId val="341793024"/>
        <c:scaling>
          <c:orientation val="minMax"/>
        </c:scaling>
        <c:delete val="0"/>
        <c:axPos val="b"/>
        <c:numFmt formatCode="General" sourceLinked="1"/>
        <c:majorTickMark val="none"/>
        <c:minorTickMark val="none"/>
        <c:tickLblPos val="nextTo"/>
        <c:spPr>
          <a:noFill/>
          <a:ln w="1268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41803008"/>
        <c:crosses val="autoZero"/>
        <c:auto val="1"/>
        <c:lblAlgn val="ctr"/>
        <c:lblOffset val="100"/>
        <c:noMultiLvlLbl val="0"/>
      </c:catAx>
      <c:valAx>
        <c:axId val="341803008"/>
        <c:scaling>
          <c:orientation val="minMax"/>
        </c:scaling>
        <c:delete val="1"/>
        <c:axPos val="l"/>
        <c:majorGridlines>
          <c:spPr>
            <a:ln w="9517" cap="flat" cmpd="sng" algn="ctr">
              <a:solidFill>
                <a:schemeClr val="tx1">
                  <a:lumMod val="15000"/>
                  <a:lumOff val="85000"/>
                </a:schemeClr>
              </a:solidFill>
              <a:round/>
            </a:ln>
            <a:effectLst/>
          </c:spPr>
        </c:majorGridlines>
        <c:numFmt formatCode="General" sourceLinked="1"/>
        <c:majorTickMark val="out"/>
        <c:minorTickMark val="none"/>
        <c:tickLblPos val="nextTo"/>
        <c:crossAx val="341793024"/>
        <c:crosses val="autoZero"/>
        <c:crossBetween val="between"/>
      </c:valAx>
      <c:spPr>
        <a:noFill/>
        <a:ln w="25375">
          <a:noFill/>
        </a:ln>
      </c:spPr>
    </c:plotArea>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5" b="0" i="0" u="none" strike="noStrike" kern="1200" baseline="0">
                <a:solidFill>
                  <a:srgbClr val="002060"/>
                </a:solidFill>
                <a:latin typeface="+mn-lt"/>
                <a:ea typeface="+mn-ea"/>
                <a:cs typeface="+mn-cs"/>
              </a:defRPr>
            </a:pPr>
            <a:r>
              <a:rPr lang="en-US" sz="1046" b="0" baseline="0">
                <a:solidFill>
                  <a:srgbClr val="002060"/>
                </a:solidFill>
                <a:latin typeface="Arial" panose="020B0604020202020204" pitchFamily="34" charset="0"/>
                <a:ea typeface="Verdana" panose="020B0604030504040204" pitchFamily="34" charset="0"/>
                <a:cs typeface="Arial" panose="020B0604020202020204" pitchFamily="34" charset="0"/>
              </a:rPr>
              <a:t>248 </a:t>
            </a:r>
            <a:r>
              <a:rPr lang="en-US" sz="1046"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2017</a:t>
            </a:r>
          </a:p>
        </c:rich>
      </c:tx>
      <c:overlay val="0"/>
      <c:spPr>
        <a:noFill/>
        <a:ln w="25278">
          <a:noFill/>
        </a:ln>
      </c:spPr>
    </c:title>
    <c:autoTitleDeleted val="0"/>
    <c:plotArea>
      <c:layout/>
      <c:pieChart>
        <c:varyColors val="1"/>
        <c:ser>
          <c:idx val="0"/>
          <c:order val="0"/>
          <c:tx>
            <c:strRef>
              <c:f>Blad1!$B$1</c:f>
              <c:strCache>
                <c:ptCount val="1"/>
                <c:pt idx="0">
                  <c:v>[Number of infringement cases] infringement cases in 2014</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4566-429E-9FDA-6A919C8BC3C3}"/>
              </c:ext>
            </c:extLst>
          </c:dPt>
          <c:dPt>
            <c:idx val="1"/>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4566-429E-9FDA-6A919C8BC3C3}"/>
              </c:ext>
            </c:extLst>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4566-429E-9FDA-6A919C8BC3C3}"/>
              </c:ext>
            </c:extLst>
          </c:dPt>
          <c:dPt>
            <c:idx val="3"/>
            <c:bubble3D val="0"/>
            <c:spPr>
              <a:solidFill>
                <a:srgbClr val="009242"/>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4566-429E-9FDA-6A919C8BC3C3}"/>
              </c:ext>
            </c:extLst>
          </c:dPt>
          <c:dPt>
            <c:idx val="4"/>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4566-429E-9FDA-6A919C8BC3C3}"/>
              </c:ext>
            </c:extLst>
          </c:dPt>
          <c:dPt>
            <c:idx val="5"/>
            <c:bubble3D val="0"/>
            <c:spPr>
              <a:solidFill>
                <a:srgbClr val="E7511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4566-429E-9FDA-6A919C8BC3C3}"/>
              </c:ext>
            </c:extLst>
          </c:dPt>
          <c:dPt>
            <c:idx val="6"/>
            <c:bubble3D val="0"/>
            <c:spPr>
              <a:solidFill>
                <a:srgbClr val="0070C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4566-429E-9FDA-6A919C8BC3C3}"/>
              </c:ext>
            </c:extLst>
          </c:dPt>
          <c:dPt>
            <c:idx val="7"/>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F-4566-429E-9FDA-6A919C8BC3C3}"/>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566-429E-9FDA-6A919C8BC3C3}"/>
                </c:ext>
              </c:extLst>
            </c:dLbl>
            <c:dLbl>
              <c:idx val="1"/>
              <c:layout>
                <c:manualLayout>
                  <c:x val="-4.8856127026674856E-2"/>
                  <c:y val="-0.10555599300087488"/>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566-429E-9FDA-6A919C8BC3C3}"/>
                </c:ext>
              </c:extLst>
            </c:dLbl>
            <c:dLbl>
              <c:idx val="2"/>
              <c:layout>
                <c:manualLayout>
                  <c:x val="1.5884849500195454E-2"/>
                  <c:y val="3.833289588801400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566-429E-9FDA-6A919C8BC3C3}"/>
                </c:ext>
              </c:extLst>
            </c:dLbl>
            <c:dLbl>
              <c:idx val="3"/>
              <c:layout>
                <c:manualLayout>
                  <c:x val="4.1403734107704621E-3"/>
                  <c:y val="1.995713035870516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566-429E-9FDA-6A919C8BC3C3}"/>
                </c:ext>
              </c:extLst>
            </c:dLbl>
            <c:dLbl>
              <c:idx val="4"/>
              <c:layout>
                <c:manualLayout>
                  <c:x val="-4.7471193760354427E-2"/>
                  <c:y val="5.204549431321085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566-429E-9FDA-6A919C8BC3C3}"/>
                </c:ext>
              </c:extLst>
            </c:dLbl>
            <c:dLbl>
              <c:idx val="5"/>
              <c:layout>
                <c:manualLayout>
                  <c:x val="-2.4742186482008897E-2"/>
                  <c:y val="8.169728783902012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566-429E-9FDA-6A919C8BC3C3}"/>
                </c:ext>
              </c:extLst>
            </c:dLbl>
            <c:dLbl>
              <c:idx val="6"/>
              <c:layout>
                <c:manualLayout>
                  <c:x val="1.9356459766651235E-2"/>
                  <c:y val="6.878306878306883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4566-429E-9FDA-6A919C8BC3C3}"/>
                </c:ext>
              </c:extLst>
            </c:dLbl>
            <c:spPr>
              <a:noFill/>
              <a:ln w="25278">
                <a:noFill/>
              </a:ln>
            </c:spPr>
            <c:txPr>
              <a:bodyPr rot="0" spcFirstLastPara="1" vertOverflow="ellipsis" vert="horz" wrap="square" lIns="38100" tIns="19050" rIns="38100" bIns="19050" anchor="ctr" anchorCtr="1">
                <a:spAutoFit/>
              </a:bodyPr>
              <a:lstStyle/>
              <a:p>
                <a:pPr>
                  <a:defRPr sz="895"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Blad1!$A$2:$A$9</c:f>
              <c:strCache>
                <c:ptCount val="8"/>
                <c:pt idx="0">
                  <c:v>Sectors</c:v>
                </c:pt>
                <c:pt idx="1">
                  <c:v>Road safety</c:v>
                </c:pt>
                <c:pt idx="2">
                  <c:v>Aviation agreements</c:v>
                </c:pt>
                <c:pt idx="3">
                  <c:v>Road transport</c:v>
                </c:pt>
                <c:pt idx="4">
                  <c:v>Sustainable transport</c:v>
                </c:pt>
                <c:pt idx="5">
                  <c:v>Single European Sky</c:v>
                </c:pt>
                <c:pt idx="6">
                  <c:v>Maritime safety</c:v>
                </c:pt>
                <c:pt idx="7">
                  <c:v>Other</c:v>
                </c:pt>
              </c:strCache>
            </c:strRef>
          </c:cat>
          <c:val>
            <c:numRef>
              <c:f>Blad1!$B$2:$B$9</c:f>
              <c:numCache>
                <c:formatCode>General</c:formatCode>
                <c:ptCount val="8"/>
                <c:pt idx="0">
                  <c:v>0</c:v>
                </c:pt>
                <c:pt idx="1">
                  <c:v>72</c:v>
                </c:pt>
                <c:pt idx="2">
                  <c:v>46</c:v>
                </c:pt>
                <c:pt idx="3">
                  <c:v>29</c:v>
                </c:pt>
                <c:pt idx="4">
                  <c:v>24</c:v>
                </c:pt>
                <c:pt idx="5">
                  <c:v>22</c:v>
                </c:pt>
                <c:pt idx="6">
                  <c:v>18</c:v>
                </c:pt>
                <c:pt idx="7">
                  <c:v>37</c:v>
                </c:pt>
              </c:numCache>
            </c:numRef>
          </c:val>
          <c:extLst xmlns:c16r2="http://schemas.microsoft.com/office/drawing/2015/06/chart">
            <c:ext xmlns:c16="http://schemas.microsoft.com/office/drawing/2014/chart" uri="{C3380CC4-5D6E-409C-BE32-E72D297353CC}">
              <c16:uniqueId val="{00000010-4566-429E-9FDA-6A919C8BC3C3}"/>
            </c:ext>
          </c:extLst>
        </c:ser>
        <c:dLbls>
          <c:showLegendKey val="0"/>
          <c:showVal val="0"/>
          <c:showCatName val="0"/>
          <c:showSerName val="0"/>
          <c:showPercent val="0"/>
          <c:showBubbleSize val="0"/>
          <c:showLeaderLines val="0"/>
        </c:dLbls>
        <c:firstSliceAng val="157"/>
      </c:pieChart>
      <c:spPr>
        <a:noFill/>
        <a:ln w="25295">
          <a:noFill/>
        </a:ln>
      </c:spPr>
    </c:plotArea>
    <c:plotVisOnly val="1"/>
    <c:dispBlanksAs val="gap"/>
    <c:showDLblsOverMax val="0"/>
  </c:chart>
  <c:spPr>
    <a:solidFill>
      <a:schemeClr val="bg1"/>
    </a:solidFill>
    <a:ln w="948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5" b="0" i="0" u="none" strike="noStrike" kern="1200" baseline="0">
                <a:solidFill>
                  <a:srgbClr val="002060"/>
                </a:solidFill>
                <a:latin typeface="+mn-lt"/>
                <a:ea typeface="+mn-ea"/>
                <a:cs typeface="+mn-cs"/>
              </a:defRPr>
            </a:pPr>
            <a:r>
              <a:rPr lang="en-US" sz="1046" b="0" baseline="0">
                <a:solidFill>
                  <a:srgbClr val="002060"/>
                </a:solidFill>
                <a:latin typeface="Arial" panose="020B0604020202020204" pitchFamily="34" charset="0"/>
                <a:ea typeface="Verdana" panose="020B0604030504040204" pitchFamily="34" charset="0"/>
                <a:cs typeface="Arial" panose="020B0604020202020204" pitchFamily="34" charset="0"/>
              </a:rPr>
              <a:t>26 new </a:t>
            </a:r>
            <a:r>
              <a:rPr lang="en-US" sz="1046"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2017</a:t>
            </a:r>
          </a:p>
        </c:rich>
      </c:tx>
      <c:overlay val="0"/>
      <c:spPr>
        <a:noFill/>
        <a:ln w="25278">
          <a:noFill/>
        </a:ln>
      </c:spPr>
    </c:title>
    <c:autoTitleDeleted val="0"/>
    <c:plotArea>
      <c:layout/>
      <c:pieChart>
        <c:varyColors val="1"/>
        <c:ser>
          <c:idx val="0"/>
          <c:order val="0"/>
          <c:tx>
            <c:strRef>
              <c:f>Blad1!$B$1</c:f>
              <c:strCache>
                <c:ptCount val="1"/>
                <c:pt idx="0">
                  <c:v>[Number of infringement cases] infringement cases in 2014</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4868-4B22-957D-A717276891C2}"/>
              </c:ext>
            </c:extLst>
          </c:dPt>
          <c:dPt>
            <c:idx val="1"/>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4868-4B22-957D-A717276891C2}"/>
              </c:ext>
            </c:extLst>
          </c:dPt>
          <c:dPt>
            <c:idx val="2"/>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4868-4B22-957D-A717276891C2}"/>
              </c:ext>
            </c:extLst>
          </c:dPt>
          <c:dPt>
            <c:idx val="3"/>
            <c:bubble3D val="0"/>
            <c:spPr>
              <a:solidFill>
                <a:srgbClr val="AD2D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4868-4B22-957D-A717276891C2}"/>
              </c:ext>
            </c:extLst>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4868-4B22-957D-A717276891C2}"/>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868-4B22-957D-A717276891C2}"/>
                </c:ext>
              </c:extLst>
            </c:dLbl>
            <c:dLbl>
              <c:idx val="1"/>
              <c:layout>
                <c:manualLayout>
                  <c:x val="-1.1216513215737215E-2"/>
                  <c:y val="-4.27784387608850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868-4B22-957D-A717276891C2}"/>
                </c:ext>
              </c:extLst>
            </c:dLbl>
            <c:dLbl>
              <c:idx val="2"/>
              <c:layout>
                <c:manualLayout>
                  <c:x val="-3.3147229718284037E-2"/>
                  <c:y val="-2.546411309346350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868-4B22-957D-A717276891C2}"/>
                </c:ext>
              </c:extLst>
            </c:dLbl>
            <c:dLbl>
              <c:idx val="3"/>
              <c:layout>
                <c:manualLayout>
                  <c:x val="-5.2449256245996438E-2"/>
                  <c:y val="-8.246472991155956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868-4B22-957D-A717276891C2}"/>
                </c:ext>
              </c:extLst>
            </c:dLbl>
            <c:dLbl>
              <c:idx val="4"/>
              <c:layout>
                <c:manualLayout>
                  <c:x val="-6.6300555959329224E-2"/>
                  <c:y val="5.868500469551656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868-4B22-957D-A717276891C2}"/>
                </c:ext>
              </c:extLst>
            </c:dLbl>
            <c:dLbl>
              <c:idx val="5"/>
              <c:layout>
                <c:manualLayout>
                  <c:x val="8.3333333333333332E-3"/>
                  <c:y val="2.349624060150375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868-4B22-957D-A717276891C2}"/>
                </c:ext>
              </c:extLst>
            </c:dLbl>
            <c:spPr>
              <a:noFill/>
              <a:ln w="25278">
                <a:noFill/>
              </a:ln>
            </c:spPr>
            <c:txPr>
              <a:bodyPr rot="0" spcFirstLastPara="1" vertOverflow="ellipsis" vert="horz" wrap="square" lIns="38100" tIns="19050" rIns="38100" bIns="19050" anchor="ctr" anchorCtr="1">
                <a:spAutoFit/>
              </a:bodyPr>
              <a:lstStyle/>
              <a:p>
                <a:pPr>
                  <a:defRPr sz="895"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0">
                  <c:v>Sectors</c:v>
                </c:pt>
                <c:pt idx="1">
                  <c:v>Sustainable transport</c:v>
                </c:pt>
                <c:pt idx="2">
                  <c:v>Maritime safety</c:v>
                </c:pt>
                <c:pt idx="3">
                  <c:v>Rail safety</c:v>
                </c:pt>
                <c:pt idx="4">
                  <c:v>Other</c:v>
                </c:pt>
              </c:strCache>
            </c:strRef>
          </c:cat>
          <c:val>
            <c:numRef>
              <c:f>Blad1!$B$2:$B$6</c:f>
              <c:numCache>
                <c:formatCode>General</c:formatCode>
                <c:ptCount val="5"/>
                <c:pt idx="0">
                  <c:v>0</c:v>
                </c:pt>
                <c:pt idx="1">
                  <c:v>15</c:v>
                </c:pt>
                <c:pt idx="2">
                  <c:v>2</c:v>
                </c:pt>
                <c:pt idx="3">
                  <c:v>2</c:v>
                </c:pt>
                <c:pt idx="4">
                  <c:v>7</c:v>
                </c:pt>
              </c:numCache>
            </c:numRef>
          </c:val>
          <c:extLst xmlns:c16r2="http://schemas.microsoft.com/office/drawing/2015/06/chart">
            <c:ext xmlns:c16="http://schemas.microsoft.com/office/drawing/2014/chart" uri="{C3380CC4-5D6E-409C-BE32-E72D297353CC}">
              <c16:uniqueId val="{0000000B-4868-4B22-957D-A717276891C2}"/>
            </c:ext>
          </c:extLst>
        </c:ser>
        <c:dLbls>
          <c:showLegendKey val="0"/>
          <c:showVal val="0"/>
          <c:showCatName val="0"/>
          <c:showSerName val="0"/>
          <c:showPercent val="0"/>
          <c:showBubbleSize val="0"/>
          <c:showLeaderLines val="0"/>
        </c:dLbls>
        <c:firstSliceAng val="0"/>
      </c:pieChart>
      <c:spPr>
        <a:noFill/>
        <a:ln w="25295">
          <a:noFill/>
        </a:ln>
      </c:spPr>
    </c:plotArea>
    <c:plotVisOnly val="1"/>
    <c:dispBlanksAs val="gap"/>
    <c:showDLblsOverMax val="0"/>
  </c:chart>
  <c:spPr>
    <a:solidFill>
      <a:schemeClr val="bg1"/>
    </a:solidFill>
    <a:ln w="948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931977252843395E-2"/>
          <c:y val="4.3580892388451441E-2"/>
          <c:w val="0.91336431904345294"/>
          <c:h val="0.86320147481564802"/>
        </c:manualLayout>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Pt>
            <c:idx val="1"/>
            <c:marker>
              <c:spPr>
                <a:effectLst>
                  <a:outerShdw blurRad="40000" dist="23000" dir="5400000" rotWithShape="0">
                    <a:schemeClr val="bg1">
                      <a:alpha val="35000"/>
                    </a:schemeClr>
                  </a:outerShdw>
                </a:effectLst>
              </c:spPr>
            </c:marker>
            <c:bubble3D val="0"/>
            <c:spPr>
              <a:effectLst>
                <a:outerShdw blurRad="40000" dist="23000" dir="5400000" rotWithShape="0">
                  <a:schemeClr val="bg1">
                    <a:alpha val="35000"/>
                  </a:schemeClr>
                </a:outerShdw>
              </a:effectLst>
            </c:spPr>
            <c:extLst xmlns:c16r2="http://schemas.microsoft.com/office/drawing/2015/06/chart">
              <c:ext xmlns:c16="http://schemas.microsoft.com/office/drawing/2014/chart" uri="{C3380CC4-5D6E-409C-BE32-E72D297353CC}">
                <c16:uniqueId val="{00000001-FD12-40E5-BFD2-FCA761B14F8F}"/>
              </c:ext>
            </c:extLst>
          </c:dPt>
          <c:dLbls>
            <c:spPr>
              <a:noFill/>
              <a:ln w="25322">
                <a:noFill/>
              </a:ln>
            </c:spPr>
            <c:txPr>
              <a:bodyPr rot="0" spcFirstLastPara="1" vertOverflow="ellipsis" vert="horz" wrap="square" lIns="38100" tIns="19050" rIns="38100" bIns="19050" anchor="ctr" anchorCtr="1">
                <a:spAutoFit/>
              </a:bodyPr>
              <a:lstStyle/>
              <a:p>
                <a:pPr>
                  <a:defRPr sz="897"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36</c:v>
                </c:pt>
                <c:pt idx="1">
                  <c:v>76</c:v>
                </c:pt>
                <c:pt idx="2">
                  <c:v>94</c:v>
                </c:pt>
                <c:pt idx="3">
                  <c:v>54</c:v>
                </c:pt>
                <c:pt idx="4">
                  <c:v>129</c:v>
                </c:pt>
              </c:numCache>
            </c:numRef>
          </c:val>
          <c:smooth val="0"/>
          <c:extLst xmlns:c16r2="http://schemas.microsoft.com/office/drawing/2015/06/chart">
            <c:ext xmlns:c16="http://schemas.microsoft.com/office/drawing/2014/chart" uri="{C3380CC4-5D6E-409C-BE32-E72D297353CC}">
              <c16:uniqueId val="{00000005-FD12-40E5-BFD2-FCA761B14F8F}"/>
            </c:ext>
          </c:extLst>
        </c:ser>
        <c:dLbls>
          <c:showLegendKey val="0"/>
          <c:showVal val="0"/>
          <c:showCatName val="0"/>
          <c:showSerName val="0"/>
          <c:showPercent val="0"/>
          <c:showBubbleSize val="0"/>
        </c:dLbls>
        <c:marker val="1"/>
        <c:smooth val="0"/>
        <c:axId val="341981440"/>
        <c:axId val="341991424"/>
      </c:lineChart>
      <c:catAx>
        <c:axId val="341981440"/>
        <c:scaling>
          <c:orientation val="minMax"/>
        </c:scaling>
        <c:delete val="0"/>
        <c:axPos val="b"/>
        <c:numFmt formatCode="General" sourceLinked="1"/>
        <c:majorTickMark val="none"/>
        <c:minorTickMark val="none"/>
        <c:tickLblPos val="nextTo"/>
        <c:spPr>
          <a:noFill/>
          <a:ln w="12661" cap="flat" cmpd="sng" algn="ctr">
            <a:solidFill>
              <a:schemeClr val="tx1">
                <a:lumMod val="15000"/>
                <a:lumOff val="85000"/>
              </a:schemeClr>
            </a:solidFill>
            <a:round/>
          </a:ln>
          <a:effectLst/>
        </c:spPr>
        <c:txPr>
          <a:bodyPr rot="-60000000" spcFirstLastPara="1" vertOverflow="ellipsis" vert="horz" wrap="square" anchor="ctr" anchorCtr="1"/>
          <a:lstStyle/>
          <a:p>
            <a:pPr>
              <a:defRPr sz="8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41991424"/>
        <c:crosses val="autoZero"/>
        <c:auto val="1"/>
        <c:lblAlgn val="ctr"/>
        <c:lblOffset val="100"/>
        <c:noMultiLvlLbl val="0"/>
      </c:catAx>
      <c:valAx>
        <c:axId val="341991424"/>
        <c:scaling>
          <c:orientation val="minMax"/>
        </c:scaling>
        <c:delete val="1"/>
        <c:axPos val="l"/>
        <c:majorGridlines>
          <c:spPr>
            <a:ln w="9496" cap="flat" cmpd="sng" algn="ctr">
              <a:solidFill>
                <a:schemeClr val="tx1">
                  <a:lumMod val="15000"/>
                  <a:lumOff val="85000"/>
                </a:schemeClr>
              </a:solidFill>
              <a:round/>
            </a:ln>
            <a:effectLst/>
          </c:spPr>
        </c:majorGridlines>
        <c:numFmt formatCode="General" sourceLinked="1"/>
        <c:majorTickMark val="out"/>
        <c:minorTickMark val="none"/>
        <c:tickLblPos val="nextTo"/>
        <c:crossAx val="341981440"/>
        <c:crosses val="autoZero"/>
        <c:crossBetween val="between"/>
      </c:valAx>
      <c:spPr>
        <a:noFill/>
        <a:ln w="25349">
          <a:noFill/>
        </a:ln>
      </c:spPr>
    </c:plotArea>
    <c:plotVisOnly val="1"/>
    <c:dispBlanksAs val="gap"/>
    <c:showDLblsOverMax val="0"/>
  </c:chart>
  <c:spPr>
    <a:solidFill>
      <a:schemeClr val="bg1"/>
    </a:solidFill>
    <a:ln w="949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5"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GB" sz="1046" b="0" baseline="0">
                <a:solidFill>
                  <a:srgbClr val="002060"/>
                </a:solidFill>
                <a:latin typeface="Arial" panose="020B0604020202020204" pitchFamily="34" charset="0"/>
                <a:cs typeface="Arial" panose="020B0604020202020204" pitchFamily="34" charset="0"/>
              </a:rPr>
              <a:t>129 new </a:t>
            </a:r>
            <a:r>
              <a:rPr lang="en-GB" sz="1046" b="0">
                <a:solidFill>
                  <a:srgbClr val="002060"/>
                </a:solidFill>
                <a:latin typeface="Arial" panose="020B0604020202020204" pitchFamily="34" charset="0"/>
                <a:cs typeface="Arial" panose="020B0604020202020204" pitchFamily="34" charset="0"/>
              </a:rPr>
              <a:t>late transposition infringement cases in 2017</a:t>
            </a:r>
          </a:p>
        </c:rich>
      </c:tx>
      <c:layout>
        <c:manualLayout>
          <c:xMode val="edge"/>
          <c:yMode val="edge"/>
          <c:x val="0.13513751806527668"/>
          <c:y val="3.3333515260009605E-2"/>
        </c:manualLayout>
      </c:layout>
      <c:overlay val="0"/>
      <c:spPr>
        <a:noFill/>
        <a:ln w="25297">
          <a:noFill/>
        </a:ln>
      </c:spPr>
    </c:title>
    <c:autoTitleDeleted val="0"/>
    <c:plotArea>
      <c:layout/>
      <c:pieChart>
        <c:varyColors val="1"/>
        <c:ser>
          <c:idx val="0"/>
          <c:order val="0"/>
          <c:tx>
            <c:strRef>
              <c:f>Blad1!$B$1</c:f>
              <c:strCache>
                <c:ptCount val="1"/>
                <c:pt idx="0">
                  <c:v>[Number of late transposition cases] late transposition cases in 2017</c:v>
                </c:pt>
              </c:strCache>
            </c:strRef>
          </c:tx>
          <c:spPr>
            <a:solidFill>
              <a:srgbClr val="C00000"/>
            </a:solidFill>
            <a:scene3d>
              <a:camera prst="orthographicFront"/>
              <a:lightRig rig="threePt" dir="t"/>
            </a:scene3d>
            <a:sp3d>
              <a:bevelT w="63500" h="25400"/>
            </a:sp3d>
          </c:spPr>
          <c:dPt>
            <c:idx val="0"/>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FBBD-4405-8329-650A7D7EECDE}"/>
              </c:ext>
            </c:extLst>
          </c:dPt>
          <c:dPt>
            <c:idx val="1"/>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FBBD-4405-8329-650A7D7EECDE}"/>
              </c:ext>
            </c:extLst>
          </c:dPt>
          <c:dPt>
            <c:idx val="2"/>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FBBD-4405-8329-650A7D7EECDE}"/>
              </c:ext>
            </c:extLst>
          </c:dPt>
          <c:dPt>
            <c:idx val="3"/>
            <c:bubble3D val="0"/>
            <c:spPr>
              <a:solidFill>
                <a:srgbClr val="0070C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FBBD-4405-8329-650A7D7EECDE}"/>
              </c:ext>
            </c:extLst>
          </c:dPt>
          <c:dLbls>
            <c:dLbl>
              <c:idx val="0"/>
              <c:layout>
                <c:manualLayout>
                  <c:x val="4.8622954388765922E-4"/>
                  <c:y val="-0.34744138232720911"/>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BBD-4405-8329-650A7D7EECDE}"/>
                </c:ext>
              </c:extLst>
            </c:dLbl>
            <c:dLbl>
              <c:idx val="1"/>
              <c:layout>
                <c:manualLayout>
                  <c:x val="-6.2494204353488068E-3"/>
                  <c:y val="6.96242344706911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BBD-4405-8329-650A7D7EECDE}"/>
                </c:ext>
              </c:extLst>
            </c:dLbl>
            <c:dLbl>
              <c:idx val="2"/>
              <c:layout>
                <c:manualLayout>
                  <c:x val="-3.6023722841096477E-3"/>
                  <c:y val="-5.8532370953630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BBD-4405-8329-650A7D7EECDE}"/>
                </c:ext>
              </c:extLst>
            </c:dLbl>
            <c:dLbl>
              <c:idx val="3"/>
              <c:layout>
                <c:manualLayout>
                  <c:x val="1.6312477069398584E-3"/>
                  <c:y val="-4.682589676290473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BBD-4405-8329-650A7D7EECDE}"/>
                </c:ext>
              </c:extLst>
            </c:dLbl>
            <c:spPr>
              <a:noFill/>
              <a:ln w="25297">
                <a:noFill/>
              </a:ln>
            </c:spPr>
            <c:txPr>
              <a:bodyPr rot="0" spcFirstLastPara="1" vertOverflow="ellipsis" vert="horz" wrap="square" lIns="38100" tIns="19050" rIns="38100" bIns="19050" anchor="ctr" anchorCtr="1">
                <a:spAutoFit/>
              </a:bodyPr>
              <a:lstStyle/>
              <a:p>
                <a:pPr>
                  <a:defRPr sz="896"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Blad1!$A$2:$A$5</c:f>
              <c:strCache>
                <c:ptCount val="4"/>
                <c:pt idx="0">
                  <c:v>Road safety</c:v>
                </c:pt>
                <c:pt idx="1">
                  <c:v>Sustainable transport</c:v>
                </c:pt>
                <c:pt idx="2">
                  <c:v>Road transport</c:v>
                </c:pt>
                <c:pt idx="3">
                  <c:v>Maritime safety</c:v>
                </c:pt>
              </c:strCache>
            </c:strRef>
          </c:cat>
          <c:val>
            <c:numRef>
              <c:f>Blad1!$B$2:$B$5</c:f>
              <c:numCache>
                <c:formatCode>General</c:formatCode>
                <c:ptCount val="4"/>
                <c:pt idx="0">
                  <c:v>74</c:v>
                </c:pt>
                <c:pt idx="1">
                  <c:v>21</c:v>
                </c:pt>
                <c:pt idx="2">
                  <c:v>18</c:v>
                </c:pt>
                <c:pt idx="3">
                  <c:v>16</c:v>
                </c:pt>
              </c:numCache>
            </c:numRef>
          </c:val>
          <c:extLst xmlns:c16r2="http://schemas.microsoft.com/office/drawing/2015/06/chart">
            <c:ext xmlns:c16="http://schemas.microsoft.com/office/drawing/2014/chart" uri="{C3380CC4-5D6E-409C-BE32-E72D297353CC}">
              <c16:uniqueId val="{00000008-FBBD-4405-8329-650A7D7EECDE}"/>
            </c:ext>
          </c:extLst>
        </c:ser>
        <c:dLbls>
          <c:showLegendKey val="0"/>
          <c:showVal val="0"/>
          <c:showCatName val="0"/>
          <c:showSerName val="0"/>
          <c:showPercent val="0"/>
          <c:showBubbleSize val="0"/>
          <c:showLeaderLines val="0"/>
        </c:dLbls>
        <c:firstSliceAng val="147"/>
      </c:pieChart>
      <c:spPr>
        <a:noFill/>
        <a:ln w="25295">
          <a:noFill/>
        </a:ln>
      </c:spPr>
    </c:plotArea>
    <c:plotVisOnly val="1"/>
    <c:dispBlanksAs val="gap"/>
    <c:showDLblsOverMax val="0"/>
  </c:chart>
  <c:spPr>
    <a:solidFill>
      <a:schemeClr val="bg1"/>
    </a:solidFill>
    <a:ln w="948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2"/>
              <c:layout>
                <c:manualLayout>
                  <c:x val="-5.2889311849263876E-2"/>
                  <c:y val="6.855727711455422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E97-4B7E-91AC-0C537C7A08B8}"/>
                </c:ext>
              </c:extLst>
            </c:dLbl>
            <c:spPr>
              <a:noFill/>
              <a:ln w="25341">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452</c:v>
                </c:pt>
                <c:pt idx="1">
                  <c:v>429</c:v>
                </c:pt>
                <c:pt idx="2">
                  <c:v>423</c:v>
                </c:pt>
                <c:pt idx="3">
                  <c:v>406</c:v>
                </c:pt>
                <c:pt idx="4">
                  <c:v>308</c:v>
                </c:pt>
              </c:numCache>
            </c:numRef>
          </c:val>
          <c:smooth val="0"/>
          <c:extLst xmlns:c16r2="http://schemas.microsoft.com/office/drawing/2015/06/chart">
            <c:ext xmlns:c16="http://schemas.microsoft.com/office/drawing/2014/chart" uri="{C3380CC4-5D6E-409C-BE32-E72D297353CC}">
              <c16:uniqueId val="{00000001-EE97-4B7E-91AC-0C537C7A08B8}"/>
            </c:ext>
          </c:extLst>
        </c:ser>
        <c:dLbls>
          <c:showLegendKey val="0"/>
          <c:showVal val="0"/>
          <c:showCatName val="0"/>
          <c:showSerName val="0"/>
          <c:showPercent val="0"/>
          <c:showBubbleSize val="0"/>
        </c:dLbls>
        <c:marker val="1"/>
        <c:smooth val="0"/>
        <c:axId val="342088704"/>
        <c:axId val="342090496"/>
      </c:lineChart>
      <c:catAx>
        <c:axId val="342088704"/>
        <c:scaling>
          <c:orientation val="minMax"/>
        </c:scaling>
        <c:delete val="0"/>
        <c:axPos val="b"/>
        <c:numFmt formatCode="General" sourceLinked="1"/>
        <c:majorTickMark val="none"/>
        <c:minorTickMark val="none"/>
        <c:tickLblPos val="nextTo"/>
        <c:spPr>
          <a:noFill/>
          <a:ln w="12671"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42090496"/>
        <c:crosses val="autoZero"/>
        <c:auto val="1"/>
        <c:lblAlgn val="ctr"/>
        <c:lblOffset val="100"/>
        <c:noMultiLvlLbl val="0"/>
      </c:catAx>
      <c:valAx>
        <c:axId val="342090496"/>
        <c:scaling>
          <c:orientation val="minMax"/>
        </c:scaling>
        <c:delete val="1"/>
        <c:axPos val="l"/>
        <c:majorGridlines>
          <c:spPr>
            <a:ln w="9503" cap="flat" cmpd="sng" algn="ctr">
              <a:solidFill>
                <a:schemeClr val="tx1">
                  <a:lumMod val="15000"/>
                  <a:lumOff val="85000"/>
                </a:schemeClr>
              </a:solidFill>
              <a:round/>
            </a:ln>
            <a:effectLst/>
          </c:spPr>
        </c:majorGridlines>
        <c:numFmt formatCode="General" sourceLinked="1"/>
        <c:majorTickMark val="out"/>
        <c:minorTickMark val="none"/>
        <c:tickLblPos val="nextTo"/>
        <c:crossAx val="342088704"/>
        <c:crosses val="autoZero"/>
        <c:crossBetween val="between"/>
      </c:valAx>
      <c:spPr>
        <a:noFill/>
        <a:ln w="25354">
          <a:noFill/>
        </a:ln>
      </c:spPr>
    </c:plotArea>
    <c:plotVisOnly val="1"/>
    <c:dispBlanksAs val="gap"/>
    <c:showDLblsOverMax val="0"/>
  </c:chart>
  <c:spPr>
    <a:solidFill>
      <a:schemeClr val="bg1"/>
    </a:solidFill>
    <a:ln w="950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8"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GB" sz="1098" b="0">
                <a:solidFill>
                  <a:srgbClr val="002060"/>
                </a:solidFill>
                <a:latin typeface="Arial" panose="020B0604020202020204" pitchFamily="34" charset="0"/>
                <a:cs typeface="Arial" panose="020B0604020202020204" pitchFamily="34" charset="0"/>
              </a:rPr>
              <a:t>308 complaints in 2017</a:t>
            </a:r>
          </a:p>
        </c:rich>
      </c:tx>
      <c:overlay val="0"/>
      <c:spPr>
        <a:noFill/>
        <a:ln w="25336">
          <a:noFill/>
        </a:ln>
      </c:spPr>
    </c:title>
    <c:autoTitleDeleted val="0"/>
    <c:plotArea>
      <c:layout/>
      <c:pieChart>
        <c:varyColors val="1"/>
        <c:ser>
          <c:idx val="0"/>
          <c:order val="0"/>
          <c:tx>
            <c:strRef>
              <c:f>Blad1!$B$1</c:f>
              <c:strCache>
                <c:ptCount val="1"/>
                <c:pt idx="0">
                  <c:v>[Number of new complaints] complaints in 2014</c:v>
                </c:pt>
              </c:strCache>
            </c:strRef>
          </c:tx>
          <c:spPr>
            <a:solidFill>
              <a:srgbClr val="92D050"/>
            </a:solidFill>
            <a:scene3d>
              <a:camera prst="orthographicFront"/>
              <a:lightRig rig="threePt" dir="t"/>
            </a:scene3d>
            <a:sp3d>
              <a:bevelT w="63500" h="25400"/>
            </a:sp3d>
          </c:spPr>
          <c:dPt>
            <c:idx val="0"/>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5CED-419E-8DC7-7E69E813C7D8}"/>
              </c:ext>
            </c:extLst>
          </c:dPt>
          <c:dPt>
            <c:idx val="1"/>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5CED-419E-8DC7-7E69E813C7D8}"/>
              </c:ext>
            </c:extLst>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5CED-419E-8DC7-7E69E813C7D8}"/>
              </c:ext>
            </c:extLst>
          </c:dPt>
          <c:dPt>
            <c:idx val="3"/>
            <c:bubble3D val="0"/>
            <c:spPr>
              <a:solidFill>
                <a:srgbClr val="C0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5CED-419E-8DC7-7E69E813C7D8}"/>
              </c:ext>
            </c:extLst>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5CED-419E-8DC7-7E69E813C7D8}"/>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CED-419E-8DC7-7E69E813C7D8}"/>
                </c:ext>
              </c:extLst>
            </c:dLbl>
            <c:dLbl>
              <c:idx val="1"/>
              <c:layout>
                <c:manualLayout>
                  <c:x val="4.2855103653055109E-2"/>
                  <c:y val="-0.12972167655044958"/>
                </c:manualLayout>
              </c:layout>
              <c:spPr>
                <a:noFill/>
                <a:ln w="25336">
                  <a:noFill/>
                </a:ln>
              </c:spPr>
              <c:txPr>
                <a:bodyPr rot="0" spcFirstLastPara="1" vertOverflow="ellipsis" vert="horz" wrap="square" lIns="38100" tIns="19050" rIns="38100" bIns="19050" anchor="ctr" anchorCtr="1">
                  <a:spAutoFit/>
                </a:bodyPr>
                <a:lstStyle/>
                <a:p>
                  <a:pPr>
                    <a:defRPr sz="897"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CED-419E-8DC7-7E69E813C7D8}"/>
                </c:ext>
              </c:extLst>
            </c:dLbl>
            <c:dLbl>
              <c:idx val="2"/>
              <c:layout>
                <c:manualLayout>
                  <c:x val="-1.1380751314391566E-2"/>
                  <c:y val="-4.9588564952273179E-2"/>
                </c:manualLayout>
              </c:layout>
              <c:spPr>
                <a:noFill/>
                <a:ln w="25336">
                  <a:noFill/>
                </a:ln>
              </c:spPr>
              <c:txPr>
                <a:bodyPr rot="0" spcFirstLastPara="1" vertOverflow="ellipsis" vert="horz" wrap="square" lIns="38100" tIns="19050" rIns="38100" bIns="19050" anchor="ctr" anchorCtr="1">
                  <a:spAutoFit/>
                </a:bodyPr>
                <a:lstStyle/>
                <a:p>
                  <a:pPr>
                    <a:defRPr sz="897"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CED-419E-8DC7-7E69E813C7D8}"/>
                </c:ext>
              </c:extLst>
            </c:dLbl>
            <c:dLbl>
              <c:idx val="3"/>
              <c:layout>
                <c:manualLayout>
                  <c:x val="-6.0581328829442373E-2"/>
                  <c:y val="0.1102489056453454"/>
                </c:manualLayout>
              </c:layout>
              <c:spPr>
                <a:noFill/>
                <a:ln w="25336">
                  <a:noFill/>
                </a:ln>
              </c:spPr>
              <c:txPr>
                <a:bodyPr rot="0" spcFirstLastPara="1" vertOverflow="ellipsis" vert="horz" wrap="square" lIns="38100" tIns="19050" rIns="38100" bIns="19050" anchor="ctr" anchorCtr="1">
                  <a:spAutoFit/>
                </a:bodyPr>
                <a:lstStyle/>
                <a:p>
                  <a:pPr>
                    <a:defRPr sz="897"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CED-419E-8DC7-7E69E813C7D8}"/>
                </c:ext>
              </c:extLst>
            </c:dLbl>
            <c:dLbl>
              <c:idx val="4"/>
              <c:layout>
                <c:manualLayout>
                  <c:x val="2.2129069165599716E-2"/>
                  <c:y val="6.887405954241125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CED-419E-8DC7-7E69E813C7D8}"/>
                </c:ext>
              </c:extLst>
            </c:dLbl>
            <c:dLbl>
              <c:idx val="5"/>
              <c:layout>
                <c:manualLayout>
                  <c:x val="-1.9404478509953697E-2"/>
                  <c:y val="-0.11691730435104059"/>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CED-419E-8DC7-7E69E813C7D8}"/>
                </c:ext>
              </c:extLst>
            </c:dLbl>
            <c:dLbl>
              <c:idx val="6"/>
              <c:layout>
                <c:manualLayout>
                  <c:x val="-8.3056478405315621E-3"/>
                  <c:y val="-3.755868544600939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CED-419E-8DC7-7E69E813C7D8}"/>
                </c:ext>
              </c:extLst>
            </c:dLbl>
            <c:dLbl>
              <c:idx val="7"/>
              <c:layout>
                <c:manualLayout>
                  <c:x val="-3.875968992248062E-2"/>
                  <c:y val="8.450704225352104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5CED-419E-8DC7-7E69E813C7D8}"/>
                </c:ext>
              </c:extLst>
            </c:dLbl>
            <c:dLbl>
              <c:idx val="8"/>
              <c:layout>
                <c:manualLayout>
                  <c:x val="6.0908084163898119E-2"/>
                  <c:y val="2.816901408450704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5CED-419E-8DC7-7E69E813C7D8}"/>
                </c:ext>
              </c:extLst>
            </c:dLbl>
            <c:dLbl>
              <c:idx val="9"/>
              <c:layout>
                <c:manualLayout>
                  <c:x val="4.9833887043189473E-2"/>
                  <c:y val="0.21596244131455408"/>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5CED-419E-8DC7-7E69E813C7D8}"/>
                </c:ext>
              </c:extLst>
            </c:dLbl>
            <c:dLbl>
              <c:idx val="10"/>
              <c:layout>
                <c:manualLayout>
                  <c:x val="-0.13289036544850499"/>
                  <c:y val="0.2863849765258216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5CED-419E-8DC7-7E69E813C7D8}"/>
                </c:ext>
              </c:extLst>
            </c:dLbl>
            <c:spPr>
              <a:noFill/>
              <a:ln w="25336">
                <a:noFill/>
              </a:ln>
            </c:spPr>
            <c:txPr>
              <a:bodyPr rot="0" spcFirstLastPara="1" vertOverflow="ellipsis" vert="horz" wrap="square" lIns="38100" tIns="19050" rIns="38100" bIns="19050" anchor="ctr" anchorCtr="1">
                <a:spAutoFit/>
              </a:bodyPr>
              <a:lstStyle/>
              <a:p>
                <a:pPr>
                  <a:defRPr sz="897"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0">
                  <c:v>Sector</c:v>
                </c:pt>
                <c:pt idx="1">
                  <c:v>Direct taxation</c:v>
                </c:pt>
                <c:pt idx="2">
                  <c:v>Indirect taxation - VAT</c:v>
                </c:pt>
                <c:pt idx="3">
                  <c:v>Indirect taxation - car taxation</c:v>
                </c:pt>
                <c:pt idx="4">
                  <c:v>Other</c:v>
                </c:pt>
              </c:strCache>
            </c:strRef>
          </c:cat>
          <c:val>
            <c:numRef>
              <c:f>Blad1!$B$2:$B$6</c:f>
              <c:numCache>
                <c:formatCode>General</c:formatCode>
                <c:ptCount val="5"/>
                <c:pt idx="0">
                  <c:v>0</c:v>
                </c:pt>
                <c:pt idx="1">
                  <c:v>120</c:v>
                </c:pt>
                <c:pt idx="2">
                  <c:v>76</c:v>
                </c:pt>
                <c:pt idx="3">
                  <c:v>44</c:v>
                </c:pt>
                <c:pt idx="4">
                  <c:v>68</c:v>
                </c:pt>
              </c:numCache>
            </c:numRef>
          </c:val>
          <c:extLst xmlns:c16r2="http://schemas.microsoft.com/office/drawing/2015/06/chart">
            <c:ext xmlns:c16="http://schemas.microsoft.com/office/drawing/2014/chart" uri="{C3380CC4-5D6E-409C-BE32-E72D297353CC}">
              <c16:uniqueId val="{00000010-5CED-419E-8DC7-7E69E813C7D8}"/>
            </c:ext>
          </c:extLst>
        </c:ser>
        <c:dLbls>
          <c:showLegendKey val="0"/>
          <c:showVal val="0"/>
          <c:showCatName val="0"/>
          <c:showSerName val="0"/>
          <c:showPercent val="0"/>
          <c:showBubbleSize val="0"/>
          <c:showLeaderLines val="0"/>
        </c:dLbls>
        <c:firstSliceAng val="77"/>
      </c:pieChart>
      <c:spPr>
        <a:noFill/>
        <a:ln w="25353">
          <a:noFill/>
        </a:ln>
      </c:spPr>
    </c:plotArea>
    <c:plotVisOnly val="1"/>
    <c:dispBlanksAs val="gap"/>
    <c:showDLblsOverMax val="0"/>
  </c:chart>
  <c:spPr>
    <a:solidFill>
      <a:schemeClr val="bg1"/>
    </a:solidFill>
    <a:ln w="950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398">
                <a:noFill/>
              </a:ln>
            </c:spPr>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130</c:v>
                </c:pt>
                <c:pt idx="1">
                  <c:v>144</c:v>
                </c:pt>
                <c:pt idx="2">
                  <c:v>90</c:v>
                </c:pt>
                <c:pt idx="3">
                  <c:v>106</c:v>
                </c:pt>
                <c:pt idx="4">
                  <c:v>18</c:v>
                </c:pt>
              </c:numCache>
            </c:numRef>
          </c:val>
          <c:smooth val="0"/>
          <c:extLst xmlns:c16r2="http://schemas.microsoft.com/office/drawing/2015/06/chart">
            <c:ext xmlns:c16="http://schemas.microsoft.com/office/drawing/2014/chart" uri="{C3380CC4-5D6E-409C-BE32-E72D297353CC}">
              <c16:uniqueId val="{00000000-3AE3-463C-850D-D82B6070E49D}"/>
            </c:ext>
          </c:extLst>
        </c:ser>
        <c:dLbls>
          <c:showLegendKey val="0"/>
          <c:showVal val="0"/>
          <c:showCatName val="0"/>
          <c:showSerName val="0"/>
          <c:showPercent val="0"/>
          <c:showBubbleSize val="0"/>
        </c:dLbls>
        <c:marker val="1"/>
        <c:smooth val="0"/>
        <c:axId val="342447232"/>
        <c:axId val="342448768"/>
      </c:lineChart>
      <c:catAx>
        <c:axId val="342447232"/>
        <c:scaling>
          <c:orientation val="minMax"/>
        </c:scaling>
        <c:delete val="0"/>
        <c:axPos val="b"/>
        <c:numFmt formatCode="General" sourceLinked="1"/>
        <c:majorTickMark val="none"/>
        <c:minorTickMark val="none"/>
        <c:tickLblPos val="nextTo"/>
        <c:spPr>
          <a:noFill/>
          <a:ln w="12688"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42448768"/>
        <c:crosses val="autoZero"/>
        <c:auto val="1"/>
        <c:lblAlgn val="ctr"/>
        <c:lblOffset val="100"/>
        <c:noMultiLvlLbl val="0"/>
      </c:catAx>
      <c:valAx>
        <c:axId val="342448768"/>
        <c:scaling>
          <c:orientation val="minMax"/>
          <c:min val="0"/>
        </c:scaling>
        <c:delete val="1"/>
        <c:axPos val="l"/>
        <c:majorGridlines/>
        <c:numFmt formatCode="General" sourceLinked="1"/>
        <c:majorTickMark val="out"/>
        <c:minorTickMark val="none"/>
        <c:tickLblPos val="nextTo"/>
        <c:crossAx val="342447232"/>
        <c:crosses val="autoZero"/>
        <c:crossBetween val="between"/>
      </c:valAx>
      <c:spPr>
        <a:noFill/>
        <a:ln w="25398">
          <a:noFill/>
        </a:ln>
      </c:spPr>
    </c:plotArea>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9" b="0" i="0" u="none" strike="noStrike" kern="1200" baseline="0">
                <a:solidFill>
                  <a:srgbClr val="002060"/>
                </a:solidFill>
                <a:latin typeface="Arial" panose="020B0604020202020204" pitchFamily="34" charset="0"/>
                <a:ea typeface="+mn-ea"/>
                <a:cs typeface="Arial" panose="020B0604020202020204" pitchFamily="34" charset="0"/>
              </a:defRPr>
            </a:pPr>
            <a:r>
              <a:rPr lang="en-US" sz="1099" b="0">
                <a:solidFill>
                  <a:srgbClr val="002060"/>
                </a:solidFill>
                <a:latin typeface="Arial" panose="020B0604020202020204" pitchFamily="34" charset="0"/>
                <a:ea typeface="Verdana" panose="020B0604030504040204" pitchFamily="34" charset="0"/>
                <a:cs typeface="Arial" panose="020B0604020202020204" pitchFamily="34" charset="0"/>
              </a:rPr>
              <a:t>18 EU Pilot files opened in 2017</a:t>
            </a:r>
          </a:p>
        </c:rich>
      </c:tx>
      <c:overlay val="0"/>
      <c:spPr>
        <a:noFill/>
        <a:ln w="25363">
          <a:noFill/>
        </a:ln>
      </c:spPr>
    </c:title>
    <c:autoTitleDeleted val="0"/>
    <c:plotArea>
      <c:layout/>
      <c:pieChart>
        <c:varyColors val="1"/>
        <c:ser>
          <c:idx val="0"/>
          <c:order val="0"/>
          <c:tx>
            <c:strRef>
              <c:f>Blad1!$B$1</c:f>
              <c:strCache>
                <c:ptCount val="1"/>
                <c:pt idx="0">
                  <c:v>[Number of new EU Pilot files ] EU Pilot files opened in 2014</c:v>
                </c:pt>
              </c:strCache>
            </c:strRef>
          </c:tx>
          <c:spPr>
            <a:solidFill>
              <a:schemeClr val="accent1"/>
            </a:solidFill>
            <a:scene3d>
              <a:camera prst="orthographicFront"/>
              <a:lightRig rig="threePt" dir="t"/>
            </a:scene3d>
            <a:sp3d>
              <a:bevelT w="63500" h="25400"/>
            </a:sp3d>
          </c:spPr>
          <c:dPt>
            <c:idx val="0"/>
            <c:bubble3D val="0"/>
            <c:spPr>
              <a:solidFill>
                <a:schemeClr val="accent1"/>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E089-47D3-950D-D892ABDE8FC3}"/>
              </c:ext>
            </c:extLst>
          </c:dPt>
          <c:dPt>
            <c:idx val="1"/>
            <c:bubble3D val="0"/>
            <c:spPr>
              <a:solidFill>
                <a:srgbClr val="009242"/>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E089-47D3-950D-D892ABDE8FC3}"/>
              </c:ext>
            </c:extLst>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E089-47D3-950D-D892ABDE8FC3}"/>
              </c:ext>
            </c:extLst>
          </c:dPt>
          <c:dPt>
            <c:idx val="3"/>
            <c:bubble3D val="0"/>
            <c:spPr>
              <a:solidFill>
                <a:srgbClr val="A2641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E089-47D3-950D-D892ABDE8FC3}"/>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089-47D3-950D-D892ABDE8FC3}"/>
                </c:ext>
              </c:extLst>
            </c:dLbl>
            <c:dLbl>
              <c:idx val="1"/>
              <c:layout>
                <c:manualLayout>
                  <c:x val="0.27871861431234496"/>
                  <c:y val="-0.103142059993610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089-47D3-950D-D892ABDE8FC3}"/>
                </c:ext>
              </c:extLst>
            </c:dLbl>
            <c:dLbl>
              <c:idx val="2"/>
              <c:layout>
                <c:manualLayout>
                  <c:x val="-0.14070490072825853"/>
                  <c:y val="0.18771766151390681"/>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089-47D3-950D-D892ABDE8FC3}"/>
                </c:ext>
              </c:extLst>
            </c:dLbl>
            <c:dLbl>
              <c:idx val="3"/>
              <c:layout>
                <c:manualLayout>
                  <c:x val="3.8612878274321673E-2"/>
                  <c:y val="-2.122648548530095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089-47D3-950D-D892ABDE8FC3}"/>
                </c:ext>
              </c:extLst>
            </c:dLbl>
            <c:dLbl>
              <c:idx val="4"/>
              <c:layout>
                <c:manualLayout>
                  <c:x val="-1.3815160522153274E-2"/>
                  <c:y val="-1.89393939393939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089-47D3-950D-D892ABDE8FC3}"/>
                </c:ext>
              </c:extLst>
            </c:dLbl>
            <c:dLbl>
              <c:idx val="5"/>
              <c:layout>
                <c:manualLayout>
                  <c:x val="0"/>
                  <c:y val="-2.840909090909086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089-47D3-950D-D892ABDE8FC3}"/>
                </c:ext>
              </c:extLst>
            </c:dLbl>
            <c:dLbl>
              <c:idx val="6"/>
              <c:layout>
                <c:manualLayout>
                  <c:x val="0"/>
                  <c:y val="4.26136363636363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089-47D3-950D-D892ABDE8FC3}"/>
                </c:ext>
              </c:extLst>
            </c:dLbl>
            <c:dLbl>
              <c:idx val="7"/>
              <c:layout>
                <c:manualLayout>
                  <c:x val="-2.7593818984547464E-3"/>
                  <c:y val="0.1751893939393938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089-47D3-950D-D892ABDE8FC3}"/>
                </c:ext>
              </c:extLst>
            </c:dLbl>
            <c:spPr>
              <a:noFill/>
              <a:ln w="25363">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Blad1!$A$2:$A$5</c:f>
              <c:strCache>
                <c:ptCount val="4"/>
                <c:pt idx="0">
                  <c:v>Sector</c:v>
                </c:pt>
                <c:pt idx="1">
                  <c:v>Direct taxation</c:v>
                </c:pt>
                <c:pt idx="2">
                  <c:v>Indirect taxation (excise duties, car taxation, VAT)</c:v>
                </c:pt>
                <c:pt idx="3">
                  <c:v>Customs</c:v>
                </c:pt>
              </c:strCache>
            </c:strRef>
          </c:cat>
          <c:val>
            <c:numRef>
              <c:f>Blad1!$B$2:$B$5</c:f>
              <c:numCache>
                <c:formatCode>General</c:formatCode>
                <c:ptCount val="4"/>
                <c:pt idx="0">
                  <c:v>0</c:v>
                </c:pt>
                <c:pt idx="1">
                  <c:v>9</c:v>
                </c:pt>
                <c:pt idx="2">
                  <c:v>7</c:v>
                </c:pt>
                <c:pt idx="3">
                  <c:v>2</c:v>
                </c:pt>
              </c:numCache>
            </c:numRef>
          </c:val>
          <c:extLst xmlns:c16r2="http://schemas.microsoft.com/office/drawing/2015/06/chart">
            <c:ext xmlns:c16="http://schemas.microsoft.com/office/drawing/2014/chart" uri="{C3380CC4-5D6E-409C-BE32-E72D297353CC}">
              <c16:uniqueId val="{0000000C-E089-47D3-950D-D892ABDE8FC3}"/>
            </c:ext>
          </c:extLst>
        </c:ser>
        <c:dLbls>
          <c:showLegendKey val="0"/>
          <c:showVal val="0"/>
          <c:showCatName val="0"/>
          <c:showSerName val="0"/>
          <c:showPercent val="0"/>
          <c:showBubbleSize val="0"/>
          <c:showLeaderLines val="0"/>
        </c:dLbls>
        <c:firstSliceAng val="95"/>
      </c:pieChart>
      <c:spPr>
        <a:noFill/>
        <a:ln w="25387">
          <a:noFill/>
        </a:ln>
      </c:spPr>
    </c:plotArea>
    <c:plotVisOnly val="1"/>
    <c:dispBlanksAs val="gap"/>
    <c:showDLblsOverMax val="0"/>
  </c:chart>
  <c:spPr>
    <a:solidFill>
      <a:schemeClr val="bg1"/>
    </a:solidFill>
    <a:ln w="951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036576949620428E-2"/>
          <c:y val="8.2304526748971193E-2"/>
          <c:w val="0.93929359823399561"/>
          <c:h val="0.69892466155546351"/>
        </c:manualLayout>
      </c:layout>
      <c:lineChart>
        <c:grouping val="standard"/>
        <c:varyColors val="0"/>
        <c:ser>
          <c:idx val="0"/>
          <c:order val="0"/>
          <c:tx>
            <c:strRef>
              <c:f>Blad1!$B$2</c:f>
              <c:strCache>
                <c:ptCount val="1"/>
                <c:pt idx="0">
                  <c:v>Taxation and customs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2978243422051582E-2"/>
                  <c:y val="4.301191859214319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736-4E07-8266-1085C5EDA193}"/>
                </c:ext>
              </c:extLst>
            </c:dLbl>
            <c:dLbl>
              <c:idx val="4"/>
              <c:layout>
                <c:manualLayout>
                  <c:x val="-4.7054414141940767E-2"/>
                  <c:y val="-5.775745959386654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736-4E07-8266-1085C5EDA193}"/>
                </c:ext>
              </c:extLst>
            </c:dLbl>
            <c:spPr>
              <a:noFill/>
              <a:ln w="25376">
                <a:noFill/>
              </a:ln>
            </c:spPr>
            <c:txPr>
              <a:bodyPr/>
              <a:lstStyle/>
              <a:p>
                <a:pPr>
                  <a:defRPr sz="898">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0%</c:formatCode>
                <c:ptCount val="5"/>
                <c:pt idx="0">
                  <c:v>0.6</c:v>
                </c:pt>
                <c:pt idx="1">
                  <c:v>0.68</c:v>
                </c:pt>
                <c:pt idx="2">
                  <c:v>0.69</c:v>
                </c:pt>
                <c:pt idx="3">
                  <c:v>0.79</c:v>
                </c:pt>
                <c:pt idx="4">
                  <c:v>0.88</c:v>
                </c:pt>
              </c:numCache>
            </c:numRef>
          </c:val>
          <c:smooth val="0"/>
          <c:extLst xmlns:c16r2="http://schemas.microsoft.com/office/drawing/2015/06/chart">
            <c:ext xmlns:c16="http://schemas.microsoft.com/office/drawing/2014/chart" uri="{C3380CC4-5D6E-409C-BE32-E72D297353CC}">
              <c16:uniqueId val="{00000002-E736-4E07-8266-1085C5EDA193}"/>
            </c:ext>
          </c:extLst>
        </c:ser>
        <c:ser>
          <c:idx val="1"/>
          <c:order val="1"/>
          <c:tx>
            <c:strRef>
              <c:f>Blad1!$C$2</c:f>
              <c:strCache>
                <c:ptCount val="1"/>
                <c:pt idx="0">
                  <c:v>General rate for all policy areas</c:v>
                </c:pt>
              </c:strCache>
            </c:strRef>
          </c:tx>
          <c:spPr>
            <a:ln w="25353">
              <a:solidFill>
                <a:srgbClr val="92D050"/>
              </a:solidFill>
            </a:ln>
          </c:spPr>
          <c:marker>
            <c:symbol val="square"/>
            <c:size val="3"/>
            <c:spPr>
              <a:solidFill>
                <a:srgbClr val="92D050"/>
              </a:solidFill>
              <a:ln>
                <a:solidFill>
                  <a:srgbClr val="92D050"/>
                </a:solidFill>
              </a:ln>
            </c:spPr>
          </c:marker>
          <c:dLbls>
            <c:dLbl>
              <c:idx val="2"/>
              <c:layout>
                <c:manualLayout>
                  <c:x val="-4.1416629088764784E-2"/>
                  <c:y val="5.70827459340508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736-4E07-8266-1085C5EDA193}"/>
                </c:ext>
              </c:extLst>
            </c:dLbl>
            <c:spPr>
              <a:noFill/>
              <a:ln w="25376">
                <a:noFill/>
              </a:ln>
            </c:spPr>
            <c:txPr>
              <a:bodyPr/>
              <a:lstStyle/>
              <a:p>
                <a:pPr>
                  <a:defRPr sz="898">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Blad1!$C$3:$C$7</c:f>
              <c:numCache>
                <c:formatCode>0%</c:formatCode>
                <c:ptCount val="5"/>
                <c:pt idx="0">
                  <c:v>0.7</c:v>
                </c:pt>
                <c:pt idx="1">
                  <c:v>0.75</c:v>
                </c:pt>
                <c:pt idx="2">
                  <c:v>0.75</c:v>
                </c:pt>
                <c:pt idx="3">
                  <c:v>0.72</c:v>
                </c:pt>
                <c:pt idx="4">
                  <c:v>0.77</c:v>
                </c:pt>
              </c:numCache>
            </c:numRef>
          </c:val>
          <c:smooth val="0"/>
          <c:extLst xmlns:c16r2="http://schemas.microsoft.com/office/drawing/2015/06/chart">
            <c:ext xmlns:c16="http://schemas.microsoft.com/office/drawing/2014/chart" uri="{C3380CC4-5D6E-409C-BE32-E72D297353CC}">
              <c16:uniqueId val="{00000004-E736-4E07-8266-1085C5EDA193}"/>
            </c:ext>
          </c:extLst>
        </c:ser>
        <c:dLbls>
          <c:showLegendKey val="0"/>
          <c:showVal val="0"/>
          <c:showCatName val="0"/>
          <c:showSerName val="0"/>
          <c:showPercent val="0"/>
          <c:showBubbleSize val="0"/>
        </c:dLbls>
        <c:marker val="1"/>
        <c:smooth val="0"/>
        <c:axId val="342936192"/>
        <c:axId val="343081344"/>
      </c:lineChart>
      <c:catAx>
        <c:axId val="342936192"/>
        <c:scaling>
          <c:orientation val="minMax"/>
        </c:scaling>
        <c:delete val="0"/>
        <c:axPos val="b"/>
        <c:numFmt formatCode="General" sourceLinked="1"/>
        <c:majorTickMark val="none"/>
        <c:minorTickMark val="none"/>
        <c:tickLblPos val="nextTo"/>
        <c:spPr>
          <a:noFill/>
          <a:ln w="12676"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43081344"/>
        <c:crosses val="autoZero"/>
        <c:auto val="1"/>
        <c:lblAlgn val="ctr"/>
        <c:lblOffset val="100"/>
        <c:noMultiLvlLbl val="0"/>
      </c:catAx>
      <c:valAx>
        <c:axId val="343081344"/>
        <c:scaling>
          <c:orientation val="minMax"/>
          <c:min val="0.5"/>
        </c:scaling>
        <c:delete val="1"/>
        <c:axPos val="l"/>
        <c:majorGridlines>
          <c:spPr>
            <a:ln w="9507" cap="flat" cmpd="sng" algn="ctr">
              <a:solidFill>
                <a:schemeClr val="tx1">
                  <a:lumMod val="15000"/>
                  <a:lumOff val="85000"/>
                </a:schemeClr>
              </a:solidFill>
              <a:round/>
            </a:ln>
            <a:effectLst/>
          </c:spPr>
        </c:majorGridlines>
        <c:numFmt formatCode="0%" sourceLinked="1"/>
        <c:majorTickMark val="out"/>
        <c:minorTickMark val="none"/>
        <c:tickLblPos val="nextTo"/>
        <c:crossAx val="342936192"/>
        <c:crosses val="autoZero"/>
        <c:crossBetween val="between"/>
      </c:valAx>
      <c:spPr>
        <a:noFill/>
        <a:ln w="25376">
          <a:noFill/>
        </a:ln>
      </c:spPr>
    </c:plotArea>
    <c:legend>
      <c:legendPos val="r"/>
      <c:layout>
        <c:manualLayout>
          <c:xMode val="edge"/>
          <c:yMode val="edge"/>
          <c:x val="5.5932203389830508E-2"/>
          <c:y val="0.87241379310344835"/>
          <c:w val="0.88474576271186434"/>
          <c:h val="8.9655172413793116E-2"/>
        </c:manualLayout>
      </c:layout>
      <c:overlay val="0"/>
      <c:txPr>
        <a:bodyPr/>
        <a:lstStyle/>
        <a:p>
          <a:pPr>
            <a:defRPr sz="898">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0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8808038808038806E-2"/>
          <c:y val="6.2947067238912732E-2"/>
          <c:w val="0.93909191583610185"/>
          <c:h val="0.68655170244130448"/>
        </c:manualLayout>
      </c:layout>
      <c:lineChart>
        <c:grouping val="standard"/>
        <c:varyColors val="0"/>
        <c:ser>
          <c:idx val="0"/>
          <c:order val="0"/>
          <c:tx>
            <c:strRef>
              <c:f>Blad1!$B$2</c:f>
              <c:strCache>
                <c:ptCount val="1"/>
                <c:pt idx="0">
                  <c:v>Communications networks, content and technology</c:v>
                </c:pt>
              </c:strCache>
            </c:strRef>
          </c:tx>
          <c:spPr>
            <a:effectLst>
              <a:outerShdw blurRad="40000" dist="23000" dir="5400000" rotWithShape="0">
                <a:srgbClr val="000000">
                  <a:alpha val="35000"/>
                </a:srgbClr>
              </a:outerShdw>
            </a:effectLst>
          </c:spPr>
          <c:dLbls>
            <c:dLbl>
              <c:idx val="0"/>
              <c:layout>
                <c:manualLayout>
                  <c:x val="-6.4025863046188999E-2"/>
                  <c:y val="6.48568115629381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0917-47D9-9295-C78834856932}"/>
                </c:ext>
              </c:extLst>
            </c:dLbl>
            <c:dLbl>
              <c:idx val="3"/>
              <c:layout>
                <c:manualLayout>
                  <c:x val="-5.5585640152569386E-2"/>
                  <c:y val="-6.60083583972604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0917-47D9-9295-C78834856932}"/>
                </c:ext>
              </c:extLst>
            </c:dLbl>
            <c:dLbl>
              <c:idx val="4"/>
              <c:layout>
                <c:manualLayout>
                  <c:x val="-3.89050932586915E-2"/>
                  <c:y val="-7.154657893790673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0917-47D9-9295-C78834856932}"/>
                </c:ext>
              </c:extLst>
            </c:dLbl>
            <c:spPr>
              <a:noFill/>
              <a:ln w="25375">
                <a:noFill/>
              </a:ln>
            </c:spPr>
            <c:txPr>
              <a:bodyPr/>
              <a:lstStyle/>
              <a:p>
                <a:pPr>
                  <a:defRPr sz="898">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0%</c:formatCode>
                <c:ptCount val="5"/>
                <c:pt idx="0">
                  <c:v>0.52</c:v>
                </c:pt>
                <c:pt idx="1">
                  <c:v>0.74</c:v>
                </c:pt>
                <c:pt idx="2">
                  <c:v>0.56000000000000005</c:v>
                </c:pt>
                <c:pt idx="3">
                  <c:v>0.42</c:v>
                </c:pt>
                <c:pt idx="4">
                  <c:v>0.53</c:v>
                </c:pt>
              </c:numCache>
            </c:numRef>
          </c:val>
          <c:smooth val="0"/>
          <c:extLst xmlns:c16r2="http://schemas.microsoft.com/office/drawing/2015/06/chart">
            <c:ext xmlns:c16="http://schemas.microsoft.com/office/drawing/2014/chart" uri="{C3380CC4-5D6E-409C-BE32-E72D297353CC}">
              <c16:uniqueId val="{00000003-0917-47D9-9295-C78834856932}"/>
            </c:ext>
          </c:extLst>
        </c:ser>
        <c:ser>
          <c:idx val="1"/>
          <c:order val="1"/>
          <c:tx>
            <c:strRef>
              <c:f>Blad1!$C$2</c:f>
              <c:strCache>
                <c:ptCount val="1"/>
                <c:pt idx="0">
                  <c:v>General rate for all policy areas</c:v>
                </c:pt>
              </c:strCache>
            </c:strRef>
          </c:tx>
          <c:spPr>
            <a:ln w="25358">
              <a:solidFill>
                <a:srgbClr val="92D050"/>
              </a:solidFill>
            </a:ln>
          </c:spPr>
          <c:marker>
            <c:symbol val="square"/>
            <c:size val="3"/>
            <c:spPr>
              <a:solidFill>
                <a:srgbClr val="92D050"/>
              </a:solidFill>
              <a:ln w="6340">
                <a:solidFill>
                  <a:srgbClr val="92D050"/>
                </a:solidFill>
              </a:ln>
            </c:spPr>
          </c:marker>
          <c:dLbls>
            <c:dLbl>
              <c:idx val="0"/>
              <c:layout>
                <c:manualLayout>
                  <c:x val="-4.7405193536854393E-2"/>
                  <c:y val="-5.922769927731633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0917-47D9-9295-C78834856932}"/>
                </c:ext>
              </c:extLst>
            </c:dLbl>
            <c:dLbl>
              <c:idx val="3"/>
              <c:layout>
                <c:manualLayout>
                  <c:x val="-4.5883630450559584E-2"/>
                  <c:y val="-6.274655582215316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0917-47D9-9295-C78834856932}"/>
                </c:ext>
              </c:extLst>
            </c:dLbl>
            <c:dLbl>
              <c:idx val="4"/>
              <c:layout>
                <c:manualLayout>
                  <c:x val="-3.7520818618602909E-2"/>
                  <c:y val="-5.68776291662172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0917-47D9-9295-C78834856932}"/>
                </c:ext>
              </c:extLst>
            </c:dLbl>
            <c:spPr>
              <a:noFill/>
              <a:ln w="25375">
                <a:noFill/>
              </a:ln>
            </c:spPr>
            <c:txPr>
              <a:bodyPr/>
              <a:lstStyle/>
              <a:p>
                <a:pPr>
                  <a:defRPr sz="898">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Blad1!$C$3:$C$7</c:f>
              <c:numCache>
                <c:formatCode>0%</c:formatCode>
                <c:ptCount val="5"/>
                <c:pt idx="0">
                  <c:v>0.7</c:v>
                </c:pt>
                <c:pt idx="1">
                  <c:v>0.75</c:v>
                </c:pt>
                <c:pt idx="2">
                  <c:v>0.75</c:v>
                </c:pt>
                <c:pt idx="3">
                  <c:v>0.72</c:v>
                </c:pt>
                <c:pt idx="4">
                  <c:v>0.77</c:v>
                </c:pt>
              </c:numCache>
            </c:numRef>
          </c:val>
          <c:smooth val="0"/>
          <c:extLst xmlns:c16r2="http://schemas.microsoft.com/office/drawing/2015/06/chart">
            <c:ext xmlns:c16="http://schemas.microsoft.com/office/drawing/2014/chart" uri="{C3380CC4-5D6E-409C-BE32-E72D297353CC}">
              <c16:uniqueId val="{00000007-0917-47D9-9295-C78834856932}"/>
            </c:ext>
          </c:extLst>
        </c:ser>
        <c:dLbls>
          <c:showLegendKey val="0"/>
          <c:showVal val="0"/>
          <c:showCatName val="0"/>
          <c:showSerName val="0"/>
          <c:showPercent val="0"/>
          <c:showBubbleSize val="0"/>
        </c:dLbls>
        <c:marker val="1"/>
        <c:smooth val="0"/>
        <c:axId val="404908672"/>
        <c:axId val="406999424"/>
      </c:lineChart>
      <c:catAx>
        <c:axId val="404908672"/>
        <c:scaling>
          <c:orientation val="minMax"/>
        </c:scaling>
        <c:delete val="0"/>
        <c:axPos val="b"/>
        <c:numFmt formatCode="General" sourceLinked="1"/>
        <c:majorTickMark val="none"/>
        <c:minorTickMark val="none"/>
        <c:tickLblPos val="nextTo"/>
        <c:spPr>
          <a:noFill/>
          <a:ln w="12680"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406999424"/>
        <c:crosses val="autoZero"/>
        <c:auto val="1"/>
        <c:lblAlgn val="ctr"/>
        <c:lblOffset val="100"/>
        <c:noMultiLvlLbl val="0"/>
      </c:catAx>
      <c:valAx>
        <c:axId val="406999424"/>
        <c:scaling>
          <c:orientation val="minMax"/>
        </c:scaling>
        <c:delete val="1"/>
        <c:axPos val="l"/>
        <c:majorGridlines>
          <c:spPr>
            <a:ln w="9510" cap="flat" cmpd="sng" algn="ctr">
              <a:solidFill>
                <a:schemeClr val="tx1">
                  <a:lumMod val="15000"/>
                  <a:lumOff val="85000"/>
                </a:schemeClr>
              </a:solidFill>
              <a:round/>
            </a:ln>
            <a:effectLst/>
          </c:spPr>
        </c:majorGridlines>
        <c:numFmt formatCode="0%" sourceLinked="1"/>
        <c:majorTickMark val="out"/>
        <c:minorTickMark val="none"/>
        <c:tickLblPos val="nextTo"/>
        <c:crossAx val="404908672"/>
        <c:crosses val="autoZero"/>
        <c:crossBetween val="between"/>
      </c:valAx>
      <c:spPr>
        <a:noFill/>
        <a:ln w="25375">
          <a:noFill/>
        </a:ln>
      </c:spPr>
    </c:plotArea>
    <c:legend>
      <c:legendPos val="r"/>
      <c:layout>
        <c:manualLayout>
          <c:xMode val="edge"/>
          <c:yMode val="edge"/>
          <c:x val="6.4735945485519586E-2"/>
          <c:y val="0.86642599277978349"/>
          <c:w val="0.868824531516184"/>
          <c:h val="9.386281588447655E-2"/>
        </c:manualLayout>
      </c:layout>
      <c:overlay val="0"/>
      <c:txPr>
        <a:bodyPr/>
        <a:lstStyle/>
        <a:p>
          <a:pPr>
            <a:defRPr sz="898">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409">
                <a:noFill/>
              </a:ln>
            </c:spPr>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Blad1!$A$4:$A$8</c:f>
              <c:numCache>
                <c:formatCode>General</c:formatCode>
                <c:ptCount val="5"/>
                <c:pt idx="0">
                  <c:v>2013</c:v>
                </c:pt>
                <c:pt idx="1">
                  <c:v>2014</c:v>
                </c:pt>
                <c:pt idx="2">
                  <c:v>2015</c:v>
                </c:pt>
                <c:pt idx="3">
                  <c:v>2016</c:v>
                </c:pt>
                <c:pt idx="4">
                  <c:v>2017</c:v>
                </c:pt>
              </c:numCache>
            </c:numRef>
          </c:cat>
          <c:val>
            <c:numRef>
              <c:f>Blad1!$B$4:$B$8</c:f>
              <c:numCache>
                <c:formatCode>General</c:formatCode>
                <c:ptCount val="5"/>
                <c:pt idx="0">
                  <c:v>174</c:v>
                </c:pt>
                <c:pt idx="1">
                  <c:v>130</c:v>
                </c:pt>
                <c:pt idx="2">
                  <c:v>108</c:v>
                </c:pt>
                <c:pt idx="3">
                  <c:v>118</c:v>
                </c:pt>
                <c:pt idx="4">
                  <c:v>90</c:v>
                </c:pt>
              </c:numCache>
            </c:numRef>
          </c:val>
          <c:smooth val="0"/>
          <c:extLst xmlns:c16r2="http://schemas.microsoft.com/office/drawing/2015/06/chart">
            <c:ext xmlns:c16="http://schemas.microsoft.com/office/drawing/2014/chart" uri="{C3380CC4-5D6E-409C-BE32-E72D297353CC}">
              <c16:uniqueId val="{00000000-7B1A-4145-9207-A0D095AF1BEC}"/>
            </c:ext>
          </c:extLst>
        </c:ser>
        <c:dLbls>
          <c:showLegendKey val="0"/>
          <c:showVal val="0"/>
          <c:showCatName val="0"/>
          <c:showSerName val="0"/>
          <c:showPercent val="0"/>
          <c:showBubbleSize val="0"/>
        </c:dLbls>
        <c:marker val="1"/>
        <c:smooth val="0"/>
        <c:axId val="343180416"/>
        <c:axId val="343181952"/>
      </c:lineChart>
      <c:catAx>
        <c:axId val="343180416"/>
        <c:scaling>
          <c:orientation val="minMax"/>
        </c:scaling>
        <c:delete val="0"/>
        <c:axPos val="b"/>
        <c:numFmt formatCode="General" sourceLinked="1"/>
        <c:majorTickMark val="none"/>
        <c:minorTickMark val="none"/>
        <c:tickLblPos val="nextTo"/>
        <c:spPr>
          <a:noFill/>
          <a:ln w="1270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43181952"/>
        <c:crosses val="autoZero"/>
        <c:auto val="1"/>
        <c:lblAlgn val="ctr"/>
        <c:lblOffset val="100"/>
        <c:noMultiLvlLbl val="0"/>
      </c:catAx>
      <c:valAx>
        <c:axId val="343181952"/>
        <c:scaling>
          <c:orientation val="minMax"/>
          <c:min val="50"/>
        </c:scaling>
        <c:delete val="1"/>
        <c:axPos val="l"/>
        <c:majorGridlines>
          <c:spPr>
            <a:ln w="9529" cap="flat" cmpd="sng" algn="ctr">
              <a:solidFill>
                <a:schemeClr val="tx1">
                  <a:lumMod val="15000"/>
                  <a:lumOff val="85000"/>
                </a:schemeClr>
              </a:solidFill>
              <a:round/>
            </a:ln>
            <a:effectLst/>
          </c:spPr>
        </c:majorGridlines>
        <c:numFmt formatCode="General" sourceLinked="1"/>
        <c:majorTickMark val="none"/>
        <c:minorTickMark val="none"/>
        <c:tickLblPos val="none"/>
        <c:crossAx val="343180416"/>
        <c:crosses val="autoZero"/>
        <c:crossBetween val="between"/>
      </c:valAx>
      <c:spPr>
        <a:noFill/>
        <a:ln w="25409">
          <a:noFill/>
        </a:ln>
      </c:spPr>
    </c:plotArea>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9" b="0" i="0" u="none" strike="noStrike" kern="1200" baseline="0">
                <a:solidFill>
                  <a:srgbClr val="002060"/>
                </a:solidFill>
                <a:latin typeface="+mn-lt"/>
                <a:ea typeface="+mn-ea"/>
                <a:cs typeface="+mn-cs"/>
              </a:defRPr>
            </a:pPr>
            <a:r>
              <a:rPr lang="en-US" sz="1049" b="0" baseline="0">
                <a:solidFill>
                  <a:srgbClr val="002060"/>
                </a:solidFill>
                <a:latin typeface="Arial" panose="020B0604020202020204" pitchFamily="34" charset="0"/>
                <a:ea typeface="Verdana" panose="020B0604030504040204" pitchFamily="34" charset="0"/>
                <a:cs typeface="Arial" panose="020B0604020202020204" pitchFamily="34" charset="0"/>
              </a:rPr>
              <a:t>90 </a:t>
            </a:r>
            <a:r>
              <a:rPr lang="en-US" sz="1049"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2017</a:t>
            </a:r>
          </a:p>
        </c:rich>
      </c:tx>
      <c:overlay val="0"/>
      <c:spPr>
        <a:noFill/>
        <a:ln w="25358">
          <a:noFill/>
        </a:ln>
      </c:spPr>
    </c:title>
    <c:autoTitleDeleted val="0"/>
    <c:plotArea>
      <c:layout/>
      <c:pieChart>
        <c:varyColors val="1"/>
        <c:ser>
          <c:idx val="0"/>
          <c:order val="0"/>
          <c:tx>
            <c:strRef>
              <c:f>Blad1!$B$1</c:f>
              <c:strCache>
                <c:ptCount val="1"/>
                <c:pt idx="0">
                  <c:v>[Number of infringement cases] infringement cases in 2014</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BE74-4757-835A-F4A7560A5628}"/>
              </c:ext>
            </c:extLst>
          </c:dPt>
          <c:dPt>
            <c:idx val="1"/>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BE74-4757-835A-F4A7560A5628}"/>
              </c:ext>
            </c:extLst>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BE74-4757-835A-F4A7560A5628}"/>
              </c:ext>
            </c:extLst>
          </c:dPt>
          <c:dPt>
            <c:idx val="3"/>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BE74-4757-835A-F4A7560A5628}"/>
              </c:ext>
            </c:extLst>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BE74-4757-835A-F4A7560A5628}"/>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E74-4757-835A-F4A7560A5628}"/>
                </c:ext>
              </c:extLst>
            </c:dLbl>
            <c:dLbl>
              <c:idx val="1"/>
              <c:layout>
                <c:manualLayout>
                  <c:x val="-4.6587885077062234E-2"/>
                  <c:y val="-3.625492103003071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E74-4757-835A-F4A7560A5628}"/>
                </c:ext>
              </c:extLst>
            </c:dLbl>
            <c:dLbl>
              <c:idx val="2"/>
              <c:layout>
                <c:manualLayout>
                  <c:x val="1.3789245820942514E-2"/>
                  <c:y val="0.1228475886699057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E74-4757-835A-F4A7560A5628}"/>
                </c:ext>
              </c:extLst>
            </c:dLbl>
            <c:dLbl>
              <c:idx val="3"/>
              <c:layout>
                <c:manualLayout>
                  <c:x val="1.6638499279957114E-2"/>
                  <c:y val="-4.000739042777176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E74-4757-835A-F4A7560A5628}"/>
                </c:ext>
              </c:extLst>
            </c:dLbl>
            <c:dLbl>
              <c:idx val="4"/>
              <c:layout>
                <c:manualLayout>
                  <c:x val="3.60152082114936E-2"/>
                  <c:y val="7.6218862239583866E-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E74-4757-835A-F4A7560A5628}"/>
                </c:ext>
              </c:extLst>
            </c:dLbl>
            <c:dLbl>
              <c:idx val="5"/>
              <c:layout>
                <c:manualLayout>
                  <c:x val="1.6638981173864895E-2"/>
                  <c:y val="-6.520581986075270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E74-4757-835A-F4A7560A5628}"/>
                </c:ext>
              </c:extLst>
            </c:dLbl>
            <c:dLbl>
              <c:idx val="6"/>
              <c:layout>
                <c:manualLayout>
                  <c:x val="1.1074197120708647E-2"/>
                  <c:y val="5.602240896358543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E74-4757-835A-F4A7560A5628}"/>
                </c:ext>
              </c:extLst>
            </c:dLbl>
            <c:dLbl>
              <c:idx val="7"/>
              <c:layout>
                <c:manualLayout>
                  <c:x val="-8.3056478405315621E-3"/>
                  <c:y val="0.18674136321195145"/>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BE74-4757-835A-F4A7560A5628}"/>
                </c:ext>
              </c:extLst>
            </c:dLbl>
            <c:spPr>
              <a:noFill/>
              <a:ln w="25358">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0">
                  <c:v>Sectors</c:v>
                </c:pt>
                <c:pt idx="1">
                  <c:v>Direct taxation</c:v>
                </c:pt>
                <c:pt idx="2">
                  <c:v>Indirect taxation - VAT</c:v>
                </c:pt>
                <c:pt idx="3">
                  <c:v>Indirect taxation - excise duties</c:v>
                </c:pt>
                <c:pt idx="4">
                  <c:v>Other</c:v>
                </c:pt>
              </c:strCache>
            </c:strRef>
          </c:cat>
          <c:val>
            <c:numRef>
              <c:f>Blad1!$B$2:$B$6</c:f>
              <c:numCache>
                <c:formatCode>General</c:formatCode>
                <c:ptCount val="5"/>
                <c:pt idx="0">
                  <c:v>0</c:v>
                </c:pt>
                <c:pt idx="1">
                  <c:v>46</c:v>
                </c:pt>
                <c:pt idx="2">
                  <c:v>22</c:v>
                </c:pt>
                <c:pt idx="3">
                  <c:v>13</c:v>
                </c:pt>
                <c:pt idx="4">
                  <c:v>9</c:v>
                </c:pt>
              </c:numCache>
            </c:numRef>
          </c:val>
          <c:extLst xmlns:c16r2="http://schemas.microsoft.com/office/drawing/2015/06/chart">
            <c:ext xmlns:c16="http://schemas.microsoft.com/office/drawing/2014/chart" uri="{C3380CC4-5D6E-409C-BE32-E72D297353CC}">
              <c16:uniqueId val="{0000000D-BE74-4757-835A-F4A7560A5628}"/>
            </c:ext>
          </c:extLst>
        </c:ser>
        <c:dLbls>
          <c:showLegendKey val="0"/>
          <c:showVal val="0"/>
          <c:showCatName val="0"/>
          <c:showSerName val="0"/>
          <c:showPercent val="0"/>
          <c:showBubbleSize val="0"/>
          <c:showLeaderLines val="0"/>
        </c:dLbls>
        <c:firstSliceAng val="176"/>
      </c:pieChart>
      <c:spPr>
        <a:noFill/>
        <a:ln w="25375">
          <a:noFill/>
        </a:ln>
      </c:spPr>
    </c:plotArea>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2060"/>
                </a:solidFill>
                <a:latin typeface="+mn-lt"/>
                <a:ea typeface="+mn-ea"/>
                <a:cs typeface="+mn-cs"/>
              </a:defRPr>
            </a:pPr>
            <a:r>
              <a:rPr lang="en-US" sz="1050" b="0" baseline="0">
                <a:solidFill>
                  <a:srgbClr val="002060"/>
                </a:solidFill>
                <a:latin typeface="Arial" panose="020B0604020202020204" pitchFamily="34" charset="0"/>
                <a:ea typeface="Verdana" panose="020B0604030504040204" pitchFamily="34" charset="0"/>
                <a:cs typeface="Arial" panose="020B0604020202020204" pitchFamily="34" charset="0"/>
              </a:rPr>
              <a:t>27 new </a:t>
            </a:r>
            <a:r>
              <a:rPr lang="en-US" sz="105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2017</a:t>
            </a:r>
          </a:p>
        </c:rich>
      </c:tx>
      <c:overlay val="0"/>
      <c:spPr>
        <a:noFill/>
        <a:ln w="25392">
          <a:noFill/>
        </a:ln>
      </c:spPr>
    </c:title>
    <c:autoTitleDeleted val="0"/>
    <c:plotArea>
      <c:layout/>
      <c:pieChart>
        <c:varyColors val="1"/>
        <c:ser>
          <c:idx val="0"/>
          <c:order val="0"/>
          <c:tx>
            <c:strRef>
              <c:f>Blad1!$B$1</c:f>
              <c:strCache>
                <c:ptCount val="1"/>
                <c:pt idx="0">
                  <c:v>[Number of infringement cases] infringement cases in 2017</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4722-4453-9649-503058C806AD}"/>
              </c:ext>
            </c:extLst>
          </c:dPt>
          <c:dPt>
            <c:idx val="1"/>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4722-4453-9649-503058C806AD}"/>
              </c:ext>
            </c:extLst>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4722-4453-9649-503058C806AD}"/>
              </c:ext>
            </c:extLst>
          </c:dPt>
          <c:dPt>
            <c:idx val="3"/>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4722-4453-9649-503058C806AD}"/>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722-4453-9649-503058C806AD}"/>
                </c:ext>
              </c:extLst>
            </c:dLbl>
            <c:dLbl>
              <c:idx val="1"/>
              <c:layout>
                <c:manualLayout>
                  <c:x val="-1.3781189701579552E-2"/>
                  <c:y val="-3.1672214375016452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722-4453-9649-503058C806AD}"/>
                </c:ext>
              </c:extLst>
            </c:dLbl>
            <c:dLbl>
              <c:idx val="2"/>
              <c:layout>
                <c:manualLayout>
                  <c:x val="-8.2958433472348561E-3"/>
                  <c:y val="3.9677658940441649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722-4453-9649-503058C806AD}"/>
                </c:ext>
              </c:extLst>
            </c:dLbl>
            <c:dLbl>
              <c:idx val="3"/>
              <c:layout>
                <c:manualLayout>
                  <c:x val="-5.4566056041850013E-3"/>
                  <c:y val="8.753424970858887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722-4453-9649-503058C806AD}"/>
                </c:ext>
              </c:extLst>
            </c:dLbl>
            <c:dLbl>
              <c:idx val="4"/>
              <c:layout>
                <c:manualLayout>
                  <c:x val="6.6205387117308015E-3"/>
                  <c:y val="5.5743032120984873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722-4453-9649-503058C806AD}"/>
                </c:ext>
              </c:extLst>
            </c:dLbl>
            <c:dLbl>
              <c:idx val="5"/>
              <c:layout>
                <c:manualLayout>
                  <c:x val="8.3333333333333332E-3"/>
                  <c:y val="2.349624060150375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722-4453-9649-503058C806AD}"/>
                </c:ext>
              </c:extLst>
            </c:dLbl>
            <c:spPr>
              <a:noFill/>
              <a:ln w="25392">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Blad1!$A$2:$A$5</c:f>
              <c:strCache>
                <c:ptCount val="4"/>
                <c:pt idx="0">
                  <c:v>Sectors</c:v>
                </c:pt>
                <c:pt idx="1">
                  <c:v>Direct taxation</c:v>
                </c:pt>
                <c:pt idx="2">
                  <c:v>Indirect taxation - VAT</c:v>
                </c:pt>
                <c:pt idx="3">
                  <c:v>Indirect taxation - excise duties</c:v>
                </c:pt>
              </c:strCache>
            </c:strRef>
          </c:cat>
          <c:val>
            <c:numRef>
              <c:f>Blad1!$B$2:$B$5</c:f>
              <c:numCache>
                <c:formatCode>General</c:formatCode>
                <c:ptCount val="4"/>
                <c:pt idx="0">
                  <c:v>0</c:v>
                </c:pt>
                <c:pt idx="1">
                  <c:v>23</c:v>
                </c:pt>
                <c:pt idx="2">
                  <c:v>2</c:v>
                </c:pt>
                <c:pt idx="3">
                  <c:v>2</c:v>
                </c:pt>
              </c:numCache>
            </c:numRef>
          </c:val>
          <c:extLst xmlns:c16r2="http://schemas.microsoft.com/office/drawing/2015/06/chart">
            <c:ext xmlns:c16="http://schemas.microsoft.com/office/drawing/2014/chart" uri="{C3380CC4-5D6E-409C-BE32-E72D297353CC}">
              <c16:uniqueId val="{0000000A-4722-4453-9649-503058C806AD}"/>
            </c:ext>
          </c:extLst>
        </c:ser>
        <c:dLbls>
          <c:showLegendKey val="0"/>
          <c:showVal val="0"/>
          <c:showCatName val="0"/>
          <c:showSerName val="0"/>
          <c:showPercent val="0"/>
          <c:showBubbleSize val="0"/>
          <c:showLeaderLines val="0"/>
        </c:dLbls>
        <c:firstSliceAng val="118"/>
      </c:pieChart>
      <c:spPr>
        <a:noFill/>
        <a:ln w="25409">
          <a:noFill/>
        </a:ln>
      </c:spPr>
    </c:plotArea>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39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34</c:v>
                </c:pt>
                <c:pt idx="1">
                  <c:v>0</c:v>
                </c:pt>
                <c:pt idx="2">
                  <c:v>11</c:v>
                </c:pt>
                <c:pt idx="3">
                  <c:v>34</c:v>
                </c:pt>
                <c:pt idx="4">
                  <c:v>16</c:v>
                </c:pt>
              </c:numCache>
            </c:numRef>
          </c:val>
          <c:smooth val="0"/>
          <c:extLst xmlns:c16r2="http://schemas.microsoft.com/office/drawing/2015/06/chart">
            <c:ext xmlns:c16="http://schemas.microsoft.com/office/drawing/2014/chart" uri="{C3380CC4-5D6E-409C-BE32-E72D297353CC}">
              <c16:uniqueId val="{00000000-EC25-465E-B6BE-C29C3034CB78}"/>
            </c:ext>
          </c:extLst>
        </c:ser>
        <c:dLbls>
          <c:showLegendKey val="0"/>
          <c:showVal val="0"/>
          <c:showCatName val="0"/>
          <c:showSerName val="0"/>
          <c:showPercent val="0"/>
          <c:showBubbleSize val="0"/>
        </c:dLbls>
        <c:marker val="1"/>
        <c:smooth val="0"/>
        <c:axId val="404956288"/>
        <c:axId val="404957824"/>
      </c:lineChart>
      <c:catAx>
        <c:axId val="404956288"/>
        <c:scaling>
          <c:orientation val="minMax"/>
        </c:scaling>
        <c:delete val="0"/>
        <c:axPos val="b"/>
        <c:numFmt formatCode="General" sourceLinked="1"/>
        <c:majorTickMark val="none"/>
        <c:minorTickMark val="none"/>
        <c:tickLblPos val="nextTo"/>
        <c:spPr>
          <a:noFill/>
          <a:ln w="12696"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404957824"/>
        <c:crosses val="autoZero"/>
        <c:auto val="1"/>
        <c:lblAlgn val="ctr"/>
        <c:lblOffset val="100"/>
        <c:noMultiLvlLbl val="0"/>
      </c:catAx>
      <c:valAx>
        <c:axId val="404957824"/>
        <c:scaling>
          <c:orientation val="minMax"/>
        </c:scaling>
        <c:delete val="1"/>
        <c:axPos val="l"/>
        <c:majorGridlines>
          <c:spPr>
            <a:ln w="9522" cap="flat" cmpd="sng" algn="ctr">
              <a:solidFill>
                <a:schemeClr val="tx1">
                  <a:lumMod val="15000"/>
                  <a:lumOff val="85000"/>
                </a:schemeClr>
              </a:solidFill>
              <a:round/>
            </a:ln>
            <a:effectLst/>
          </c:spPr>
        </c:majorGridlines>
        <c:numFmt formatCode="General" sourceLinked="1"/>
        <c:majorTickMark val="out"/>
        <c:minorTickMark val="none"/>
        <c:tickLblPos val="nextTo"/>
        <c:crossAx val="404956288"/>
        <c:crosses val="autoZero"/>
        <c:crossBetween val="between"/>
      </c:valAx>
      <c:spPr>
        <a:noFill/>
        <a:ln w="25398">
          <a:noFill/>
        </a:ln>
      </c:spPr>
    </c:plotArea>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0.04325</cdr:x>
      <cdr:y>0.54595</cdr:y>
    </cdr:from>
    <cdr:to>
      <cdr:x>0.28762</cdr:x>
      <cdr:y>0.69063</cdr:y>
    </cdr:to>
    <cdr:sp macro="" textlink="">
      <cdr:nvSpPr>
        <cdr:cNvPr id="2" name="Text Box 1"/>
        <cdr:cNvSpPr txBox="1"/>
      </cdr:nvSpPr>
      <cdr:spPr>
        <a:xfrm xmlns:a="http://schemas.openxmlformats.org/drawingml/2006/main">
          <a:off x="197588" y="1306285"/>
          <a:ext cx="1116329" cy="3461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800"/>
            </a:lnSpc>
          </a:pPr>
          <a:r>
            <a:rPr lang="en-GB" sz="800">
              <a:solidFill>
                <a:srgbClr val="002060"/>
              </a:solidFill>
              <a:latin typeface="Verdana" panose="020B0604030504040204" pitchFamily="34" charset="0"/>
              <a:ea typeface="Verdana" panose="020B0604030504040204" pitchFamily="34" charset="0"/>
              <a:cs typeface="Verdana" panose="020B0604030504040204" pitchFamily="34" charset="0"/>
            </a:rPr>
            <a:t>no files processed in 2011</a:t>
          </a:r>
        </a:p>
        <a:p xmlns:a="http://schemas.openxmlformats.org/drawingml/2006/main">
          <a:pPr algn="ctr">
            <a:lnSpc>
              <a:spcPts val="800"/>
            </a:lnSpc>
          </a:pPr>
          <a:endParaRPr lang="en-GB" sz="800">
            <a:solidFill>
              <a:srgbClr val="002060"/>
            </a:solidFill>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5</TotalTime>
  <Pages>5</Pages>
  <Words>16995</Words>
  <Characters>93735</Characters>
  <Application>Microsoft Office Word</Application>
  <DocSecurity>0</DocSecurity>
  <Lines>2040</Lines>
  <Paragraphs>1132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109648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BARTH Carmen (SG)</cp:lastModifiedBy>
  <cp:revision>19</cp:revision>
  <dcterms:created xsi:type="dcterms:W3CDTF">2018-06-07T14:57:00Z</dcterms:created>
  <dcterms:modified xsi:type="dcterms:W3CDTF">2018-07-09T16:51:00Z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ies>
</file>