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F5" w:rsidRDefault="00AD7FF7" w:rsidP="00AD7F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9E0D676-94BC-4306-88EC-1148AAF514E9" style="width:450.75pt;height:403.5pt">
            <v:imagedata r:id="rId12" o:title=""/>
          </v:shape>
        </w:pict>
      </w:r>
    </w:p>
    <w:bookmarkEnd w:id="0"/>
    <w:p w:rsidR="003B06F5" w:rsidRDefault="003B06F5">
      <w:pPr>
        <w:rPr>
          <w:noProof/>
        </w:rPr>
        <w:sectPr w:rsidR="003B06F5" w:rsidSect="00AD7FF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3B06F5" w:rsidRDefault="003B06F5">
      <w:pPr>
        <w:pStyle w:val="TOCHeading"/>
        <w:rPr>
          <w:noProof/>
          <w:lang w:val="en-GB"/>
        </w:rPr>
      </w:pPr>
      <w:bookmarkStart w:id="1" w:name="_GoBack"/>
      <w:bookmarkEnd w:id="1"/>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r>
        <w:rPr>
          <w:rFonts w:ascii="Arial" w:hAnsi="Arial" w:cs="Arial"/>
          <w:i w:val="0"/>
          <w:caps/>
          <w:noProof/>
        </w:rPr>
        <w:fldChar w:fldCharType="begin" w:fldLock="1"/>
      </w:r>
      <w:r>
        <w:rPr>
          <w:rFonts w:ascii="Arial" w:hAnsi="Arial" w:cs="Arial"/>
          <w:i w:val="0"/>
          <w:caps/>
          <w:noProof/>
        </w:rPr>
        <w:instrText xml:space="preserve"> TOC \o "1-3" \h \z \u </w:instrText>
      </w:r>
      <w:r>
        <w:rPr>
          <w:rFonts w:ascii="Arial" w:hAnsi="Arial" w:cs="Arial"/>
          <w:i w:val="0"/>
          <w:caps/>
          <w:noProof/>
        </w:rPr>
        <w:fldChar w:fldCharType="separate"/>
      </w:r>
      <w:hyperlink w:anchor="_Toc507580214" w:history="1">
        <w:r>
          <w:rPr>
            <w:rStyle w:val="Hyperlink"/>
            <w:rFonts w:ascii="Arial" w:hAnsi="Arial" w:cs="Arial"/>
            <w:i w:val="0"/>
            <w:caps/>
            <w:noProof/>
          </w:rPr>
          <w:t>I.</w:t>
        </w:r>
        <w:r>
          <w:rPr>
            <w:rFonts w:ascii="Arial" w:eastAsia="SimSun" w:hAnsi="Arial" w:cs="Arial"/>
            <w:i w:val="0"/>
            <w:iCs w:val="0"/>
            <w:caps/>
            <w:noProof/>
            <w:sz w:val="22"/>
            <w:szCs w:val="22"/>
            <w:lang w:eastAsia="en-GB"/>
          </w:rPr>
          <w:tab/>
        </w:r>
        <w:r>
          <w:rPr>
            <w:rStyle w:val="Hyperlink"/>
            <w:rFonts w:ascii="Arial" w:hAnsi="Arial" w:cs="Arial"/>
            <w:i w:val="0"/>
            <w:caps/>
            <w:noProof/>
          </w:rPr>
          <w:t>W</w:t>
        </w:r>
        <w:r>
          <w:rPr>
            <w:rStyle w:val="Hyperlink"/>
            <w:rFonts w:ascii="Arial" w:hAnsi="Arial" w:cs="Arial"/>
            <w:i w:val="0"/>
            <w:noProof/>
          </w:rPr>
          <w:t>orking with Member States to ensure proper implementation of EU law</w:t>
        </w:r>
        <w:r>
          <w:rPr>
            <w:rFonts w:ascii="Arial" w:hAnsi="Arial" w:cs="Arial"/>
            <w:i w:val="0"/>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_Toc507580214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noProof/>
            <w:webHidden/>
          </w:rPr>
          <w:t>2</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15" w:history="1">
        <w:r>
          <w:rPr>
            <w:rStyle w:val="Hyperlink"/>
            <w:rFonts w:ascii="Arial" w:hAnsi="Arial" w:cs="Arial"/>
            <w:i w:val="0"/>
            <w:caps/>
            <w:noProof/>
          </w:rPr>
          <w:t>1.</w:t>
        </w:r>
        <w:r>
          <w:rPr>
            <w:rFonts w:ascii="Arial" w:eastAsia="SimSun" w:hAnsi="Arial" w:cs="Arial"/>
            <w:i w:val="0"/>
            <w:iCs w:val="0"/>
            <w:caps/>
            <w:noProof/>
            <w:sz w:val="22"/>
            <w:szCs w:val="22"/>
            <w:lang w:eastAsia="en-GB"/>
          </w:rPr>
          <w:tab/>
        </w:r>
        <w:r>
          <w:rPr>
            <w:rStyle w:val="Hyperlink"/>
            <w:rFonts w:ascii="Arial" w:hAnsi="Arial" w:cs="Arial"/>
            <w:i w:val="0"/>
            <w:caps/>
            <w:noProof/>
          </w:rPr>
          <w:t>I</w:t>
        </w:r>
        <w:r>
          <w:rPr>
            <w:rStyle w:val="Hyperlink"/>
            <w:rFonts w:ascii="Arial" w:hAnsi="Arial" w:cs="Arial"/>
            <w:i w:val="0"/>
            <w:noProof/>
          </w:rPr>
          <w:t>mplementation plans: state of play</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_Toc507580215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2</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16" w:history="1">
        <w:r>
          <w:rPr>
            <w:rStyle w:val="Hyperlink"/>
            <w:rFonts w:ascii="Arial" w:hAnsi="Arial" w:cs="Arial"/>
            <w:i w:val="0"/>
            <w:caps/>
            <w:noProof/>
          </w:rPr>
          <w:t>2.</w:t>
        </w:r>
        <w:r>
          <w:rPr>
            <w:rFonts w:ascii="Arial" w:eastAsia="SimSun" w:hAnsi="Arial" w:cs="Arial"/>
            <w:i w:val="0"/>
            <w:iCs w:val="0"/>
            <w:caps/>
            <w:noProof/>
            <w:sz w:val="22"/>
            <w:szCs w:val="22"/>
            <w:lang w:eastAsia="en-GB"/>
          </w:rPr>
          <w:tab/>
        </w:r>
        <w:r>
          <w:rPr>
            <w:rStyle w:val="Hyperlink"/>
            <w:rFonts w:ascii="Arial" w:hAnsi="Arial" w:cs="Arial"/>
            <w:i w:val="0"/>
            <w:caps/>
            <w:noProof/>
          </w:rPr>
          <w:t>E</w:t>
        </w:r>
        <w:r>
          <w:rPr>
            <w:rStyle w:val="Hyperlink"/>
            <w:rFonts w:ascii="Arial" w:hAnsi="Arial" w:cs="Arial"/>
            <w:i w:val="0"/>
            <w:noProof/>
          </w:rPr>
          <w:t>xplanatory documents: state of play</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_Toc507580216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2</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17" w:history="1">
        <w:r>
          <w:rPr>
            <w:rStyle w:val="Hyperlink"/>
            <w:rFonts w:ascii="Arial" w:hAnsi="Arial" w:cs="Arial"/>
            <w:i w:val="0"/>
            <w:caps/>
            <w:noProof/>
          </w:rPr>
          <w:t>II.</w:t>
        </w:r>
        <w:r>
          <w:rPr>
            <w:rFonts w:ascii="Arial" w:eastAsia="SimSun" w:hAnsi="Arial" w:cs="Arial"/>
            <w:i w:val="0"/>
            <w:iCs w:val="0"/>
            <w:caps/>
            <w:noProof/>
            <w:sz w:val="22"/>
            <w:szCs w:val="22"/>
            <w:lang w:eastAsia="en-GB"/>
          </w:rPr>
          <w:tab/>
        </w:r>
        <w:r>
          <w:rPr>
            <w:rStyle w:val="Hyperlink"/>
            <w:rFonts w:ascii="Arial" w:hAnsi="Arial" w:cs="Arial"/>
            <w:i w:val="0"/>
            <w:caps/>
            <w:noProof/>
          </w:rPr>
          <w:t>I</w:t>
        </w:r>
        <w:r>
          <w:rPr>
            <w:rStyle w:val="Hyperlink"/>
            <w:rFonts w:ascii="Arial" w:hAnsi="Arial" w:cs="Arial"/>
            <w:i w:val="0"/>
            <w:noProof/>
          </w:rPr>
          <w:t>nfringement procedures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_Toc507580217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5</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18" w:history="1">
        <w:r>
          <w:rPr>
            <w:rStyle w:val="Hyperlink"/>
            <w:rFonts w:ascii="Arial" w:hAnsi="Arial" w:cs="Arial"/>
            <w:i w:val="0"/>
            <w:caps/>
            <w:noProof/>
          </w:rPr>
          <w:t>III.</w:t>
        </w:r>
        <w:r>
          <w:rPr>
            <w:rFonts w:ascii="Arial" w:eastAsia="SimSun" w:hAnsi="Arial" w:cs="Arial"/>
            <w:i w:val="0"/>
            <w:iCs w:val="0"/>
            <w:caps/>
            <w:noProof/>
            <w:sz w:val="22"/>
            <w:szCs w:val="22"/>
            <w:lang w:eastAsia="en-GB"/>
          </w:rPr>
          <w:tab/>
        </w:r>
        <w:r>
          <w:rPr>
            <w:rStyle w:val="Hyperlink"/>
            <w:rFonts w:ascii="Arial" w:hAnsi="Arial" w:cs="Arial"/>
            <w:i w:val="0"/>
            <w:caps/>
            <w:noProof/>
          </w:rPr>
          <w:t>B</w:t>
        </w:r>
        <w:r>
          <w:rPr>
            <w:rStyle w:val="Hyperlink"/>
            <w:rFonts w:ascii="Arial" w:hAnsi="Arial" w:cs="Arial"/>
            <w:i w:val="0"/>
            <w:noProof/>
          </w:rPr>
          <w:t>efore an infringement procedure is started</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_Toc507580218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6</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19" w:history="1">
        <w:r>
          <w:rPr>
            <w:rStyle w:val="Hyperlink"/>
            <w:rFonts w:ascii="Arial" w:hAnsi="Arial" w:cs="Arial"/>
            <w:i w:val="0"/>
            <w:caps/>
            <w:noProof/>
          </w:rPr>
          <w:t>3.</w:t>
        </w:r>
        <w:r>
          <w:rPr>
            <w:rFonts w:ascii="Arial" w:eastAsia="SimSun" w:hAnsi="Arial" w:cs="Arial"/>
            <w:i w:val="0"/>
            <w:iCs w:val="0"/>
            <w:caps/>
            <w:noProof/>
            <w:sz w:val="22"/>
            <w:szCs w:val="22"/>
            <w:lang w:eastAsia="en-GB"/>
          </w:rPr>
          <w:tab/>
        </w:r>
        <w:r>
          <w:rPr>
            <w:rStyle w:val="Hyperlink"/>
            <w:rFonts w:ascii="Arial" w:hAnsi="Arial" w:cs="Arial"/>
            <w:i w:val="0"/>
            <w:caps/>
            <w:noProof/>
          </w:rPr>
          <w:t>D</w:t>
        </w:r>
        <w:r>
          <w:rPr>
            <w:rStyle w:val="Hyperlink"/>
            <w:rFonts w:ascii="Arial" w:hAnsi="Arial" w:cs="Arial"/>
            <w:i w:val="0"/>
            <w:noProof/>
          </w:rPr>
          <w:t>etecting problems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_Toc507580219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6</w:t>
        </w:r>
        <w:r>
          <w:rPr>
            <w:rFonts w:ascii="Arial" w:hAnsi="Arial" w:cs="Arial"/>
            <w:i w:val="0"/>
            <w:caps/>
            <w:noProof/>
            <w:webHidden/>
          </w:rPr>
          <w:fldChar w:fldCharType="end"/>
        </w:r>
      </w:hyperlink>
    </w:p>
    <w:p w:rsidR="003B06F5" w:rsidRDefault="00AD7FF7">
      <w:pPr>
        <w:pStyle w:val="TOC2"/>
        <w:tabs>
          <w:tab w:val="left" w:pos="960"/>
          <w:tab w:val="right" w:leader="dot" w:pos="9062"/>
        </w:tabs>
        <w:rPr>
          <w:rFonts w:ascii="Arial" w:eastAsia="SimSun" w:hAnsi="Arial" w:cs="Arial"/>
          <w:i w:val="0"/>
          <w:iCs w:val="0"/>
          <w:caps/>
          <w:noProof/>
          <w:sz w:val="22"/>
          <w:szCs w:val="22"/>
          <w:lang w:eastAsia="en-GB"/>
        </w:rPr>
      </w:pPr>
      <w:hyperlink w:anchor="_Toc507580220" w:history="1">
        <w:r>
          <w:rPr>
            <w:rStyle w:val="Hyperlink"/>
            <w:rFonts w:ascii="Arial" w:hAnsi="Arial" w:cs="Arial"/>
            <w:i w:val="0"/>
            <w:caps/>
            <w:noProof/>
          </w:rPr>
          <w:t>3.1.</w:t>
        </w:r>
        <w:r>
          <w:rPr>
            <w:rFonts w:ascii="Arial" w:eastAsia="SimSun" w:hAnsi="Arial" w:cs="Arial"/>
            <w:i w:val="0"/>
            <w:iCs w:val="0"/>
            <w:caps/>
            <w:noProof/>
            <w:sz w:val="22"/>
            <w:szCs w:val="22"/>
            <w:lang w:eastAsia="en-GB"/>
          </w:rPr>
          <w:tab/>
        </w:r>
        <w:r>
          <w:rPr>
            <w:rStyle w:val="Hyperlink"/>
            <w:rFonts w:ascii="Arial" w:hAnsi="Arial" w:cs="Arial"/>
            <w:i w:val="0"/>
            <w:caps/>
            <w:noProof/>
          </w:rPr>
          <w:t>O</w:t>
        </w:r>
        <w:r>
          <w:rPr>
            <w:rStyle w:val="Hyperlink"/>
            <w:rFonts w:ascii="Arial" w:hAnsi="Arial" w:cs="Arial"/>
            <w:i w:val="0"/>
            <w:noProof/>
          </w:rPr>
          <w:t>wn-initiative cases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_Toc507580220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6</w:t>
        </w:r>
        <w:r>
          <w:rPr>
            <w:rFonts w:ascii="Arial" w:hAnsi="Arial" w:cs="Arial"/>
            <w:i w:val="0"/>
            <w:caps/>
            <w:noProof/>
            <w:webHidden/>
          </w:rPr>
          <w:fldChar w:fldCharType="end"/>
        </w:r>
      </w:hyperlink>
    </w:p>
    <w:p w:rsidR="003B06F5" w:rsidRDefault="00AD7FF7">
      <w:pPr>
        <w:pStyle w:val="TOC2"/>
        <w:tabs>
          <w:tab w:val="left" w:pos="960"/>
          <w:tab w:val="right" w:leader="dot" w:pos="9062"/>
        </w:tabs>
        <w:rPr>
          <w:rFonts w:ascii="Arial" w:eastAsia="SimSun" w:hAnsi="Arial" w:cs="Arial"/>
          <w:i w:val="0"/>
          <w:iCs w:val="0"/>
          <w:caps/>
          <w:noProof/>
          <w:sz w:val="22"/>
          <w:szCs w:val="22"/>
          <w:lang w:eastAsia="en-GB"/>
        </w:rPr>
      </w:pPr>
      <w:hyperlink w:anchor="_Toc507580221" w:history="1">
        <w:r>
          <w:rPr>
            <w:rStyle w:val="Hyperlink"/>
            <w:rFonts w:ascii="Arial" w:hAnsi="Arial" w:cs="Arial"/>
            <w:i w:val="0"/>
            <w:caps/>
            <w:noProof/>
          </w:rPr>
          <w:t>3.2.</w:t>
        </w:r>
        <w:r>
          <w:rPr>
            <w:rFonts w:ascii="Arial" w:eastAsia="SimSun" w:hAnsi="Arial" w:cs="Arial"/>
            <w:i w:val="0"/>
            <w:iCs w:val="0"/>
            <w:caps/>
            <w:noProof/>
            <w:sz w:val="22"/>
            <w:szCs w:val="22"/>
            <w:lang w:eastAsia="en-GB"/>
          </w:rPr>
          <w:tab/>
        </w:r>
        <w:r>
          <w:rPr>
            <w:rStyle w:val="Hyperlink"/>
            <w:rFonts w:ascii="Arial" w:hAnsi="Arial" w:cs="Arial"/>
            <w:i w:val="0"/>
            <w:caps/>
            <w:noProof/>
          </w:rPr>
          <w:t>C</w:t>
        </w:r>
        <w:r>
          <w:rPr>
            <w:rStyle w:val="Hyperlink"/>
            <w:rFonts w:ascii="Arial" w:hAnsi="Arial" w:cs="Arial"/>
            <w:i w:val="0"/>
            <w:noProof/>
          </w:rPr>
          <w:t>omplaints and petitions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_Toc507580221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6</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2" w:history="1">
        <w:r>
          <w:rPr>
            <w:rStyle w:val="Hyperlink"/>
            <w:rFonts w:ascii="Arial" w:hAnsi="Arial" w:cs="Arial"/>
            <w:i w:val="0"/>
            <w:caps/>
            <w:noProof/>
          </w:rPr>
          <w:t>4.</w:t>
        </w:r>
        <w:r>
          <w:rPr>
            <w:rFonts w:ascii="Arial" w:eastAsia="SimSun" w:hAnsi="Arial" w:cs="Arial"/>
            <w:i w:val="0"/>
            <w:iCs w:val="0"/>
            <w:caps/>
            <w:noProof/>
            <w:sz w:val="22"/>
            <w:szCs w:val="22"/>
            <w:lang w:eastAsia="en-GB"/>
          </w:rPr>
          <w:tab/>
        </w:r>
        <w:r>
          <w:rPr>
            <w:rStyle w:val="Hyperlink"/>
            <w:rFonts w:ascii="Arial" w:hAnsi="Arial" w:cs="Arial"/>
            <w:i w:val="0"/>
            <w:caps/>
            <w:noProof/>
          </w:rPr>
          <w:t>EU P</w:t>
        </w:r>
        <w:r>
          <w:rPr>
            <w:rStyle w:val="Hyperlink"/>
            <w:rFonts w:ascii="Arial" w:hAnsi="Arial" w:cs="Arial"/>
            <w:i w:val="0"/>
            <w:noProof/>
          </w:rPr>
          <w:t>ilot</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_Toc507580222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8</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3" w:history="1">
        <w:r>
          <w:rPr>
            <w:rStyle w:val="Hyperlink"/>
            <w:rFonts w:ascii="Arial" w:hAnsi="Arial" w:cs="Arial"/>
            <w:i w:val="0"/>
            <w:caps/>
            <w:noProof/>
          </w:rPr>
          <w:t>IV.</w:t>
        </w:r>
        <w:r>
          <w:rPr>
            <w:rFonts w:ascii="Arial" w:eastAsia="SimSun" w:hAnsi="Arial" w:cs="Arial"/>
            <w:i w:val="0"/>
            <w:iCs w:val="0"/>
            <w:caps/>
            <w:noProof/>
            <w:sz w:val="22"/>
            <w:szCs w:val="22"/>
            <w:lang w:eastAsia="en-GB"/>
          </w:rPr>
          <w:tab/>
        </w:r>
        <w:r>
          <w:rPr>
            <w:rStyle w:val="Hyperlink"/>
            <w:rFonts w:ascii="Arial" w:hAnsi="Arial" w:cs="Arial"/>
            <w:i w:val="0"/>
            <w:caps/>
            <w:noProof/>
          </w:rPr>
          <w:t>S</w:t>
        </w:r>
        <w:r>
          <w:rPr>
            <w:rStyle w:val="Hyperlink"/>
            <w:rFonts w:ascii="Arial" w:hAnsi="Arial" w:cs="Arial"/>
            <w:i w:val="0"/>
            <w:noProof/>
          </w:rPr>
          <w:t>tages in infringement procedures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_Toc507580223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10</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4" w:history="1">
        <w:r>
          <w:rPr>
            <w:rStyle w:val="Hyperlink"/>
            <w:rFonts w:ascii="Arial" w:hAnsi="Arial" w:cs="Arial"/>
            <w:i w:val="0"/>
            <w:caps/>
            <w:noProof/>
          </w:rPr>
          <w:t>1.</w:t>
        </w:r>
        <w:r>
          <w:rPr>
            <w:rFonts w:ascii="Arial" w:eastAsia="SimSun" w:hAnsi="Arial" w:cs="Arial"/>
            <w:i w:val="0"/>
            <w:iCs w:val="0"/>
            <w:caps/>
            <w:noProof/>
            <w:sz w:val="22"/>
            <w:szCs w:val="22"/>
            <w:lang w:eastAsia="en-GB"/>
          </w:rPr>
          <w:tab/>
        </w:r>
        <w:r>
          <w:rPr>
            <w:rStyle w:val="Hyperlink"/>
            <w:rFonts w:ascii="Arial" w:hAnsi="Arial" w:cs="Arial"/>
            <w:i w:val="0"/>
            <w:caps/>
            <w:noProof/>
          </w:rPr>
          <w:t>P</w:t>
        </w:r>
        <w:r>
          <w:rPr>
            <w:rStyle w:val="Hyperlink"/>
            <w:rFonts w:ascii="Arial" w:hAnsi="Arial" w:cs="Arial"/>
            <w:i w:val="0"/>
            <w:noProof/>
          </w:rPr>
          <w:t>re-litigation phase</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_Toc507580224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10</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5" w:history="1">
        <w:r>
          <w:rPr>
            <w:rStyle w:val="Hyperlink"/>
            <w:rFonts w:ascii="Arial" w:hAnsi="Arial" w:cs="Arial"/>
            <w:i w:val="0"/>
            <w:caps/>
            <w:noProof/>
          </w:rPr>
          <w:t>2.</w:t>
        </w:r>
        <w:r>
          <w:rPr>
            <w:rFonts w:ascii="Arial" w:eastAsia="SimSun" w:hAnsi="Arial" w:cs="Arial"/>
            <w:i w:val="0"/>
            <w:iCs w:val="0"/>
            <w:caps/>
            <w:noProof/>
            <w:sz w:val="22"/>
            <w:szCs w:val="22"/>
            <w:lang w:eastAsia="en-GB"/>
          </w:rPr>
          <w:tab/>
        </w:r>
        <w:r>
          <w:rPr>
            <w:rStyle w:val="Hyperlink"/>
            <w:rFonts w:ascii="Arial" w:hAnsi="Arial" w:cs="Arial"/>
            <w:i w:val="0"/>
            <w:caps/>
            <w:noProof/>
          </w:rPr>
          <w:t>J</w:t>
        </w:r>
        <w:r>
          <w:rPr>
            <w:rStyle w:val="Hyperlink"/>
            <w:rFonts w:ascii="Arial" w:hAnsi="Arial" w:cs="Arial"/>
            <w:i w:val="0"/>
            <w:noProof/>
          </w:rPr>
          <w:t xml:space="preserve">udgments of the </w:t>
        </w:r>
        <w:r>
          <w:rPr>
            <w:rStyle w:val="Hyperlink"/>
            <w:rFonts w:ascii="Arial" w:hAnsi="Arial" w:cs="Arial"/>
            <w:i w:val="0"/>
            <w:caps/>
            <w:noProof/>
          </w:rPr>
          <w:t>C</w:t>
        </w:r>
        <w:r>
          <w:rPr>
            <w:rStyle w:val="Hyperlink"/>
            <w:rFonts w:ascii="Arial" w:hAnsi="Arial" w:cs="Arial"/>
            <w:i w:val="0"/>
            <w:noProof/>
          </w:rPr>
          <w:t>ourt of</w:t>
        </w:r>
        <w:r>
          <w:rPr>
            <w:rStyle w:val="Hyperlink"/>
            <w:rFonts w:ascii="Arial" w:hAnsi="Arial" w:cs="Arial"/>
            <w:i w:val="0"/>
            <w:caps/>
            <w:noProof/>
          </w:rPr>
          <w:t xml:space="preserve"> J</w:t>
        </w:r>
        <w:r>
          <w:rPr>
            <w:rStyle w:val="Hyperlink"/>
            <w:rFonts w:ascii="Arial" w:hAnsi="Arial" w:cs="Arial"/>
            <w:i w:val="0"/>
            <w:noProof/>
          </w:rPr>
          <w:t xml:space="preserve">ustice under </w:t>
        </w:r>
        <w:r>
          <w:rPr>
            <w:rStyle w:val="Hyperlink"/>
            <w:rFonts w:ascii="Arial" w:hAnsi="Arial" w:cs="Arial"/>
            <w:i w:val="0"/>
            <w:caps/>
            <w:noProof/>
          </w:rPr>
          <w:t>A</w:t>
        </w:r>
        <w:r>
          <w:rPr>
            <w:rStyle w:val="Hyperlink"/>
            <w:rFonts w:ascii="Arial" w:hAnsi="Arial" w:cs="Arial"/>
            <w:i w:val="0"/>
            <w:noProof/>
          </w:rPr>
          <w:t>rticles</w:t>
        </w:r>
        <w:r>
          <w:rPr>
            <w:rStyle w:val="Hyperlink"/>
            <w:rFonts w:ascii="Arial" w:hAnsi="Arial" w:cs="Arial"/>
            <w:i w:val="0"/>
            <w:caps/>
            <w:noProof/>
          </w:rPr>
          <w:t xml:space="preserve"> 258 </w:t>
        </w:r>
        <w:r>
          <w:rPr>
            <w:rStyle w:val="Hyperlink"/>
            <w:rFonts w:ascii="Arial" w:hAnsi="Arial" w:cs="Arial"/>
            <w:i w:val="0"/>
            <w:noProof/>
          </w:rPr>
          <w:t>and</w:t>
        </w:r>
        <w:r>
          <w:rPr>
            <w:rStyle w:val="Hyperlink"/>
            <w:rFonts w:ascii="Arial" w:hAnsi="Arial" w:cs="Arial"/>
            <w:i w:val="0"/>
            <w:caps/>
            <w:noProof/>
          </w:rPr>
          <w:t xml:space="preserve"> 260(2) TFEU</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_Toc507580225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13</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6" w:history="1">
        <w:r>
          <w:rPr>
            <w:rStyle w:val="Hyperlink"/>
            <w:rFonts w:ascii="Arial" w:hAnsi="Arial" w:cs="Arial"/>
            <w:i w:val="0"/>
            <w:caps/>
            <w:noProof/>
          </w:rPr>
          <w:t>V.</w:t>
        </w:r>
        <w:r>
          <w:rPr>
            <w:rFonts w:ascii="Arial" w:eastAsia="SimSun" w:hAnsi="Arial" w:cs="Arial"/>
            <w:i w:val="0"/>
            <w:iCs w:val="0"/>
            <w:caps/>
            <w:noProof/>
            <w:sz w:val="22"/>
            <w:szCs w:val="22"/>
            <w:lang w:eastAsia="en-GB"/>
          </w:rPr>
          <w:tab/>
        </w:r>
        <w:r>
          <w:rPr>
            <w:rStyle w:val="Hyperlink"/>
            <w:rFonts w:ascii="Arial" w:hAnsi="Arial" w:cs="Arial"/>
            <w:i w:val="0"/>
            <w:caps/>
            <w:noProof/>
          </w:rPr>
          <w:t>T</w:t>
        </w:r>
        <w:r>
          <w:rPr>
            <w:rStyle w:val="Hyperlink"/>
            <w:rFonts w:ascii="Arial" w:hAnsi="Arial" w:cs="Arial"/>
            <w:i w:val="0"/>
            <w:noProof/>
          </w:rPr>
          <w:t>ransposition of directives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_Toc507580226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w:t>
        </w:r>
        <w:r>
          <w:rPr>
            <w:rFonts w:ascii="Arial" w:hAnsi="Arial" w:cs="Arial"/>
            <w:i w:val="0"/>
            <w:caps/>
            <w:noProof/>
            <w:webHidden/>
          </w:rPr>
          <w:t>5</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7" w:history="1">
        <w:r>
          <w:rPr>
            <w:rStyle w:val="Hyperlink"/>
            <w:rFonts w:ascii="Arial" w:hAnsi="Arial" w:cs="Arial"/>
            <w:i w:val="0"/>
            <w:caps/>
            <w:noProof/>
          </w:rPr>
          <w:t>1.</w:t>
        </w:r>
        <w:r>
          <w:rPr>
            <w:rFonts w:ascii="Arial" w:eastAsia="SimSun" w:hAnsi="Arial" w:cs="Arial"/>
            <w:i w:val="0"/>
            <w:iCs w:val="0"/>
            <w:caps/>
            <w:noProof/>
            <w:sz w:val="22"/>
            <w:szCs w:val="22"/>
            <w:lang w:eastAsia="en-GB"/>
          </w:rPr>
          <w:tab/>
        </w:r>
        <w:r>
          <w:rPr>
            <w:rStyle w:val="Hyperlink"/>
            <w:rFonts w:ascii="Arial" w:hAnsi="Arial" w:cs="Arial"/>
            <w:i w:val="0"/>
            <w:caps/>
            <w:noProof/>
          </w:rPr>
          <w:t>L</w:t>
        </w:r>
        <w:r>
          <w:rPr>
            <w:rStyle w:val="Hyperlink"/>
            <w:rFonts w:ascii="Arial" w:hAnsi="Arial" w:cs="Arial"/>
            <w:i w:val="0"/>
            <w:noProof/>
          </w:rPr>
          <w:t>ate transposition</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_Toc507580227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15</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8" w:history="1">
        <w:r>
          <w:rPr>
            <w:rStyle w:val="Hyperlink"/>
            <w:rFonts w:ascii="Arial" w:hAnsi="Arial" w:cs="Arial"/>
            <w:i w:val="0"/>
            <w:caps/>
            <w:noProof/>
          </w:rPr>
          <w:t>2.</w:t>
        </w:r>
        <w:r>
          <w:rPr>
            <w:rFonts w:ascii="Arial" w:eastAsia="SimSun" w:hAnsi="Arial" w:cs="Arial"/>
            <w:i w:val="0"/>
            <w:iCs w:val="0"/>
            <w:caps/>
            <w:noProof/>
            <w:sz w:val="22"/>
            <w:szCs w:val="22"/>
            <w:lang w:eastAsia="en-GB"/>
          </w:rPr>
          <w:tab/>
        </w:r>
        <w:r>
          <w:rPr>
            <w:rStyle w:val="Hyperlink"/>
            <w:rFonts w:ascii="Arial" w:hAnsi="Arial" w:cs="Arial"/>
            <w:i w:val="0"/>
            <w:caps/>
            <w:noProof/>
          </w:rPr>
          <w:t>R</w:t>
        </w:r>
        <w:r>
          <w:rPr>
            <w:rStyle w:val="Hyperlink"/>
            <w:rFonts w:ascii="Arial" w:hAnsi="Arial" w:cs="Arial"/>
            <w:i w:val="0"/>
            <w:noProof/>
          </w:rPr>
          <w:t xml:space="preserve">eferrals to the </w:t>
        </w:r>
        <w:r>
          <w:rPr>
            <w:rStyle w:val="Hyperlink"/>
            <w:rFonts w:ascii="Arial" w:hAnsi="Arial" w:cs="Arial"/>
            <w:i w:val="0"/>
            <w:caps/>
            <w:noProof/>
          </w:rPr>
          <w:t>C</w:t>
        </w:r>
        <w:r>
          <w:rPr>
            <w:rStyle w:val="Hyperlink"/>
            <w:rFonts w:ascii="Arial" w:hAnsi="Arial" w:cs="Arial"/>
            <w:i w:val="0"/>
            <w:noProof/>
          </w:rPr>
          <w:t xml:space="preserve">ourt of </w:t>
        </w:r>
        <w:r>
          <w:rPr>
            <w:rStyle w:val="Hyperlink"/>
            <w:rFonts w:ascii="Arial" w:hAnsi="Arial" w:cs="Arial"/>
            <w:i w:val="0"/>
            <w:caps/>
            <w:noProof/>
          </w:rPr>
          <w:t>J</w:t>
        </w:r>
        <w:r>
          <w:rPr>
            <w:rStyle w:val="Hyperlink"/>
            <w:rFonts w:ascii="Arial" w:hAnsi="Arial" w:cs="Arial"/>
            <w:i w:val="0"/>
            <w:noProof/>
          </w:rPr>
          <w:t>ustice</w:t>
        </w:r>
        <w:r>
          <w:rPr>
            <w:rStyle w:val="Hyperlink"/>
            <w:rFonts w:ascii="Arial" w:hAnsi="Arial" w:cs="Arial"/>
            <w:i w:val="0"/>
            <w:caps/>
            <w:noProof/>
          </w:rPr>
          <w:t xml:space="preserve"> </w:t>
        </w:r>
        <w:r>
          <w:rPr>
            <w:rStyle w:val="Hyperlink"/>
            <w:rFonts w:ascii="Arial" w:hAnsi="Arial" w:cs="Arial"/>
            <w:i w:val="0"/>
            <w:noProof/>
          </w:rPr>
          <w:t>under</w:t>
        </w:r>
        <w:r>
          <w:rPr>
            <w:rStyle w:val="Hyperlink"/>
            <w:rFonts w:ascii="Arial" w:hAnsi="Arial" w:cs="Arial"/>
            <w:i w:val="0"/>
            <w:caps/>
            <w:noProof/>
          </w:rPr>
          <w:t xml:space="preserve"> A</w:t>
        </w:r>
        <w:r>
          <w:rPr>
            <w:rStyle w:val="Hyperlink"/>
            <w:rFonts w:ascii="Arial" w:hAnsi="Arial" w:cs="Arial"/>
            <w:i w:val="0"/>
            <w:noProof/>
          </w:rPr>
          <w:t>rticle</w:t>
        </w:r>
        <w:r>
          <w:rPr>
            <w:rStyle w:val="Hyperlink"/>
            <w:rFonts w:ascii="Arial" w:hAnsi="Arial" w:cs="Arial"/>
            <w:i w:val="0"/>
            <w:caps/>
            <w:noProof/>
          </w:rPr>
          <w:t xml:space="preserve"> 258 </w:t>
        </w:r>
        <w:r>
          <w:rPr>
            <w:rStyle w:val="Hyperlink"/>
            <w:rFonts w:ascii="Arial" w:hAnsi="Arial" w:cs="Arial"/>
            <w:i w:val="0"/>
            <w:noProof/>
          </w:rPr>
          <w:t>and</w:t>
        </w:r>
        <w:r>
          <w:rPr>
            <w:rStyle w:val="Hyperlink"/>
            <w:rFonts w:ascii="Arial" w:hAnsi="Arial" w:cs="Arial"/>
            <w:i w:val="0"/>
            <w:caps/>
            <w:noProof/>
          </w:rPr>
          <w:t xml:space="preserve"> </w:t>
        </w:r>
        <w:r>
          <w:rPr>
            <w:rStyle w:val="Hyperlink"/>
            <w:rFonts w:ascii="Arial" w:hAnsi="Arial" w:cs="Arial"/>
            <w:i w:val="0"/>
            <w:noProof/>
          </w:rPr>
          <w:t>260</w:t>
        </w:r>
        <w:r>
          <w:rPr>
            <w:rStyle w:val="Hyperlink"/>
            <w:rFonts w:ascii="Arial" w:hAnsi="Arial" w:cs="Arial"/>
            <w:i w:val="0"/>
            <w:caps/>
            <w:noProof/>
          </w:rPr>
          <w:t>(3) TFEU</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_Toc507580228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17</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29" w:history="1">
        <w:r>
          <w:rPr>
            <w:rStyle w:val="Hyperlink"/>
            <w:rFonts w:ascii="Arial" w:hAnsi="Arial" w:cs="Arial"/>
            <w:i w:val="0"/>
            <w:caps/>
            <w:noProof/>
          </w:rPr>
          <w:t>VI.</w:t>
        </w:r>
        <w:r>
          <w:rPr>
            <w:rFonts w:ascii="Arial" w:eastAsia="SimSun" w:hAnsi="Arial" w:cs="Arial"/>
            <w:i w:val="0"/>
            <w:iCs w:val="0"/>
            <w:caps/>
            <w:noProof/>
            <w:sz w:val="22"/>
            <w:szCs w:val="22"/>
            <w:lang w:eastAsia="en-GB"/>
          </w:rPr>
          <w:tab/>
        </w:r>
        <w:r>
          <w:rPr>
            <w:rStyle w:val="Hyperlink"/>
            <w:rFonts w:ascii="Arial" w:hAnsi="Arial" w:cs="Arial"/>
            <w:i w:val="0"/>
            <w:caps/>
            <w:noProof/>
          </w:rPr>
          <w:t>M</w:t>
        </w:r>
        <w:r>
          <w:rPr>
            <w:rStyle w:val="Hyperlink"/>
            <w:rFonts w:ascii="Arial" w:hAnsi="Arial" w:cs="Arial"/>
            <w:i w:val="0"/>
            <w:noProof/>
          </w:rPr>
          <w:t>ethodology and explanations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_Toc507580229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19</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30" w:history="1">
        <w:r>
          <w:rPr>
            <w:rStyle w:val="Hyperlink"/>
            <w:rFonts w:ascii="Arial" w:eastAsia="MS Gothic" w:hAnsi="Arial" w:cs="Arial"/>
            <w:i w:val="0"/>
            <w:caps/>
            <w:noProof/>
          </w:rPr>
          <w:t>1.</w:t>
        </w:r>
        <w:r>
          <w:rPr>
            <w:rFonts w:ascii="Arial" w:eastAsia="SimSun" w:hAnsi="Arial" w:cs="Arial"/>
            <w:i w:val="0"/>
            <w:iCs w:val="0"/>
            <w:caps/>
            <w:noProof/>
            <w:sz w:val="22"/>
            <w:szCs w:val="22"/>
            <w:lang w:eastAsia="en-GB"/>
          </w:rPr>
          <w:tab/>
        </w:r>
        <w:r>
          <w:rPr>
            <w:rStyle w:val="Hyperlink"/>
            <w:rFonts w:ascii="Arial" w:eastAsia="MS Gothic" w:hAnsi="Arial" w:cs="Arial"/>
            <w:i w:val="0"/>
            <w:caps/>
            <w:noProof/>
            <w:lang w:eastAsia="zh-CN"/>
          </w:rPr>
          <w:t>D</w:t>
        </w:r>
        <w:r>
          <w:rPr>
            <w:rStyle w:val="Hyperlink"/>
            <w:rFonts w:ascii="Arial" w:eastAsia="MS Gothic" w:hAnsi="Arial" w:cs="Arial"/>
            <w:i w:val="0"/>
            <w:noProof/>
            <w:lang w:eastAsia="zh-CN"/>
          </w:rPr>
          <w:t>etecting problems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_Toc507580230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19</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31" w:history="1">
        <w:r>
          <w:rPr>
            <w:rStyle w:val="Hyperlink"/>
            <w:rFonts w:ascii="Arial" w:eastAsia="MS Gothic" w:hAnsi="Arial" w:cs="Arial"/>
            <w:i w:val="0"/>
            <w:caps/>
            <w:noProof/>
            <w:lang w:eastAsia="zh-CN"/>
          </w:rPr>
          <w:t>2.</w:t>
        </w:r>
        <w:r>
          <w:rPr>
            <w:rFonts w:ascii="Arial" w:eastAsia="SimSun" w:hAnsi="Arial" w:cs="Arial"/>
            <w:i w:val="0"/>
            <w:iCs w:val="0"/>
            <w:caps/>
            <w:noProof/>
            <w:sz w:val="22"/>
            <w:szCs w:val="22"/>
            <w:lang w:eastAsia="en-GB"/>
          </w:rPr>
          <w:tab/>
        </w:r>
        <w:r>
          <w:rPr>
            <w:rStyle w:val="Hyperlink"/>
            <w:rFonts w:ascii="Arial" w:eastAsia="MS Gothic" w:hAnsi="Arial" w:cs="Arial"/>
            <w:i w:val="0"/>
            <w:caps/>
            <w:noProof/>
            <w:lang w:eastAsia="zh-CN"/>
          </w:rPr>
          <w:t>EU P</w:t>
        </w:r>
        <w:r>
          <w:rPr>
            <w:rStyle w:val="Hyperlink"/>
            <w:rFonts w:ascii="Arial" w:eastAsia="MS Gothic" w:hAnsi="Arial" w:cs="Arial"/>
            <w:i w:val="0"/>
            <w:noProof/>
            <w:lang w:eastAsia="zh-CN"/>
          </w:rPr>
          <w:t>ilot</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_Toc507580231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19</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32" w:history="1">
        <w:r>
          <w:rPr>
            <w:rStyle w:val="Hyperlink"/>
            <w:rFonts w:ascii="Arial" w:eastAsia="MS Gothic" w:hAnsi="Arial" w:cs="Arial"/>
            <w:i w:val="0"/>
            <w:caps/>
            <w:noProof/>
            <w:lang w:eastAsia="zh-CN"/>
          </w:rPr>
          <w:t>3.</w:t>
        </w:r>
        <w:r>
          <w:rPr>
            <w:rFonts w:ascii="Arial" w:eastAsia="SimSun" w:hAnsi="Arial" w:cs="Arial"/>
            <w:i w:val="0"/>
            <w:iCs w:val="0"/>
            <w:caps/>
            <w:noProof/>
            <w:sz w:val="22"/>
            <w:szCs w:val="22"/>
            <w:lang w:eastAsia="en-GB"/>
          </w:rPr>
          <w:tab/>
        </w:r>
        <w:r>
          <w:rPr>
            <w:rStyle w:val="Hyperlink"/>
            <w:rFonts w:ascii="Arial" w:eastAsia="MS Gothic" w:hAnsi="Arial" w:cs="Arial"/>
            <w:i w:val="0"/>
            <w:caps/>
            <w:noProof/>
            <w:lang w:eastAsia="zh-CN"/>
          </w:rPr>
          <w:t>I</w:t>
        </w:r>
        <w:r>
          <w:rPr>
            <w:rStyle w:val="Hyperlink"/>
            <w:rFonts w:ascii="Arial" w:eastAsia="MS Gothic" w:hAnsi="Arial" w:cs="Arial"/>
            <w:i w:val="0"/>
            <w:noProof/>
            <w:lang w:eastAsia="zh-CN"/>
          </w:rPr>
          <w:t xml:space="preserve">nfringement </w:t>
        </w:r>
        <w:r>
          <w:rPr>
            <w:rStyle w:val="Hyperlink"/>
            <w:rFonts w:ascii="Arial" w:eastAsia="MS Gothic" w:hAnsi="Arial" w:cs="Arial"/>
            <w:i w:val="0"/>
            <w:noProof/>
            <w:lang w:eastAsia="zh-CN"/>
          </w:rPr>
          <w:t>procedures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_Toc507580232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19</w:t>
        </w:r>
        <w:r>
          <w:rPr>
            <w:rFonts w:ascii="Arial" w:hAnsi="Arial" w:cs="Arial"/>
            <w:i w:val="0"/>
            <w:caps/>
            <w:noProof/>
            <w:webHidden/>
          </w:rPr>
          <w:fldChar w:fldCharType="end"/>
        </w:r>
      </w:hyperlink>
    </w:p>
    <w:p w:rsidR="003B06F5" w:rsidRDefault="00AD7FF7">
      <w:pPr>
        <w:pStyle w:val="TOC2"/>
        <w:tabs>
          <w:tab w:val="left" w:pos="720"/>
          <w:tab w:val="right" w:leader="dot" w:pos="9062"/>
        </w:tabs>
        <w:rPr>
          <w:rFonts w:ascii="Arial" w:eastAsia="SimSun" w:hAnsi="Arial" w:cs="Arial"/>
          <w:i w:val="0"/>
          <w:iCs w:val="0"/>
          <w:caps/>
          <w:noProof/>
          <w:sz w:val="22"/>
          <w:szCs w:val="22"/>
          <w:lang w:eastAsia="en-GB"/>
        </w:rPr>
      </w:pPr>
      <w:hyperlink w:anchor="_Toc507580233" w:history="1">
        <w:r>
          <w:rPr>
            <w:rStyle w:val="Hyperlink"/>
            <w:rFonts w:ascii="Arial" w:eastAsia="MS Gothic" w:hAnsi="Arial" w:cs="Arial"/>
            <w:i w:val="0"/>
            <w:caps/>
            <w:noProof/>
            <w:lang w:eastAsia="zh-CN"/>
          </w:rPr>
          <w:t>4.</w:t>
        </w:r>
        <w:r>
          <w:rPr>
            <w:rFonts w:ascii="Arial" w:eastAsia="SimSun" w:hAnsi="Arial" w:cs="Arial"/>
            <w:i w:val="0"/>
            <w:iCs w:val="0"/>
            <w:caps/>
            <w:noProof/>
            <w:sz w:val="22"/>
            <w:szCs w:val="22"/>
            <w:lang w:eastAsia="en-GB"/>
          </w:rPr>
          <w:tab/>
        </w:r>
        <w:r>
          <w:rPr>
            <w:rStyle w:val="Hyperlink"/>
            <w:rFonts w:ascii="Arial" w:eastAsia="MS Gothic" w:hAnsi="Arial" w:cs="Arial"/>
            <w:i w:val="0"/>
            <w:caps/>
            <w:noProof/>
            <w:lang w:eastAsia="zh-CN"/>
          </w:rPr>
          <w:t>T</w:t>
        </w:r>
        <w:r>
          <w:rPr>
            <w:rStyle w:val="Hyperlink"/>
            <w:rFonts w:ascii="Arial" w:eastAsia="MS Gothic" w:hAnsi="Arial" w:cs="Arial"/>
            <w:i w:val="0"/>
            <w:noProof/>
            <w:lang w:eastAsia="zh-CN"/>
          </w:rPr>
          <w:t>ransposition of directives</w:t>
        </w:r>
        <w:r>
          <w:rPr>
            <w:rFonts w:ascii="Arial" w:hAnsi="Arial" w:cs="Arial"/>
            <w:i w:val="0"/>
            <w:caps/>
            <w:noProof/>
            <w:webHidden/>
          </w:rPr>
          <w:tab/>
        </w:r>
        <w:r>
          <w:rPr>
            <w:rFonts w:ascii="Arial" w:hAnsi="Arial" w:cs="Arial"/>
            <w:i w:val="0"/>
            <w:caps/>
            <w:noProof/>
            <w:webHidden/>
          </w:rPr>
          <w:fldChar w:fldCharType="begin" w:fldLock="1"/>
        </w:r>
        <w:r>
          <w:rPr>
            <w:rFonts w:ascii="Arial" w:hAnsi="Arial" w:cs="Arial"/>
            <w:i w:val="0"/>
            <w:caps/>
            <w:noProof/>
            <w:webHidden/>
          </w:rPr>
          <w:instrText xml:space="preserve"> PAGEREF _Toc507580233 \h </w:instrText>
        </w:r>
        <w:r>
          <w:rPr>
            <w:rFonts w:ascii="Arial" w:hAnsi="Arial" w:cs="Arial"/>
            <w:i w:val="0"/>
            <w:caps/>
            <w:noProof/>
            <w:webHidden/>
          </w:rPr>
        </w:r>
        <w:r>
          <w:rPr>
            <w:rFonts w:ascii="Arial" w:hAnsi="Arial" w:cs="Arial"/>
            <w:i w:val="0"/>
            <w:caps/>
            <w:noProof/>
            <w:webHidden/>
          </w:rPr>
          <w:fldChar w:fldCharType="separate"/>
        </w:r>
        <w:r>
          <w:rPr>
            <w:rFonts w:ascii="Arial" w:hAnsi="Arial" w:cs="Arial"/>
            <w:i w:val="0"/>
            <w:caps/>
            <w:noProof/>
            <w:webHidden/>
          </w:rPr>
          <w:t>20</w:t>
        </w:r>
        <w:r>
          <w:rPr>
            <w:rFonts w:ascii="Arial" w:hAnsi="Arial" w:cs="Arial"/>
            <w:i w:val="0"/>
            <w:caps/>
            <w:noProof/>
            <w:webHidden/>
          </w:rPr>
          <w:fldChar w:fldCharType="end"/>
        </w:r>
      </w:hyperlink>
    </w:p>
    <w:p w:rsidR="003B06F5" w:rsidRDefault="00AD7FF7">
      <w:pPr>
        <w:rPr>
          <w:noProof/>
        </w:rPr>
      </w:pPr>
      <w:r>
        <w:rPr>
          <w:rFonts w:ascii="Arial" w:hAnsi="Arial" w:cs="Arial"/>
          <w:b/>
          <w:bCs/>
          <w:caps/>
          <w:noProof/>
          <w:sz w:val="20"/>
        </w:rPr>
        <w:fldChar w:fldCharType="end"/>
      </w:r>
    </w:p>
    <w:p w:rsidR="003B06F5" w:rsidRDefault="003B06F5">
      <w:pPr>
        <w:spacing w:after="200" w:line="276" w:lineRule="auto"/>
        <w:jc w:val="left"/>
        <w:rPr>
          <w:rFonts w:ascii="Arial" w:hAnsi="Arial" w:cs="Arial"/>
          <w:caps/>
          <w:noProof/>
          <w:color w:val="548DD4"/>
        </w:rPr>
      </w:pPr>
    </w:p>
    <w:p w:rsidR="003B06F5" w:rsidRDefault="00AD7FF7">
      <w:pPr>
        <w:spacing w:after="200" w:line="276" w:lineRule="auto"/>
        <w:jc w:val="left"/>
        <w:rPr>
          <w:rFonts w:ascii="Arial" w:hAnsi="Arial" w:cs="Arial"/>
          <w:caps/>
          <w:noProof/>
          <w:color w:val="548DD4"/>
        </w:rPr>
      </w:pPr>
      <w:r>
        <w:rPr>
          <w:rFonts w:ascii="Arial" w:hAnsi="Arial" w:cs="Arial"/>
          <w:caps/>
          <w:noProof/>
          <w:color w:val="548DD4"/>
        </w:rPr>
        <w:br w:type="page"/>
      </w:r>
    </w:p>
    <w:p w:rsidR="003B06F5" w:rsidRDefault="003B06F5">
      <w:pPr>
        <w:rPr>
          <w:rFonts w:ascii="Arial" w:hAnsi="Arial" w:cs="Arial"/>
          <w:caps/>
          <w:noProof/>
          <w:color w:val="548DD4"/>
        </w:rPr>
      </w:pPr>
    </w:p>
    <w:p w:rsidR="003B06F5" w:rsidRDefault="00AD7FF7">
      <w:pPr>
        <w:pStyle w:val="kop2"/>
        <w:ind w:left="720"/>
        <w:rPr>
          <w:caps w:val="0"/>
          <w:noProof/>
        </w:rPr>
      </w:pPr>
      <w:bookmarkStart w:id="2" w:name="_Toc507580214"/>
      <w:r>
        <w:rPr>
          <w:caps w:val="0"/>
          <w:noProof/>
        </w:rPr>
        <w:t>Working with Member States to ensure proper implementation of EU law</w:t>
      </w:r>
      <w:bookmarkEnd w:id="2"/>
    </w:p>
    <w:p w:rsidR="003B06F5" w:rsidRDefault="00AD7FF7">
      <w:pPr>
        <w:pStyle w:val="kop3"/>
        <w:numPr>
          <w:ilvl w:val="0"/>
          <w:numId w:val="28"/>
        </w:numPr>
        <w:rPr>
          <w:noProof/>
        </w:rPr>
      </w:pPr>
      <w:bookmarkStart w:id="3" w:name="_Toc444796654"/>
      <w:bookmarkStart w:id="4" w:name="_Toc507580215"/>
      <w:r>
        <w:rPr>
          <w:noProof/>
        </w:rPr>
        <w:t>Implementation plans: state of play</w:t>
      </w:r>
      <w:bookmarkEnd w:id="3"/>
      <w:bookmarkEnd w:id="4"/>
    </w:p>
    <w:p w:rsidR="003B06F5" w:rsidRDefault="00AD7FF7">
      <w:pPr>
        <w:spacing w:before="120" w:after="120"/>
        <w:rPr>
          <w:rFonts w:ascii="Arial" w:hAnsi="Arial" w:cs="Arial"/>
          <w:noProof/>
          <w:sz w:val="20"/>
        </w:rPr>
      </w:pPr>
      <w:r>
        <w:rPr>
          <w:rFonts w:ascii="Arial" w:hAnsi="Arial" w:cs="Arial"/>
          <w:noProof/>
          <w:sz w:val="20"/>
        </w:rPr>
        <w:t>In the Better Regulation Package</w:t>
      </w:r>
      <w:r>
        <w:rPr>
          <w:rStyle w:val="FootnoteReference"/>
          <w:rFonts w:ascii="Arial" w:hAnsi="Arial" w:cs="Arial"/>
          <w:noProof/>
          <w:sz w:val="20"/>
        </w:rPr>
        <w:footnoteReference w:id="2"/>
      </w:r>
      <w:r>
        <w:rPr>
          <w:rFonts w:ascii="Arial" w:hAnsi="Arial" w:cs="Arial"/>
          <w:noProof/>
          <w:sz w:val="20"/>
        </w:rPr>
        <w:t xml:space="preserve">, the Commission committed to actively help </w:t>
      </w:r>
      <w:r>
        <w:rPr>
          <w:rFonts w:ascii="Arial" w:hAnsi="Arial" w:cs="Arial"/>
          <w:noProof/>
          <w:sz w:val="20"/>
        </w:rPr>
        <w:t>Member States transpose and implement legislation by preparing implementation plans for certain directives and regulations. While the responsibility for applying EU law lies with the Member States, the implementation plans aim to help them do so effectivel</w:t>
      </w:r>
      <w:r>
        <w:rPr>
          <w:rFonts w:ascii="Arial" w:hAnsi="Arial" w:cs="Arial"/>
          <w:noProof/>
          <w:sz w:val="20"/>
        </w:rPr>
        <w:t>y and on time. The plans identify challenges which the Member States will face and which need to be taken into account when they prepare to transpose and implement a law. The plans also provide for a wide range of tools to help Member States implement EU l</w:t>
      </w:r>
      <w:r>
        <w:rPr>
          <w:rFonts w:ascii="Arial" w:hAnsi="Arial" w:cs="Arial"/>
          <w:noProof/>
          <w:sz w:val="20"/>
        </w:rPr>
        <w:t>aws, such as guidance documents, expert groups and dedicated websites.</w:t>
      </w:r>
    </w:p>
    <w:p w:rsidR="003B06F5" w:rsidRDefault="00AD7FF7">
      <w:pPr>
        <w:spacing w:before="120" w:after="120"/>
        <w:rPr>
          <w:rFonts w:ascii="Arial" w:hAnsi="Arial" w:cs="Arial"/>
          <w:noProof/>
          <w:sz w:val="20"/>
        </w:rPr>
      </w:pPr>
      <w:r>
        <w:rPr>
          <w:rFonts w:ascii="Arial" w:hAnsi="Arial" w:cs="Arial"/>
          <w:noProof/>
          <w:sz w:val="20"/>
        </w:rPr>
        <w:t>In 2017 the Commission prepared an implementation plan to ensure the effective transposition and implementation of the proposal it issued for Directive empowering the competition author</w:t>
      </w:r>
      <w:r>
        <w:rPr>
          <w:rFonts w:ascii="Arial" w:hAnsi="Arial" w:cs="Arial"/>
          <w:noProof/>
          <w:sz w:val="20"/>
        </w:rPr>
        <w:t>ities of the Member States to be more effective enforcers and to ensure the proper functioning of the internal market</w:t>
      </w:r>
      <w:r>
        <w:rPr>
          <w:rStyle w:val="FootnoteReference"/>
          <w:rFonts w:ascii="Arial" w:hAnsi="Arial" w:cs="Arial"/>
          <w:noProof/>
          <w:sz w:val="20"/>
        </w:rPr>
        <w:footnoteReference w:id="3"/>
      </w:r>
      <w:r>
        <w:rPr>
          <w:rFonts w:ascii="Arial" w:hAnsi="Arial" w:cs="Arial"/>
          <w:noProof/>
          <w:sz w:val="20"/>
        </w:rPr>
        <w:t>. The plan lists a number of actions to be carried out by the Commission and by the Member States during the adoption and implementation o</w:t>
      </w:r>
      <w:r>
        <w:rPr>
          <w:rFonts w:ascii="Arial" w:hAnsi="Arial" w:cs="Arial"/>
          <w:noProof/>
          <w:sz w:val="20"/>
        </w:rPr>
        <w:t>f the proposed Directive. They are as follows.</w:t>
      </w:r>
    </w:p>
    <w:p w:rsidR="003B06F5" w:rsidRDefault="00AD7FF7">
      <w:pPr>
        <w:pStyle w:val="ListParagraph"/>
        <w:numPr>
          <w:ilvl w:val="0"/>
          <w:numId w:val="39"/>
        </w:numPr>
        <w:spacing w:before="120" w:after="120"/>
        <w:ind w:left="714" w:hanging="357"/>
        <w:contextualSpacing w:val="0"/>
        <w:rPr>
          <w:rFonts w:ascii="Arial" w:hAnsi="Arial" w:cs="Arial"/>
          <w:noProof/>
          <w:sz w:val="20"/>
        </w:rPr>
      </w:pPr>
      <w:r>
        <w:rPr>
          <w:rFonts w:ascii="Arial" w:hAnsi="Arial" w:cs="Arial"/>
          <w:noProof/>
          <w:sz w:val="20"/>
        </w:rPr>
        <w:t>To ensure full implementation within the time-frame, the Commission will provide advice to the Member States, both through a single contact point and through bilateral meetings. It will also facilitate the exc</w:t>
      </w:r>
      <w:r>
        <w:rPr>
          <w:rFonts w:ascii="Arial" w:hAnsi="Arial" w:cs="Arial"/>
          <w:noProof/>
          <w:sz w:val="20"/>
        </w:rPr>
        <w:t>hange of best practices/technical solutions with the Member States for any implementation challenges that may arise. If there are any significant transposition issues, it may issue interpretative guidance. From their side, the Member States should inform t</w:t>
      </w:r>
      <w:r>
        <w:rPr>
          <w:rFonts w:ascii="Arial" w:hAnsi="Arial" w:cs="Arial"/>
          <w:noProof/>
          <w:sz w:val="20"/>
        </w:rPr>
        <w:t>he Commission about specific technical challenges or questions and may consult the Commission on draft transposition measures.</w:t>
      </w:r>
    </w:p>
    <w:p w:rsidR="003B06F5" w:rsidRDefault="00AD7FF7">
      <w:pPr>
        <w:pStyle w:val="ListParagraph"/>
        <w:numPr>
          <w:ilvl w:val="0"/>
          <w:numId w:val="39"/>
        </w:numPr>
        <w:spacing w:before="120" w:after="120"/>
        <w:ind w:left="714" w:hanging="357"/>
        <w:contextualSpacing w:val="0"/>
        <w:rPr>
          <w:rFonts w:ascii="Arial" w:hAnsi="Arial" w:cs="Arial"/>
          <w:noProof/>
          <w:sz w:val="20"/>
        </w:rPr>
      </w:pPr>
      <w:r>
        <w:rPr>
          <w:rFonts w:ascii="Arial" w:hAnsi="Arial" w:cs="Arial"/>
          <w:noProof/>
          <w:sz w:val="20"/>
        </w:rPr>
        <w:t>The Commission will provide training and support for the national competition authorities upon request on issues concerning the p</w:t>
      </w:r>
      <w:r>
        <w:rPr>
          <w:rFonts w:ascii="Arial" w:hAnsi="Arial" w:cs="Arial"/>
          <w:noProof/>
          <w:sz w:val="20"/>
        </w:rPr>
        <w:t>ractical implementation of new provisions in their national legal framework.</w:t>
      </w:r>
    </w:p>
    <w:p w:rsidR="003B06F5" w:rsidRDefault="00AD7FF7">
      <w:pPr>
        <w:pStyle w:val="ListParagraph"/>
        <w:numPr>
          <w:ilvl w:val="0"/>
          <w:numId w:val="39"/>
        </w:numPr>
        <w:spacing w:before="120" w:after="120"/>
        <w:contextualSpacing w:val="0"/>
        <w:rPr>
          <w:rFonts w:ascii="Arial" w:hAnsi="Arial" w:cs="Arial"/>
          <w:noProof/>
          <w:sz w:val="20"/>
        </w:rPr>
      </w:pPr>
      <w:r>
        <w:rPr>
          <w:rFonts w:ascii="Arial" w:hAnsi="Arial" w:cs="Arial"/>
          <w:noProof/>
          <w:sz w:val="20"/>
        </w:rPr>
        <w:t>The Commission and the national competition authorities will proactively ensure adequate information to the businesses community about the changes introduced.</w:t>
      </w:r>
    </w:p>
    <w:p w:rsidR="003B06F5" w:rsidRDefault="00AD7FF7">
      <w:pPr>
        <w:spacing w:before="120" w:after="120"/>
        <w:rPr>
          <w:rFonts w:ascii="Arial" w:hAnsi="Arial" w:cs="Arial"/>
          <w:noProof/>
          <w:sz w:val="20"/>
        </w:rPr>
      </w:pPr>
      <w:r>
        <w:rPr>
          <w:rFonts w:ascii="Arial" w:hAnsi="Arial" w:cs="Arial"/>
          <w:noProof/>
          <w:sz w:val="20"/>
        </w:rPr>
        <w:t xml:space="preserve">The existing means </w:t>
      </w:r>
      <w:r>
        <w:rPr>
          <w:rFonts w:ascii="Arial" w:hAnsi="Arial" w:cs="Arial"/>
          <w:noProof/>
          <w:sz w:val="20"/>
        </w:rPr>
        <w:t>for close cooperation between the Commission and the national competition authorities in the European Competition Network can be used to facilitate these actions.</w:t>
      </w:r>
    </w:p>
    <w:p w:rsidR="003B06F5" w:rsidRDefault="00AD7FF7">
      <w:pPr>
        <w:spacing w:before="120" w:after="120"/>
        <w:rPr>
          <w:rFonts w:ascii="Arial" w:hAnsi="Arial" w:cs="Arial"/>
          <w:noProof/>
          <w:sz w:val="20"/>
        </w:rPr>
      </w:pPr>
      <w:r>
        <w:rPr>
          <w:rFonts w:ascii="Arial" w:hAnsi="Arial" w:cs="Arial"/>
          <w:noProof/>
          <w:sz w:val="20"/>
        </w:rPr>
        <w:t>The Commission will monitor the use Member States make of the implementation plan.</w:t>
      </w:r>
    </w:p>
    <w:p w:rsidR="003B06F5" w:rsidRDefault="00AD7FF7">
      <w:pPr>
        <w:pStyle w:val="kop3"/>
        <w:numPr>
          <w:ilvl w:val="0"/>
          <w:numId w:val="28"/>
        </w:numPr>
        <w:rPr>
          <w:noProof/>
        </w:rPr>
      </w:pPr>
      <w:bookmarkStart w:id="5" w:name="_Toc444796655"/>
      <w:bookmarkStart w:id="6" w:name="_Toc507580216"/>
      <w:r>
        <w:rPr>
          <w:noProof/>
        </w:rPr>
        <w:t>Explanator</w:t>
      </w:r>
      <w:r>
        <w:rPr>
          <w:noProof/>
        </w:rPr>
        <w:t>y documents: state of play</w:t>
      </w:r>
      <w:bookmarkEnd w:id="5"/>
      <w:bookmarkEnd w:id="6"/>
    </w:p>
    <w:p w:rsidR="003B06F5" w:rsidRDefault="00AD7FF7">
      <w:pPr>
        <w:spacing w:before="120"/>
        <w:rPr>
          <w:rFonts w:ascii="Arial" w:hAnsi="Arial" w:cs="Arial"/>
          <w:noProof/>
          <w:sz w:val="20"/>
        </w:rPr>
      </w:pPr>
      <w:r>
        <w:rPr>
          <w:rFonts w:ascii="Arial" w:hAnsi="Arial" w:cs="Arial"/>
          <w:noProof/>
          <w:sz w:val="20"/>
        </w:rPr>
        <w:t>The EU institutions and the Member States agreed in 2011 that Member States, when notifying national transposition measures to the Commission, may also have to provide documents explaining how they have transposed directives into</w:t>
      </w:r>
      <w:r>
        <w:rPr>
          <w:rFonts w:ascii="Arial" w:hAnsi="Arial" w:cs="Arial"/>
          <w:noProof/>
          <w:sz w:val="20"/>
        </w:rPr>
        <w:t xml:space="preserve"> their law</w:t>
      </w:r>
      <w:r>
        <w:rPr>
          <w:rStyle w:val="FootnoteReference"/>
          <w:rFonts w:ascii="Arial" w:hAnsi="Arial" w:cs="Arial"/>
          <w:noProof/>
          <w:sz w:val="20"/>
        </w:rPr>
        <w:footnoteReference w:id="4"/>
      </w:r>
      <w:r>
        <w:rPr>
          <w:rFonts w:ascii="Arial" w:hAnsi="Arial" w:cs="Arial"/>
          <w:noProof/>
          <w:sz w:val="20"/>
        </w:rPr>
        <w:t>. The Commission can ask Member States to submit these ‘explanatory documents’ in justified cases</w:t>
      </w:r>
      <w:r>
        <w:rPr>
          <w:rStyle w:val="FootnoteReference"/>
          <w:rFonts w:ascii="Arial" w:hAnsi="Arial" w:cs="Arial"/>
          <w:noProof/>
          <w:sz w:val="20"/>
        </w:rPr>
        <w:footnoteReference w:id="5"/>
      </w:r>
      <w:r>
        <w:rPr>
          <w:rFonts w:ascii="Arial" w:hAnsi="Arial" w:cs="Arial"/>
          <w:noProof/>
          <w:sz w:val="20"/>
        </w:rPr>
        <w:t>.</w:t>
      </w:r>
    </w:p>
    <w:p w:rsidR="003B06F5" w:rsidRDefault="00AD7FF7">
      <w:pPr>
        <w:spacing w:before="120"/>
        <w:rPr>
          <w:rFonts w:ascii="Arial" w:hAnsi="Arial" w:cs="Arial"/>
          <w:noProof/>
          <w:sz w:val="20"/>
        </w:rPr>
      </w:pPr>
      <w:r>
        <w:rPr>
          <w:rFonts w:ascii="Arial" w:hAnsi="Arial" w:cs="Arial"/>
          <w:noProof/>
          <w:sz w:val="20"/>
        </w:rPr>
        <w:t>Explanatory documents play an essential role in promoting good understanding of national transposition measures. They help to make compliance mon</w:t>
      </w:r>
      <w:r>
        <w:rPr>
          <w:rFonts w:ascii="Arial" w:hAnsi="Arial" w:cs="Arial"/>
          <w:noProof/>
          <w:sz w:val="20"/>
        </w:rPr>
        <w:t>itoring easier: without the documents, the Commission would need considerable resources and numerous contacts with national authorities to track the methods of transposition in all Member States. As transposing measures must be merged with a complex existi</w:t>
      </w:r>
      <w:r>
        <w:rPr>
          <w:rFonts w:ascii="Arial" w:hAnsi="Arial" w:cs="Arial"/>
          <w:noProof/>
          <w:sz w:val="20"/>
        </w:rPr>
        <w:t>ng legal framework, the resulting transposition exercise produces hundreds of measures to be examined.</w:t>
      </w:r>
    </w:p>
    <w:p w:rsidR="003B06F5" w:rsidRDefault="00AD7FF7">
      <w:pPr>
        <w:spacing w:before="120"/>
        <w:rPr>
          <w:rFonts w:ascii="Arial" w:hAnsi="Arial" w:cs="Arial"/>
          <w:noProof/>
          <w:sz w:val="20"/>
        </w:rPr>
      </w:pPr>
      <w:r>
        <w:rPr>
          <w:rFonts w:ascii="Arial" w:hAnsi="Arial" w:cs="Arial"/>
          <w:noProof/>
          <w:sz w:val="20"/>
        </w:rPr>
        <w:lastRenderedPageBreak/>
        <w:t>In 2017 the Commission requested explanatory documents in nine out of 31 proposals for directives submitted to the European Parliament and the Council. T</w:t>
      </w:r>
      <w:r>
        <w:rPr>
          <w:rFonts w:ascii="Arial" w:hAnsi="Arial" w:cs="Arial"/>
          <w:noProof/>
          <w:sz w:val="20"/>
        </w:rPr>
        <w:t>he 34 directives that the Parliament and the Council adopted during the year included seven for which the Commission had requested explanatory documents. In all seven, the agreed recital on the need for such documents was maintained in the final text.</w:t>
      </w:r>
    </w:p>
    <w:p w:rsidR="003B06F5" w:rsidRDefault="00AD7FF7">
      <w:pPr>
        <w:spacing w:before="120"/>
        <w:rPr>
          <w:rFonts w:ascii="Arial" w:hAnsi="Arial" w:cs="Arial"/>
          <w:noProof/>
          <w:sz w:val="20"/>
        </w:rPr>
      </w:pPr>
      <w:r>
        <w:rPr>
          <w:rFonts w:ascii="Arial" w:hAnsi="Arial" w:cs="Arial"/>
          <w:noProof/>
          <w:sz w:val="20"/>
        </w:rPr>
        <w:t>Duri</w:t>
      </w:r>
      <w:r>
        <w:rPr>
          <w:rFonts w:ascii="Arial" w:hAnsi="Arial" w:cs="Arial"/>
          <w:noProof/>
          <w:sz w:val="20"/>
        </w:rPr>
        <w:t>ng the year Member States had to transpose 36 directives. They had undertaken to submit explanatory documents for 11 of these</w:t>
      </w:r>
      <w:r>
        <w:rPr>
          <w:rStyle w:val="FootnoteReference"/>
          <w:rFonts w:ascii="Arial" w:hAnsi="Arial" w:cs="Arial"/>
          <w:noProof/>
          <w:sz w:val="20"/>
        </w:rPr>
        <w:footnoteReference w:id="6"/>
      </w:r>
      <w:r>
        <w:rPr>
          <w:rFonts w:ascii="Arial" w:hAnsi="Arial" w:cs="Arial"/>
          <w:noProof/>
          <w:sz w:val="20"/>
        </w:rPr>
        <w:t>. The process of assessing the national measures for these directives is under way.</w:t>
      </w:r>
    </w:p>
    <w:p w:rsidR="003B06F5" w:rsidRDefault="00AD7FF7">
      <w:pPr>
        <w:spacing w:before="120" w:after="120"/>
        <w:rPr>
          <w:rFonts w:ascii="Arial" w:hAnsi="Arial" w:cs="Arial"/>
          <w:noProof/>
          <w:sz w:val="20"/>
        </w:rPr>
      </w:pPr>
      <w:r>
        <w:rPr>
          <w:rFonts w:ascii="Arial" w:hAnsi="Arial" w:cs="Arial"/>
          <w:noProof/>
          <w:sz w:val="20"/>
        </w:rPr>
        <w:t>Three of the 11 directives for which the Membe</w:t>
      </w:r>
      <w:r>
        <w:rPr>
          <w:rFonts w:ascii="Arial" w:hAnsi="Arial" w:cs="Arial"/>
          <w:noProof/>
          <w:sz w:val="20"/>
        </w:rPr>
        <w:t xml:space="preserve">r States had undertaken to provide explanatory documents in 2017 concern the </w:t>
      </w:r>
      <w:r>
        <w:rPr>
          <w:rFonts w:ascii="Arial" w:hAnsi="Arial" w:cs="Arial"/>
          <w:b/>
          <w:noProof/>
          <w:sz w:val="20"/>
        </w:rPr>
        <w:t>environment</w:t>
      </w:r>
      <w:r>
        <w:rPr>
          <w:rFonts w:ascii="Arial" w:hAnsi="Arial" w:cs="Arial"/>
          <w:noProof/>
          <w:sz w:val="20"/>
        </w:rPr>
        <w:t>. Member States notified to the Commission the following numbers of explanatory documents:</w:t>
      </w:r>
    </w:p>
    <w:p w:rsidR="003B06F5" w:rsidRDefault="00AD7FF7">
      <w:pPr>
        <w:pStyle w:val="ListParagraph"/>
        <w:numPr>
          <w:ilvl w:val="0"/>
          <w:numId w:val="36"/>
        </w:numPr>
        <w:spacing w:before="120"/>
        <w:ind w:hanging="357"/>
        <w:contextualSpacing w:val="0"/>
        <w:rPr>
          <w:rFonts w:ascii="Arial" w:hAnsi="Arial" w:cs="Arial"/>
          <w:noProof/>
          <w:sz w:val="20"/>
        </w:rPr>
      </w:pPr>
      <w:r>
        <w:rPr>
          <w:rFonts w:ascii="Arial" w:hAnsi="Arial" w:cs="Arial"/>
          <w:noProof/>
          <w:sz w:val="20"/>
        </w:rPr>
        <w:t xml:space="preserve">30 for the Directive on the assessment of the effects of certain public and </w:t>
      </w:r>
      <w:r>
        <w:rPr>
          <w:rFonts w:ascii="Arial" w:hAnsi="Arial" w:cs="Arial"/>
          <w:noProof/>
          <w:sz w:val="20"/>
        </w:rPr>
        <w:t>private projects on the environment</w:t>
      </w:r>
      <w:r>
        <w:rPr>
          <w:rStyle w:val="FootnoteReference"/>
          <w:rFonts w:ascii="Arial" w:hAnsi="Arial" w:cs="Arial"/>
          <w:noProof/>
          <w:sz w:val="20"/>
        </w:rPr>
        <w:footnoteReference w:id="7"/>
      </w:r>
      <w:r>
        <w:rPr>
          <w:rFonts w:ascii="Arial" w:hAnsi="Arial" w:cs="Arial"/>
          <w:noProof/>
          <w:sz w:val="20"/>
        </w:rPr>
        <w:t>;</w:t>
      </w:r>
    </w:p>
    <w:p w:rsidR="003B06F5" w:rsidRDefault="00AD7FF7">
      <w:pPr>
        <w:pStyle w:val="ListParagraph"/>
        <w:numPr>
          <w:ilvl w:val="0"/>
          <w:numId w:val="36"/>
        </w:numPr>
        <w:spacing w:before="120"/>
        <w:ind w:hanging="357"/>
        <w:contextualSpacing w:val="0"/>
        <w:rPr>
          <w:rFonts w:ascii="Arial" w:hAnsi="Arial" w:cs="Arial"/>
          <w:noProof/>
          <w:sz w:val="20"/>
        </w:rPr>
      </w:pPr>
      <w:r>
        <w:rPr>
          <w:rFonts w:ascii="Arial" w:hAnsi="Arial" w:cs="Arial"/>
          <w:noProof/>
          <w:sz w:val="20"/>
        </w:rPr>
        <w:t>6 (including one correlation table) for the Directive on the limitation of emissions of certain pollutants into the air from medium combustion plants</w:t>
      </w:r>
      <w:r>
        <w:rPr>
          <w:rStyle w:val="FootnoteReference"/>
          <w:rFonts w:ascii="Arial" w:hAnsi="Arial" w:cs="Arial"/>
          <w:noProof/>
          <w:sz w:val="20"/>
        </w:rPr>
        <w:footnoteReference w:id="8"/>
      </w:r>
      <w:r>
        <w:rPr>
          <w:rFonts w:ascii="Arial" w:hAnsi="Arial" w:cs="Arial"/>
          <w:noProof/>
          <w:sz w:val="20"/>
        </w:rPr>
        <w:t>;</w:t>
      </w:r>
    </w:p>
    <w:p w:rsidR="003B06F5" w:rsidRDefault="00AD7FF7">
      <w:pPr>
        <w:pStyle w:val="ListParagraph"/>
        <w:numPr>
          <w:ilvl w:val="0"/>
          <w:numId w:val="36"/>
        </w:numPr>
        <w:spacing w:before="120"/>
        <w:ind w:hanging="357"/>
        <w:rPr>
          <w:rFonts w:ascii="Arial" w:hAnsi="Arial" w:cs="Arial"/>
          <w:noProof/>
          <w:sz w:val="20"/>
        </w:rPr>
      </w:pPr>
      <w:r>
        <w:rPr>
          <w:rFonts w:ascii="Arial" w:hAnsi="Arial" w:cs="Arial"/>
          <w:noProof/>
          <w:sz w:val="20"/>
        </w:rPr>
        <w:t>11 for the Directive on the reduction of national emissions of cer</w:t>
      </w:r>
      <w:r>
        <w:rPr>
          <w:rFonts w:ascii="Arial" w:hAnsi="Arial" w:cs="Arial"/>
          <w:noProof/>
          <w:sz w:val="20"/>
        </w:rPr>
        <w:t>tain atmospheric pollutants</w:t>
      </w:r>
      <w:r>
        <w:rPr>
          <w:rStyle w:val="FootnoteReference"/>
          <w:rFonts w:ascii="Arial" w:hAnsi="Arial" w:cs="Arial"/>
          <w:noProof/>
          <w:sz w:val="20"/>
        </w:rPr>
        <w:footnoteReference w:id="9"/>
      </w:r>
      <w:r>
        <w:rPr>
          <w:rFonts w:ascii="Arial" w:hAnsi="Arial" w:cs="Arial"/>
          <w:noProof/>
          <w:sz w:val="20"/>
        </w:rPr>
        <w:t>.</w:t>
      </w:r>
    </w:p>
    <w:p w:rsidR="003B06F5" w:rsidRDefault="00AD7FF7">
      <w:pPr>
        <w:spacing w:before="120"/>
        <w:rPr>
          <w:rFonts w:ascii="Arial" w:hAnsi="Arial" w:cs="Arial"/>
          <w:noProof/>
          <w:sz w:val="20"/>
        </w:rPr>
      </w:pPr>
      <w:r>
        <w:rPr>
          <w:rFonts w:ascii="Arial" w:hAnsi="Arial" w:cs="Arial"/>
          <w:noProof/>
          <w:sz w:val="20"/>
        </w:rPr>
        <w:t xml:space="preserve">Two of the 11 directives for which the Member States had undertaken to provide explanatory documents concern </w:t>
      </w:r>
      <w:r>
        <w:rPr>
          <w:rFonts w:ascii="Arial" w:hAnsi="Arial" w:cs="Arial"/>
          <w:b/>
          <w:noProof/>
          <w:sz w:val="20"/>
        </w:rPr>
        <w:t xml:space="preserve">energy. </w:t>
      </w:r>
      <w:r>
        <w:rPr>
          <w:rFonts w:ascii="Arial" w:hAnsi="Arial" w:cs="Arial"/>
          <w:noProof/>
          <w:sz w:val="20"/>
        </w:rPr>
        <w:t>Member States notified to the Commission the following numbers of explanatory documents:</w:t>
      </w:r>
    </w:p>
    <w:p w:rsidR="003B06F5" w:rsidRDefault="00AD7FF7">
      <w:pPr>
        <w:numPr>
          <w:ilvl w:val="0"/>
          <w:numId w:val="34"/>
        </w:numPr>
        <w:spacing w:before="120"/>
        <w:rPr>
          <w:rFonts w:ascii="Arial" w:hAnsi="Arial" w:cs="Arial"/>
          <w:noProof/>
          <w:sz w:val="20"/>
        </w:rPr>
      </w:pPr>
      <w:r>
        <w:rPr>
          <w:rFonts w:ascii="Arial" w:hAnsi="Arial" w:cs="Arial"/>
          <w:noProof/>
          <w:sz w:val="20"/>
        </w:rPr>
        <w:t xml:space="preserve">22 (including three </w:t>
      </w:r>
      <w:r>
        <w:rPr>
          <w:rFonts w:ascii="Arial" w:hAnsi="Arial" w:cs="Arial"/>
          <w:noProof/>
          <w:sz w:val="20"/>
        </w:rPr>
        <w:t>correlation tables) for the Council Directive establishing a Community framework for the nuclear safety of nuclear installations</w:t>
      </w:r>
      <w:r>
        <w:rPr>
          <w:rStyle w:val="FootnoteReference"/>
          <w:rFonts w:ascii="Arial" w:hAnsi="Arial" w:cs="Arial"/>
          <w:noProof/>
          <w:sz w:val="20"/>
        </w:rPr>
        <w:footnoteReference w:id="10"/>
      </w:r>
      <w:r>
        <w:rPr>
          <w:rFonts w:ascii="Arial" w:hAnsi="Arial" w:cs="Arial"/>
          <w:noProof/>
          <w:sz w:val="20"/>
        </w:rPr>
        <w:t>;</w:t>
      </w:r>
    </w:p>
    <w:p w:rsidR="003B06F5" w:rsidRDefault="00AD7FF7">
      <w:pPr>
        <w:numPr>
          <w:ilvl w:val="0"/>
          <w:numId w:val="34"/>
        </w:numPr>
        <w:spacing w:before="120"/>
        <w:rPr>
          <w:rFonts w:ascii="Arial" w:hAnsi="Arial" w:cs="Arial"/>
          <w:noProof/>
          <w:sz w:val="20"/>
        </w:rPr>
      </w:pPr>
      <w:r>
        <w:rPr>
          <w:rFonts w:ascii="Arial" w:hAnsi="Arial" w:cs="Arial"/>
          <w:noProof/>
          <w:sz w:val="20"/>
        </w:rPr>
        <w:t>11 (including two correlation tables) for the Directive on quality of petrol and diesel fuels</w:t>
      </w:r>
      <w:r>
        <w:rPr>
          <w:rStyle w:val="FootnoteReference"/>
          <w:rFonts w:ascii="Arial" w:hAnsi="Arial" w:cs="Arial"/>
          <w:noProof/>
          <w:sz w:val="20"/>
        </w:rPr>
        <w:footnoteReference w:id="11"/>
      </w:r>
      <w:r>
        <w:rPr>
          <w:rFonts w:ascii="Arial" w:hAnsi="Arial" w:cs="Arial"/>
          <w:noProof/>
          <w:sz w:val="20"/>
        </w:rPr>
        <w:t>.</w:t>
      </w:r>
    </w:p>
    <w:p w:rsidR="003B06F5" w:rsidRDefault="00AD7FF7">
      <w:pPr>
        <w:spacing w:before="120"/>
        <w:rPr>
          <w:rFonts w:ascii="Arial" w:hAnsi="Arial" w:cs="Arial"/>
          <w:noProof/>
          <w:sz w:val="20"/>
        </w:rPr>
      </w:pPr>
      <w:r>
        <w:rPr>
          <w:rFonts w:ascii="Arial" w:hAnsi="Arial" w:cs="Arial"/>
          <w:noProof/>
          <w:sz w:val="20"/>
        </w:rPr>
        <w:t>Two of the 11 directives conc</w:t>
      </w:r>
      <w:r>
        <w:rPr>
          <w:rFonts w:ascii="Arial" w:hAnsi="Arial" w:cs="Arial"/>
          <w:noProof/>
          <w:sz w:val="20"/>
        </w:rPr>
        <w:t xml:space="preserve">ern </w:t>
      </w:r>
      <w:r>
        <w:rPr>
          <w:rFonts w:ascii="Arial" w:hAnsi="Arial" w:cs="Arial"/>
          <w:b/>
          <w:noProof/>
          <w:sz w:val="20"/>
        </w:rPr>
        <w:t>financial markets</w:t>
      </w:r>
      <w:r>
        <w:rPr>
          <w:rFonts w:ascii="Arial" w:hAnsi="Arial" w:cs="Arial"/>
          <w:noProof/>
          <w:sz w:val="20"/>
        </w:rPr>
        <w:t>. Member States notified to the Commission the following numbers of explanatory documents:</w:t>
      </w:r>
    </w:p>
    <w:p w:rsidR="003B06F5" w:rsidRDefault="00AD7FF7">
      <w:pPr>
        <w:pStyle w:val="ListParagraph"/>
        <w:numPr>
          <w:ilvl w:val="0"/>
          <w:numId w:val="37"/>
        </w:numPr>
        <w:spacing w:before="120"/>
        <w:ind w:left="714" w:hanging="357"/>
        <w:contextualSpacing w:val="0"/>
        <w:rPr>
          <w:rFonts w:ascii="Arial" w:hAnsi="Arial" w:cs="Arial"/>
          <w:noProof/>
          <w:sz w:val="20"/>
        </w:rPr>
      </w:pPr>
      <w:r>
        <w:rPr>
          <w:rFonts w:ascii="Arial" w:hAnsi="Arial" w:cs="Arial"/>
          <w:noProof/>
          <w:sz w:val="20"/>
        </w:rPr>
        <w:t>43 (including five correlation tables) for the Markets in Financial Instruments Directive</w:t>
      </w:r>
      <w:r>
        <w:rPr>
          <w:rStyle w:val="FootnoteReference"/>
          <w:rFonts w:ascii="Arial" w:hAnsi="Arial" w:cs="Arial"/>
          <w:noProof/>
          <w:sz w:val="20"/>
        </w:rPr>
        <w:footnoteReference w:id="12"/>
      </w:r>
      <w:r>
        <w:rPr>
          <w:rFonts w:ascii="Arial" w:hAnsi="Arial" w:cs="Arial"/>
          <w:noProof/>
          <w:sz w:val="20"/>
        </w:rPr>
        <w:t>;</w:t>
      </w:r>
    </w:p>
    <w:p w:rsidR="003B06F5" w:rsidRDefault="00AD7FF7">
      <w:pPr>
        <w:pStyle w:val="ListParagraph"/>
        <w:numPr>
          <w:ilvl w:val="0"/>
          <w:numId w:val="37"/>
        </w:numPr>
        <w:spacing w:before="120"/>
        <w:rPr>
          <w:rFonts w:ascii="Arial" w:hAnsi="Arial" w:cs="Arial"/>
          <w:noProof/>
          <w:sz w:val="20"/>
        </w:rPr>
      </w:pPr>
      <w:r>
        <w:rPr>
          <w:rFonts w:ascii="Arial" w:hAnsi="Arial" w:cs="Arial"/>
          <w:noProof/>
          <w:sz w:val="20"/>
        </w:rPr>
        <w:t>12 (including 1 correlation table) for the Directive</w:t>
      </w:r>
      <w:r>
        <w:rPr>
          <w:noProof/>
        </w:rPr>
        <w:t xml:space="preserve"> </w:t>
      </w:r>
      <w:r>
        <w:rPr>
          <w:rFonts w:ascii="Arial" w:hAnsi="Arial" w:cs="Arial"/>
          <w:noProof/>
          <w:sz w:val="20"/>
        </w:rPr>
        <w:t>on safeguarding of financial instruments and funds belonging to clients, product governance obligations and the rules applicable to the provision or reception of fees, commissions or any monetary or non-monetary benefits</w:t>
      </w:r>
      <w:r>
        <w:rPr>
          <w:rStyle w:val="FootnoteReference"/>
          <w:rFonts w:ascii="Arial" w:hAnsi="Arial" w:cs="Arial"/>
          <w:noProof/>
          <w:sz w:val="20"/>
        </w:rPr>
        <w:footnoteReference w:id="13"/>
      </w:r>
      <w:r>
        <w:rPr>
          <w:rFonts w:ascii="Arial" w:hAnsi="Arial" w:cs="Arial"/>
          <w:noProof/>
          <w:sz w:val="20"/>
        </w:rPr>
        <w:t xml:space="preserve">. </w:t>
      </w:r>
    </w:p>
    <w:p w:rsidR="003B06F5" w:rsidRDefault="00AD7FF7">
      <w:pPr>
        <w:spacing w:before="120"/>
        <w:rPr>
          <w:rFonts w:ascii="Arial" w:hAnsi="Arial" w:cs="Arial"/>
          <w:noProof/>
          <w:sz w:val="20"/>
        </w:rPr>
      </w:pPr>
      <w:r>
        <w:rPr>
          <w:rFonts w:ascii="Arial" w:hAnsi="Arial" w:cs="Arial"/>
          <w:noProof/>
          <w:sz w:val="20"/>
        </w:rPr>
        <w:t>Two of the 11 directives are in</w:t>
      </w:r>
      <w:r>
        <w:rPr>
          <w:rFonts w:ascii="Arial" w:hAnsi="Arial" w:cs="Arial"/>
          <w:noProof/>
          <w:sz w:val="20"/>
        </w:rPr>
        <w:t xml:space="preserve"> the field of </w:t>
      </w:r>
      <w:r>
        <w:rPr>
          <w:rFonts w:ascii="Arial" w:hAnsi="Arial" w:cs="Arial"/>
          <w:b/>
          <w:noProof/>
          <w:sz w:val="20"/>
        </w:rPr>
        <w:t>justice and consumers</w:t>
      </w:r>
      <w:r>
        <w:rPr>
          <w:rFonts w:ascii="Arial" w:hAnsi="Arial" w:cs="Arial"/>
          <w:noProof/>
          <w:sz w:val="20"/>
        </w:rPr>
        <w:t>. The Commission received</w:t>
      </w:r>
    </w:p>
    <w:p w:rsidR="003B06F5" w:rsidRDefault="00AD7FF7">
      <w:pPr>
        <w:pStyle w:val="ListParagraph"/>
        <w:numPr>
          <w:ilvl w:val="0"/>
          <w:numId w:val="38"/>
        </w:numPr>
        <w:spacing w:before="120"/>
        <w:ind w:left="714" w:hanging="357"/>
        <w:contextualSpacing w:val="0"/>
        <w:rPr>
          <w:rFonts w:ascii="Arial" w:hAnsi="Arial" w:cs="Arial"/>
          <w:noProof/>
          <w:sz w:val="20"/>
        </w:rPr>
      </w:pPr>
      <w:r>
        <w:rPr>
          <w:rFonts w:ascii="Arial" w:hAnsi="Arial" w:cs="Arial"/>
          <w:noProof/>
          <w:sz w:val="20"/>
        </w:rPr>
        <w:t>15 explanatory documents (including three correlation tables) for the Directive on the European Investigation Order in criminal matters</w:t>
      </w:r>
      <w:r>
        <w:rPr>
          <w:rStyle w:val="FootnoteReference"/>
          <w:rFonts w:ascii="Arial" w:hAnsi="Arial" w:cs="Arial"/>
          <w:noProof/>
          <w:sz w:val="20"/>
        </w:rPr>
        <w:footnoteReference w:id="14"/>
      </w:r>
      <w:r>
        <w:rPr>
          <w:rFonts w:ascii="Arial" w:hAnsi="Arial" w:cs="Arial"/>
          <w:noProof/>
          <w:sz w:val="20"/>
        </w:rPr>
        <w:t>;</w:t>
      </w:r>
    </w:p>
    <w:p w:rsidR="003B06F5" w:rsidRDefault="00AD7FF7">
      <w:pPr>
        <w:pStyle w:val="ListParagraph"/>
        <w:numPr>
          <w:ilvl w:val="0"/>
          <w:numId w:val="38"/>
        </w:numPr>
        <w:spacing w:before="120"/>
        <w:rPr>
          <w:rFonts w:ascii="Arial" w:hAnsi="Arial" w:cs="Arial"/>
          <w:noProof/>
          <w:sz w:val="20"/>
        </w:rPr>
      </w:pPr>
      <w:r>
        <w:rPr>
          <w:rFonts w:ascii="Arial" w:hAnsi="Arial" w:cs="Arial"/>
          <w:noProof/>
          <w:sz w:val="20"/>
        </w:rPr>
        <w:t xml:space="preserve">18 explanatory documents (including five correlation </w:t>
      </w:r>
      <w:r>
        <w:rPr>
          <w:rFonts w:ascii="Arial" w:hAnsi="Arial" w:cs="Arial"/>
          <w:noProof/>
          <w:sz w:val="20"/>
        </w:rPr>
        <w:t>tables) for the Directive on the prevention of the use of the financial system for the purposes of money laundering or terrorist financing</w:t>
      </w:r>
      <w:r>
        <w:rPr>
          <w:rStyle w:val="FootnoteReference"/>
          <w:rFonts w:ascii="Arial" w:hAnsi="Arial" w:cs="Arial"/>
          <w:noProof/>
          <w:sz w:val="20"/>
        </w:rPr>
        <w:footnoteReference w:id="15"/>
      </w:r>
      <w:r>
        <w:rPr>
          <w:rFonts w:ascii="Arial" w:hAnsi="Arial" w:cs="Arial"/>
          <w:noProof/>
          <w:sz w:val="20"/>
        </w:rPr>
        <w:t>.</w:t>
      </w:r>
    </w:p>
    <w:p w:rsidR="003B06F5" w:rsidRDefault="00AD7FF7">
      <w:pPr>
        <w:spacing w:before="120"/>
        <w:rPr>
          <w:rFonts w:ascii="Arial" w:hAnsi="Arial" w:cs="Arial"/>
          <w:noProof/>
          <w:sz w:val="20"/>
        </w:rPr>
      </w:pPr>
      <w:r>
        <w:rPr>
          <w:rFonts w:ascii="Arial" w:hAnsi="Arial" w:cs="Arial"/>
          <w:noProof/>
          <w:sz w:val="20"/>
        </w:rPr>
        <w:t xml:space="preserve">One of the 11 directives is on </w:t>
      </w:r>
      <w:r>
        <w:rPr>
          <w:rFonts w:ascii="Arial" w:hAnsi="Arial" w:cs="Arial"/>
          <w:b/>
          <w:noProof/>
          <w:sz w:val="20"/>
        </w:rPr>
        <w:t>transport</w:t>
      </w:r>
      <w:r>
        <w:rPr>
          <w:rFonts w:ascii="Arial" w:hAnsi="Arial" w:cs="Arial"/>
          <w:noProof/>
          <w:sz w:val="20"/>
        </w:rPr>
        <w:t>.</w:t>
      </w:r>
      <w:r>
        <w:rPr>
          <w:noProof/>
        </w:rPr>
        <w:t xml:space="preserve"> </w:t>
      </w:r>
      <w:r>
        <w:rPr>
          <w:rFonts w:ascii="Arial" w:hAnsi="Arial" w:cs="Arial"/>
          <w:noProof/>
          <w:sz w:val="20"/>
        </w:rPr>
        <w:t>The Commission received 12 explanatory documents (including five correlat</w:t>
      </w:r>
      <w:r>
        <w:rPr>
          <w:rFonts w:ascii="Arial" w:hAnsi="Arial" w:cs="Arial"/>
          <w:noProof/>
          <w:sz w:val="20"/>
        </w:rPr>
        <w:t>ion tables) for the Directive on driving licences</w:t>
      </w:r>
      <w:r>
        <w:rPr>
          <w:rStyle w:val="FootnoteReference"/>
          <w:rFonts w:ascii="Arial" w:hAnsi="Arial" w:cs="Arial"/>
          <w:noProof/>
          <w:sz w:val="20"/>
        </w:rPr>
        <w:footnoteReference w:id="16"/>
      </w:r>
      <w:r>
        <w:rPr>
          <w:rFonts w:ascii="Arial" w:hAnsi="Arial" w:cs="Arial"/>
          <w:noProof/>
          <w:sz w:val="20"/>
        </w:rPr>
        <w:t>.</w:t>
      </w:r>
    </w:p>
    <w:p w:rsidR="003B06F5" w:rsidRDefault="00AD7FF7">
      <w:pPr>
        <w:spacing w:before="120"/>
        <w:rPr>
          <w:noProof/>
        </w:rPr>
      </w:pPr>
      <w:r>
        <w:rPr>
          <w:rFonts w:ascii="Arial" w:hAnsi="Arial" w:cs="Arial"/>
          <w:noProof/>
          <w:sz w:val="20"/>
        </w:rPr>
        <w:t xml:space="preserve">One of the 11 directives concerns the </w:t>
      </w:r>
      <w:r>
        <w:rPr>
          <w:rFonts w:ascii="Arial" w:hAnsi="Arial" w:cs="Arial"/>
          <w:b/>
          <w:noProof/>
          <w:sz w:val="20"/>
        </w:rPr>
        <w:t>internal market</w:t>
      </w:r>
      <w:r>
        <w:rPr>
          <w:rFonts w:ascii="Arial" w:hAnsi="Arial" w:cs="Arial"/>
          <w:noProof/>
          <w:sz w:val="20"/>
        </w:rPr>
        <w:t>. The Commission received 12 explanatory documents for the Directive on the list of defence-related products</w:t>
      </w:r>
      <w:r>
        <w:rPr>
          <w:rStyle w:val="FootnoteReference"/>
          <w:rFonts w:ascii="Arial" w:hAnsi="Arial" w:cs="Arial"/>
          <w:noProof/>
          <w:sz w:val="20"/>
        </w:rPr>
        <w:footnoteReference w:id="17"/>
      </w:r>
      <w:r>
        <w:rPr>
          <w:rFonts w:ascii="Arial" w:hAnsi="Arial" w:cs="Arial"/>
          <w:noProof/>
          <w:sz w:val="20"/>
        </w:rPr>
        <w:t>.</w:t>
      </w:r>
    </w:p>
    <w:p w:rsidR="003B06F5" w:rsidRDefault="00AD7FF7">
      <w:pPr>
        <w:spacing w:before="120"/>
        <w:rPr>
          <w:rFonts w:ascii="Arial" w:hAnsi="Arial" w:cs="Arial"/>
          <w:noProof/>
          <w:sz w:val="20"/>
        </w:rPr>
      </w:pPr>
      <w:r>
        <w:rPr>
          <w:rFonts w:ascii="Arial" w:hAnsi="Arial" w:cs="Arial"/>
          <w:noProof/>
          <w:sz w:val="20"/>
        </w:rPr>
        <w:t>Overall, in 2017 Member States did not d</w:t>
      </w:r>
      <w:r>
        <w:rPr>
          <w:rFonts w:ascii="Arial" w:hAnsi="Arial" w:cs="Arial"/>
          <w:noProof/>
          <w:sz w:val="20"/>
        </w:rPr>
        <w:t>eliver in all cases on their commitment to provide explanatory documents together with the national measures transposing the directives into their legal order. An initial assessment of the explanatory documents that were submitted indicates that their qual</w:t>
      </w:r>
      <w:r>
        <w:rPr>
          <w:rFonts w:ascii="Arial" w:hAnsi="Arial" w:cs="Arial"/>
          <w:noProof/>
          <w:sz w:val="20"/>
        </w:rPr>
        <w:t>ity is uneven.</w:t>
      </w:r>
    </w:p>
    <w:p w:rsidR="003B06F5" w:rsidRDefault="00AD7FF7">
      <w:pPr>
        <w:spacing w:before="120"/>
        <w:rPr>
          <w:rFonts w:ascii="Arial" w:hAnsi="Arial" w:cs="Arial"/>
          <w:noProof/>
          <w:sz w:val="20"/>
        </w:rPr>
      </w:pPr>
      <w:r>
        <w:rPr>
          <w:rFonts w:ascii="Arial" w:hAnsi="Arial" w:cs="Arial"/>
          <w:noProof/>
          <w:sz w:val="20"/>
        </w:rPr>
        <w:t>The Commission will continue to report to the Parliament and the Council on explanatory documents in its annual reports on the application of EU law.</w:t>
      </w:r>
    </w:p>
    <w:p w:rsidR="003B06F5" w:rsidRDefault="00AD7FF7">
      <w:pPr>
        <w:spacing w:after="0"/>
        <w:jc w:val="left"/>
        <w:rPr>
          <w:rFonts w:ascii="Arial" w:eastAsia="MS Gothic" w:hAnsi="Arial" w:cs="Arial"/>
          <w:noProof/>
          <w:color w:val="4F81BD"/>
          <w:kern w:val="20"/>
          <w:szCs w:val="24"/>
        </w:rPr>
      </w:pPr>
      <w:r>
        <w:rPr>
          <w:caps/>
          <w:noProof/>
        </w:rPr>
        <w:br w:type="page"/>
      </w:r>
    </w:p>
    <w:p w:rsidR="003B06F5" w:rsidRDefault="00AD7FF7">
      <w:pPr>
        <w:pStyle w:val="kop2"/>
        <w:ind w:left="720"/>
        <w:rPr>
          <w:caps w:val="0"/>
          <w:noProof/>
        </w:rPr>
      </w:pPr>
      <w:bookmarkStart w:id="7" w:name="_Toc507580217"/>
      <w:r>
        <w:rPr>
          <w:caps w:val="0"/>
          <w:noProof/>
        </w:rPr>
        <w:t>Infringement procedures</w:t>
      </w:r>
      <w:bookmarkEnd w:id="7"/>
    </w:p>
    <w:p w:rsidR="003B06F5" w:rsidRDefault="00AD7FF7">
      <w:pPr>
        <w:ind w:left="360"/>
        <w:rPr>
          <w:rFonts w:ascii="Arial" w:hAnsi="Arial" w:cs="Arial"/>
          <w:noProof/>
          <w:sz w:val="20"/>
        </w:rPr>
      </w:pPr>
      <w:r>
        <w:rPr>
          <w:rFonts w:ascii="Arial" w:hAnsi="Arial" w:cs="Arial"/>
          <w:noProof/>
          <w:sz w:val="20"/>
        </w:rPr>
        <w:t>There are three main types of infringements of EU law:</w:t>
      </w:r>
    </w:p>
    <w:p w:rsidR="003B06F5" w:rsidRDefault="00AD7FF7">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failure to</w:t>
      </w:r>
      <w:r>
        <w:rPr>
          <w:rFonts w:ascii="Arial" w:eastAsia="Calibri" w:hAnsi="Arial" w:cs="Arial"/>
          <w:b/>
          <w:noProof/>
          <w:kern w:val="20"/>
          <w:sz w:val="20"/>
        </w:rPr>
        <w:t xml:space="preserve"> notify:</w:t>
      </w:r>
      <w:r>
        <w:rPr>
          <w:rFonts w:ascii="Arial" w:eastAsia="Calibri" w:hAnsi="Arial" w:cs="Arial"/>
          <w:noProof/>
          <w:kern w:val="20"/>
          <w:sz w:val="20"/>
        </w:rPr>
        <w:t xml:space="preserve"> a Member State does not notify the Commission on time of its measures to transpose a directive;</w:t>
      </w:r>
    </w:p>
    <w:p w:rsidR="003B06F5" w:rsidRDefault="00AD7FF7">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non-conformity/non-compliance</w:t>
      </w:r>
      <w:r>
        <w:rPr>
          <w:rFonts w:ascii="Arial" w:eastAsia="Calibri" w:hAnsi="Arial" w:cs="Arial"/>
          <w:noProof/>
          <w:kern w:val="20"/>
          <w:sz w:val="20"/>
        </w:rPr>
        <w:t>: the Commission considers that a Member State’s legislation is not in line with the requirements of EU legislation;</w:t>
      </w:r>
    </w:p>
    <w:p w:rsidR="003B06F5" w:rsidRDefault="00AD7FF7">
      <w:pPr>
        <w:numPr>
          <w:ilvl w:val="0"/>
          <w:numId w:val="22"/>
        </w:numPr>
        <w:tabs>
          <w:tab w:val="num" w:pos="765"/>
        </w:tabs>
        <w:spacing w:after="200"/>
        <w:ind w:left="1797" w:hanging="357"/>
        <w:rPr>
          <w:rFonts w:ascii="Arial" w:eastAsia="Calibri" w:hAnsi="Arial" w:cs="Arial"/>
          <w:noProof/>
          <w:kern w:val="20"/>
          <w:sz w:val="20"/>
        </w:rPr>
      </w:pPr>
      <w:r>
        <w:rPr>
          <w:rFonts w:ascii="Arial" w:eastAsia="Calibri" w:hAnsi="Arial" w:cs="Arial"/>
          <w:b/>
          <w:noProof/>
          <w:kern w:val="20"/>
          <w:sz w:val="20"/>
        </w:rPr>
        <w:t>incor</w:t>
      </w:r>
      <w:r>
        <w:rPr>
          <w:rFonts w:ascii="Arial" w:eastAsia="Calibri" w:hAnsi="Arial" w:cs="Arial"/>
          <w:b/>
          <w:noProof/>
          <w:kern w:val="20"/>
          <w:sz w:val="20"/>
        </w:rPr>
        <w:t>rect/bad application:</w:t>
      </w:r>
      <w:r>
        <w:rPr>
          <w:rFonts w:ascii="Arial" w:eastAsia="Calibri" w:hAnsi="Arial" w:cs="Arial"/>
          <w:noProof/>
          <w:kern w:val="20"/>
          <w:sz w:val="20"/>
        </w:rPr>
        <w:t xml:space="preserve"> EU law is not applied correctly, or not applied at all, by national authorities.</w:t>
      </w:r>
    </w:p>
    <w:p w:rsidR="003B06F5" w:rsidRDefault="00AD7FF7">
      <w:pPr>
        <w:ind w:left="357"/>
        <w:rPr>
          <w:rFonts w:ascii="Arial" w:hAnsi="Arial" w:cs="Arial"/>
          <w:noProof/>
          <w:sz w:val="20"/>
        </w:rPr>
      </w:pPr>
      <w:r>
        <w:rPr>
          <w:rFonts w:ascii="Arial" w:hAnsi="Arial" w:cs="Arial"/>
          <w:noProof/>
          <w:sz w:val="20"/>
        </w:rPr>
        <w:t>Infringements may be detected by the Commission’s own investigations or brought to its attention by complaints or petitions from members of the public, b</w:t>
      </w:r>
      <w:r>
        <w:rPr>
          <w:rFonts w:ascii="Arial" w:hAnsi="Arial" w:cs="Arial"/>
          <w:noProof/>
          <w:sz w:val="20"/>
        </w:rPr>
        <w:t xml:space="preserve">usinesses, NGOs or other organisations. The Commission actively informs complainants of the decisions taken </w:t>
      </w:r>
      <w:hyperlink r:id="rId19" w:history="1">
        <w:r>
          <w:rPr>
            <w:rStyle w:val="Hyperlink"/>
            <w:rFonts w:ascii="Arial" w:hAnsi="Arial" w:cs="Arial"/>
            <w:noProof/>
            <w:sz w:val="20"/>
          </w:rPr>
          <w:t>throughout all stages of the procedure</w:t>
        </w:r>
      </w:hyperlink>
      <w:r>
        <w:rPr>
          <w:rFonts w:ascii="Arial" w:hAnsi="Arial" w:cs="Arial"/>
          <w:noProof/>
          <w:sz w:val="20"/>
        </w:rPr>
        <w:t>.</w:t>
      </w:r>
    </w:p>
    <w:p w:rsidR="003B06F5" w:rsidRDefault="00AD7FF7">
      <w:pPr>
        <w:ind w:left="360"/>
        <w:rPr>
          <w:rFonts w:ascii="Arial" w:hAnsi="Arial" w:cs="Arial"/>
          <w:noProof/>
          <w:sz w:val="20"/>
        </w:rPr>
      </w:pPr>
      <w:r>
        <w:rPr>
          <w:rFonts w:ascii="Arial" w:hAnsi="Arial" w:cs="Arial"/>
          <w:noProof/>
          <w:sz w:val="20"/>
        </w:rPr>
        <w:t>The i</w:t>
      </w:r>
      <w:r>
        <w:rPr>
          <w:rFonts w:ascii="Arial" w:hAnsi="Arial" w:cs="Arial"/>
          <w:noProof/>
          <w:sz w:val="20"/>
        </w:rPr>
        <w:t xml:space="preserve">nfringement procedure under Article 258 TFEU is divided into a </w:t>
      </w:r>
      <w:r>
        <w:rPr>
          <w:rFonts w:ascii="Arial" w:hAnsi="Arial" w:cs="Arial"/>
          <w:b/>
          <w:noProof/>
          <w:sz w:val="20"/>
        </w:rPr>
        <w:t xml:space="preserve">pre-litigation phase </w:t>
      </w:r>
      <w:r>
        <w:rPr>
          <w:rFonts w:ascii="Arial" w:hAnsi="Arial" w:cs="Arial"/>
          <w:noProof/>
          <w:sz w:val="20"/>
        </w:rPr>
        <w:t>and a</w:t>
      </w:r>
      <w:r>
        <w:rPr>
          <w:rFonts w:ascii="Arial" w:hAnsi="Arial" w:cs="Arial"/>
          <w:b/>
          <w:i/>
          <w:noProof/>
          <w:sz w:val="20"/>
        </w:rPr>
        <w:t xml:space="preserve"> </w:t>
      </w:r>
      <w:r>
        <w:rPr>
          <w:rFonts w:ascii="Arial" w:hAnsi="Arial" w:cs="Arial"/>
          <w:b/>
          <w:noProof/>
          <w:sz w:val="20"/>
        </w:rPr>
        <w:t>litigation phase</w:t>
      </w:r>
      <w:r>
        <w:rPr>
          <w:rFonts w:ascii="Arial" w:hAnsi="Arial" w:cs="Arial"/>
          <w:noProof/>
          <w:sz w:val="20"/>
        </w:rPr>
        <w:t>.</w:t>
      </w:r>
    </w:p>
    <w:p w:rsidR="003B06F5" w:rsidRDefault="00AD7FF7">
      <w:pPr>
        <w:ind w:left="360"/>
        <w:rPr>
          <w:rFonts w:ascii="Arial" w:hAnsi="Arial" w:cs="Arial"/>
          <w:noProof/>
          <w:sz w:val="20"/>
        </w:rPr>
      </w:pPr>
      <w:r>
        <w:rPr>
          <w:rFonts w:ascii="Arial" w:hAnsi="Arial" w:cs="Arial"/>
          <w:noProof/>
          <w:sz w:val="20"/>
        </w:rPr>
        <w:t xml:space="preserve">In the </w:t>
      </w:r>
      <w:r>
        <w:rPr>
          <w:rFonts w:ascii="Arial" w:hAnsi="Arial" w:cs="Arial"/>
          <w:b/>
          <w:noProof/>
          <w:sz w:val="20"/>
        </w:rPr>
        <w:t>pre-litigation phase</w:t>
      </w:r>
      <w:r>
        <w:rPr>
          <w:rFonts w:ascii="Arial" w:hAnsi="Arial" w:cs="Arial"/>
          <w:noProof/>
          <w:sz w:val="20"/>
        </w:rPr>
        <w:t xml:space="preserve">, the Commission first sends a </w:t>
      </w:r>
      <w:r>
        <w:rPr>
          <w:rFonts w:ascii="Arial" w:hAnsi="Arial" w:cs="Arial"/>
          <w:b/>
          <w:noProof/>
          <w:sz w:val="20"/>
        </w:rPr>
        <w:t>letter of formal notice</w:t>
      </w:r>
      <w:r>
        <w:rPr>
          <w:rFonts w:ascii="Arial" w:hAnsi="Arial" w:cs="Arial"/>
          <w:noProof/>
          <w:sz w:val="20"/>
        </w:rPr>
        <w:t xml:space="preserve"> to the Member State requesting an explanation within a given time </w:t>
      </w:r>
      <w:r>
        <w:rPr>
          <w:rFonts w:ascii="Arial" w:hAnsi="Arial" w:cs="Arial"/>
          <w:noProof/>
          <w:sz w:val="20"/>
        </w:rPr>
        <w:t xml:space="preserve">limit. If the Member State’s reply is unsatisfactory or it does not reply at all, the Commission sends a </w:t>
      </w:r>
      <w:r>
        <w:rPr>
          <w:rFonts w:ascii="Arial" w:hAnsi="Arial" w:cs="Arial"/>
          <w:b/>
          <w:noProof/>
          <w:sz w:val="20"/>
        </w:rPr>
        <w:t>reasoned opinion</w:t>
      </w:r>
      <w:r>
        <w:rPr>
          <w:rFonts w:ascii="Arial" w:hAnsi="Arial" w:cs="Arial"/>
          <w:noProof/>
          <w:sz w:val="20"/>
        </w:rPr>
        <w:t xml:space="preserve"> asking the Member State to comply within a given time limit.</w:t>
      </w:r>
    </w:p>
    <w:p w:rsidR="003B06F5" w:rsidRDefault="00AD7FF7">
      <w:pPr>
        <w:ind w:left="360"/>
        <w:rPr>
          <w:rFonts w:ascii="Arial" w:hAnsi="Arial" w:cs="Arial"/>
          <w:noProof/>
          <w:sz w:val="20"/>
        </w:rPr>
      </w:pPr>
      <w:r>
        <w:rPr>
          <w:rFonts w:ascii="Arial" w:hAnsi="Arial" w:cs="Arial"/>
          <w:noProof/>
          <w:sz w:val="20"/>
        </w:rPr>
        <w:t xml:space="preserve">Should the Member State not comply with the reasoned opinion, the Commission may open the </w:t>
      </w:r>
      <w:r>
        <w:rPr>
          <w:rFonts w:ascii="Arial" w:hAnsi="Arial" w:cs="Arial"/>
          <w:b/>
          <w:noProof/>
          <w:sz w:val="20"/>
        </w:rPr>
        <w:t>litigation procedure</w:t>
      </w:r>
      <w:r>
        <w:rPr>
          <w:rFonts w:ascii="Arial" w:hAnsi="Arial" w:cs="Arial"/>
          <w:noProof/>
          <w:sz w:val="20"/>
        </w:rPr>
        <w:t xml:space="preserve"> by bringing the case to the Court of Justice under Article 258 TFEU.</w:t>
      </w:r>
    </w:p>
    <w:p w:rsidR="003B06F5" w:rsidRDefault="00AD7FF7">
      <w:pPr>
        <w:ind w:left="360"/>
        <w:rPr>
          <w:rFonts w:ascii="Arial" w:hAnsi="Arial" w:cs="Arial"/>
          <w:noProof/>
          <w:sz w:val="20"/>
        </w:rPr>
      </w:pPr>
      <w:r>
        <w:rPr>
          <w:rFonts w:ascii="Arial" w:hAnsi="Arial" w:cs="Arial"/>
          <w:noProof/>
          <w:sz w:val="20"/>
        </w:rPr>
        <w:t>When it brings a case before the Court against a Member State for failing to</w:t>
      </w:r>
      <w:r>
        <w:rPr>
          <w:rFonts w:ascii="Arial" w:hAnsi="Arial" w:cs="Arial"/>
          <w:noProof/>
          <w:sz w:val="20"/>
        </w:rPr>
        <w:t xml:space="preserve"> fulfil its obligations to notify measures transposing a directive adopted under a legislative procedure, the Commission may propose financial penalties under Article 260(3) TFEU.</w:t>
      </w:r>
    </w:p>
    <w:p w:rsidR="003B06F5" w:rsidRDefault="00AD7FF7">
      <w:pPr>
        <w:ind w:left="360"/>
        <w:rPr>
          <w:rFonts w:ascii="Arial" w:hAnsi="Arial" w:cs="Arial"/>
          <w:noProof/>
          <w:sz w:val="20"/>
        </w:rPr>
      </w:pPr>
      <w:r>
        <w:rPr>
          <w:rFonts w:ascii="Arial" w:hAnsi="Arial" w:cs="Arial"/>
          <w:noProof/>
          <w:sz w:val="20"/>
        </w:rPr>
        <w:t>The Court may agree with the Commission and rule that the Member State has b</w:t>
      </w:r>
      <w:r>
        <w:rPr>
          <w:rFonts w:ascii="Arial" w:hAnsi="Arial" w:cs="Arial"/>
          <w:noProof/>
          <w:sz w:val="20"/>
        </w:rPr>
        <w:t>reached its obligations under EU law. If the Court does so but the Member State still does not take the steps needed to comply, the Commission may continue the infringement procedure under Article 260(2) TFEU. This involves referring the Member State to th</w:t>
      </w:r>
      <w:r>
        <w:rPr>
          <w:rFonts w:ascii="Arial" w:hAnsi="Arial" w:cs="Arial"/>
          <w:noProof/>
          <w:sz w:val="20"/>
        </w:rPr>
        <w:t>e Court again after sending it a letter of formal notice under Article 260 (2) TFEU. In such cases the Commission can propose, and the Court can impose, financial sanctions in the form of a lump sum and/or penalties per day or another specified period.</w:t>
      </w:r>
    </w:p>
    <w:p w:rsidR="003B06F5" w:rsidRDefault="00AD7FF7">
      <w:pPr>
        <w:ind w:left="360"/>
        <w:rPr>
          <w:rFonts w:ascii="Arial" w:hAnsi="Arial" w:cs="Arial"/>
          <w:noProof/>
          <w:sz w:val="20"/>
        </w:rPr>
      </w:pPr>
      <w:r>
        <w:rPr>
          <w:rFonts w:ascii="Arial" w:hAnsi="Arial" w:cs="Arial"/>
          <w:noProof/>
          <w:sz w:val="20"/>
        </w:rPr>
        <w:t xml:space="preserve">At </w:t>
      </w:r>
      <w:r>
        <w:rPr>
          <w:rFonts w:ascii="Arial" w:hAnsi="Arial" w:cs="Arial"/>
          <w:noProof/>
          <w:sz w:val="20"/>
        </w:rPr>
        <w:t>the request of national courts, the Court of Justice may also issue preliminary rulings under Article 267 TFEU addressing issues of conformity of national laws with EU legislation. While preliminary rulings are distinct from infringement judgments, they gi</w:t>
      </w:r>
      <w:r>
        <w:rPr>
          <w:rFonts w:ascii="Arial" w:hAnsi="Arial" w:cs="Arial"/>
          <w:noProof/>
          <w:sz w:val="20"/>
        </w:rPr>
        <w:t>ve the Commission an additional opportunity to ensure that violations of EU law deriving from national legislation or its application are remedied. The Commission systematically follows up on preliminary rulings in which the Court identifies cases of non-c</w:t>
      </w:r>
      <w:r>
        <w:rPr>
          <w:rFonts w:ascii="Arial" w:hAnsi="Arial" w:cs="Arial"/>
          <w:noProof/>
          <w:sz w:val="20"/>
        </w:rPr>
        <w:t xml:space="preserve">onformity in national legislations. </w:t>
      </w:r>
    </w:p>
    <w:p w:rsidR="003B06F5" w:rsidRDefault="00AD7FF7">
      <w:pPr>
        <w:ind w:left="360"/>
        <w:rPr>
          <w:rFonts w:ascii="Arial" w:hAnsi="Arial" w:cs="Arial"/>
          <w:noProof/>
          <w:sz w:val="20"/>
        </w:rPr>
      </w:pPr>
      <w:r>
        <w:rPr>
          <w:rFonts w:ascii="Arial" w:hAnsi="Arial" w:cs="Arial"/>
          <w:noProof/>
          <w:sz w:val="20"/>
        </w:rPr>
        <w:t xml:space="preserve">The Commission regularly publishes information about its decisions on infringement procedures on the </w:t>
      </w:r>
      <w:hyperlink r:id="rId20" w:history="1">
        <w:r>
          <w:rPr>
            <w:rStyle w:val="Hyperlink"/>
            <w:rFonts w:ascii="Arial" w:hAnsi="Arial" w:cs="Arial"/>
            <w:noProof/>
            <w:sz w:val="20"/>
          </w:rPr>
          <w:t>Europa portal</w:t>
        </w:r>
      </w:hyperlink>
      <w:r>
        <w:rPr>
          <w:rFonts w:ascii="Arial" w:hAnsi="Arial" w:cs="Arial"/>
          <w:noProof/>
          <w:sz w:val="20"/>
        </w:rPr>
        <w:t>.</w:t>
      </w:r>
      <w:bookmarkStart w:id="8" w:name="_Toc437944190"/>
    </w:p>
    <w:p w:rsidR="003B06F5" w:rsidRDefault="003B06F5">
      <w:pPr>
        <w:ind w:left="360"/>
        <w:rPr>
          <w:rFonts w:ascii="Arial" w:hAnsi="Arial" w:cs="Arial"/>
          <w:noProof/>
          <w:sz w:val="20"/>
        </w:rPr>
      </w:pPr>
    </w:p>
    <w:p w:rsidR="003B06F5" w:rsidRDefault="003B06F5">
      <w:pPr>
        <w:ind w:left="360"/>
        <w:rPr>
          <w:rFonts w:ascii="Arial" w:hAnsi="Arial" w:cs="Arial"/>
          <w:noProof/>
          <w:sz w:val="20"/>
        </w:rPr>
      </w:pPr>
    </w:p>
    <w:p w:rsidR="003B06F5" w:rsidRDefault="003B06F5">
      <w:pPr>
        <w:ind w:left="360"/>
        <w:rPr>
          <w:rFonts w:ascii="Arial" w:hAnsi="Arial" w:cs="Arial"/>
          <w:noProof/>
          <w:sz w:val="20"/>
        </w:rPr>
      </w:pPr>
    </w:p>
    <w:p w:rsidR="003B06F5" w:rsidRDefault="003B06F5">
      <w:pPr>
        <w:ind w:left="360"/>
        <w:rPr>
          <w:rFonts w:ascii="Arial" w:hAnsi="Arial" w:cs="Arial"/>
          <w:noProof/>
          <w:sz w:val="20"/>
        </w:rPr>
      </w:pPr>
    </w:p>
    <w:p w:rsidR="003B06F5" w:rsidRDefault="003B06F5">
      <w:pPr>
        <w:ind w:left="360"/>
        <w:rPr>
          <w:rFonts w:ascii="Arial" w:hAnsi="Arial" w:cs="Arial"/>
          <w:noProof/>
          <w:sz w:val="20"/>
        </w:rPr>
      </w:pPr>
    </w:p>
    <w:p w:rsidR="003B06F5" w:rsidRDefault="00AD7FF7">
      <w:pPr>
        <w:pStyle w:val="kop2"/>
        <w:ind w:left="720"/>
        <w:rPr>
          <w:caps w:val="0"/>
          <w:noProof/>
        </w:rPr>
      </w:pPr>
      <w:bookmarkStart w:id="9" w:name="_Toc444796657"/>
      <w:bookmarkStart w:id="10" w:name="_Toc507580218"/>
      <w:r>
        <w:rPr>
          <w:caps w:val="0"/>
          <w:noProof/>
        </w:rPr>
        <w:t xml:space="preserve">Before an infringement procedure is </w:t>
      </w:r>
      <w:bookmarkEnd w:id="8"/>
      <w:r>
        <w:rPr>
          <w:caps w:val="0"/>
          <w:noProof/>
        </w:rPr>
        <w:t>started</w:t>
      </w:r>
      <w:bookmarkEnd w:id="9"/>
      <w:bookmarkEnd w:id="10"/>
    </w:p>
    <w:p w:rsidR="003B06F5" w:rsidRDefault="00AD7FF7">
      <w:pPr>
        <w:pStyle w:val="kop3"/>
        <w:numPr>
          <w:ilvl w:val="0"/>
          <w:numId w:val="28"/>
        </w:numPr>
        <w:rPr>
          <w:noProof/>
        </w:rPr>
      </w:pPr>
      <w:bookmarkStart w:id="11" w:name="_Toc437944191"/>
      <w:bookmarkStart w:id="12" w:name="_Toc444796658"/>
      <w:bookmarkStart w:id="13" w:name="_Toc507580219"/>
      <w:r>
        <w:rPr>
          <w:noProof/>
        </w:rPr>
        <w:t>Detecting problems</w:t>
      </w:r>
      <w:bookmarkEnd w:id="11"/>
      <w:bookmarkEnd w:id="12"/>
      <w:bookmarkEnd w:id="13"/>
    </w:p>
    <w:p w:rsidR="003B06F5" w:rsidRDefault="00AD7FF7">
      <w:pPr>
        <w:pStyle w:val="Kop4"/>
        <w:rPr>
          <w:b w:val="0"/>
          <w:noProof/>
        </w:rPr>
      </w:pPr>
      <w:bookmarkStart w:id="14" w:name="_Toc437944192"/>
      <w:bookmarkStart w:id="15" w:name="_Toc444796659"/>
      <w:bookmarkStart w:id="16" w:name="_Toc507580220"/>
      <w:r>
        <w:rPr>
          <w:b w:val="0"/>
          <w:noProof/>
        </w:rPr>
        <w:t>Own-initiative cases</w:t>
      </w:r>
      <w:bookmarkEnd w:id="14"/>
      <w:bookmarkEnd w:id="15"/>
      <w:bookmarkEnd w:id="16"/>
    </w:p>
    <w:p w:rsidR="003B06F5" w:rsidRDefault="00AD7FF7">
      <w:pPr>
        <w:ind w:left="709"/>
        <w:rPr>
          <w:rFonts w:ascii="Arial" w:hAnsi="Arial" w:cs="Arial"/>
          <w:noProof/>
          <w:sz w:val="20"/>
        </w:rPr>
      </w:pPr>
      <w:r>
        <w:rPr>
          <w:rFonts w:ascii="Arial" w:hAnsi="Arial" w:cs="Arial"/>
          <w:noProof/>
          <w:sz w:val="20"/>
        </w:rPr>
        <w:t xml:space="preserve">The Commission examines the implementation of EU law </w:t>
      </w:r>
      <w:r>
        <w:rPr>
          <w:rFonts w:ascii="Arial" w:hAnsi="Arial"/>
          <w:noProof/>
          <w:sz w:val="20"/>
        </w:rPr>
        <w:t>mainly on its own initiative</w:t>
      </w:r>
      <w:r>
        <w:rPr>
          <w:rFonts w:ascii="Arial" w:hAnsi="Arial" w:cs="Arial"/>
          <w:noProof/>
          <w:sz w:val="20"/>
        </w:rPr>
        <w:t xml:space="preserve">. In 2017 it launched 139 such investigations using the EU Pilot </w:t>
      </w:r>
      <w:r>
        <w:rPr>
          <w:rFonts w:ascii="Arial" w:hAnsi="Arial" w:cs="Arial"/>
          <w:noProof/>
          <w:sz w:val="20"/>
        </w:rPr>
        <w:t>mechanism (EU Pilot is explained in point 2 below), against 520 in 2016</w:t>
      </w:r>
      <w:r>
        <w:rPr>
          <w:rStyle w:val="FootnoteReference"/>
          <w:rFonts w:ascii="Arial" w:hAnsi="Arial" w:cs="Arial"/>
          <w:noProof/>
          <w:sz w:val="20"/>
        </w:rPr>
        <w:footnoteReference w:id="18"/>
      </w:r>
      <w:r>
        <w:rPr>
          <w:rFonts w:ascii="Arial" w:hAnsi="Arial" w:cs="Arial"/>
          <w:noProof/>
          <w:sz w:val="20"/>
        </w:rPr>
        <w:t>. In addition to these cases, the Commission opened 684 infringement procedures by directly sending a letter of formal notice.</w:t>
      </w:r>
    </w:p>
    <w:p w:rsidR="003B06F5" w:rsidRDefault="00AD7FF7">
      <w:pPr>
        <w:pStyle w:val="Kop4"/>
        <w:rPr>
          <w:b w:val="0"/>
          <w:noProof/>
        </w:rPr>
      </w:pPr>
      <w:bookmarkStart w:id="17" w:name="_Toc437944193"/>
      <w:bookmarkStart w:id="18" w:name="_Toc444796660"/>
      <w:bookmarkStart w:id="19" w:name="_Toc507580221"/>
      <w:r>
        <w:rPr>
          <w:b w:val="0"/>
          <w:noProof/>
        </w:rPr>
        <w:t>Complaints and petitions</w:t>
      </w:r>
      <w:bookmarkEnd w:id="17"/>
      <w:bookmarkEnd w:id="18"/>
      <w:bookmarkEnd w:id="19"/>
    </w:p>
    <w:p w:rsidR="003B06F5" w:rsidRDefault="00AD7FF7">
      <w:pPr>
        <w:ind w:left="709"/>
        <w:rPr>
          <w:rFonts w:ascii="Arial" w:hAnsi="Arial" w:cs="Arial"/>
          <w:noProof/>
          <w:sz w:val="20"/>
        </w:rPr>
      </w:pPr>
      <w:r>
        <w:rPr>
          <w:rFonts w:ascii="Arial" w:hAnsi="Arial" w:cs="Arial"/>
          <w:noProof/>
          <w:sz w:val="20"/>
        </w:rPr>
        <w:t xml:space="preserve">The number of new complaints in </w:t>
      </w:r>
      <w:r>
        <w:rPr>
          <w:rFonts w:ascii="Arial" w:hAnsi="Arial" w:cs="Arial"/>
          <w:noProof/>
          <w:sz w:val="20"/>
        </w:rPr>
        <w:t>2017 reached its highest level since 2011.</w:t>
      </w:r>
    </w:p>
    <w:p w:rsidR="003B06F5" w:rsidRDefault="00AD7FF7">
      <w:pPr>
        <w:pStyle w:val="Body"/>
        <w:ind w:firstLine="352"/>
        <w:rPr>
          <w:noProof/>
        </w:rPr>
      </w:pPr>
      <w:r>
        <w:rPr>
          <w:noProof/>
          <w:lang w:eastAsia="en-GB"/>
        </w:rPr>
        <w:drawing>
          <wp:inline distT="0" distB="0" distL="0" distR="0" wp14:anchorId="530CC24F" wp14:editId="2B8729A4">
            <wp:extent cx="4547870" cy="2433320"/>
            <wp:effectExtent l="0" t="0" r="5080" b="508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06F5" w:rsidRDefault="00AD7FF7">
      <w:pPr>
        <w:pStyle w:val="Body"/>
        <w:spacing w:after="120"/>
        <w:rPr>
          <w:rStyle w:val="Strong"/>
          <w:i w:val="0"/>
          <w:noProof/>
        </w:rPr>
      </w:pPr>
      <w:r>
        <w:rPr>
          <w:rStyle w:val="Strong"/>
          <w:noProof/>
        </w:rPr>
        <w:t>The chart below shows further key data on complaints from members of the public</w:t>
      </w:r>
      <w:r>
        <w:rPr>
          <w:rStyle w:val="FootnoteReference"/>
          <w:noProof/>
        </w:rPr>
        <w:footnoteReference w:id="19"/>
      </w:r>
      <w:r>
        <w:rPr>
          <w:rStyle w:val="Strong"/>
          <w:noProof/>
        </w:rPr>
        <w:t>:</w:t>
      </w:r>
    </w:p>
    <w:p w:rsidR="003B06F5" w:rsidRDefault="00AD7FF7">
      <w:pPr>
        <w:pStyle w:val="Body"/>
        <w:spacing w:after="120"/>
        <w:ind w:left="0"/>
        <w:jc w:val="center"/>
        <w:rPr>
          <w:rStyle w:val="Strong"/>
          <w:noProof/>
        </w:rPr>
      </w:pPr>
      <w:r>
        <w:rPr>
          <w:noProof/>
          <w:color w:val="002060"/>
          <w:sz w:val="22"/>
          <w:szCs w:val="22"/>
        </w:rPr>
        <w:t>Public complaints open at year-end</w:t>
      </w:r>
    </w:p>
    <w:tbl>
      <w:tblPr>
        <w:tblW w:w="0" w:type="auto"/>
        <w:jc w:val="center"/>
        <w:tblLook w:val="04A0" w:firstRow="1" w:lastRow="0" w:firstColumn="1" w:lastColumn="0" w:noHBand="0" w:noVBand="1"/>
      </w:tblPr>
      <w:tblGrid>
        <w:gridCol w:w="868"/>
        <w:gridCol w:w="333"/>
        <w:gridCol w:w="4617"/>
      </w:tblGrid>
      <w:tr w:rsidR="003B06F5">
        <w:trPr>
          <w:trHeight w:val="368"/>
          <w:jc w:val="center"/>
        </w:trPr>
        <w:tc>
          <w:tcPr>
            <w:tcW w:w="868" w:type="dxa"/>
            <w:shd w:val="clear" w:color="auto" w:fill="auto"/>
            <w:vAlign w:val="center"/>
          </w:tcPr>
          <w:p w:rsidR="003B06F5" w:rsidRDefault="00AD7FF7">
            <w:pPr>
              <w:spacing w:after="0"/>
              <w:ind w:right="-25"/>
              <w:jc w:val="right"/>
              <w:rPr>
                <w:rFonts w:ascii="Arial" w:hAnsi="Arial" w:cs="Arial"/>
                <w:noProof/>
                <w:color w:val="548DD4"/>
                <w:sz w:val="20"/>
                <w:szCs w:val="28"/>
              </w:rPr>
            </w:pPr>
            <w:r>
              <w:rPr>
                <w:rFonts w:ascii="Arial" w:hAnsi="Arial" w:cs="Arial"/>
                <w:noProof/>
                <w:color w:val="C00000"/>
                <w:sz w:val="20"/>
                <w:szCs w:val="28"/>
              </w:rPr>
              <w:t>3 423</w:t>
            </w:r>
          </w:p>
        </w:tc>
        <w:tc>
          <w:tcPr>
            <w:tcW w:w="333" w:type="dxa"/>
            <w:shd w:val="clear" w:color="auto" w:fill="auto"/>
            <w:vAlign w:val="center"/>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Complaints open at end-2016</w:t>
            </w:r>
          </w:p>
        </w:tc>
      </w:tr>
      <w:tr w:rsidR="003B06F5">
        <w:trPr>
          <w:trHeight w:val="368"/>
          <w:jc w:val="center"/>
        </w:trPr>
        <w:tc>
          <w:tcPr>
            <w:tcW w:w="868" w:type="dxa"/>
            <w:shd w:val="clear" w:color="auto" w:fill="auto"/>
            <w:vAlign w:val="center"/>
          </w:tcPr>
          <w:p w:rsidR="003B06F5" w:rsidRDefault="00AD7FF7">
            <w:pPr>
              <w:spacing w:after="0"/>
              <w:ind w:right="-25"/>
              <w:jc w:val="right"/>
              <w:rPr>
                <w:rFonts w:ascii="Arial" w:hAnsi="Arial" w:cs="Arial"/>
                <w:noProof/>
                <w:color w:val="548DD4"/>
                <w:sz w:val="20"/>
                <w:szCs w:val="28"/>
              </w:rPr>
            </w:pPr>
            <w:r>
              <w:rPr>
                <w:rFonts w:ascii="Arial" w:hAnsi="Arial" w:cs="Arial"/>
                <w:noProof/>
                <w:color w:val="548DD4"/>
                <w:sz w:val="20"/>
                <w:szCs w:val="28"/>
              </w:rPr>
              <w:t>3 786</w:t>
            </w:r>
          </w:p>
        </w:tc>
        <w:tc>
          <w:tcPr>
            <w:tcW w:w="333" w:type="dxa"/>
            <w:shd w:val="clear" w:color="auto" w:fill="auto"/>
            <w:vAlign w:val="center"/>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New complaints registered in 2017</w:t>
            </w:r>
          </w:p>
        </w:tc>
      </w:tr>
      <w:tr w:rsidR="003B06F5">
        <w:trPr>
          <w:trHeight w:val="368"/>
          <w:jc w:val="center"/>
        </w:trPr>
        <w:tc>
          <w:tcPr>
            <w:tcW w:w="868" w:type="dxa"/>
            <w:tcBorders>
              <w:bottom w:val="single" w:sz="24" w:space="0" w:color="548DD4"/>
            </w:tcBorders>
            <w:shd w:val="clear" w:color="auto" w:fill="auto"/>
            <w:vAlign w:val="center"/>
          </w:tcPr>
          <w:p w:rsidR="003B06F5" w:rsidRDefault="00AD7FF7">
            <w:pPr>
              <w:spacing w:after="0"/>
              <w:ind w:right="-25"/>
              <w:jc w:val="right"/>
              <w:rPr>
                <w:rFonts w:ascii="Arial" w:hAnsi="Arial" w:cs="Arial"/>
                <w:noProof/>
                <w:color w:val="548DD4"/>
                <w:sz w:val="20"/>
                <w:szCs w:val="28"/>
              </w:rPr>
            </w:pPr>
            <w:r>
              <w:rPr>
                <w:rFonts w:ascii="Arial" w:hAnsi="Arial" w:cs="Arial"/>
                <w:noProof/>
                <w:color w:val="548DD4"/>
                <w:sz w:val="20"/>
                <w:szCs w:val="28"/>
              </w:rPr>
              <w:t>3 611</w:t>
            </w:r>
          </w:p>
        </w:tc>
        <w:tc>
          <w:tcPr>
            <w:tcW w:w="333" w:type="dxa"/>
            <w:shd w:val="clear" w:color="auto" w:fill="auto"/>
            <w:vAlign w:val="center"/>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Complaints handled in 2017</w:t>
            </w:r>
          </w:p>
        </w:tc>
      </w:tr>
      <w:tr w:rsidR="003B06F5">
        <w:trPr>
          <w:trHeight w:val="368"/>
          <w:jc w:val="center"/>
        </w:trPr>
        <w:tc>
          <w:tcPr>
            <w:tcW w:w="868" w:type="dxa"/>
            <w:tcBorders>
              <w:top w:val="single" w:sz="24" w:space="0" w:color="548DD4"/>
            </w:tcBorders>
            <w:shd w:val="clear" w:color="auto" w:fill="auto"/>
            <w:vAlign w:val="center"/>
          </w:tcPr>
          <w:p w:rsidR="003B06F5" w:rsidRDefault="00AD7FF7">
            <w:pPr>
              <w:spacing w:after="0"/>
              <w:ind w:right="-25"/>
              <w:jc w:val="right"/>
              <w:rPr>
                <w:rFonts w:ascii="Arial" w:hAnsi="Arial" w:cs="Arial"/>
                <w:noProof/>
                <w:color w:val="C00000"/>
                <w:sz w:val="20"/>
                <w:szCs w:val="28"/>
              </w:rPr>
            </w:pPr>
            <w:r>
              <w:rPr>
                <w:rFonts w:ascii="Arial" w:hAnsi="Arial" w:cs="Arial"/>
                <w:noProof/>
                <w:color w:val="C00000"/>
                <w:sz w:val="20"/>
                <w:szCs w:val="28"/>
              </w:rPr>
              <w:t xml:space="preserve">= 3 598 </w:t>
            </w:r>
          </w:p>
        </w:tc>
        <w:tc>
          <w:tcPr>
            <w:tcW w:w="333" w:type="dxa"/>
            <w:shd w:val="clear" w:color="auto" w:fill="auto"/>
            <w:vAlign w:val="center"/>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Complaints open at end-2017</w:t>
            </w:r>
          </w:p>
        </w:tc>
      </w:tr>
    </w:tbl>
    <w:p w:rsidR="003B06F5" w:rsidRDefault="00AD7FF7">
      <w:pPr>
        <w:spacing w:before="120"/>
        <w:ind w:left="709"/>
        <w:rPr>
          <w:rFonts w:ascii="Arial" w:hAnsi="Arial" w:cs="Arial"/>
          <w:noProof/>
          <w:sz w:val="20"/>
        </w:rPr>
      </w:pPr>
      <w:r>
        <w:rPr>
          <w:rFonts w:ascii="Arial" w:hAnsi="Arial" w:cs="Arial"/>
          <w:b/>
          <w:noProof/>
          <w:sz w:val="20"/>
        </w:rPr>
        <w:t>The Commission registered 3 786 new complaints in 2017.</w:t>
      </w:r>
      <w:r>
        <w:rPr>
          <w:rFonts w:ascii="Arial" w:hAnsi="Arial" w:cs="Arial"/>
          <w:noProof/>
          <w:sz w:val="20"/>
        </w:rPr>
        <w:t xml:space="preserve"> The three Member States against which it filed the most complaints were Italy, Spain and France.</w:t>
      </w:r>
    </w:p>
    <w:p w:rsidR="003B06F5" w:rsidRDefault="00AD7FF7">
      <w:pPr>
        <w:spacing w:after="120"/>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533 complaints, most of them related to: environment (160 complaints); internal market, industry, entrepreneurship and SMEs (104 complaints); and employment (60 complaints);</w:t>
      </w:r>
    </w:p>
    <w:p w:rsidR="003B06F5" w:rsidRDefault="00AD7FF7">
      <w:pPr>
        <w:spacing w:after="120"/>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437 complaints, especially in connection with: justice and consumers (109 complaints); environment (89 complaints); and employment (63 complaints); and</w:t>
      </w:r>
    </w:p>
    <w:p w:rsidR="003B06F5" w:rsidRDefault="00AD7FF7">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France: </w:t>
      </w:r>
      <w:r>
        <w:rPr>
          <w:rFonts w:ascii="Arial" w:hAnsi="Arial" w:cs="Arial"/>
          <w:noProof/>
          <w:sz w:val="20"/>
        </w:rPr>
        <w:t>383 complaints, mainly related to: justice and consumers (74 complaints); employment (73 comp</w:t>
      </w:r>
      <w:r>
        <w:rPr>
          <w:rFonts w:ascii="Arial" w:hAnsi="Arial" w:cs="Arial"/>
          <w:noProof/>
          <w:sz w:val="20"/>
        </w:rPr>
        <w:t>laints); and environment (68 complaints).</w:t>
      </w:r>
    </w:p>
    <w:p w:rsidR="003B06F5" w:rsidRDefault="00AD7FF7">
      <w:pPr>
        <w:spacing w:after="120"/>
        <w:ind w:left="709"/>
        <w:rPr>
          <w:rFonts w:ascii="Arial" w:hAnsi="Arial" w:cs="Arial"/>
          <w:noProof/>
          <w:sz w:val="20"/>
        </w:rPr>
      </w:pPr>
      <w:r>
        <w:rPr>
          <w:rFonts w:ascii="Arial" w:hAnsi="Arial" w:cs="Arial"/>
          <w:noProof/>
          <w:sz w:val="20"/>
        </w:rPr>
        <w:t>The following chart shows the main policy areas in which new complaints were registered in 2017. Together they account for 97 % of all complaints received in 2017.</w:t>
      </w:r>
    </w:p>
    <w:p w:rsidR="003B06F5" w:rsidRDefault="00AD7FF7">
      <w:pPr>
        <w:pStyle w:val="Body"/>
        <w:ind w:left="709"/>
        <w:rPr>
          <w:noProof/>
        </w:rPr>
      </w:pPr>
      <w:r>
        <w:rPr>
          <w:noProof/>
          <w:lang w:eastAsia="en-GB"/>
        </w:rPr>
        <w:drawing>
          <wp:inline distT="0" distB="0" distL="0" distR="0" wp14:anchorId="7B55435A" wp14:editId="1105DE8A">
            <wp:extent cx="5318760" cy="3939540"/>
            <wp:effectExtent l="0" t="0" r="15240" b="2286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06F5" w:rsidRDefault="00AD7FF7">
      <w:pPr>
        <w:ind w:left="709"/>
        <w:rPr>
          <w:rFonts w:ascii="Arial" w:hAnsi="Arial" w:cs="Arial"/>
          <w:noProof/>
          <w:sz w:val="20"/>
        </w:rPr>
      </w:pPr>
      <w:r>
        <w:rPr>
          <w:rFonts w:ascii="Arial" w:hAnsi="Arial" w:cs="Arial"/>
          <w:b/>
          <w:noProof/>
          <w:sz w:val="20"/>
        </w:rPr>
        <w:t>The Commission handled 3 611 complaints in 2017.</w:t>
      </w:r>
      <w:r>
        <w:rPr>
          <w:rFonts w:ascii="Arial" w:hAnsi="Arial" w:cs="Arial"/>
          <w:noProof/>
          <w:sz w:val="20"/>
        </w:rPr>
        <w:t xml:space="preserve"> Once it has assessed complaints, the Commission may launch an investigation using the EU Pilot mechanism to clarify whether EU rules have been breached.</w:t>
      </w:r>
      <w:r>
        <w:rPr>
          <w:noProof/>
        </w:rPr>
        <w:t xml:space="preserve"> </w:t>
      </w:r>
      <w:r>
        <w:rPr>
          <w:rFonts w:ascii="Arial" w:hAnsi="Arial" w:cs="Arial"/>
          <w:noProof/>
          <w:sz w:val="20"/>
        </w:rPr>
        <w:t>Not all complaints in 2017 led to such investigations, for the following reasons: no EU laws were brea</w:t>
      </w:r>
      <w:r>
        <w:rPr>
          <w:rFonts w:ascii="Arial" w:hAnsi="Arial" w:cs="Arial"/>
          <w:noProof/>
          <w:sz w:val="20"/>
        </w:rPr>
        <w:t>ched (2 312), the Commission had no power to act (7) or the correspondence did not qualify as a complaint (940)</w:t>
      </w:r>
      <w:r>
        <w:rPr>
          <w:rStyle w:val="FootnoteReference"/>
          <w:rFonts w:ascii="Arial" w:hAnsi="Arial" w:cs="Arial"/>
          <w:noProof/>
          <w:sz w:val="20"/>
        </w:rPr>
        <w:footnoteReference w:id="20"/>
      </w:r>
      <w:r>
        <w:rPr>
          <w:rFonts w:ascii="Arial" w:hAnsi="Arial" w:cs="Arial"/>
          <w:noProof/>
          <w:sz w:val="20"/>
        </w:rPr>
        <w:t>. The Commission did not pursue 206 cases as the complainants withdrew their complaint. 3 465 complaints have therefore been closed.</w:t>
      </w:r>
    </w:p>
    <w:p w:rsidR="003B06F5" w:rsidRDefault="00AD7FF7">
      <w:pPr>
        <w:ind w:left="709"/>
        <w:rPr>
          <w:rFonts w:ascii="Arial" w:hAnsi="Arial" w:cs="Arial"/>
          <w:noProof/>
          <w:sz w:val="20"/>
        </w:rPr>
      </w:pPr>
      <w:r>
        <w:rPr>
          <w:rFonts w:ascii="Arial" w:hAnsi="Arial" w:cs="Arial"/>
          <w:noProof/>
          <w:sz w:val="20"/>
        </w:rPr>
        <w:t xml:space="preserve">Complaints </w:t>
      </w:r>
      <w:r>
        <w:rPr>
          <w:rFonts w:ascii="Arial" w:hAnsi="Arial" w:cs="Arial"/>
          <w:noProof/>
          <w:sz w:val="20"/>
        </w:rPr>
        <w:t>leading to investigations (39) using the EU Pilot mechanism were most frequently related to taxation and customs (17 files opened under EU Pilot), internal market, industry, entrepreneurship and SMEs (8 files opened under EU Pilot) and agriculture and rura</w:t>
      </w:r>
      <w:r>
        <w:rPr>
          <w:rFonts w:ascii="Arial" w:hAnsi="Arial" w:cs="Arial"/>
          <w:noProof/>
          <w:sz w:val="20"/>
        </w:rPr>
        <w:t>l development (5 files opened under EU Pilot).</w:t>
      </w:r>
    </w:p>
    <w:p w:rsidR="003B06F5" w:rsidRDefault="00AD7FF7">
      <w:pPr>
        <w:ind w:left="709"/>
        <w:rPr>
          <w:rFonts w:ascii="Arial" w:hAnsi="Arial" w:cs="Arial"/>
          <w:noProof/>
          <w:sz w:val="20"/>
        </w:rPr>
      </w:pPr>
      <w:r>
        <w:rPr>
          <w:rFonts w:ascii="Arial" w:hAnsi="Arial" w:cs="Arial"/>
          <w:noProof/>
          <w:sz w:val="20"/>
        </w:rPr>
        <w:t xml:space="preserve"> These 39 complaints also mainly concerned Spain, France and Italy.</w:t>
      </w:r>
    </w:p>
    <w:p w:rsidR="003B06F5" w:rsidRDefault="00AD7FF7">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7 new EU Pilot files, in connection with complaints about taxation and customs (3); internal market, industry, entrepreneurship and </w:t>
      </w:r>
      <w:r>
        <w:rPr>
          <w:rFonts w:ascii="Arial" w:hAnsi="Arial" w:cs="Arial"/>
          <w:noProof/>
          <w:sz w:val="20"/>
        </w:rPr>
        <w:t>SMEs (2); agriculture and rural development (1); competition (1).</w:t>
      </w:r>
    </w:p>
    <w:p w:rsidR="003B06F5" w:rsidRDefault="00AD7FF7">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France: </w:t>
      </w:r>
      <w:r>
        <w:rPr>
          <w:rFonts w:ascii="Arial" w:hAnsi="Arial" w:cs="Arial"/>
          <w:noProof/>
          <w:sz w:val="20"/>
        </w:rPr>
        <w:t>4 new EU Pilot files, in connection with complaints about taxation and customs (1); environment (1); climate action (1); agriculture and rural development (1).</w:t>
      </w:r>
    </w:p>
    <w:p w:rsidR="003B06F5" w:rsidRDefault="00AD7FF7">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4 new EU Pi</w:t>
      </w:r>
      <w:r>
        <w:rPr>
          <w:rFonts w:ascii="Arial" w:hAnsi="Arial" w:cs="Arial"/>
          <w:noProof/>
          <w:sz w:val="20"/>
        </w:rPr>
        <w:t>lot files, in connection with complaints about taxation and customs (3) and agriculture and rural development (1).</w:t>
      </w:r>
    </w:p>
    <w:p w:rsidR="003B06F5" w:rsidRDefault="00AD7FF7">
      <w:pPr>
        <w:ind w:left="720"/>
        <w:rPr>
          <w:rFonts w:ascii="Arial" w:hAnsi="Arial" w:cs="Arial"/>
          <w:noProof/>
          <w:sz w:val="20"/>
        </w:rPr>
      </w:pPr>
      <w:r>
        <w:rPr>
          <w:rFonts w:ascii="Arial" w:hAnsi="Arial" w:cs="Arial"/>
          <w:noProof/>
          <w:sz w:val="20"/>
        </w:rPr>
        <w:t>Through petitions and questions, the European Parliament alerted the Commission to shortcomings in the way some Member States were implementi</w:t>
      </w:r>
      <w:r>
        <w:rPr>
          <w:rFonts w:ascii="Arial" w:hAnsi="Arial" w:cs="Arial"/>
          <w:noProof/>
          <w:sz w:val="20"/>
        </w:rPr>
        <w:t>ng and applying certain EU laws in 2017. These include the following:</w:t>
      </w:r>
    </w:p>
    <w:p w:rsidR="003B06F5" w:rsidRDefault="00AD7FF7">
      <w:pPr>
        <w:pStyle w:val="ListParagraph"/>
        <w:numPr>
          <w:ilvl w:val="0"/>
          <w:numId w:val="32"/>
        </w:numPr>
        <w:spacing w:after="0"/>
        <w:rPr>
          <w:rFonts w:eastAsia="MS Mincho"/>
          <w:noProof/>
          <w:lang w:eastAsia="ja-JP"/>
        </w:rPr>
      </w:pPr>
      <w:r>
        <w:rPr>
          <w:rFonts w:ascii="Arial" w:hAnsi="Arial" w:cs="Arial"/>
          <w:b/>
          <w:noProof/>
          <w:sz w:val="20"/>
        </w:rPr>
        <w:t>Environment:</w:t>
      </w:r>
      <w:r>
        <w:rPr>
          <w:rFonts w:ascii="Arial" w:eastAsia="MS Mincho" w:hAnsi="Arial" w:cs="Arial"/>
          <w:noProof/>
          <w:sz w:val="20"/>
          <w:lang w:eastAsia="ja-JP"/>
        </w:rPr>
        <w:t xml:space="preserve"> The Commission launched a bilateral dialogue with a Member State on the exclusion of grass clippings from the definition of waste in the national legislation transposing the</w:t>
      </w:r>
      <w:r>
        <w:rPr>
          <w:rFonts w:ascii="Arial" w:eastAsia="MS Mincho" w:hAnsi="Arial" w:cs="Arial"/>
          <w:noProof/>
          <w:sz w:val="20"/>
          <w:lang w:eastAsia="ja-JP"/>
        </w:rPr>
        <w:t xml:space="preserve"> Waste Framework Directive</w:t>
      </w:r>
      <w:r>
        <w:rPr>
          <w:rStyle w:val="FootnoteReference"/>
          <w:rFonts w:ascii="Arial" w:eastAsia="MS Mincho" w:hAnsi="Arial" w:cs="Arial"/>
          <w:noProof/>
          <w:sz w:val="20"/>
          <w:lang w:eastAsia="ja-JP"/>
        </w:rPr>
        <w:footnoteReference w:id="21"/>
      </w:r>
      <w:r>
        <w:rPr>
          <w:rFonts w:ascii="Arial" w:eastAsia="MS Mincho" w:hAnsi="Arial" w:cs="Arial"/>
          <w:noProof/>
          <w:sz w:val="20"/>
          <w:lang w:eastAsia="ja-JP"/>
        </w:rPr>
        <w:t>. In another cases about the management of waste from extractive industries, the Commission began a bilateral dialogue with the Member State concerned.</w:t>
      </w:r>
    </w:p>
    <w:p w:rsidR="003B06F5" w:rsidRDefault="003B06F5">
      <w:pPr>
        <w:spacing w:after="0" w:line="276" w:lineRule="auto"/>
        <w:ind w:left="1429"/>
        <w:jc w:val="left"/>
        <w:rPr>
          <w:rFonts w:ascii="Arial" w:eastAsia="MS Mincho" w:hAnsi="Arial" w:cs="Arial"/>
          <w:noProof/>
          <w:sz w:val="20"/>
          <w:lang w:eastAsia="ja-JP"/>
        </w:rPr>
      </w:pPr>
    </w:p>
    <w:p w:rsidR="003B06F5" w:rsidRDefault="00AD7FF7">
      <w:pPr>
        <w:pStyle w:val="ListParagraph"/>
        <w:numPr>
          <w:ilvl w:val="0"/>
          <w:numId w:val="30"/>
        </w:numPr>
        <w:rPr>
          <w:rFonts w:ascii="Arial" w:hAnsi="Arial" w:cs="Arial"/>
          <w:noProof/>
          <w:sz w:val="20"/>
        </w:rPr>
      </w:pPr>
      <w:r>
        <w:rPr>
          <w:rFonts w:ascii="Arial" w:hAnsi="Arial" w:cs="Arial"/>
          <w:b/>
          <w:noProof/>
          <w:sz w:val="20"/>
        </w:rPr>
        <w:t>Migration and home affairs:</w:t>
      </w:r>
      <w:r>
        <w:rPr>
          <w:rFonts w:ascii="Arial" w:eastAsia="MS Mincho" w:hAnsi="Arial" w:cs="Arial"/>
          <w:noProof/>
          <w:sz w:val="20"/>
          <w:lang w:eastAsia="ja-JP"/>
        </w:rPr>
        <w:t xml:space="preserve"> The Commission launched a bilateral dialogue with a Member State on </w:t>
      </w:r>
      <w:r>
        <w:rPr>
          <w:rFonts w:ascii="Arial" w:hAnsi="Arial" w:cs="Arial"/>
          <w:noProof/>
          <w:sz w:val="20"/>
        </w:rPr>
        <w:t>equal treatment of third-country nationals regarding access to water and electricity services.</w:t>
      </w:r>
    </w:p>
    <w:p w:rsidR="003B06F5" w:rsidRDefault="003B06F5">
      <w:pPr>
        <w:pStyle w:val="ListParagraph"/>
        <w:ind w:left="1429"/>
        <w:rPr>
          <w:rFonts w:ascii="Arial" w:hAnsi="Arial" w:cs="Arial"/>
          <w:noProof/>
          <w:sz w:val="20"/>
        </w:rPr>
      </w:pPr>
    </w:p>
    <w:p w:rsidR="003B06F5" w:rsidRDefault="00AD7FF7">
      <w:pPr>
        <w:pStyle w:val="ListParagraph"/>
        <w:numPr>
          <w:ilvl w:val="0"/>
          <w:numId w:val="30"/>
        </w:numPr>
        <w:rPr>
          <w:rFonts w:ascii="Arial" w:hAnsi="Arial" w:cs="Arial"/>
          <w:noProof/>
          <w:sz w:val="20"/>
        </w:rPr>
      </w:pPr>
      <w:r>
        <w:rPr>
          <w:rFonts w:ascii="Arial" w:hAnsi="Arial" w:cs="Arial"/>
          <w:b/>
          <w:noProof/>
          <w:sz w:val="20"/>
        </w:rPr>
        <w:t xml:space="preserve">Taxation: </w:t>
      </w:r>
      <w:r>
        <w:rPr>
          <w:rFonts w:ascii="Arial" w:hAnsi="Arial" w:cs="Arial"/>
          <w:noProof/>
          <w:sz w:val="20"/>
        </w:rPr>
        <w:t>In the area of indirect taxation, petitions and most parliamentary questions conc</w:t>
      </w:r>
      <w:r>
        <w:rPr>
          <w:rFonts w:ascii="Arial" w:hAnsi="Arial" w:cs="Arial"/>
          <w:noProof/>
          <w:sz w:val="20"/>
        </w:rPr>
        <w:t>erned issues already covered by Commission’s ongoing investigations in areas such as national practice concerning the exemption rules under the VAT Directive, the application of value added tax to fuels, and taxation on sustainable tourism.</w:t>
      </w:r>
    </w:p>
    <w:p w:rsidR="003B06F5" w:rsidRDefault="003B06F5">
      <w:pPr>
        <w:pStyle w:val="ListParagraph"/>
        <w:ind w:left="1429"/>
        <w:rPr>
          <w:rFonts w:ascii="Arial" w:hAnsi="Arial" w:cs="Arial"/>
          <w:noProof/>
          <w:sz w:val="20"/>
        </w:rPr>
      </w:pPr>
    </w:p>
    <w:p w:rsidR="003B06F5" w:rsidRDefault="00AD7FF7">
      <w:pPr>
        <w:pStyle w:val="ListParagraph"/>
        <w:numPr>
          <w:ilvl w:val="0"/>
          <w:numId w:val="30"/>
        </w:numPr>
        <w:rPr>
          <w:rFonts w:ascii="Arial" w:hAnsi="Arial" w:cs="Arial"/>
          <w:noProof/>
          <w:sz w:val="20"/>
        </w:rPr>
      </w:pPr>
      <w:r>
        <w:rPr>
          <w:rFonts w:ascii="Arial" w:hAnsi="Arial" w:cs="Arial"/>
          <w:b/>
          <w:noProof/>
          <w:sz w:val="20"/>
        </w:rPr>
        <w:t xml:space="preserve">Internal </w:t>
      </w:r>
      <w:r>
        <w:rPr>
          <w:rFonts w:ascii="Arial" w:hAnsi="Arial" w:cs="Arial"/>
          <w:b/>
          <w:noProof/>
          <w:sz w:val="20"/>
        </w:rPr>
        <w:t>market:</w:t>
      </w:r>
      <w:r>
        <w:rPr>
          <w:rFonts w:ascii="Calibri" w:eastAsia="Calibri" w:hAnsi="Calibri"/>
          <w:noProof/>
          <w:sz w:val="22"/>
          <w:szCs w:val="22"/>
        </w:rPr>
        <w:t xml:space="preserve"> </w:t>
      </w:r>
      <w:r>
        <w:rPr>
          <w:rFonts w:ascii="Arial" w:hAnsi="Arial" w:cs="Arial"/>
          <w:noProof/>
          <w:sz w:val="20"/>
        </w:rPr>
        <w:t>The Commission launched bilateral discussions with a Member State on the conditions for access to and exercise of the profession of lawyer.</w:t>
      </w:r>
    </w:p>
    <w:p w:rsidR="003B06F5" w:rsidRDefault="00AD7FF7">
      <w:pPr>
        <w:pStyle w:val="kop3"/>
        <w:rPr>
          <w:noProof/>
        </w:rPr>
      </w:pPr>
      <w:bookmarkStart w:id="20" w:name="_Toc507580222"/>
      <w:r>
        <w:rPr>
          <w:noProof/>
        </w:rPr>
        <w:t>EU Pilot</w:t>
      </w:r>
      <w:bookmarkEnd w:id="20"/>
    </w:p>
    <w:p w:rsidR="003B06F5" w:rsidRDefault="00AD7FF7">
      <w:pPr>
        <w:ind w:left="360"/>
        <w:rPr>
          <w:rFonts w:ascii="Arial" w:hAnsi="Arial" w:cs="Arial"/>
          <w:noProof/>
          <w:sz w:val="20"/>
        </w:rPr>
      </w:pPr>
      <w:r>
        <w:rPr>
          <w:rFonts w:ascii="Arial" w:hAnsi="Arial" w:cs="Arial"/>
          <w:noProof/>
          <w:sz w:val="20"/>
        </w:rPr>
        <w:t>The EU Pilot dialogue between the Commission and Member States was set up to quickly resolve potent</w:t>
      </w:r>
      <w:r>
        <w:rPr>
          <w:rFonts w:ascii="Arial" w:hAnsi="Arial" w:cs="Arial"/>
          <w:noProof/>
          <w:sz w:val="20"/>
        </w:rPr>
        <w:t xml:space="preserve">ial breaches of EU law at an early stage in appropriate cases. It should be avoided that recourse to EU Pilot adds a lengthy step to the infringement process, which in itself is a means to enter into a problem-solving dialogue with a Member State. In line </w:t>
      </w:r>
      <w:r>
        <w:rPr>
          <w:rFonts w:ascii="Arial" w:hAnsi="Arial" w:cs="Arial"/>
          <w:noProof/>
          <w:sz w:val="20"/>
        </w:rPr>
        <w:t xml:space="preserve">with the Communication </w:t>
      </w:r>
      <w:hyperlink r:id="rId23" w:history="1">
        <w:r>
          <w:rPr>
            <w:rStyle w:val="Hyperlink"/>
            <w:rFonts w:ascii="Arial" w:hAnsi="Arial" w:cs="Arial"/>
            <w:i/>
            <w:noProof/>
            <w:sz w:val="20"/>
          </w:rPr>
          <w:t>EU law: Better results through better application</w:t>
        </w:r>
      </w:hyperlink>
      <w:r>
        <w:rPr>
          <w:rFonts w:ascii="Arial" w:hAnsi="Arial" w:cs="Arial"/>
          <w:noProof/>
          <w:sz w:val="20"/>
        </w:rPr>
        <w:t>, the Commission will henceforth launch infring</w:t>
      </w:r>
      <w:r>
        <w:rPr>
          <w:rFonts w:ascii="Arial" w:hAnsi="Arial" w:cs="Arial"/>
          <w:noProof/>
          <w:sz w:val="20"/>
        </w:rPr>
        <w:t>ement procedures without relying on the EU Pilot mechanism unless recourse to EU Pilot is seen as useful in a given case.</w:t>
      </w:r>
    </w:p>
    <w:p w:rsidR="003B06F5" w:rsidRDefault="00AD7FF7">
      <w:pPr>
        <w:ind w:left="357"/>
        <w:rPr>
          <w:rFonts w:ascii="Arial" w:hAnsi="Arial" w:cs="Arial"/>
          <w:noProof/>
          <w:sz w:val="20"/>
        </w:rPr>
      </w:pPr>
      <w:r>
        <w:rPr>
          <w:rFonts w:ascii="Arial" w:hAnsi="Arial" w:cs="Arial"/>
          <w:noProof/>
          <w:sz w:val="20"/>
        </w:rPr>
        <w:t>As a result of the new approach, in 2017 the number of new EU Pilot files reached the lowest level since 2011 (see the chart below).</w:t>
      </w:r>
    </w:p>
    <w:p w:rsidR="003B06F5" w:rsidRDefault="00AD7FF7">
      <w:pPr>
        <w:pStyle w:val="Body"/>
        <w:tabs>
          <w:tab w:val="left" w:pos="1276"/>
        </w:tabs>
        <w:spacing w:after="0"/>
        <w:ind w:hanging="73"/>
        <w:rPr>
          <w:noProof/>
        </w:rPr>
      </w:pPr>
      <w:r>
        <w:rPr>
          <w:noProof/>
          <w:lang w:eastAsia="en-GB"/>
        </w:rPr>
        <w:drawing>
          <wp:inline distT="0" distB="0" distL="0" distR="0" wp14:anchorId="29371DF0" wp14:editId="428456CE">
            <wp:extent cx="5509260" cy="2567940"/>
            <wp:effectExtent l="0" t="0" r="15240" b="2286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06F5" w:rsidRDefault="00AD7FF7">
      <w:pPr>
        <w:spacing w:after="0"/>
        <w:ind w:left="709"/>
        <w:jc w:val="left"/>
        <w:rPr>
          <w:rFonts w:ascii="Arial" w:hAnsi="Arial" w:cs="Arial"/>
          <w:noProof/>
          <w:sz w:val="20"/>
        </w:rPr>
      </w:pPr>
      <w:r>
        <w:rPr>
          <w:noProof/>
        </w:rPr>
        <w:br w:type="page"/>
      </w:r>
      <w:r>
        <w:rPr>
          <w:rFonts w:ascii="Arial" w:hAnsi="Arial" w:cs="Arial"/>
          <w:noProof/>
          <w:sz w:val="20"/>
        </w:rPr>
        <w:t>The following chart shows the main EU Pilot figures for 2017</w:t>
      </w:r>
      <w:r>
        <w:rPr>
          <w:rStyle w:val="FootnoteReference"/>
          <w:rFonts w:ascii="Arial" w:hAnsi="Arial" w:cs="Arial"/>
          <w:noProof/>
          <w:sz w:val="20"/>
        </w:rPr>
        <w:footnoteReference w:id="22"/>
      </w:r>
      <w:r>
        <w:rPr>
          <w:rFonts w:ascii="Arial" w:hAnsi="Arial" w:cs="Arial"/>
          <w:noProof/>
          <w:sz w:val="20"/>
        </w:rPr>
        <w:t>:</w:t>
      </w:r>
    </w:p>
    <w:p w:rsidR="003B06F5" w:rsidRDefault="00AD7FF7">
      <w:pPr>
        <w:pStyle w:val="Body"/>
        <w:spacing w:before="240" w:after="120"/>
        <w:ind w:left="0"/>
        <w:jc w:val="center"/>
        <w:rPr>
          <w:noProof/>
          <w:color w:val="002060"/>
          <w:sz w:val="22"/>
          <w:szCs w:val="22"/>
        </w:rPr>
      </w:pPr>
      <w:r>
        <w:rPr>
          <w:noProof/>
          <w:color w:val="002060"/>
          <w:sz w:val="22"/>
          <w:szCs w:val="22"/>
        </w:rPr>
        <w:t>EU Pilot files open at year-end</w:t>
      </w:r>
    </w:p>
    <w:tbl>
      <w:tblPr>
        <w:tblW w:w="0" w:type="auto"/>
        <w:jc w:val="center"/>
        <w:tblLook w:val="04A0" w:firstRow="1" w:lastRow="0" w:firstColumn="1" w:lastColumn="0" w:noHBand="0" w:noVBand="1"/>
      </w:tblPr>
      <w:tblGrid>
        <w:gridCol w:w="942"/>
        <w:gridCol w:w="333"/>
        <w:gridCol w:w="4625"/>
      </w:tblGrid>
      <w:tr w:rsidR="003B06F5">
        <w:trPr>
          <w:trHeight w:val="339"/>
          <w:jc w:val="center"/>
        </w:trPr>
        <w:tc>
          <w:tcPr>
            <w:tcW w:w="942" w:type="dxa"/>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1 175</w:t>
            </w:r>
          </w:p>
        </w:tc>
        <w:tc>
          <w:tcPr>
            <w:tcW w:w="333" w:type="dxa"/>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EU Pilot files open at end-2016</w:t>
            </w:r>
          </w:p>
        </w:tc>
      </w:tr>
      <w:tr w:rsidR="003B06F5">
        <w:trPr>
          <w:trHeight w:val="339"/>
          <w:jc w:val="center"/>
        </w:trPr>
        <w:tc>
          <w:tcPr>
            <w:tcW w:w="942" w:type="dxa"/>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178</w:t>
            </w:r>
          </w:p>
        </w:tc>
        <w:tc>
          <w:tcPr>
            <w:tcW w:w="333" w:type="dxa"/>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New EU Pilot files registered in 2017</w:t>
            </w:r>
          </w:p>
        </w:tc>
      </w:tr>
      <w:tr w:rsidR="003B06F5">
        <w:trPr>
          <w:trHeight w:val="307"/>
          <w:jc w:val="center"/>
        </w:trPr>
        <w:tc>
          <w:tcPr>
            <w:tcW w:w="942" w:type="dxa"/>
            <w:tcBorders>
              <w:bottom w:val="single" w:sz="24" w:space="0" w:color="548DD4"/>
            </w:tcBorders>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512</w:t>
            </w:r>
          </w:p>
        </w:tc>
        <w:tc>
          <w:tcPr>
            <w:tcW w:w="333" w:type="dxa"/>
            <w:shd w:val="clear" w:color="auto" w:fill="auto"/>
          </w:tcPr>
          <w:p w:rsidR="003B06F5" w:rsidRDefault="00AD7FF7">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rsidR="003B06F5" w:rsidRDefault="00AD7FF7">
            <w:pPr>
              <w:spacing w:after="0"/>
              <w:jc w:val="left"/>
              <w:rPr>
                <w:rFonts w:ascii="Arial" w:hAnsi="Arial" w:cs="Arial"/>
                <w:noProof/>
                <w:color w:val="548DD4"/>
                <w:sz w:val="20"/>
                <w:szCs w:val="28"/>
              </w:rPr>
            </w:pPr>
            <w:r>
              <w:rPr>
                <w:rFonts w:ascii="Arial" w:hAnsi="Arial" w:cs="Arial"/>
                <w:noProof/>
                <w:color w:val="548DD4"/>
                <w:sz w:val="20"/>
                <w:szCs w:val="28"/>
              </w:rPr>
              <w:t>EU Pilot files handled in 2017</w:t>
            </w:r>
          </w:p>
        </w:tc>
      </w:tr>
      <w:tr w:rsidR="003B06F5">
        <w:trPr>
          <w:trHeight w:val="339"/>
          <w:jc w:val="center"/>
        </w:trPr>
        <w:tc>
          <w:tcPr>
            <w:tcW w:w="942" w:type="dxa"/>
            <w:tcBorders>
              <w:top w:val="single" w:sz="24" w:space="0" w:color="548DD4"/>
            </w:tcBorders>
            <w:shd w:val="clear" w:color="auto" w:fill="auto"/>
          </w:tcPr>
          <w:p w:rsidR="003B06F5" w:rsidRDefault="00AD7FF7">
            <w:pPr>
              <w:spacing w:before="60" w:after="0"/>
              <w:jc w:val="right"/>
              <w:rPr>
                <w:rFonts w:ascii="Arial" w:hAnsi="Arial" w:cs="Arial"/>
                <w:noProof/>
                <w:color w:val="C00000"/>
                <w:sz w:val="20"/>
                <w:szCs w:val="28"/>
              </w:rPr>
            </w:pPr>
            <w:r>
              <w:rPr>
                <w:rFonts w:ascii="Arial" w:hAnsi="Arial" w:cs="Arial"/>
                <w:noProof/>
                <w:color w:val="C00000"/>
                <w:sz w:val="20"/>
                <w:szCs w:val="28"/>
              </w:rPr>
              <w:t>= 841</w:t>
            </w:r>
          </w:p>
        </w:tc>
        <w:tc>
          <w:tcPr>
            <w:tcW w:w="333" w:type="dxa"/>
            <w:shd w:val="clear" w:color="auto" w:fill="auto"/>
          </w:tcPr>
          <w:p w:rsidR="003B06F5" w:rsidRDefault="00AD7FF7">
            <w:pPr>
              <w:spacing w:before="60"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rsidR="003B06F5" w:rsidRDefault="00AD7FF7">
            <w:pPr>
              <w:spacing w:before="60" w:after="0"/>
              <w:jc w:val="left"/>
              <w:rPr>
                <w:rFonts w:ascii="Arial" w:hAnsi="Arial" w:cs="Arial"/>
                <w:noProof/>
                <w:color w:val="548DD4"/>
                <w:sz w:val="20"/>
                <w:szCs w:val="28"/>
              </w:rPr>
            </w:pPr>
            <w:r>
              <w:rPr>
                <w:rFonts w:ascii="Arial" w:hAnsi="Arial" w:cs="Arial"/>
                <w:noProof/>
                <w:color w:val="548DD4"/>
                <w:sz w:val="20"/>
                <w:szCs w:val="28"/>
              </w:rPr>
              <w:t xml:space="preserve">EU Pilot files open at </w:t>
            </w:r>
            <w:r>
              <w:rPr>
                <w:rFonts w:ascii="Arial" w:hAnsi="Arial" w:cs="Arial"/>
                <w:noProof/>
                <w:color w:val="548DD4"/>
                <w:sz w:val="20"/>
                <w:szCs w:val="28"/>
              </w:rPr>
              <w:t>end-2017</w:t>
            </w:r>
          </w:p>
        </w:tc>
      </w:tr>
    </w:tbl>
    <w:p w:rsidR="003B06F5" w:rsidRDefault="00AD7FF7">
      <w:pPr>
        <w:spacing w:before="120" w:after="0"/>
        <w:ind w:left="720"/>
        <w:rPr>
          <w:rFonts w:ascii="Arial" w:hAnsi="Arial" w:cs="Arial"/>
          <w:i/>
          <w:noProof/>
          <w:sz w:val="20"/>
        </w:rPr>
      </w:pPr>
      <w:r>
        <w:rPr>
          <w:rFonts w:ascii="Arial" w:hAnsi="Arial" w:cs="Arial"/>
          <w:b/>
          <w:noProof/>
          <w:sz w:val="20"/>
        </w:rPr>
        <w:t xml:space="preserve">178 new EU Pilot files were opened in 2017. </w:t>
      </w:r>
      <w:r>
        <w:rPr>
          <w:rFonts w:ascii="Arial" w:hAnsi="Arial" w:cs="Arial"/>
          <w:noProof/>
          <w:sz w:val="20"/>
        </w:rPr>
        <w:t>Of these, 39 were triggered by complaints and 139 were opened by the Commission on its own initiative.</w:t>
      </w:r>
    </w:p>
    <w:p w:rsidR="003B06F5" w:rsidRDefault="003B06F5">
      <w:pPr>
        <w:spacing w:before="120" w:after="0"/>
        <w:ind w:left="720"/>
        <w:rPr>
          <w:rFonts w:ascii="Arial" w:hAnsi="Arial" w:cs="Arial"/>
          <w:noProof/>
          <w:sz w:val="20"/>
        </w:rPr>
      </w:pPr>
    </w:p>
    <w:p w:rsidR="003B06F5" w:rsidRDefault="00AD7FF7">
      <w:pPr>
        <w:spacing w:after="120"/>
        <w:ind w:left="709"/>
        <w:rPr>
          <w:rFonts w:ascii="Arial" w:hAnsi="Arial" w:cs="Arial"/>
          <w:noProof/>
          <w:sz w:val="20"/>
        </w:rPr>
      </w:pPr>
      <w:r>
        <w:rPr>
          <w:rFonts w:ascii="Arial" w:hAnsi="Arial" w:cs="Arial"/>
          <w:noProof/>
          <w:sz w:val="20"/>
        </w:rPr>
        <w:t>The following pie chart shows the policy areas in which most new EU Pilot files were opened in 201</w:t>
      </w:r>
      <w:r>
        <w:rPr>
          <w:rFonts w:ascii="Arial" w:hAnsi="Arial" w:cs="Arial"/>
          <w:noProof/>
          <w:sz w:val="20"/>
        </w:rPr>
        <w:t>7:</w:t>
      </w:r>
    </w:p>
    <w:p w:rsidR="003B06F5" w:rsidRDefault="00AD7FF7">
      <w:pPr>
        <w:pStyle w:val="Body"/>
        <w:ind w:left="709"/>
        <w:rPr>
          <w:noProof/>
        </w:rPr>
      </w:pPr>
      <w:r>
        <w:rPr>
          <w:noProof/>
          <w:lang w:eastAsia="en-GB"/>
        </w:rPr>
        <w:drawing>
          <wp:inline distT="0" distB="0" distL="0" distR="0" wp14:anchorId="6A02F5C6" wp14:editId="0E9B9E13">
            <wp:extent cx="5271770" cy="3045460"/>
            <wp:effectExtent l="0" t="0" r="24130" b="21590"/>
            <wp:docPr id="5" name="Grafie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06F5" w:rsidRDefault="00AD7FF7">
      <w:pPr>
        <w:ind w:left="709"/>
        <w:rPr>
          <w:rFonts w:ascii="Arial" w:hAnsi="Arial" w:cs="Arial"/>
          <w:noProof/>
          <w:sz w:val="20"/>
        </w:rPr>
      </w:pPr>
      <w:r>
        <w:rPr>
          <w:rFonts w:ascii="Arial" w:hAnsi="Arial" w:cs="Arial"/>
          <w:b/>
          <w:noProof/>
          <w:sz w:val="20"/>
        </w:rPr>
        <w:t>The Commission handled 512 EU Pilot files</w:t>
      </w:r>
      <w:r>
        <w:rPr>
          <w:rFonts w:ascii="Arial" w:hAnsi="Arial" w:cs="Arial"/>
          <w:noProof/>
          <w:sz w:val="20"/>
        </w:rPr>
        <w:t xml:space="preserve"> </w:t>
      </w:r>
      <w:r>
        <w:rPr>
          <w:rFonts w:ascii="Arial" w:hAnsi="Arial" w:cs="Arial"/>
          <w:b/>
          <w:noProof/>
          <w:sz w:val="20"/>
        </w:rPr>
        <w:t>in 2017</w:t>
      </w:r>
      <w:r>
        <w:rPr>
          <w:rFonts w:ascii="Arial" w:hAnsi="Arial" w:cs="Arial"/>
          <w:noProof/>
          <w:sz w:val="20"/>
        </w:rPr>
        <w:t xml:space="preserve">. It closed 393 of these after receiving satisfactory answers from the Member States concerned. This gives a resolution rate of </w:t>
      </w:r>
      <w:r>
        <w:rPr>
          <w:rFonts w:ascii="Arial" w:hAnsi="Arial" w:cs="Arial"/>
          <w:b/>
          <w:noProof/>
          <w:sz w:val="20"/>
        </w:rPr>
        <w:t>77 %</w:t>
      </w:r>
      <w:r>
        <w:rPr>
          <w:rFonts w:ascii="Arial" w:hAnsi="Arial" w:cs="Arial"/>
          <w:noProof/>
          <w:sz w:val="20"/>
        </w:rPr>
        <w:t>, which is above the 2016 and 2015 levels.</w:t>
      </w:r>
    </w:p>
    <w:p w:rsidR="003B06F5" w:rsidRDefault="00AD7FF7">
      <w:pPr>
        <w:ind w:left="709"/>
        <w:rPr>
          <w:rFonts w:ascii="Arial" w:hAnsi="Arial" w:cs="Arial"/>
          <w:i/>
          <w:noProof/>
          <w:sz w:val="20"/>
        </w:rPr>
      </w:pPr>
      <w:r>
        <w:rPr>
          <w:rFonts w:ascii="Arial" w:hAnsi="Arial" w:cs="Arial"/>
          <w:noProof/>
          <w:sz w:val="20"/>
        </w:rPr>
        <w:t xml:space="preserve">Altogether, </w:t>
      </w:r>
      <w:r>
        <w:rPr>
          <w:rFonts w:ascii="Arial" w:hAnsi="Arial" w:cs="Arial"/>
          <w:b/>
          <w:noProof/>
          <w:sz w:val="20"/>
        </w:rPr>
        <w:t xml:space="preserve">119 EU Pilot </w:t>
      </w:r>
      <w:r>
        <w:rPr>
          <w:rFonts w:ascii="Arial" w:hAnsi="Arial" w:cs="Arial"/>
          <w:b/>
          <w:noProof/>
          <w:sz w:val="20"/>
        </w:rPr>
        <w:t>files</w:t>
      </w:r>
      <w:r>
        <w:rPr>
          <w:rFonts w:ascii="Arial" w:hAnsi="Arial" w:cs="Arial"/>
          <w:noProof/>
          <w:sz w:val="20"/>
        </w:rPr>
        <w:t xml:space="preserve"> were closed because the Commission rejected the responses provided by Member States. Of these, 60 were followed up by launching formal infringement procedures. While 8 of these procedures were based on complaints, the Commission launched the remainin</w:t>
      </w:r>
      <w:r>
        <w:rPr>
          <w:rFonts w:ascii="Arial" w:hAnsi="Arial" w:cs="Arial"/>
          <w:noProof/>
          <w:sz w:val="20"/>
        </w:rPr>
        <w:t>g 52 at its own initiative.</w:t>
      </w:r>
    </w:p>
    <w:p w:rsidR="003B06F5" w:rsidRDefault="00AD7FF7">
      <w:pPr>
        <w:pStyle w:val="Body"/>
        <w:ind w:left="709"/>
        <w:rPr>
          <w:noProof/>
        </w:rPr>
      </w:pPr>
      <w:r>
        <w:rPr>
          <w:noProof/>
        </w:rPr>
        <w:t xml:space="preserve">Most EU Pilot files which led to formal infringement procedures concerned the following policy areas: environment (27 cases), energy (7), and communications, networks, content and technology (6). Slovenia had the highest number </w:t>
      </w:r>
      <w:r>
        <w:rPr>
          <w:noProof/>
        </w:rPr>
        <w:t>of files in EU Pilot which were pursued through infringement procedures (6), followed by Spain, Portugal and Greece (5 files each).</w:t>
      </w:r>
    </w:p>
    <w:p w:rsidR="003B06F5" w:rsidRDefault="00AD7FF7">
      <w:pPr>
        <w:ind w:left="357"/>
        <w:rPr>
          <w:rFonts w:ascii="Arial" w:hAnsi="Arial" w:cs="Arial"/>
          <w:noProof/>
          <w:sz w:val="20"/>
        </w:rPr>
      </w:pPr>
      <w:r>
        <w:rPr>
          <w:rFonts w:ascii="Arial" w:hAnsi="Arial" w:cs="Arial"/>
          <w:noProof/>
          <w:sz w:val="20"/>
          <w:lang w:eastAsia="en-GB"/>
        </w:rPr>
        <w:drawing>
          <wp:inline distT="0" distB="0" distL="0" distR="0" wp14:anchorId="030BFD06" wp14:editId="7DF6728B">
            <wp:extent cx="5192395" cy="2289810"/>
            <wp:effectExtent l="0" t="0" r="27305" b="15240"/>
            <wp:docPr id="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06F5" w:rsidRDefault="00AD7FF7">
      <w:pPr>
        <w:ind w:left="357"/>
        <w:rPr>
          <w:rFonts w:ascii="Arial" w:hAnsi="Arial" w:cs="Arial"/>
          <w:noProof/>
          <w:sz w:val="20"/>
        </w:rPr>
      </w:pPr>
      <w:r>
        <w:rPr>
          <w:rFonts w:ascii="Arial" w:hAnsi="Arial" w:cs="Arial"/>
          <w:b/>
          <w:noProof/>
          <w:sz w:val="20"/>
        </w:rPr>
        <w:t>At the end of 2017, 841 EU Pilot files were open</w:t>
      </w:r>
      <w:r>
        <w:rPr>
          <w:rFonts w:ascii="Arial" w:hAnsi="Arial" w:cs="Arial"/>
          <w:noProof/>
          <w:sz w:val="20"/>
        </w:rPr>
        <w:t xml:space="preserve">. The main Member States concerned were Italy (70), Spain (55) and France </w:t>
      </w:r>
      <w:r>
        <w:rPr>
          <w:rFonts w:ascii="Arial" w:hAnsi="Arial" w:cs="Arial"/>
          <w:noProof/>
          <w:sz w:val="20"/>
        </w:rPr>
        <w:t>(50). The environment remained the main policy area affected (240 open files), followed by justice and consumers (127), taxation and customs (94), and internal market, industry, entrepreneurship and SMEs (90).</w:t>
      </w:r>
    </w:p>
    <w:p w:rsidR="003B06F5" w:rsidRDefault="00AD7FF7">
      <w:pPr>
        <w:pStyle w:val="kop2"/>
        <w:rPr>
          <w:noProof/>
        </w:rPr>
      </w:pPr>
      <w:bookmarkStart w:id="21" w:name="_Toc437944195"/>
      <w:bookmarkStart w:id="22" w:name="_Toc444796662"/>
      <w:bookmarkStart w:id="23" w:name="_Toc507580223"/>
      <w:r>
        <w:rPr>
          <w:caps w:val="0"/>
          <w:noProof/>
        </w:rPr>
        <w:t>Stages in infringement procedures</w:t>
      </w:r>
      <w:bookmarkEnd w:id="21"/>
      <w:bookmarkEnd w:id="22"/>
      <w:bookmarkEnd w:id="23"/>
    </w:p>
    <w:p w:rsidR="003B06F5" w:rsidRDefault="00AD7FF7">
      <w:pPr>
        <w:pStyle w:val="kop3"/>
        <w:numPr>
          <w:ilvl w:val="0"/>
          <w:numId w:val="26"/>
        </w:numPr>
        <w:rPr>
          <w:noProof/>
        </w:rPr>
      </w:pPr>
      <w:bookmarkStart w:id="24" w:name="_Toc437944196"/>
      <w:bookmarkStart w:id="25" w:name="_Toc444796663"/>
      <w:bookmarkStart w:id="26" w:name="_Toc507580224"/>
      <w:r>
        <w:rPr>
          <w:noProof/>
        </w:rPr>
        <w:t>Pre-litigati</w:t>
      </w:r>
      <w:r>
        <w:rPr>
          <w:noProof/>
        </w:rPr>
        <w:t>on phase</w:t>
      </w:r>
      <w:bookmarkEnd w:id="24"/>
      <w:bookmarkEnd w:id="25"/>
      <w:bookmarkEnd w:id="26"/>
    </w:p>
    <w:p w:rsidR="003B06F5" w:rsidRDefault="00AD7FF7">
      <w:pPr>
        <w:ind w:left="720"/>
        <w:rPr>
          <w:rFonts w:ascii="Arial" w:hAnsi="Arial" w:cs="Arial"/>
          <w:noProof/>
          <w:sz w:val="20"/>
        </w:rPr>
      </w:pPr>
      <w:r>
        <w:rPr>
          <w:rFonts w:ascii="Arial" w:hAnsi="Arial" w:cs="Arial"/>
          <w:noProof/>
          <w:sz w:val="20"/>
        </w:rPr>
        <w:t xml:space="preserve">In 2017, the Commission launched </w:t>
      </w:r>
      <w:r>
        <w:rPr>
          <w:rFonts w:ascii="Arial" w:hAnsi="Arial" w:cs="Arial"/>
          <w:b/>
          <w:noProof/>
          <w:sz w:val="20"/>
        </w:rPr>
        <w:t xml:space="preserve">716 </w:t>
      </w:r>
      <w:r>
        <w:rPr>
          <w:rFonts w:ascii="Arial" w:hAnsi="Arial" w:cs="Arial"/>
          <w:noProof/>
          <w:sz w:val="20"/>
        </w:rPr>
        <w:t>new procedures by sending a letter of formal notice. The following chart gives the breakdown by Member State.</w:t>
      </w:r>
    </w:p>
    <w:p w:rsidR="003B06F5" w:rsidRDefault="00AD7FF7">
      <w:pPr>
        <w:ind w:left="720"/>
        <w:rPr>
          <w:rFonts w:ascii="Verdana" w:hAnsi="Verdana"/>
          <w:noProof/>
          <w:sz w:val="20"/>
        </w:rPr>
      </w:pPr>
      <w:r>
        <w:rPr>
          <w:noProof/>
          <w:lang w:eastAsia="en-GB"/>
        </w:rPr>
        <w:drawing>
          <wp:inline distT="0" distB="0" distL="0" distR="0" wp14:anchorId="72953482" wp14:editId="610C534A">
            <wp:extent cx="5311775" cy="2456815"/>
            <wp:effectExtent l="0" t="0" r="0" b="0"/>
            <wp:docPr id="7"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B06F5" w:rsidRDefault="00AD7FF7">
      <w:pPr>
        <w:spacing w:after="0"/>
        <w:jc w:val="left"/>
        <w:rPr>
          <w:rFonts w:ascii="Arial" w:hAnsi="Arial" w:cs="Arial"/>
          <w:noProof/>
          <w:sz w:val="20"/>
        </w:rPr>
      </w:pPr>
      <w:r>
        <w:rPr>
          <w:rFonts w:ascii="Arial" w:hAnsi="Arial" w:cs="Arial"/>
          <w:noProof/>
          <w:sz w:val="20"/>
        </w:rPr>
        <w:br w:type="page"/>
      </w:r>
    </w:p>
    <w:p w:rsidR="003B06F5" w:rsidRDefault="003B06F5">
      <w:pPr>
        <w:spacing w:after="0"/>
        <w:jc w:val="left"/>
        <w:rPr>
          <w:rFonts w:ascii="Arial" w:hAnsi="Arial" w:cs="Arial"/>
          <w:noProof/>
          <w:sz w:val="20"/>
        </w:rPr>
      </w:pPr>
    </w:p>
    <w:p w:rsidR="003B06F5" w:rsidRDefault="00AD7FF7">
      <w:pPr>
        <w:pStyle w:val="Body"/>
        <w:spacing w:after="120"/>
        <w:ind w:firstLine="363"/>
        <w:rPr>
          <w:noProof/>
        </w:rPr>
      </w:pPr>
      <w:r>
        <w:rPr>
          <w:noProof/>
        </w:rPr>
        <w:t>The following chart shows the main policy areas in which new procedures were opened.</w:t>
      </w:r>
    </w:p>
    <w:p w:rsidR="003B06F5" w:rsidRDefault="00AD7FF7">
      <w:pPr>
        <w:spacing w:after="120"/>
        <w:ind w:left="720"/>
        <w:rPr>
          <w:rFonts w:ascii="Verdana" w:hAnsi="Verdana"/>
          <w:noProof/>
          <w:sz w:val="20"/>
        </w:rPr>
      </w:pPr>
      <w:r>
        <w:rPr>
          <w:noProof/>
          <w:lang w:eastAsia="en-GB"/>
        </w:rPr>
        <w:drawing>
          <wp:inline distT="0" distB="0" distL="0" distR="0" wp14:anchorId="30E425A9" wp14:editId="3B858DD3">
            <wp:extent cx="5295265" cy="2934335"/>
            <wp:effectExtent l="0" t="0" r="19685" b="18415"/>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B06F5" w:rsidRDefault="003B06F5">
      <w:pPr>
        <w:spacing w:after="120"/>
        <w:ind w:left="720"/>
        <w:rPr>
          <w:rFonts w:ascii="Arial" w:hAnsi="Arial" w:cs="Arial"/>
          <w:noProof/>
          <w:sz w:val="20"/>
        </w:rPr>
      </w:pPr>
    </w:p>
    <w:p w:rsidR="003B06F5" w:rsidRDefault="00AD7FF7">
      <w:pPr>
        <w:spacing w:after="120"/>
        <w:ind w:left="720"/>
        <w:rPr>
          <w:rFonts w:ascii="Arial" w:hAnsi="Arial" w:cs="Arial"/>
          <w:noProof/>
          <w:sz w:val="20"/>
        </w:rPr>
      </w:pPr>
      <w:r>
        <w:rPr>
          <w:rFonts w:ascii="Arial" w:hAnsi="Arial" w:cs="Arial"/>
          <w:noProof/>
          <w:sz w:val="20"/>
        </w:rPr>
        <w:t>The Com</w:t>
      </w:r>
      <w:r>
        <w:rPr>
          <w:rFonts w:ascii="Arial" w:hAnsi="Arial" w:cs="Arial"/>
          <w:noProof/>
          <w:sz w:val="20"/>
        </w:rPr>
        <w:t xml:space="preserve">mission also sent </w:t>
      </w:r>
      <w:r>
        <w:rPr>
          <w:rFonts w:ascii="Arial" w:hAnsi="Arial"/>
          <w:noProof/>
          <w:sz w:val="20"/>
        </w:rPr>
        <w:t xml:space="preserve">275 reasoned opinions to Member States in 2017. The main policy areas concerned were </w:t>
      </w:r>
      <w:r>
        <w:rPr>
          <w:rFonts w:ascii="Arial" w:hAnsi="Arial" w:cs="Arial"/>
          <w:noProof/>
          <w:sz w:val="20"/>
        </w:rPr>
        <w:t>environment</w:t>
      </w:r>
      <w:r>
        <w:rPr>
          <w:rFonts w:ascii="Arial" w:hAnsi="Arial"/>
          <w:noProof/>
          <w:sz w:val="20"/>
        </w:rPr>
        <w:t xml:space="preserve"> (45), </w:t>
      </w:r>
      <w:r>
        <w:rPr>
          <w:rFonts w:ascii="Arial" w:hAnsi="Arial" w:cs="Arial"/>
          <w:noProof/>
          <w:sz w:val="20"/>
        </w:rPr>
        <w:t>mobility</w:t>
      </w:r>
      <w:r>
        <w:rPr>
          <w:rFonts w:ascii="Arial" w:hAnsi="Arial"/>
          <w:noProof/>
          <w:sz w:val="20"/>
        </w:rPr>
        <w:t xml:space="preserve"> and </w:t>
      </w:r>
      <w:r>
        <w:rPr>
          <w:rFonts w:ascii="Arial" w:hAnsi="Arial" w:cs="Arial"/>
          <w:noProof/>
          <w:sz w:val="20"/>
        </w:rPr>
        <w:t>transport</w:t>
      </w:r>
      <w:r>
        <w:rPr>
          <w:rFonts w:ascii="Arial" w:hAnsi="Arial"/>
          <w:noProof/>
          <w:sz w:val="20"/>
        </w:rPr>
        <w:t xml:space="preserve"> (45), </w:t>
      </w:r>
      <w:r>
        <w:rPr>
          <w:rFonts w:ascii="Arial" w:hAnsi="Arial" w:cs="Arial"/>
          <w:noProof/>
          <w:sz w:val="20"/>
        </w:rPr>
        <w:t xml:space="preserve">financial </w:t>
      </w:r>
      <w:r>
        <w:rPr>
          <w:rFonts w:ascii="Arial" w:hAnsi="Arial"/>
          <w:noProof/>
          <w:sz w:val="20"/>
        </w:rPr>
        <w:t xml:space="preserve">services (43), and </w:t>
      </w:r>
      <w:r>
        <w:rPr>
          <w:rFonts w:ascii="Arial" w:hAnsi="Arial" w:cs="Arial"/>
          <w:noProof/>
          <w:sz w:val="20"/>
        </w:rPr>
        <w:t>internal market</w:t>
      </w:r>
      <w:r>
        <w:rPr>
          <w:rFonts w:ascii="Arial" w:hAnsi="Arial"/>
          <w:noProof/>
          <w:sz w:val="20"/>
        </w:rPr>
        <w:t xml:space="preserve"> (36).</w:t>
      </w:r>
    </w:p>
    <w:p w:rsidR="003B06F5" w:rsidRDefault="00AD7FF7">
      <w:pPr>
        <w:ind w:left="720"/>
        <w:rPr>
          <w:rFonts w:ascii="Arial" w:hAnsi="Arial" w:cs="Arial"/>
          <w:noProof/>
          <w:sz w:val="20"/>
        </w:rPr>
      </w:pPr>
      <w:r>
        <w:rPr>
          <w:rFonts w:ascii="Arial" w:hAnsi="Arial" w:cs="Arial"/>
          <w:noProof/>
          <w:sz w:val="20"/>
        </w:rPr>
        <w:t>The following chart gives the breakdown by Member State</w:t>
      </w:r>
      <w:r>
        <w:rPr>
          <w:rFonts w:ascii="Arial" w:hAnsi="Arial" w:cs="Arial"/>
          <w:noProof/>
          <w:sz w:val="20"/>
        </w:rPr>
        <w:t>.</w:t>
      </w:r>
    </w:p>
    <w:p w:rsidR="003B06F5" w:rsidRDefault="00AD7FF7">
      <w:pPr>
        <w:spacing w:after="120"/>
        <w:ind w:left="720"/>
        <w:rPr>
          <w:rFonts w:ascii="Arial" w:hAnsi="Arial" w:cs="Arial"/>
          <w:noProof/>
          <w:sz w:val="20"/>
        </w:rPr>
      </w:pPr>
      <w:r>
        <w:rPr>
          <w:noProof/>
          <w:lang w:eastAsia="en-GB"/>
        </w:rPr>
        <w:drawing>
          <wp:inline distT="0" distB="0" distL="0" distR="0" wp14:anchorId="0D9EB1CB" wp14:editId="1C177FEE">
            <wp:extent cx="5311775" cy="2194560"/>
            <wp:effectExtent l="0" t="0" r="0" b="0"/>
            <wp:docPr id="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B06F5" w:rsidRDefault="003B06F5">
      <w:pPr>
        <w:ind w:left="720"/>
        <w:rPr>
          <w:rFonts w:ascii="Arial" w:hAnsi="Arial" w:cs="Arial"/>
          <w:noProof/>
          <w:sz w:val="20"/>
        </w:rPr>
      </w:pPr>
    </w:p>
    <w:p w:rsidR="003B06F5" w:rsidRDefault="00AD7FF7">
      <w:pPr>
        <w:spacing w:after="200" w:line="276" w:lineRule="auto"/>
        <w:jc w:val="left"/>
        <w:rPr>
          <w:rFonts w:ascii="Arial" w:hAnsi="Arial" w:cs="Arial"/>
          <w:noProof/>
          <w:sz w:val="20"/>
        </w:rPr>
      </w:pPr>
      <w:r>
        <w:rPr>
          <w:rFonts w:ascii="Arial" w:hAnsi="Arial" w:cs="Arial"/>
          <w:noProof/>
          <w:sz w:val="20"/>
        </w:rPr>
        <w:br w:type="page"/>
      </w:r>
    </w:p>
    <w:p w:rsidR="003B06F5" w:rsidRDefault="003B06F5">
      <w:pPr>
        <w:ind w:left="720"/>
        <w:rPr>
          <w:rFonts w:ascii="Arial" w:hAnsi="Arial" w:cs="Arial"/>
          <w:noProof/>
          <w:sz w:val="20"/>
        </w:rPr>
      </w:pPr>
    </w:p>
    <w:p w:rsidR="003B06F5" w:rsidRDefault="00AD7FF7">
      <w:pPr>
        <w:ind w:left="720"/>
        <w:rPr>
          <w:rFonts w:ascii="Arial" w:hAnsi="Arial" w:cs="Arial"/>
          <w:noProof/>
          <w:sz w:val="20"/>
        </w:rPr>
      </w:pPr>
      <w:r>
        <w:rPr>
          <w:rFonts w:ascii="Arial" w:hAnsi="Arial" w:cs="Arial"/>
          <w:noProof/>
          <w:sz w:val="20"/>
        </w:rPr>
        <w:t xml:space="preserve">At the end of 2017, </w:t>
      </w:r>
      <w:r>
        <w:rPr>
          <w:rFonts w:ascii="Arial" w:hAnsi="Arial" w:cs="Arial"/>
          <w:b/>
          <w:noProof/>
          <w:sz w:val="20"/>
        </w:rPr>
        <w:t>1 559</w:t>
      </w:r>
      <w:r>
        <w:rPr>
          <w:rFonts w:ascii="Arial" w:hAnsi="Arial" w:cs="Arial"/>
          <w:noProof/>
          <w:sz w:val="20"/>
        </w:rPr>
        <w:t xml:space="preserve"> infringement cases remained open. </w:t>
      </w:r>
      <w:r>
        <w:rPr>
          <w:rFonts w:ascii="Arial" w:hAnsi="Arial"/>
          <w:noProof/>
          <w:sz w:val="20"/>
        </w:rPr>
        <w:t>This is a decrease from the previous year, as the following chart shows.</w:t>
      </w:r>
    </w:p>
    <w:p w:rsidR="003B06F5" w:rsidRDefault="00AD7FF7">
      <w:pPr>
        <w:spacing w:after="120"/>
        <w:ind w:left="720"/>
        <w:rPr>
          <w:rFonts w:ascii="Verdana" w:hAnsi="Verdana"/>
          <w:noProof/>
          <w:sz w:val="20"/>
        </w:rPr>
      </w:pPr>
      <w:r>
        <w:rPr>
          <w:noProof/>
          <w:lang w:eastAsia="en-GB"/>
        </w:rPr>
        <w:drawing>
          <wp:inline distT="0" distB="0" distL="0" distR="0" wp14:anchorId="4C93965E" wp14:editId="54FC63DF">
            <wp:extent cx="4802505" cy="2345690"/>
            <wp:effectExtent l="0" t="0" r="17145" b="1651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B06F5" w:rsidRDefault="003B06F5">
      <w:pPr>
        <w:spacing w:after="0"/>
        <w:jc w:val="left"/>
        <w:rPr>
          <w:rFonts w:ascii="Arial" w:hAnsi="Arial" w:cs="Arial"/>
          <w:noProof/>
          <w:sz w:val="20"/>
        </w:rPr>
      </w:pPr>
    </w:p>
    <w:p w:rsidR="003B06F5" w:rsidRDefault="00AD7FF7">
      <w:pPr>
        <w:pStyle w:val="Body"/>
        <w:rPr>
          <w:noProof/>
        </w:rPr>
      </w:pPr>
      <w:r>
        <w:rPr>
          <w:noProof/>
        </w:rPr>
        <w:t>The following chart shows the number of open infringement cases by Member State at the end of 2017:</w:t>
      </w:r>
    </w:p>
    <w:p w:rsidR="003B06F5" w:rsidRDefault="00AD7FF7">
      <w:pPr>
        <w:pStyle w:val="Lijstje3"/>
        <w:numPr>
          <w:ilvl w:val="0"/>
          <w:numId w:val="0"/>
        </w:numPr>
        <w:ind w:firstLine="720"/>
        <w:rPr>
          <w:noProof/>
          <w:lang w:val="en-GB"/>
        </w:rPr>
      </w:pPr>
      <w:r>
        <w:rPr>
          <w:noProof/>
          <w:lang w:val="en-GB" w:eastAsia="en-GB"/>
        </w:rPr>
        <w:drawing>
          <wp:inline distT="0" distB="0" distL="0" distR="0" wp14:anchorId="7190460A" wp14:editId="46DBDA47">
            <wp:extent cx="4953635" cy="3474720"/>
            <wp:effectExtent l="0" t="0" r="0" b="0"/>
            <wp:docPr id="11"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B06F5" w:rsidRDefault="00AD7FF7">
      <w:pPr>
        <w:spacing w:after="0"/>
        <w:jc w:val="left"/>
        <w:rPr>
          <w:rFonts w:ascii="Arial" w:hAnsi="Arial" w:cs="Arial"/>
          <w:noProof/>
          <w:sz w:val="20"/>
        </w:rPr>
      </w:pPr>
      <w:r>
        <w:rPr>
          <w:rFonts w:ascii="Arial" w:hAnsi="Arial" w:cs="Arial"/>
          <w:noProof/>
          <w:sz w:val="20"/>
        </w:rPr>
        <w:br w:type="page"/>
      </w:r>
    </w:p>
    <w:p w:rsidR="003B06F5" w:rsidRDefault="00AD7FF7">
      <w:pPr>
        <w:spacing w:after="0"/>
        <w:jc w:val="left"/>
        <w:rPr>
          <w:rFonts w:ascii="Arial" w:hAnsi="Arial" w:cs="Arial"/>
          <w:noProof/>
          <w:sz w:val="20"/>
        </w:rPr>
      </w:pPr>
      <w:r>
        <w:rPr>
          <w:rFonts w:ascii="Arial" w:hAnsi="Arial" w:cs="Arial"/>
          <w:noProof/>
          <w:sz w:val="20"/>
        </w:rPr>
        <w:t xml:space="preserve">The </w:t>
      </w:r>
      <w:r>
        <w:rPr>
          <w:rFonts w:ascii="Arial" w:hAnsi="Arial" w:cs="Arial"/>
          <w:noProof/>
          <w:sz w:val="20"/>
        </w:rPr>
        <w:t>following chart shows the breakdown of the infringement cases open at the end of 2017, by policy area:</w:t>
      </w:r>
    </w:p>
    <w:p w:rsidR="003B06F5" w:rsidRDefault="00AD7FF7">
      <w:pPr>
        <w:pStyle w:val="Lijstje3"/>
        <w:numPr>
          <w:ilvl w:val="0"/>
          <w:numId w:val="0"/>
        </w:numPr>
        <w:ind w:left="1069" w:hanging="283"/>
        <w:rPr>
          <w:noProof/>
          <w:lang w:val="en-GB"/>
        </w:rPr>
      </w:pPr>
      <w:r>
        <w:rPr>
          <w:noProof/>
          <w:lang w:val="en-GB" w:eastAsia="en-GB"/>
        </w:rPr>
        <w:drawing>
          <wp:inline distT="0" distB="0" distL="0" distR="0" wp14:anchorId="7B51BE2A" wp14:editId="09F95270">
            <wp:extent cx="5295265" cy="4246245"/>
            <wp:effectExtent l="0" t="0" r="19685" b="20955"/>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B06F5" w:rsidRDefault="003B06F5">
      <w:pPr>
        <w:pStyle w:val="Lijstje3"/>
        <w:numPr>
          <w:ilvl w:val="0"/>
          <w:numId w:val="0"/>
        </w:numPr>
        <w:ind w:left="1069" w:hanging="283"/>
        <w:rPr>
          <w:noProof/>
          <w:lang w:val="en-GB"/>
        </w:rPr>
      </w:pPr>
    </w:p>
    <w:p w:rsidR="003B06F5" w:rsidRDefault="00AD7FF7">
      <w:pPr>
        <w:ind w:left="720"/>
        <w:rPr>
          <w:rStyle w:val="BodyChar"/>
          <w:noProof/>
        </w:rPr>
      </w:pPr>
      <w:r>
        <w:rPr>
          <w:rStyle w:val="BodyChar"/>
          <w:noProof/>
        </w:rPr>
        <w:t>Even after it has launched an infringement procedure, the Commission continues its dialogue with the Member State in order to seek compliance. Statist</w:t>
      </w:r>
      <w:r>
        <w:rPr>
          <w:rStyle w:val="BodyChar"/>
          <w:noProof/>
        </w:rPr>
        <w:t>ics confirm that Member States make serious efforts to settle their infringements before the Court hands down its ruling.</w:t>
      </w:r>
    </w:p>
    <w:p w:rsidR="003B06F5" w:rsidRDefault="00AD7FF7">
      <w:pPr>
        <w:ind w:left="720"/>
        <w:rPr>
          <w:rFonts w:ascii="Arial" w:hAnsi="Arial" w:cs="Arial"/>
          <w:noProof/>
          <w:sz w:val="20"/>
        </w:rPr>
      </w:pPr>
      <w:r>
        <w:rPr>
          <w:rFonts w:ascii="Arial" w:hAnsi="Arial" w:cs="Arial"/>
          <w:noProof/>
          <w:sz w:val="20"/>
        </w:rPr>
        <w:t xml:space="preserve">In 2017 the Commission closed the following. </w:t>
      </w:r>
    </w:p>
    <w:p w:rsidR="003B06F5" w:rsidRDefault="00AD7FF7">
      <w:pPr>
        <w:numPr>
          <w:ilvl w:val="0"/>
          <w:numId w:val="29"/>
        </w:numPr>
        <w:spacing w:after="200" w:line="276" w:lineRule="auto"/>
        <w:ind w:left="1077" w:hanging="357"/>
        <w:contextualSpacing/>
        <w:rPr>
          <w:rFonts w:ascii="Arial" w:hAnsi="Arial" w:cs="Arial"/>
          <w:noProof/>
          <w:sz w:val="20"/>
        </w:rPr>
      </w:pPr>
      <w:r>
        <w:rPr>
          <w:rFonts w:ascii="Arial" w:hAnsi="Arial" w:cs="Arial"/>
          <w:noProof/>
          <w:sz w:val="20"/>
        </w:rPr>
        <w:t>563</w:t>
      </w:r>
      <w:r>
        <w:rPr>
          <w:rStyle w:val="FootnoteReference"/>
          <w:rFonts w:ascii="Arial" w:hAnsi="Arial" w:cs="Arial"/>
          <w:noProof/>
          <w:sz w:val="20"/>
        </w:rPr>
        <w:footnoteReference w:id="23"/>
      </w:r>
      <w:r>
        <w:rPr>
          <w:rFonts w:ascii="Arial" w:hAnsi="Arial" w:cs="Arial"/>
          <w:noProof/>
          <w:sz w:val="20"/>
        </w:rPr>
        <w:t xml:space="preserve"> infringements after sending letters of formal notice.</w:t>
      </w:r>
    </w:p>
    <w:p w:rsidR="003B06F5" w:rsidRDefault="00AD7FF7">
      <w:pPr>
        <w:numPr>
          <w:ilvl w:val="0"/>
          <w:numId w:val="29"/>
        </w:numPr>
        <w:spacing w:after="200" w:line="276" w:lineRule="auto"/>
        <w:ind w:left="1077" w:hanging="357"/>
        <w:contextualSpacing/>
        <w:rPr>
          <w:rFonts w:ascii="Arial" w:hAnsi="Arial" w:cs="Arial"/>
          <w:noProof/>
          <w:sz w:val="20"/>
        </w:rPr>
      </w:pPr>
      <w:r>
        <w:rPr>
          <w:rFonts w:ascii="Arial" w:hAnsi="Arial" w:cs="Arial"/>
          <w:noProof/>
          <w:sz w:val="20"/>
        </w:rPr>
        <w:t>209 cases after sending reaso</w:t>
      </w:r>
      <w:r>
        <w:rPr>
          <w:rFonts w:ascii="Arial" w:hAnsi="Arial" w:cs="Arial"/>
          <w:noProof/>
          <w:sz w:val="20"/>
        </w:rPr>
        <w:t>ned opinions.</w:t>
      </w:r>
    </w:p>
    <w:p w:rsidR="003B06F5" w:rsidRDefault="00AD7FF7">
      <w:pPr>
        <w:numPr>
          <w:ilvl w:val="0"/>
          <w:numId w:val="29"/>
        </w:numPr>
        <w:spacing w:after="200" w:line="276" w:lineRule="auto"/>
        <w:ind w:left="1077" w:hanging="357"/>
        <w:contextualSpacing/>
        <w:rPr>
          <w:rFonts w:ascii="Arial" w:hAnsi="Arial" w:cs="Arial"/>
          <w:noProof/>
          <w:sz w:val="20"/>
        </w:rPr>
      </w:pPr>
      <w:r>
        <w:rPr>
          <w:rFonts w:ascii="Arial" w:eastAsia="Calibri" w:hAnsi="Arial" w:cs="Arial"/>
          <w:noProof/>
          <w:kern w:val="20"/>
          <w:sz w:val="20"/>
        </w:rPr>
        <w:t>17 cases after deciding to refer the case to the Court but before submitting the application, and 18 cases following a Court Judgment. In addition, the Commission withdrew 8 cases from the Court before the latter handed down its ruling.</w:t>
      </w:r>
      <w:r>
        <w:rPr>
          <w:rFonts w:ascii="Arial" w:hAnsi="Arial" w:cs="Arial"/>
          <w:noProof/>
          <w:sz w:val="20"/>
        </w:rPr>
        <w:t xml:space="preserve"> These</w:t>
      </w:r>
      <w:r>
        <w:rPr>
          <w:rFonts w:ascii="Arial" w:hAnsi="Arial" w:cs="Arial"/>
          <w:noProof/>
          <w:sz w:val="20"/>
        </w:rPr>
        <w:t xml:space="preserve"> cases were withdrawn as the Member States concerned took the necessary measures to comply with EU law.</w:t>
      </w:r>
    </w:p>
    <w:p w:rsidR="003B06F5" w:rsidRDefault="003B06F5">
      <w:pPr>
        <w:spacing w:after="200" w:line="276" w:lineRule="auto"/>
        <w:ind w:left="1077"/>
        <w:contextualSpacing/>
        <w:rPr>
          <w:rFonts w:ascii="Arial" w:hAnsi="Arial" w:cs="Arial"/>
          <w:noProof/>
          <w:sz w:val="20"/>
        </w:rPr>
      </w:pPr>
    </w:p>
    <w:p w:rsidR="003B06F5" w:rsidRDefault="00AD7FF7">
      <w:pPr>
        <w:spacing w:after="200" w:line="276" w:lineRule="auto"/>
        <w:ind w:left="720"/>
        <w:contextualSpacing/>
        <w:rPr>
          <w:rFonts w:ascii="Arial" w:hAnsi="Arial" w:cs="Arial"/>
          <w:noProof/>
          <w:sz w:val="20"/>
        </w:rPr>
      </w:pPr>
      <w:r>
        <w:rPr>
          <w:rFonts w:ascii="Arial" w:hAnsi="Arial" w:cs="Arial"/>
          <w:noProof/>
          <w:sz w:val="20"/>
        </w:rPr>
        <w:t xml:space="preserve">In 2017 the Commission referred and submitted 28 cases to the Court under Article 258 TFEU. </w:t>
      </w:r>
    </w:p>
    <w:p w:rsidR="003B06F5" w:rsidRDefault="003B06F5">
      <w:pPr>
        <w:spacing w:after="200" w:line="276" w:lineRule="auto"/>
        <w:ind w:left="720"/>
        <w:contextualSpacing/>
        <w:rPr>
          <w:rFonts w:ascii="Arial" w:hAnsi="Arial" w:cs="Arial"/>
          <w:noProof/>
          <w:sz w:val="20"/>
        </w:rPr>
      </w:pPr>
    </w:p>
    <w:p w:rsidR="003B06F5" w:rsidRDefault="00AD7FF7">
      <w:pPr>
        <w:spacing w:after="200" w:line="276" w:lineRule="auto"/>
        <w:ind w:left="720"/>
        <w:contextualSpacing/>
        <w:rPr>
          <w:rFonts w:ascii="Arial" w:hAnsi="Arial" w:cs="Arial"/>
          <w:noProof/>
          <w:sz w:val="20"/>
        </w:rPr>
      </w:pPr>
      <w:r>
        <w:rPr>
          <w:rFonts w:ascii="Arial" w:hAnsi="Arial" w:cs="Arial"/>
          <w:noProof/>
          <w:sz w:val="20"/>
        </w:rPr>
        <w:t xml:space="preserve">In 2017, the Commission referred 3 cases to the Court </w:t>
      </w:r>
      <w:r>
        <w:rPr>
          <w:rFonts w:ascii="Arial" w:hAnsi="Arial" w:cs="Arial"/>
          <w:noProof/>
          <w:sz w:val="20"/>
        </w:rPr>
        <w:t>under Article 260(2) TFEU.</w:t>
      </w:r>
    </w:p>
    <w:p w:rsidR="003B06F5" w:rsidRDefault="00AD7FF7">
      <w:pPr>
        <w:pStyle w:val="kop3"/>
        <w:rPr>
          <w:rStyle w:val="Strong"/>
          <w:rFonts w:ascii="Verdana" w:hAnsi="Verdana"/>
          <w:i w:val="0"/>
          <w:noProof/>
          <w:color w:val="006FB4"/>
        </w:rPr>
      </w:pPr>
      <w:bookmarkStart w:id="27" w:name="_Toc437944197"/>
      <w:bookmarkStart w:id="28" w:name="_Toc444796664"/>
      <w:bookmarkStart w:id="29" w:name="_Toc507580225"/>
      <w:r>
        <w:rPr>
          <w:noProof/>
        </w:rPr>
        <w:t>Judgments of the Court of Justice under Articles 258 and 260(2) TFEU</w:t>
      </w:r>
      <w:bookmarkEnd w:id="27"/>
      <w:bookmarkEnd w:id="28"/>
      <w:bookmarkEnd w:id="29"/>
    </w:p>
    <w:p w:rsidR="003B06F5" w:rsidRDefault="00AD7FF7">
      <w:pPr>
        <w:pStyle w:val="Body"/>
        <w:ind w:left="709"/>
        <w:rPr>
          <w:noProof/>
        </w:rPr>
      </w:pPr>
      <w:r>
        <w:rPr>
          <w:noProof/>
        </w:rPr>
        <w:t>In 2017 the Court gave 17 judgments under Article 258 TFEU and 1 judgment under Article 260§2 TFEU. All were in the Commission’s favour.</w:t>
      </w:r>
    </w:p>
    <w:p w:rsidR="003B06F5" w:rsidRDefault="00AD7FF7">
      <w:pPr>
        <w:pStyle w:val="Body"/>
        <w:ind w:left="709"/>
        <w:rPr>
          <w:noProof/>
        </w:rPr>
      </w:pPr>
      <w:r>
        <w:rPr>
          <w:noProof/>
        </w:rPr>
        <w:t>Germany (4), Greece (4)</w:t>
      </w:r>
      <w:r>
        <w:rPr>
          <w:noProof/>
        </w:rPr>
        <w:t>, Portugal (2) and Spain (2) were the subject of the most Court judgments under Article 258 TFEU in 2017.</w:t>
      </w:r>
    </w:p>
    <w:p w:rsidR="003B06F5" w:rsidRDefault="00AD7FF7">
      <w:pPr>
        <w:pStyle w:val="Body"/>
        <w:spacing w:after="120"/>
        <w:ind w:left="567"/>
        <w:rPr>
          <w:noProof/>
        </w:rPr>
      </w:pPr>
      <w:r>
        <w:rPr>
          <w:noProof/>
          <w:lang w:eastAsia="en-GB"/>
        </w:rPr>
        <w:drawing>
          <wp:inline distT="0" distB="0" distL="0" distR="0" wp14:anchorId="3CDC4BDC" wp14:editId="6A570119">
            <wp:extent cx="4953635" cy="3474720"/>
            <wp:effectExtent l="0" t="0" r="0" b="0"/>
            <wp:docPr id="1"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B06F5" w:rsidRDefault="003B06F5">
      <w:pPr>
        <w:pStyle w:val="Body"/>
        <w:ind w:left="0"/>
        <w:rPr>
          <w:bCs/>
          <w:noProof/>
        </w:rPr>
      </w:pPr>
    </w:p>
    <w:p w:rsidR="003B06F5" w:rsidRDefault="00AD7FF7">
      <w:pPr>
        <w:spacing w:after="0"/>
        <w:ind w:left="720"/>
        <w:rPr>
          <w:rFonts w:ascii="Arial" w:hAnsi="Arial" w:cs="Arial"/>
          <w:noProof/>
          <w:sz w:val="20"/>
        </w:rPr>
      </w:pPr>
      <w:r>
        <w:rPr>
          <w:rFonts w:ascii="Arial" w:hAnsi="Arial" w:cs="Arial"/>
          <w:noProof/>
          <w:sz w:val="20"/>
        </w:rPr>
        <w:t>Member States frequently take the measures needed to comply with a Court judgment promptly. However, at the end of the year 93 infringement procedu</w:t>
      </w:r>
      <w:r>
        <w:rPr>
          <w:rFonts w:ascii="Arial" w:hAnsi="Arial" w:cs="Arial"/>
          <w:noProof/>
          <w:sz w:val="20"/>
        </w:rPr>
        <w:t xml:space="preserve">res were still open after a Court ruling because the Commission considered that the Member States concerned had not yet complied with judgments under Article 258 TFEU. The main Member States concerned were Greece (16), Portugal (10), Spain (9) and Germany </w:t>
      </w:r>
      <w:r>
        <w:rPr>
          <w:rFonts w:ascii="Arial" w:hAnsi="Arial" w:cs="Arial"/>
          <w:noProof/>
          <w:sz w:val="20"/>
        </w:rPr>
        <w:t>(7). The cases mainly related to the environment (48), transport and mobility (18), taxation and customs (8), and the internal market (6).</w:t>
      </w:r>
    </w:p>
    <w:p w:rsidR="003B06F5" w:rsidRDefault="003B06F5">
      <w:pPr>
        <w:spacing w:after="0"/>
        <w:ind w:left="720"/>
        <w:rPr>
          <w:rFonts w:ascii="Arial" w:hAnsi="Arial" w:cs="Arial"/>
          <w:noProof/>
          <w:sz w:val="20"/>
        </w:rPr>
      </w:pPr>
    </w:p>
    <w:p w:rsidR="003B06F5" w:rsidRDefault="00AD7FF7">
      <w:pPr>
        <w:spacing w:after="0"/>
        <w:ind w:left="720"/>
        <w:rPr>
          <w:rFonts w:ascii="Arial" w:hAnsi="Arial" w:cs="Arial"/>
          <w:noProof/>
          <w:sz w:val="20"/>
        </w:rPr>
      </w:pPr>
      <w:r>
        <w:rPr>
          <w:rFonts w:ascii="Arial" w:hAnsi="Arial" w:cs="Arial"/>
          <w:noProof/>
          <w:sz w:val="20"/>
        </w:rPr>
        <w:t xml:space="preserve">Of these 93 cases, 13 had already been referred to the Court for the second time. When the Court imposes financial </w:t>
      </w:r>
      <w:r>
        <w:rPr>
          <w:rFonts w:ascii="Arial" w:hAnsi="Arial" w:cs="Arial"/>
          <w:noProof/>
          <w:sz w:val="20"/>
        </w:rPr>
        <w:t>penalties under Article 260(2) TFEU, the defaulting Member State must pay the lump sum immediately and continue to pay the periodic penalty until it complies fully with the first and second Court judgments. In 2017, the Court delivered 1 judgment under Art</w:t>
      </w:r>
      <w:r>
        <w:rPr>
          <w:rFonts w:ascii="Arial" w:hAnsi="Arial" w:cs="Arial"/>
          <w:noProof/>
          <w:sz w:val="20"/>
        </w:rPr>
        <w:t>icle 260(2) TFEU. It imposed penalty payments on Spain</w:t>
      </w:r>
      <w:r>
        <w:rPr>
          <w:rStyle w:val="FootnoteReference"/>
          <w:rFonts w:ascii="Arial" w:hAnsi="Arial" w:cs="Arial"/>
          <w:noProof/>
          <w:sz w:val="20"/>
        </w:rPr>
        <w:footnoteReference w:id="24"/>
      </w:r>
      <w:r>
        <w:rPr>
          <w:rFonts w:ascii="Arial" w:hAnsi="Arial" w:cs="Arial"/>
          <w:noProof/>
          <w:sz w:val="20"/>
        </w:rPr>
        <w:t>. At the end of 2017, 9 infringement procedures were still open after a Court ruling under Article 260(2) TFEU.</w:t>
      </w:r>
    </w:p>
    <w:p w:rsidR="003B06F5" w:rsidRDefault="00AD7FF7">
      <w:pPr>
        <w:spacing w:after="0"/>
        <w:rPr>
          <w:rFonts w:ascii="Arial" w:eastAsia="MS Gothic" w:hAnsi="Arial" w:cs="Arial"/>
          <w:caps/>
          <w:noProof/>
          <w:color w:val="4F81BD"/>
          <w:kern w:val="20"/>
          <w:szCs w:val="24"/>
        </w:rPr>
      </w:pPr>
      <w:bookmarkStart w:id="30" w:name="_Toc437944198"/>
      <w:r>
        <w:rPr>
          <w:noProof/>
        </w:rPr>
        <w:br w:type="page"/>
      </w:r>
    </w:p>
    <w:p w:rsidR="003B06F5" w:rsidRDefault="00AD7FF7">
      <w:pPr>
        <w:pStyle w:val="kop2"/>
        <w:ind w:left="720"/>
        <w:rPr>
          <w:caps w:val="0"/>
          <w:noProof/>
        </w:rPr>
      </w:pPr>
      <w:bookmarkStart w:id="31" w:name="_Toc444796665"/>
      <w:bookmarkStart w:id="32" w:name="_Toc507580226"/>
      <w:r>
        <w:rPr>
          <w:caps w:val="0"/>
          <w:noProof/>
        </w:rPr>
        <w:t>Transposition of directives</w:t>
      </w:r>
      <w:bookmarkEnd w:id="30"/>
      <w:bookmarkEnd w:id="31"/>
      <w:bookmarkEnd w:id="32"/>
    </w:p>
    <w:p w:rsidR="003B06F5" w:rsidRDefault="00AD7FF7">
      <w:pPr>
        <w:pStyle w:val="kop3"/>
        <w:numPr>
          <w:ilvl w:val="0"/>
          <w:numId w:val="27"/>
        </w:numPr>
        <w:rPr>
          <w:noProof/>
        </w:rPr>
      </w:pPr>
      <w:bookmarkStart w:id="33" w:name="_Toc437944199"/>
      <w:bookmarkStart w:id="34" w:name="_Toc444796666"/>
      <w:bookmarkStart w:id="35" w:name="_Toc507580227"/>
      <w:r>
        <w:rPr>
          <w:noProof/>
        </w:rPr>
        <w:t>Late transposition</w:t>
      </w:r>
      <w:bookmarkEnd w:id="33"/>
      <w:bookmarkEnd w:id="34"/>
      <w:bookmarkEnd w:id="35"/>
    </w:p>
    <w:p w:rsidR="003B06F5" w:rsidRDefault="00AD7FF7">
      <w:pPr>
        <w:rPr>
          <w:rFonts w:ascii="Arial" w:hAnsi="Arial" w:cs="Arial"/>
          <w:noProof/>
          <w:sz w:val="20"/>
        </w:rPr>
      </w:pPr>
      <w:r>
        <w:rPr>
          <w:rFonts w:ascii="Arial" w:hAnsi="Arial" w:cs="Arial"/>
          <w:noProof/>
          <w:sz w:val="20"/>
        </w:rPr>
        <w:t>Combating late transposition is a long-e</w:t>
      </w:r>
      <w:r>
        <w:rPr>
          <w:rFonts w:ascii="Arial" w:hAnsi="Arial" w:cs="Arial"/>
          <w:noProof/>
          <w:sz w:val="20"/>
        </w:rPr>
        <w:t>stablished priority for the Commission. The Commission therefore proposes financial sanctions whenever it refers a Member State to the Court of Justice under Articles 258 and 260(3) TFEU for not having communicated on time its measures to transpose a direc</w:t>
      </w:r>
      <w:r>
        <w:rPr>
          <w:rFonts w:ascii="Arial" w:hAnsi="Arial" w:cs="Arial"/>
          <w:noProof/>
          <w:sz w:val="20"/>
        </w:rPr>
        <w:t>tive adopted under a legislative procedure (see details in subsection V.2).</w:t>
      </w:r>
    </w:p>
    <w:p w:rsidR="003B06F5" w:rsidRDefault="00AD7FF7">
      <w:pPr>
        <w:rPr>
          <w:noProof/>
        </w:rPr>
      </w:pPr>
      <w:r>
        <w:rPr>
          <w:noProof/>
          <w:lang w:eastAsia="en-GB"/>
        </w:rPr>
        <w:drawing>
          <wp:inline distT="0" distB="0" distL="0" distR="0" wp14:anchorId="26D2158B" wp14:editId="649139D4">
            <wp:extent cx="5470525" cy="2568575"/>
            <wp:effectExtent l="0" t="0" r="0" b="0"/>
            <wp:docPr id="14"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B06F5" w:rsidRDefault="003B06F5">
      <w:pPr>
        <w:rPr>
          <w:noProof/>
        </w:rPr>
      </w:pPr>
    </w:p>
    <w:p w:rsidR="003B06F5" w:rsidRDefault="00AD7FF7">
      <w:pPr>
        <w:pStyle w:val="Body"/>
        <w:rPr>
          <w:noProof/>
        </w:rPr>
      </w:pPr>
      <w:r>
        <w:rPr>
          <w:noProof/>
        </w:rPr>
        <w:t xml:space="preserve">There were 36 directives to transpose in 2017, down from 70 in 2016. </w:t>
      </w:r>
      <w:r>
        <w:rPr>
          <w:b/>
          <w:noProof/>
        </w:rPr>
        <w:t xml:space="preserve">New late transposition infringements decreased sharply, to 558 </w:t>
      </w:r>
      <w:r>
        <w:rPr>
          <w:noProof/>
        </w:rPr>
        <w:t>from 847.</w:t>
      </w:r>
    </w:p>
    <w:p w:rsidR="003B06F5" w:rsidRDefault="00AD7FF7">
      <w:pPr>
        <w:pStyle w:val="Body"/>
        <w:rPr>
          <w:noProof/>
        </w:rPr>
      </w:pPr>
      <w:r>
        <w:rPr>
          <w:noProof/>
        </w:rPr>
        <w:t xml:space="preserve">At the end of 2017, </w:t>
      </w:r>
      <w:r>
        <w:rPr>
          <w:b/>
          <w:noProof/>
        </w:rPr>
        <w:t>808 late transp</w:t>
      </w:r>
      <w:r>
        <w:rPr>
          <w:b/>
          <w:noProof/>
        </w:rPr>
        <w:t>osition infringement cases were still open</w:t>
      </w:r>
      <w:r>
        <w:rPr>
          <w:noProof/>
        </w:rPr>
        <w:t>, a 7 % increase from the 874 cases open at the end of 2016.</w:t>
      </w:r>
    </w:p>
    <w:p w:rsidR="003B06F5" w:rsidRDefault="00AD7FF7">
      <w:pPr>
        <w:pStyle w:val="Body"/>
        <w:spacing w:after="120"/>
        <w:ind w:left="0"/>
        <w:jc w:val="center"/>
        <w:rPr>
          <w:noProof/>
          <w:color w:val="002060"/>
          <w:sz w:val="22"/>
          <w:szCs w:val="22"/>
        </w:rPr>
      </w:pPr>
      <w:r>
        <w:rPr>
          <w:noProof/>
          <w:color w:val="002060"/>
          <w:sz w:val="22"/>
          <w:szCs w:val="22"/>
        </w:rPr>
        <w:t>Late transposition infringement cases open at year-end</w:t>
      </w:r>
    </w:p>
    <w:tbl>
      <w:tblPr>
        <w:tblW w:w="6505" w:type="dxa"/>
        <w:tblInd w:w="2235" w:type="dxa"/>
        <w:tblLook w:val="04A0" w:firstRow="1" w:lastRow="0" w:firstColumn="1" w:lastColumn="0" w:noHBand="0" w:noVBand="1"/>
      </w:tblPr>
      <w:tblGrid>
        <w:gridCol w:w="850"/>
        <w:gridCol w:w="345"/>
        <w:gridCol w:w="5310"/>
      </w:tblGrid>
      <w:tr w:rsidR="003B06F5">
        <w:trPr>
          <w:trHeight w:val="403"/>
        </w:trPr>
        <w:tc>
          <w:tcPr>
            <w:tcW w:w="850"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874</w:t>
            </w:r>
            <w:r>
              <w:rPr>
                <w:rStyle w:val="FootnoteReference"/>
                <w:rFonts w:ascii="Arial" w:hAnsi="Arial" w:cs="Arial"/>
                <w:noProof/>
                <w:color w:val="548DD4"/>
                <w:sz w:val="20"/>
                <w:lang w:eastAsia="en-GB"/>
              </w:rPr>
              <w:footnoteReference w:id="25"/>
            </w:r>
          </w:p>
        </w:tc>
        <w:tc>
          <w:tcPr>
            <w:tcW w:w="345"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rsidR="003B06F5" w:rsidRDefault="00AD7FF7">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open at end-2016</w:t>
            </w:r>
          </w:p>
        </w:tc>
      </w:tr>
      <w:tr w:rsidR="003B06F5">
        <w:trPr>
          <w:trHeight w:val="403"/>
        </w:trPr>
        <w:tc>
          <w:tcPr>
            <w:tcW w:w="850"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558</w:t>
            </w:r>
          </w:p>
        </w:tc>
        <w:tc>
          <w:tcPr>
            <w:tcW w:w="345"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rsidR="003B06F5" w:rsidRDefault="00AD7FF7">
            <w:pPr>
              <w:spacing w:after="0"/>
              <w:jc w:val="left"/>
              <w:rPr>
                <w:rFonts w:ascii="Arial" w:hAnsi="Arial" w:cs="Arial"/>
                <w:noProof/>
                <w:color w:val="548DD4"/>
                <w:sz w:val="22"/>
                <w:szCs w:val="28"/>
                <w:lang w:eastAsia="en-GB"/>
              </w:rPr>
            </w:pPr>
            <w:r>
              <w:rPr>
                <w:rFonts w:ascii="Arial" w:hAnsi="Arial" w:cs="Arial"/>
                <w:noProof/>
                <w:color w:val="548DD4"/>
                <w:sz w:val="20"/>
                <w:szCs w:val="28"/>
              </w:rPr>
              <w:t>New late transposition cases registered in</w:t>
            </w:r>
            <w:r>
              <w:rPr>
                <w:rFonts w:ascii="Arial" w:hAnsi="Arial" w:cs="Arial"/>
                <w:noProof/>
                <w:color w:val="548DD4"/>
                <w:sz w:val="20"/>
                <w:szCs w:val="28"/>
              </w:rPr>
              <w:t xml:space="preserve"> 2017</w:t>
            </w:r>
          </w:p>
        </w:tc>
      </w:tr>
      <w:tr w:rsidR="003B06F5">
        <w:trPr>
          <w:trHeight w:val="403"/>
        </w:trPr>
        <w:tc>
          <w:tcPr>
            <w:tcW w:w="850" w:type="dxa"/>
            <w:tcBorders>
              <w:bottom w:val="single" w:sz="24" w:space="0" w:color="548DD4"/>
            </w:tcBorders>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624</w:t>
            </w:r>
          </w:p>
        </w:tc>
        <w:tc>
          <w:tcPr>
            <w:tcW w:w="345"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rsidR="003B06F5" w:rsidRDefault="00AD7FF7">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closed in 2017</w:t>
            </w:r>
          </w:p>
        </w:tc>
      </w:tr>
      <w:tr w:rsidR="003B06F5">
        <w:trPr>
          <w:trHeight w:val="403"/>
        </w:trPr>
        <w:tc>
          <w:tcPr>
            <w:tcW w:w="850" w:type="dxa"/>
            <w:tcBorders>
              <w:top w:val="single" w:sz="24" w:space="0" w:color="548DD4"/>
            </w:tcBorders>
            <w:shd w:val="clear" w:color="auto" w:fill="auto"/>
            <w:vAlign w:val="center"/>
          </w:tcPr>
          <w:p w:rsidR="003B06F5" w:rsidRDefault="00AD7FF7">
            <w:pPr>
              <w:spacing w:after="0"/>
              <w:jc w:val="right"/>
              <w:rPr>
                <w:rFonts w:ascii="Arial" w:hAnsi="Arial" w:cs="Arial"/>
                <w:noProof/>
                <w:color w:val="C00000"/>
                <w:sz w:val="20"/>
                <w:lang w:eastAsia="en-GB"/>
              </w:rPr>
            </w:pPr>
            <w:r>
              <w:rPr>
                <w:rFonts w:ascii="Arial" w:hAnsi="Arial" w:cs="Arial"/>
                <w:noProof/>
                <w:color w:val="C00000"/>
                <w:sz w:val="20"/>
                <w:lang w:eastAsia="en-GB"/>
              </w:rPr>
              <w:t>= 808</w:t>
            </w:r>
          </w:p>
        </w:tc>
        <w:tc>
          <w:tcPr>
            <w:tcW w:w="345" w:type="dxa"/>
            <w:shd w:val="clear" w:color="auto" w:fill="auto"/>
            <w:vAlign w:val="center"/>
          </w:tcPr>
          <w:p w:rsidR="003B06F5" w:rsidRDefault="00AD7FF7">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rsidR="003B06F5" w:rsidRDefault="00AD7FF7">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open at end-2017</w:t>
            </w:r>
          </w:p>
        </w:tc>
      </w:tr>
    </w:tbl>
    <w:p w:rsidR="003B06F5" w:rsidRDefault="003B06F5">
      <w:pPr>
        <w:spacing w:after="0"/>
        <w:jc w:val="left"/>
        <w:rPr>
          <w:noProof/>
        </w:rPr>
      </w:pPr>
    </w:p>
    <w:p w:rsidR="003B06F5" w:rsidRDefault="00AD7FF7">
      <w:pPr>
        <w:spacing w:after="0"/>
        <w:jc w:val="left"/>
        <w:rPr>
          <w:rFonts w:ascii="Arial" w:hAnsi="Arial" w:cs="Arial"/>
          <w:noProof/>
          <w:sz w:val="20"/>
        </w:rPr>
      </w:pPr>
      <w:r>
        <w:rPr>
          <w:noProof/>
        </w:rPr>
        <w:br w:type="page"/>
      </w:r>
    </w:p>
    <w:p w:rsidR="003B06F5" w:rsidRDefault="00AD7FF7">
      <w:pPr>
        <w:pStyle w:val="Body"/>
        <w:rPr>
          <w:noProof/>
          <w:lang w:eastAsia="nl-BE"/>
        </w:rPr>
      </w:pPr>
      <w:r>
        <w:rPr>
          <w:noProof/>
        </w:rPr>
        <w:t xml:space="preserve">The following chart shows </w:t>
      </w:r>
      <w:r>
        <w:rPr>
          <w:noProof/>
          <w:lang w:eastAsia="nl-BE"/>
        </w:rPr>
        <w:t xml:space="preserve">the number of late transposition infringement cases open at the end of 2017 by Member State, irrespective of the year in </w:t>
      </w:r>
      <w:r>
        <w:rPr>
          <w:noProof/>
          <w:lang w:eastAsia="nl-BE"/>
        </w:rPr>
        <w:t>which the case was opened.</w:t>
      </w:r>
    </w:p>
    <w:p w:rsidR="003B06F5" w:rsidRDefault="00AD7FF7">
      <w:pPr>
        <w:pStyle w:val="Body"/>
        <w:rPr>
          <w:noProof/>
        </w:rPr>
      </w:pPr>
      <w:r>
        <w:rPr>
          <w:noProof/>
          <w:lang w:eastAsia="en-GB"/>
        </w:rPr>
        <w:drawing>
          <wp:inline distT="0" distB="0" distL="0" distR="0" wp14:anchorId="32646D08" wp14:editId="51B79EC7">
            <wp:extent cx="5502275" cy="3665855"/>
            <wp:effectExtent l="0" t="0" r="0" b="0"/>
            <wp:docPr id="1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B06F5" w:rsidRDefault="00AD7FF7">
      <w:pPr>
        <w:pStyle w:val="Body"/>
        <w:rPr>
          <w:noProof/>
        </w:rPr>
      </w:pPr>
      <w:r>
        <w:rPr>
          <w:noProof/>
        </w:rPr>
        <w:t>The next chart shows new late transposition infringement cases (</w:t>
      </w:r>
      <w:r>
        <w:rPr>
          <w:b/>
          <w:noProof/>
        </w:rPr>
        <w:t>558</w:t>
      </w:r>
      <w:r>
        <w:rPr>
          <w:noProof/>
        </w:rPr>
        <w:t xml:space="preserve"> in total) opened in 2017, by Member State.</w:t>
      </w:r>
    </w:p>
    <w:p w:rsidR="003B06F5" w:rsidRDefault="00AD7FF7">
      <w:pPr>
        <w:pStyle w:val="Body"/>
        <w:rPr>
          <w:noProof/>
        </w:rPr>
      </w:pPr>
      <w:r>
        <w:rPr>
          <w:noProof/>
          <w:lang w:eastAsia="en-GB"/>
        </w:rPr>
        <w:drawing>
          <wp:inline distT="0" distB="0" distL="0" distR="0" wp14:anchorId="0C530E17" wp14:editId="69503B01">
            <wp:extent cx="5375275" cy="3633470"/>
            <wp:effectExtent l="0" t="0" r="15875" b="5080"/>
            <wp:docPr id="1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B06F5" w:rsidRDefault="00AD7FF7">
      <w:pPr>
        <w:pStyle w:val="Body"/>
        <w:rPr>
          <w:noProof/>
        </w:rPr>
      </w:pPr>
      <w:r>
        <w:rPr>
          <w:noProof/>
        </w:rPr>
        <w:br w:type="page"/>
      </w:r>
    </w:p>
    <w:p w:rsidR="003B06F5" w:rsidRDefault="00AD7FF7">
      <w:pPr>
        <w:pStyle w:val="Body"/>
        <w:rPr>
          <w:noProof/>
        </w:rPr>
      </w:pPr>
      <w:r>
        <w:rPr>
          <w:noProof/>
        </w:rPr>
        <w:t>The policy areas in which the new cases were launched in 2017 are shown in the following chart:</w:t>
      </w:r>
    </w:p>
    <w:p w:rsidR="003B06F5" w:rsidRDefault="00AD7FF7">
      <w:pPr>
        <w:pStyle w:val="Body"/>
        <w:ind w:left="709" w:firstLine="11"/>
        <w:rPr>
          <w:noProof/>
        </w:rPr>
      </w:pPr>
      <w:r>
        <w:rPr>
          <w:noProof/>
          <w:lang w:eastAsia="en-GB"/>
        </w:rPr>
        <w:drawing>
          <wp:anchor distT="0" distB="0" distL="114300" distR="114300" simplePos="0" relativeHeight="251657728" behindDoc="0" locked="0" layoutInCell="1" allowOverlap="1" wp14:anchorId="45F48D79" wp14:editId="51E43B50">
            <wp:simplePos x="0" y="0"/>
            <wp:positionH relativeFrom="column">
              <wp:align>left</wp:align>
            </wp:positionH>
            <wp:positionV relativeFrom="paragraph">
              <wp:align>top</wp:align>
            </wp:positionV>
            <wp:extent cx="5040630" cy="3170555"/>
            <wp:effectExtent l="0" t="0" r="26670" b="10795"/>
            <wp:wrapSquare wrapText="bothSides"/>
            <wp:docPr id="17" name="Grafiek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Pr>
          <w:noProof/>
        </w:rPr>
        <w:br w:type="textWrapping" w:clear="all"/>
      </w:r>
    </w:p>
    <w:p w:rsidR="003B06F5" w:rsidRDefault="00AD7FF7">
      <w:pPr>
        <w:pStyle w:val="Body"/>
        <w:ind w:left="709"/>
        <w:rPr>
          <w:noProof/>
        </w:rPr>
      </w:pPr>
      <w:r>
        <w:rPr>
          <w:noProof/>
        </w:rPr>
        <w:t>New cases wer</w:t>
      </w:r>
      <w:r>
        <w:rPr>
          <w:noProof/>
        </w:rPr>
        <w:t xml:space="preserve">e launched against 23 Member States for late transposition of the </w:t>
      </w:r>
      <w:hyperlink r:id="rId38" w:history="1">
        <w:r>
          <w:rPr>
            <w:noProof/>
          </w:rPr>
          <w:t>Directive on fuel quality</w:t>
        </w:r>
      </w:hyperlink>
      <w:r>
        <w:rPr>
          <w:rStyle w:val="FootnoteReference"/>
          <w:noProof/>
        </w:rPr>
        <w:footnoteReference w:id="26"/>
      </w:r>
      <w:r>
        <w:rPr>
          <w:noProof/>
        </w:rPr>
        <w:t>. In addition, 21 Member States were involved in cases of late trans</w:t>
      </w:r>
      <w:r>
        <w:rPr>
          <w:noProof/>
        </w:rPr>
        <w:t>position of the Directive on the deployment of alternative fuels infrastructure</w:t>
      </w:r>
      <w:r>
        <w:rPr>
          <w:rStyle w:val="FootnoteReference"/>
          <w:noProof/>
        </w:rPr>
        <w:footnoteReference w:id="27"/>
      </w:r>
      <w:r>
        <w:rPr>
          <w:noProof/>
        </w:rPr>
        <w:t>. The Commission launched 21 procedures over late transposition of the Antitrust Damages Directive</w:t>
      </w:r>
      <w:r>
        <w:rPr>
          <w:rStyle w:val="FootnoteReference"/>
          <w:noProof/>
        </w:rPr>
        <w:footnoteReference w:id="28"/>
      </w:r>
      <w:r>
        <w:rPr>
          <w:noProof/>
        </w:rPr>
        <w:t>.</w:t>
      </w:r>
    </w:p>
    <w:p w:rsidR="003B06F5" w:rsidRDefault="00AD7FF7">
      <w:pPr>
        <w:pStyle w:val="kop3"/>
        <w:rPr>
          <w:noProof/>
        </w:rPr>
      </w:pPr>
      <w:bookmarkStart w:id="36" w:name="_Toc437944200"/>
      <w:bookmarkStart w:id="37" w:name="_Toc444796667"/>
      <w:bookmarkStart w:id="38" w:name="_Toc507580228"/>
      <w:r>
        <w:rPr>
          <w:noProof/>
        </w:rPr>
        <w:t>Referrals to the Court of Justice under Article 258 and 260(3) TFEU</w:t>
      </w:r>
      <w:bookmarkEnd w:id="36"/>
      <w:bookmarkEnd w:id="37"/>
      <w:bookmarkEnd w:id="38"/>
    </w:p>
    <w:p w:rsidR="003B06F5" w:rsidRDefault="00AD7FF7">
      <w:pPr>
        <w:pStyle w:val="Body"/>
        <w:ind w:left="709"/>
        <w:rPr>
          <w:noProof/>
        </w:rPr>
      </w:pPr>
      <w:r>
        <w:rPr>
          <w:noProof/>
        </w:rPr>
        <w:t>Under A</w:t>
      </w:r>
      <w:r>
        <w:rPr>
          <w:noProof/>
        </w:rPr>
        <w:t>rticle 260(3) TFEU, the Commission may propose financial penalties even when referring a case for the first time to the Court of Justice under Article 258 TFEU for failure to fully transpose a legislative Directive. This innovation, introduced in the Treat</w:t>
      </w:r>
      <w:r>
        <w:rPr>
          <w:noProof/>
        </w:rPr>
        <w:t xml:space="preserve">y of Lisbon, aims to give Member States a greater incentive to transpose directives on time. The Commission decides on the level of financial penalties to propose in line with the policy laid down in its </w:t>
      </w:r>
      <w:hyperlink r:id="rId39" w:history="1">
        <w:r>
          <w:rPr>
            <w:rStyle w:val="Hyperlink"/>
            <w:noProof/>
          </w:rPr>
          <w:t>Communication on the implementation of Article 260(3) TFEU</w:t>
        </w:r>
      </w:hyperlink>
      <w:r>
        <w:rPr>
          <w:noProof/>
        </w:rPr>
        <w:t>.</w:t>
      </w:r>
    </w:p>
    <w:p w:rsidR="003B06F5" w:rsidRDefault="00AD7FF7">
      <w:pPr>
        <w:pStyle w:val="Body"/>
        <w:ind w:left="709"/>
        <w:rPr>
          <w:noProof/>
        </w:rPr>
      </w:pPr>
      <w:r>
        <w:rPr>
          <w:noProof/>
        </w:rPr>
        <w:t>In 2017 the Commission continued to bring late transposition infringement cases to the Court of Justice with a request for daily penalties under Article 260(3) TFE</w:t>
      </w:r>
      <w:r>
        <w:rPr>
          <w:noProof/>
        </w:rPr>
        <w:t>U. It referred 5 Member States to the Court in 2017: Belgium (2 cases)</w:t>
      </w:r>
      <w:r>
        <w:rPr>
          <w:rStyle w:val="FootnoteReference"/>
          <w:noProof/>
        </w:rPr>
        <w:footnoteReference w:id="29"/>
      </w:r>
      <w:r>
        <w:rPr>
          <w:noProof/>
        </w:rPr>
        <w:t>, Croatia (2 cases</w:t>
      </w:r>
      <w:r>
        <w:rPr>
          <w:rStyle w:val="FootnoteReference"/>
          <w:noProof/>
        </w:rPr>
        <w:footnoteReference w:id="30"/>
      </w:r>
      <w:r>
        <w:rPr>
          <w:noProof/>
        </w:rPr>
        <w:t>), Slovakia</w:t>
      </w:r>
      <w:r>
        <w:rPr>
          <w:rStyle w:val="FootnoteReference"/>
          <w:noProof/>
        </w:rPr>
        <w:footnoteReference w:id="31"/>
      </w:r>
      <w:r>
        <w:rPr>
          <w:noProof/>
        </w:rPr>
        <w:t>, Slovenia</w:t>
      </w:r>
      <w:r>
        <w:rPr>
          <w:rStyle w:val="FootnoteReference"/>
          <w:noProof/>
        </w:rPr>
        <w:footnoteReference w:id="32"/>
      </w:r>
      <w:r>
        <w:rPr>
          <w:noProof/>
        </w:rPr>
        <w:t xml:space="preserve"> and Spain</w:t>
      </w:r>
      <w:r>
        <w:rPr>
          <w:rStyle w:val="FootnoteReference"/>
          <w:noProof/>
        </w:rPr>
        <w:footnoteReference w:id="33"/>
      </w:r>
      <w:r>
        <w:rPr>
          <w:noProof/>
        </w:rPr>
        <w:t xml:space="preserve"> (1 case each).</w:t>
      </w:r>
    </w:p>
    <w:p w:rsidR="003B06F5" w:rsidRDefault="00AD7FF7">
      <w:pPr>
        <w:pStyle w:val="Body"/>
        <w:ind w:left="709"/>
        <w:rPr>
          <w:noProof/>
        </w:rPr>
      </w:pPr>
      <w:r>
        <w:rPr>
          <w:noProof/>
        </w:rPr>
        <w:t>In another 5 cases the Commission took a decision for referral but the Member States adopted the transposition measu</w:t>
      </w:r>
      <w:r>
        <w:rPr>
          <w:noProof/>
        </w:rPr>
        <w:t>res before the application was sent to Court and thus avoided the Court procedure. These cases concerned late transposition of the Single European Railway Area Directive (Romania)</w:t>
      </w:r>
      <w:r>
        <w:rPr>
          <w:rStyle w:val="FootnoteReference"/>
          <w:noProof/>
        </w:rPr>
        <w:footnoteReference w:id="34"/>
      </w:r>
      <w:r>
        <w:rPr>
          <w:noProof/>
        </w:rPr>
        <w:t>, the Banking Recovery and Resolution Directive (Sweden)</w:t>
      </w:r>
      <w:r>
        <w:rPr>
          <w:rStyle w:val="FootnoteReference"/>
          <w:noProof/>
        </w:rPr>
        <w:footnoteReference w:id="35"/>
      </w:r>
      <w:r>
        <w:rPr>
          <w:noProof/>
        </w:rPr>
        <w:t>, the Deposit Guara</w:t>
      </w:r>
      <w:r>
        <w:rPr>
          <w:noProof/>
        </w:rPr>
        <w:t>ntee Schemes Directive (Poland)</w:t>
      </w:r>
      <w:r>
        <w:rPr>
          <w:rStyle w:val="FootnoteReference"/>
          <w:noProof/>
        </w:rPr>
        <w:footnoteReference w:id="36"/>
      </w:r>
      <w:r>
        <w:rPr>
          <w:noProof/>
        </w:rPr>
        <w:t>, the Enforcement Directive on Posting of Workers (Croatia)</w:t>
      </w:r>
      <w:r>
        <w:rPr>
          <w:rStyle w:val="FootnoteReference"/>
          <w:noProof/>
        </w:rPr>
        <w:footnoteReference w:id="37"/>
      </w:r>
      <w:r>
        <w:rPr>
          <w:noProof/>
        </w:rPr>
        <w:t xml:space="preserve"> and the Directive on measures to reduce the cost of deploying high-speed electronic communications networks (Croatia)</w:t>
      </w:r>
      <w:r>
        <w:rPr>
          <w:rStyle w:val="FootnoteReference"/>
          <w:noProof/>
        </w:rPr>
        <w:footnoteReference w:id="38"/>
      </w:r>
      <w:r>
        <w:rPr>
          <w:noProof/>
        </w:rPr>
        <w:t xml:space="preserve">. </w:t>
      </w:r>
    </w:p>
    <w:p w:rsidR="003B06F5" w:rsidRDefault="00AD7FF7">
      <w:pPr>
        <w:pStyle w:val="Body"/>
        <w:ind w:left="709"/>
        <w:rPr>
          <w:noProof/>
        </w:rPr>
      </w:pPr>
      <w:r>
        <w:rPr>
          <w:noProof/>
        </w:rPr>
        <w:t>In 2017 Member States increased their effo</w:t>
      </w:r>
      <w:r>
        <w:rPr>
          <w:noProof/>
        </w:rPr>
        <w:t>rts to complete transposition before the Court of Justice delivered its judgments. However, 34 cases with a proposal for daily penalties remained open: 5 cases each against Spain and Luxembourg; 3 cases each against Belgium, Austria and Slovenia; 2 cases e</w:t>
      </w:r>
      <w:r>
        <w:rPr>
          <w:noProof/>
        </w:rPr>
        <w:t>ach against Bulgaria and Croatia; 1 case each against Czech Republic, Germany, Ireland, Greece, Cyprus, France, Netherlands, Portugal, Romania, Slovakia and Finland.</w:t>
      </w:r>
    </w:p>
    <w:p w:rsidR="003B06F5" w:rsidRDefault="003B06F5">
      <w:pPr>
        <w:pStyle w:val="Body"/>
        <w:ind w:left="709"/>
        <w:rPr>
          <w:noProof/>
        </w:rPr>
      </w:pPr>
    </w:p>
    <w:p w:rsidR="003B06F5" w:rsidRDefault="00AD7FF7">
      <w:pPr>
        <w:spacing w:after="200" w:line="276" w:lineRule="auto"/>
        <w:jc w:val="left"/>
        <w:rPr>
          <w:rFonts w:ascii="Arial" w:hAnsi="Arial" w:cs="Arial"/>
          <w:noProof/>
          <w:sz w:val="20"/>
        </w:rPr>
      </w:pPr>
      <w:bookmarkStart w:id="39" w:name="_Toc413173792"/>
      <w:bookmarkEnd w:id="39"/>
      <w:r>
        <w:rPr>
          <w:rFonts w:ascii="Arial" w:hAnsi="Arial" w:cs="Arial"/>
          <w:noProof/>
          <w:sz w:val="20"/>
        </w:rPr>
        <w:br w:type="page"/>
      </w:r>
    </w:p>
    <w:p w:rsidR="003B06F5" w:rsidRDefault="003B06F5">
      <w:pPr>
        <w:spacing w:after="0"/>
        <w:jc w:val="left"/>
        <w:rPr>
          <w:rFonts w:ascii="Arial" w:hAnsi="Arial" w:cs="Arial"/>
          <w:noProof/>
          <w:sz w:val="20"/>
        </w:rPr>
      </w:pPr>
    </w:p>
    <w:p w:rsidR="003B06F5" w:rsidRDefault="00AD7FF7">
      <w:pPr>
        <w:pStyle w:val="kop2"/>
        <w:rPr>
          <w:noProof/>
        </w:rPr>
      </w:pPr>
      <w:bookmarkStart w:id="40" w:name="_Toc507580229"/>
      <w:r>
        <w:rPr>
          <w:caps w:val="0"/>
          <w:noProof/>
        </w:rPr>
        <w:t>M</w:t>
      </w:r>
      <w:bookmarkStart w:id="41" w:name="_Toc413173794"/>
      <w:r>
        <w:rPr>
          <w:caps w:val="0"/>
          <w:noProof/>
        </w:rPr>
        <w:t>ethodology</w:t>
      </w:r>
      <w:r>
        <w:rPr>
          <w:noProof/>
        </w:rPr>
        <w:t xml:space="preserve"> </w:t>
      </w:r>
      <w:r>
        <w:rPr>
          <w:caps w:val="0"/>
          <w:noProof/>
        </w:rPr>
        <w:t>and explanations</w:t>
      </w:r>
      <w:bookmarkEnd w:id="40"/>
    </w:p>
    <w:p w:rsidR="003B06F5" w:rsidRDefault="00AD7FF7">
      <w:pPr>
        <w:pStyle w:val="kop3"/>
        <w:numPr>
          <w:ilvl w:val="0"/>
          <w:numId w:val="35"/>
        </w:numPr>
        <w:rPr>
          <w:rFonts w:eastAsia="MS Gothic"/>
          <w:noProof/>
        </w:rPr>
      </w:pPr>
      <w:bookmarkStart w:id="42" w:name="_Toc507580230"/>
      <w:r>
        <w:rPr>
          <w:rFonts w:eastAsia="MS Gothic"/>
          <w:noProof/>
          <w:lang w:eastAsia="zh-CN"/>
        </w:rPr>
        <w:t>Detecting problems</w:t>
      </w:r>
      <w:bookmarkEnd w:id="41"/>
      <w:bookmarkEnd w:id="42"/>
    </w:p>
    <w:p w:rsidR="003B06F5" w:rsidRDefault="00AD7FF7">
      <w:pPr>
        <w:rPr>
          <w:rFonts w:ascii="Arial" w:hAnsi="Arial" w:cs="Arial"/>
          <w:b/>
          <w:noProof/>
          <w:color w:val="002060"/>
          <w:sz w:val="20"/>
        </w:rPr>
      </w:pPr>
      <w:r>
        <w:rPr>
          <w:rFonts w:ascii="Arial" w:hAnsi="Arial" w:cs="Arial"/>
          <w:b/>
          <w:noProof/>
          <w:color w:val="002060"/>
          <w:sz w:val="20"/>
        </w:rPr>
        <w:t xml:space="preserve">First chart: Number of complaints </w:t>
      </w:r>
      <w:r>
        <w:rPr>
          <w:rFonts w:ascii="Arial" w:hAnsi="Arial" w:cs="Arial"/>
          <w:b/>
          <w:noProof/>
          <w:color w:val="002060"/>
          <w:sz w:val="20"/>
        </w:rPr>
        <w:t>(2013-2017)</w:t>
      </w:r>
    </w:p>
    <w:p w:rsidR="003B06F5" w:rsidRDefault="00AD7FF7">
      <w:pPr>
        <w:rPr>
          <w:rFonts w:ascii="Arial" w:hAnsi="Arial" w:cs="Arial"/>
          <w:noProof/>
          <w:sz w:val="20"/>
        </w:rPr>
      </w:pPr>
      <w:r>
        <w:rPr>
          <w:rFonts w:ascii="Arial" w:hAnsi="Arial" w:cs="Arial"/>
          <w:noProof/>
          <w:sz w:val="20"/>
        </w:rPr>
        <w:t>This shows the total number of complaints the Commission registered for the years 2013-2017.</w:t>
      </w:r>
    </w:p>
    <w:p w:rsidR="003B06F5" w:rsidRDefault="00AD7FF7">
      <w:pPr>
        <w:rPr>
          <w:rFonts w:ascii="Arial" w:hAnsi="Arial" w:cs="Arial"/>
          <w:b/>
          <w:noProof/>
          <w:color w:val="002060"/>
          <w:sz w:val="20"/>
        </w:rPr>
      </w:pPr>
      <w:r>
        <w:rPr>
          <w:rFonts w:ascii="Arial" w:hAnsi="Arial" w:cs="Arial"/>
          <w:b/>
          <w:noProof/>
          <w:color w:val="002060"/>
          <w:sz w:val="20"/>
        </w:rPr>
        <w:t>Second chart: Public complaints open at year-end</w:t>
      </w:r>
    </w:p>
    <w:p w:rsidR="003B06F5" w:rsidRDefault="00AD7FF7">
      <w:pPr>
        <w:rPr>
          <w:rFonts w:ascii="Arial" w:hAnsi="Arial" w:cs="Arial"/>
          <w:noProof/>
          <w:sz w:val="20"/>
        </w:rPr>
      </w:pPr>
      <w:r>
        <w:rPr>
          <w:rFonts w:ascii="Arial" w:hAnsi="Arial" w:cs="Arial"/>
          <w:noProof/>
          <w:sz w:val="20"/>
        </w:rPr>
        <w:t>This starts with the number of open complaints carried over from 2016 (first column). The second colum</w:t>
      </w:r>
      <w:r>
        <w:rPr>
          <w:rFonts w:ascii="Arial" w:hAnsi="Arial" w:cs="Arial"/>
          <w:noProof/>
          <w:sz w:val="20"/>
        </w:rPr>
        <w:t>n shows the number of new complaints registered in 2017. The third column shows the number of complaints on which the Commission took a decision in 2017. The fourth column shows the number of complaints open at the end of 2017 (calculated by taking the fir</w:t>
      </w:r>
      <w:r>
        <w:rPr>
          <w:rFonts w:ascii="Arial" w:hAnsi="Arial" w:cs="Arial"/>
          <w:noProof/>
          <w:sz w:val="20"/>
        </w:rPr>
        <w:t>st figure, adding the second and subtracting the third).</w:t>
      </w:r>
    </w:p>
    <w:p w:rsidR="003B06F5" w:rsidRDefault="00AD7FF7">
      <w:pPr>
        <w:rPr>
          <w:rFonts w:ascii="Arial" w:hAnsi="Arial" w:cs="Arial"/>
          <w:b/>
          <w:noProof/>
          <w:color w:val="002060"/>
          <w:sz w:val="20"/>
        </w:rPr>
      </w:pPr>
      <w:r>
        <w:rPr>
          <w:rFonts w:ascii="Arial" w:hAnsi="Arial" w:cs="Arial"/>
          <w:b/>
          <w:noProof/>
          <w:color w:val="002060"/>
          <w:sz w:val="20"/>
        </w:rPr>
        <w:t>Third chart: New complaints registered in 2017: main policy areas</w:t>
      </w:r>
      <w:r>
        <w:rPr>
          <w:rStyle w:val="FootnoteReference"/>
          <w:noProof/>
        </w:rPr>
        <w:footnoteReference w:id="39"/>
      </w:r>
    </w:p>
    <w:p w:rsidR="003B06F5" w:rsidRDefault="00AD7FF7">
      <w:pPr>
        <w:rPr>
          <w:rFonts w:ascii="Arial" w:hAnsi="Arial" w:cs="Arial"/>
          <w:noProof/>
          <w:sz w:val="20"/>
        </w:rPr>
      </w:pPr>
      <w:r>
        <w:rPr>
          <w:rFonts w:ascii="Arial" w:hAnsi="Arial" w:cs="Arial"/>
          <w:noProof/>
          <w:sz w:val="20"/>
        </w:rPr>
        <w:t>This shows the main policy areas in which the new complaints were registered in 2017.</w:t>
      </w:r>
    </w:p>
    <w:p w:rsidR="003B06F5" w:rsidRDefault="00AD7FF7">
      <w:pPr>
        <w:pStyle w:val="kop3"/>
        <w:rPr>
          <w:rFonts w:eastAsia="MS Gothic"/>
          <w:noProof/>
          <w:lang w:eastAsia="zh-CN"/>
        </w:rPr>
      </w:pPr>
      <w:bookmarkStart w:id="43" w:name="_Toc507580231"/>
      <w:r>
        <w:rPr>
          <w:rFonts w:eastAsia="MS Gothic"/>
          <w:noProof/>
          <w:lang w:eastAsia="zh-CN"/>
        </w:rPr>
        <w:t>EU Pilot</w:t>
      </w:r>
      <w:bookmarkEnd w:id="43"/>
    </w:p>
    <w:p w:rsidR="003B06F5" w:rsidRDefault="00AD7FF7">
      <w:pPr>
        <w:rPr>
          <w:rFonts w:ascii="Arial" w:hAnsi="Arial" w:cs="Arial"/>
          <w:b/>
          <w:noProof/>
          <w:color w:val="002060"/>
          <w:sz w:val="20"/>
        </w:rPr>
      </w:pPr>
      <w:r>
        <w:rPr>
          <w:rFonts w:ascii="Arial" w:hAnsi="Arial" w:cs="Arial"/>
          <w:b/>
          <w:noProof/>
          <w:color w:val="002060"/>
          <w:sz w:val="20"/>
        </w:rPr>
        <w:t>First chart: Number of EU Pilot files</w:t>
      </w:r>
      <w:r>
        <w:rPr>
          <w:rFonts w:ascii="Arial" w:hAnsi="Arial" w:cs="Arial"/>
          <w:b/>
          <w:noProof/>
          <w:color w:val="002060"/>
          <w:sz w:val="20"/>
        </w:rPr>
        <w:t xml:space="preserve"> (2013-2017)</w:t>
      </w:r>
    </w:p>
    <w:p w:rsidR="003B06F5" w:rsidRDefault="00AD7FF7">
      <w:pPr>
        <w:rPr>
          <w:rFonts w:ascii="Arial" w:hAnsi="Arial" w:cs="Arial"/>
          <w:noProof/>
          <w:sz w:val="20"/>
        </w:rPr>
      </w:pPr>
      <w:r>
        <w:rPr>
          <w:rFonts w:ascii="Arial" w:hAnsi="Arial" w:cs="Arial"/>
          <w:noProof/>
          <w:sz w:val="20"/>
        </w:rPr>
        <w:t>This shows the total number of EU Pilot files the Commission opened in the years 2013-2017.</w:t>
      </w:r>
    </w:p>
    <w:p w:rsidR="003B06F5" w:rsidRDefault="00AD7FF7">
      <w:pPr>
        <w:rPr>
          <w:rFonts w:ascii="Arial" w:hAnsi="Arial" w:cs="Arial"/>
          <w:noProof/>
          <w:color w:val="002060"/>
          <w:sz w:val="20"/>
        </w:rPr>
      </w:pPr>
      <w:r>
        <w:rPr>
          <w:rFonts w:ascii="Arial" w:hAnsi="Arial" w:cs="Arial"/>
          <w:b/>
          <w:noProof/>
          <w:color w:val="002060"/>
          <w:sz w:val="20"/>
        </w:rPr>
        <w:t>Second chart: EU Pilot files open at year-end</w:t>
      </w:r>
    </w:p>
    <w:p w:rsidR="003B06F5" w:rsidRDefault="00AD7FF7">
      <w:pPr>
        <w:rPr>
          <w:rFonts w:ascii="Arial" w:hAnsi="Arial" w:cs="Arial"/>
          <w:b/>
          <w:noProof/>
          <w:sz w:val="20"/>
        </w:rPr>
      </w:pPr>
      <w:r>
        <w:rPr>
          <w:rFonts w:ascii="Arial" w:hAnsi="Arial" w:cs="Arial"/>
          <w:noProof/>
          <w:sz w:val="20"/>
        </w:rPr>
        <w:t>This starts with the number of open EU Pilot files carried over from 2016 (first column). The second colu</w:t>
      </w:r>
      <w:r>
        <w:rPr>
          <w:rFonts w:ascii="Arial" w:hAnsi="Arial" w:cs="Arial"/>
          <w:noProof/>
          <w:sz w:val="20"/>
        </w:rPr>
        <w:t>mn shows the number of new EU Pilot files opened in 2017. The third column shows the number of files on which the Commission took a decision in 2017. The fourth column shows the number of EU Pilot files open at the end of 2017 (calculated by taking the fir</w:t>
      </w:r>
      <w:r>
        <w:rPr>
          <w:rFonts w:ascii="Arial" w:hAnsi="Arial" w:cs="Arial"/>
          <w:noProof/>
          <w:sz w:val="20"/>
        </w:rPr>
        <w:t>st figure, adding the second and subtracting the third).</w:t>
      </w:r>
    </w:p>
    <w:p w:rsidR="003B06F5" w:rsidRDefault="00AD7FF7">
      <w:pPr>
        <w:rPr>
          <w:rFonts w:ascii="Arial" w:hAnsi="Arial" w:cs="Arial"/>
          <w:b/>
          <w:noProof/>
          <w:color w:val="002060"/>
          <w:sz w:val="20"/>
        </w:rPr>
      </w:pPr>
      <w:r>
        <w:rPr>
          <w:rFonts w:ascii="Arial" w:hAnsi="Arial" w:cs="Arial"/>
          <w:b/>
          <w:noProof/>
          <w:color w:val="002060"/>
          <w:sz w:val="20"/>
        </w:rPr>
        <w:t>Third chart: EU Pilot files opened in 2017: main policy areas</w:t>
      </w:r>
    </w:p>
    <w:p w:rsidR="003B06F5" w:rsidRDefault="00AD7FF7">
      <w:pPr>
        <w:rPr>
          <w:rFonts w:ascii="Arial" w:hAnsi="Arial" w:cs="Arial"/>
          <w:noProof/>
          <w:sz w:val="20"/>
        </w:rPr>
      </w:pPr>
      <w:r>
        <w:rPr>
          <w:rFonts w:ascii="Arial" w:hAnsi="Arial" w:cs="Arial"/>
          <w:noProof/>
          <w:sz w:val="20"/>
        </w:rPr>
        <w:t>This shows the policy areas in which the new EU Pilot files were opened in 2017.</w:t>
      </w:r>
    </w:p>
    <w:p w:rsidR="003B06F5" w:rsidRDefault="00AD7FF7">
      <w:pPr>
        <w:rPr>
          <w:rFonts w:ascii="Arial" w:hAnsi="Arial" w:cs="Arial"/>
          <w:b/>
          <w:noProof/>
          <w:color w:val="002060"/>
          <w:sz w:val="20"/>
        </w:rPr>
      </w:pPr>
      <w:r>
        <w:rPr>
          <w:rFonts w:ascii="Arial" w:hAnsi="Arial" w:cs="Arial"/>
          <w:b/>
          <w:noProof/>
          <w:color w:val="002060"/>
          <w:sz w:val="20"/>
        </w:rPr>
        <w:t>Fourth chart: EU Pilot files: EU average resolution rate</w:t>
      </w:r>
      <w:r>
        <w:rPr>
          <w:rFonts w:ascii="Arial" w:hAnsi="Arial" w:cs="Arial"/>
          <w:b/>
          <w:noProof/>
          <w:color w:val="002060"/>
          <w:sz w:val="20"/>
        </w:rPr>
        <w:t xml:space="preserve"> (2013-2017)</w:t>
      </w:r>
    </w:p>
    <w:p w:rsidR="003B06F5" w:rsidRDefault="00AD7FF7">
      <w:pPr>
        <w:rPr>
          <w:rFonts w:ascii="Arial" w:hAnsi="Arial" w:cs="Arial"/>
          <w:noProof/>
          <w:sz w:val="20"/>
        </w:rPr>
      </w:pPr>
      <w:r>
        <w:rPr>
          <w:rFonts w:ascii="Arial" w:hAnsi="Arial" w:cs="Arial"/>
          <w:noProof/>
          <w:sz w:val="20"/>
        </w:rPr>
        <w:t>The resolution rate is the percentage of EU Pilot files handled for which the Commission accepted the Member States’ responses. The chart shows the resolution rate for the last 5 years.</w:t>
      </w:r>
    </w:p>
    <w:p w:rsidR="003B06F5" w:rsidRDefault="00AD7FF7">
      <w:pPr>
        <w:pStyle w:val="kop3"/>
        <w:rPr>
          <w:rFonts w:eastAsia="MS Gothic"/>
          <w:noProof/>
          <w:lang w:eastAsia="zh-CN"/>
        </w:rPr>
      </w:pPr>
      <w:bookmarkStart w:id="44" w:name="_Toc413173795"/>
      <w:bookmarkStart w:id="45" w:name="_Toc507580232"/>
      <w:r>
        <w:rPr>
          <w:rFonts w:eastAsia="MS Gothic"/>
          <w:noProof/>
          <w:lang w:eastAsia="zh-CN"/>
        </w:rPr>
        <w:t>Infringement procedure</w:t>
      </w:r>
      <w:bookmarkEnd w:id="44"/>
      <w:r>
        <w:rPr>
          <w:rFonts w:eastAsia="MS Gothic"/>
          <w:noProof/>
          <w:lang w:eastAsia="zh-CN"/>
        </w:rPr>
        <w:t>s</w:t>
      </w:r>
      <w:bookmarkEnd w:id="45"/>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 xml:space="preserve">First chart: New infringement </w:t>
      </w:r>
      <w:r>
        <w:rPr>
          <w:rFonts w:ascii="Arial" w:hAnsi="Arial" w:cs="Arial"/>
          <w:b/>
          <w:noProof/>
          <w:color w:val="002060"/>
          <w:sz w:val="20"/>
          <w:lang w:eastAsia="zh-CN"/>
        </w:rPr>
        <w:t>cases at 31 December 2017</w:t>
      </w:r>
    </w:p>
    <w:p w:rsidR="003B06F5" w:rsidRDefault="00AD7FF7">
      <w:pPr>
        <w:rPr>
          <w:rFonts w:ascii="Arial" w:hAnsi="Arial" w:cs="Arial"/>
          <w:noProof/>
          <w:sz w:val="20"/>
          <w:lang w:eastAsia="zh-CN"/>
        </w:rPr>
      </w:pPr>
      <w:r>
        <w:rPr>
          <w:rFonts w:ascii="Arial" w:hAnsi="Arial" w:cs="Arial"/>
          <w:noProof/>
          <w:sz w:val="20"/>
          <w:lang w:eastAsia="zh-CN"/>
        </w:rPr>
        <w:t>This shows the number of new infringement cases opened in 2017, by Member State.</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Second chart: New infringement cases opened in 2017: main policy areas</w:t>
      </w:r>
    </w:p>
    <w:p w:rsidR="003B06F5" w:rsidRDefault="00AD7FF7">
      <w:pPr>
        <w:rPr>
          <w:rFonts w:ascii="Arial" w:hAnsi="Arial" w:cs="Arial"/>
          <w:noProof/>
          <w:sz w:val="20"/>
        </w:rPr>
      </w:pPr>
      <w:r>
        <w:rPr>
          <w:rFonts w:ascii="Arial" w:hAnsi="Arial" w:cs="Arial"/>
          <w:noProof/>
          <w:sz w:val="20"/>
        </w:rPr>
        <w:t>This shows the main policy areas in which the new infringement cases were open</w:t>
      </w:r>
      <w:r>
        <w:rPr>
          <w:rFonts w:ascii="Arial" w:hAnsi="Arial" w:cs="Arial"/>
          <w:noProof/>
          <w:sz w:val="20"/>
        </w:rPr>
        <w:t>ed in 2017.</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Third chart: Reasoned opinions sent to Member States in 2017</w:t>
      </w:r>
    </w:p>
    <w:p w:rsidR="003B06F5" w:rsidRDefault="00AD7FF7">
      <w:pPr>
        <w:rPr>
          <w:rFonts w:ascii="Arial" w:hAnsi="Arial" w:cs="Arial"/>
          <w:noProof/>
          <w:sz w:val="20"/>
        </w:rPr>
      </w:pPr>
      <w:r>
        <w:rPr>
          <w:rFonts w:ascii="Arial" w:hAnsi="Arial" w:cs="Arial"/>
          <w:noProof/>
          <w:sz w:val="20"/>
        </w:rPr>
        <w:t>This shows the number of reasoned opinions sent to Member States in 2017.</w:t>
      </w:r>
    </w:p>
    <w:p w:rsidR="003B06F5" w:rsidRDefault="00AD7FF7">
      <w:pPr>
        <w:rPr>
          <w:rFonts w:ascii="Arial" w:hAnsi="Arial" w:cs="Arial"/>
          <w:b/>
          <w:noProof/>
          <w:color w:val="002060"/>
          <w:sz w:val="20"/>
        </w:rPr>
      </w:pPr>
      <w:r>
        <w:rPr>
          <w:rFonts w:ascii="Arial" w:hAnsi="Arial" w:cs="Arial"/>
          <w:b/>
          <w:noProof/>
          <w:color w:val="002060"/>
          <w:sz w:val="20"/>
        </w:rPr>
        <w:t>Fourth chart: Infringement cases open at year-end (2013-2017)</w:t>
      </w:r>
    </w:p>
    <w:p w:rsidR="003B06F5" w:rsidRDefault="00AD7FF7">
      <w:pPr>
        <w:rPr>
          <w:rFonts w:ascii="Arial" w:hAnsi="Arial" w:cs="Arial"/>
          <w:noProof/>
          <w:sz w:val="20"/>
        </w:rPr>
      </w:pPr>
      <w:r>
        <w:rPr>
          <w:rFonts w:ascii="Arial" w:hAnsi="Arial" w:cs="Arial"/>
          <w:noProof/>
          <w:sz w:val="20"/>
        </w:rPr>
        <w:t>This shows the number of infringements that rem</w:t>
      </w:r>
      <w:r>
        <w:rPr>
          <w:rFonts w:ascii="Arial" w:hAnsi="Arial" w:cs="Arial"/>
          <w:noProof/>
          <w:sz w:val="20"/>
        </w:rPr>
        <w:t>ained open on 31 December of each year from 2013 to 2017.</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Fifth: chart: Infringement cases open on 31 December 2017</w:t>
      </w:r>
    </w:p>
    <w:p w:rsidR="003B06F5" w:rsidRDefault="00AD7FF7">
      <w:pPr>
        <w:rPr>
          <w:rFonts w:ascii="Arial" w:hAnsi="Arial" w:cs="Arial"/>
          <w:noProof/>
          <w:sz w:val="20"/>
        </w:rPr>
      </w:pPr>
      <w:r>
        <w:rPr>
          <w:rFonts w:ascii="Arial" w:hAnsi="Arial" w:cs="Arial"/>
          <w:noProof/>
          <w:sz w:val="20"/>
        </w:rPr>
        <w:t>These figures show all procedures that the Commission has started against each Member State by sending a letter of formal notice under Artic</w:t>
      </w:r>
      <w:r>
        <w:rPr>
          <w:rFonts w:ascii="Arial" w:hAnsi="Arial" w:cs="Arial"/>
          <w:noProof/>
          <w:sz w:val="20"/>
        </w:rPr>
        <w:t>le 258 TFEU. It covers letters sent in 2017 or before, irrespective of the stages the cases have reached. Only cases which have not yet been closed by a formal decision are shown. For each Member State, the chart distinguishes between infringements for inc</w:t>
      </w:r>
      <w:r>
        <w:rPr>
          <w:rFonts w:ascii="Arial" w:hAnsi="Arial" w:cs="Arial"/>
          <w:noProof/>
          <w:sz w:val="20"/>
        </w:rPr>
        <w:t>orrect transposition and/or bad application of EU law, on the one hand, and late transposition infringements, on the other.</w:t>
      </w:r>
    </w:p>
    <w:p w:rsidR="003B06F5" w:rsidRDefault="00AD7FF7">
      <w:pPr>
        <w:rPr>
          <w:rFonts w:ascii="Arial" w:hAnsi="Arial" w:cs="Arial"/>
          <w:noProof/>
          <w:sz w:val="20"/>
        </w:rPr>
      </w:pPr>
      <w:r>
        <w:rPr>
          <w:rFonts w:ascii="Arial" w:hAnsi="Arial" w:cs="Arial"/>
          <w:noProof/>
          <w:sz w:val="20"/>
        </w:rPr>
        <w:t>Accordingly, the numbers include all cases that, on 31 December 2017:</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were in the pre-litigation phase (letter of formal notice, rea</w:t>
      </w:r>
      <w:r>
        <w:rPr>
          <w:rFonts w:ascii="Arial" w:eastAsia="Calibri" w:hAnsi="Arial" w:cs="Arial"/>
          <w:noProof/>
          <w:kern w:val="20"/>
          <w:sz w:val="20"/>
        </w:rPr>
        <w:t>soned opinion or decision on referral to the Court under Article 258 TFEU);</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were pending before the Court under Article 258 TFEU or Article 260(3) TFEU;</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 xml:space="preserve">the Court had ruled on but where the Commission could not yet confirm that the Member State had </w:t>
      </w:r>
      <w:r>
        <w:rPr>
          <w:rFonts w:ascii="Arial" w:eastAsia="Calibri" w:hAnsi="Arial" w:cs="Arial"/>
          <w:noProof/>
          <w:kern w:val="20"/>
          <w:sz w:val="20"/>
        </w:rPr>
        <w:t>implemented the judgment correctly;</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were in the second pre-litigation procedure (letter of formal notice or referral decision under Article 260(2) TFEU);</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were pending before the Court due to a second referral; or</w:t>
      </w:r>
    </w:p>
    <w:p w:rsidR="003B06F5" w:rsidRDefault="00AD7FF7">
      <w:pPr>
        <w:ind w:left="1412" w:hanging="703"/>
        <w:rPr>
          <w:rFonts w:ascii="Arial" w:eastAsia="Calibri" w:hAnsi="Arial" w:cs="Arial"/>
          <w:noProof/>
          <w:kern w:val="20"/>
          <w:sz w:val="20"/>
        </w:rPr>
      </w:pPr>
      <w:r>
        <w:rPr>
          <w:rFonts w:ascii="Arial" w:eastAsia="Calibri" w:hAnsi="Arial" w:cs="Arial"/>
          <w:noProof/>
          <w:kern w:val="20"/>
          <w:sz w:val="20"/>
        </w:rPr>
        <w:t xml:space="preserve">the Court had ruled on for the second time </w:t>
      </w:r>
      <w:r>
        <w:rPr>
          <w:rFonts w:ascii="Arial" w:eastAsia="Calibri" w:hAnsi="Arial" w:cs="Arial"/>
          <w:noProof/>
          <w:kern w:val="20"/>
          <w:sz w:val="20"/>
        </w:rPr>
        <w:t>but where the Commission could not yet confirm that the Member State had implemented the second judgment correctly.</w:t>
      </w:r>
    </w:p>
    <w:p w:rsidR="003B06F5" w:rsidRDefault="00AD7FF7">
      <w:pPr>
        <w:rPr>
          <w:rFonts w:ascii="Arial" w:hAnsi="Arial" w:cs="Arial"/>
          <w:noProof/>
          <w:sz w:val="20"/>
        </w:rPr>
      </w:pPr>
      <w:r>
        <w:rPr>
          <w:rFonts w:ascii="Arial" w:hAnsi="Arial" w:cs="Arial"/>
          <w:noProof/>
          <w:sz w:val="20"/>
        </w:rPr>
        <w:t xml:space="preserve">This figure does </w:t>
      </w:r>
      <w:r>
        <w:rPr>
          <w:rFonts w:ascii="Arial" w:hAnsi="Arial" w:cs="Arial"/>
          <w:i/>
          <w:noProof/>
          <w:sz w:val="20"/>
        </w:rPr>
        <w:t>not</w:t>
      </w:r>
      <w:r>
        <w:rPr>
          <w:rFonts w:ascii="Arial" w:hAnsi="Arial" w:cs="Arial"/>
          <w:noProof/>
          <w:sz w:val="20"/>
        </w:rPr>
        <w:t xml:space="preserve"> include, for example, open EU Pilot files. It also does not include EU Pilot files for which the Commission rejected th</w:t>
      </w:r>
      <w:r>
        <w:rPr>
          <w:rFonts w:ascii="Arial" w:hAnsi="Arial" w:cs="Arial"/>
          <w:noProof/>
          <w:sz w:val="20"/>
        </w:rPr>
        <w:t>e Member State’s response but had not yet sent a letter of formal notice under Article 258 TFEU.</w:t>
      </w:r>
    </w:p>
    <w:p w:rsidR="003B06F5" w:rsidRDefault="00AD7FF7">
      <w:pPr>
        <w:rPr>
          <w:rFonts w:ascii="Arial" w:hAnsi="Arial" w:cs="Arial"/>
          <w:b/>
          <w:noProof/>
          <w:color w:val="002060"/>
          <w:sz w:val="20"/>
        </w:rPr>
      </w:pPr>
      <w:r>
        <w:rPr>
          <w:rFonts w:ascii="Arial" w:hAnsi="Arial" w:cs="Arial"/>
          <w:b/>
          <w:noProof/>
          <w:color w:val="002060"/>
          <w:sz w:val="20"/>
        </w:rPr>
        <w:t>Sixth chart: Infringement cases open at end-2017: policy areas</w:t>
      </w:r>
    </w:p>
    <w:p w:rsidR="003B06F5" w:rsidRDefault="00AD7FF7">
      <w:pPr>
        <w:rPr>
          <w:rFonts w:ascii="Arial" w:hAnsi="Arial" w:cs="Arial"/>
          <w:noProof/>
          <w:sz w:val="20"/>
        </w:rPr>
      </w:pPr>
      <w:r>
        <w:rPr>
          <w:rFonts w:ascii="Arial" w:hAnsi="Arial" w:cs="Arial"/>
          <w:noProof/>
          <w:sz w:val="20"/>
        </w:rPr>
        <w:t>This shows the breakdown, by policy area, of the infringement cases open on 31 December 2017.</w:t>
      </w:r>
    </w:p>
    <w:p w:rsidR="003B06F5" w:rsidRDefault="00AD7FF7">
      <w:pPr>
        <w:pStyle w:val="kop3"/>
        <w:rPr>
          <w:rFonts w:eastAsia="MS Gothic"/>
          <w:noProof/>
          <w:lang w:eastAsia="zh-CN"/>
        </w:rPr>
      </w:pPr>
      <w:bookmarkStart w:id="46" w:name="_Toc413173796"/>
      <w:bookmarkStart w:id="47" w:name="_Toc507580233"/>
      <w:r>
        <w:rPr>
          <w:rFonts w:eastAsia="MS Gothic"/>
          <w:noProof/>
          <w:lang w:eastAsia="zh-CN"/>
        </w:rPr>
        <w:t>Transposition of directives</w:t>
      </w:r>
      <w:bookmarkEnd w:id="46"/>
      <w:bookmarkEnd w:id="47"/>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First chart: Directives and late transposition infringement cases</w:t>
      </w:r>
    </w:p>
    <w:p w:rsidR="003B06F5" w:rsidRDefault="00AD7FF7">
      <w:pPr>
        <w:rPr>
          <w:rFonts w:ascii="Arial" w:hAnsi="Arial" w:cs="Arial"/>
          <w:noProof/>
          <w:sz w:val="20"/>
          <w:lang w:eastAsia="zh-CN"/>
        </w:rPr>
      </w:pPr>
      <w:r>
        <w:rPr>
          <w:rFonts w:ascii="Arial" w:hAnsi="Arial" w:cs="Arial"/>
          <w:noProof/>
          <w:sz w:val="20"/>
          <w:lang w:eastAsia="zh-CN"/>
        </w:rPr>
        <w:t>This shows how many directives had to be transposed in the years 2013-2017 and how many new infringement cases for late transposition were opened in that period.</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Second chart: Late transposition infringement cases open at year-end</w:t>
      </w:r>
    </w:p>
    <w:p w:rsidR="003B06F5" w:rsidRDefault="00AD7FF7">
      <w:pPr>
        <w:rPr>
          <w:rFonts w:ascii="Arial" w:hAnsi="Arial" w:cs="Arial"/>
          <w:noProof/>
          <w:sz w:val="20"/>
        </w:rPr>
      </w:pPr>
      <w:r>
        <w:rPr>
          <w:rFonts w:ascii="Arial" w:hAnsi="Arial" w:cs="Arial"/>
          <w:noProof/>
          <w:sz w:val="20"/>
        </w:rPr>
        <w:t>This starts with the number of late transposition infringements carried over from 2016 (first column). The second column shows the number of new late transposition infringements registere</w:t>
      </w:r>
      <w:r>
        <w:rPr>
          <w:rFonts w:ascii="Arial" w:hAnsi="Arial" w:cs="Arial"/>
          <w:noProof/>
          <w:sz w:val="20"/>
        </w:rPr>
        <w:t>d in 2017. The third column shows the number of complaints on which the Commission took a decision in 2017. The fourth column shows the number of late transposition infringements open at the end of 2017 (calculated by taking the first figure, adding the se</w:t>
      </w:r>
      <w:r>
        <w:rPr>
          <w:rFonts w:ascii="Arial" w:hAnsi="Arial" w:cs="Arial"/>
          <w:noProof/>
          <w:sz w:val="20"/>
        </w:rPr>
        <w:t>cond and subtracting the third).</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Third chart: Late transposition infringement cases open on 31 December 2017</w:t>
      </w:r>
    </w:p>
    <w:p w:rsidR="003B06F5" w:rsidRDefault="00AD7FF7">
      <w:pPr>
        <w:rPr>
          <w:rFonts w:ascii="Arial" w:hAnsi="Arial" w:cs="Arial"/>
          <w:noProof/>
          <w:sz w:val="20"/>
        </w:rPr>
      </w:pPr>
      <w:r>
        <w:rPr>
          <w:rFonts w:ascii="Arial" w:hAnsi="Arial" w:cs="Arial"/>
          <w:noProof/>
          <w:sz w:val="20"/>
        </w:rPr>
        <w:t xml:space="preserve">This shows </w:t>
      </w:r>
      <w:r>
        <w:rPr>
          <w:rFonts w:ascii="Arial" w:hAnsi="Arial" w:cs="Cambria"/>
          <w:noProof/>
          <w:sz w:val="20"/>
          <w:lang w:eastAsia="nl-BE"/>
        </w:rPr>
        <w:t>the number of late transposition infringements open on 31 December 2017 by Member State, irrespective of the year in which the infringem</w:t>
      </w:r>
      <w:r>
        <w:rPr>
          <w:rFonts w:ascii="Arial" w:hAnsi="Arial" w:cs="Cambria"/>
          <w:noProof/>
          <w:sz w:val="20"/>
          <w:lang w:eastAsia="nl-BE"/>
        </w:rPr>
        <w:t>ent was opened.</w:t>
      </w:r>
    </w:p>
    <w:p w:rsidR="003B06F5" w:rsidRDefault="00AD7FF7">
      <w:pPr>
        <w:rPr>
          <w:rFonts w:ascii="Arial" w:hAnsi="Arial" w:cs="Arial"/>
          <w:b/>
          <w:noProof/>
          <w:color w:val="002060"/>
          <w:sz w:val="20"/>
        </w:rPr>
      </w:pPr>
      <w:r>
        <w:rPr>
          <w:rFonts w:ascii="Arial" w:hAnsi="Arial" w:cs="Arial"/>
          <w:b/>
          <w:noProof/>
          <w:color w:val="002060"/>
          <w:sz w:val="20"/>
        </w:rPr>
        <w:t>Fourth chart: New late transposition infringement cases</w:t>
      </w:r>
    </w:p>
    <w:p w:rsidR="003B06F5" w:rsidRDefault="00AD7FF7">
      <w:pPr>
        <w:rPr>
          <w:rFonts w:ascii="Arial" w:hAnsi="Arial" w:cs="Arial"/>
          <w:noProof/>
          <w:sz w:val="20"/>
        </w:rPr>
      </w:pPr>
      <w:r>
        <w:rPr>
          <w:rFonts w:ascii="Arial" w:hAnsi="Arial" w:cs="Arial"/>
          <w:noProof/>
          <w:sz w:val="20"/>
        </w:rPr>
        <w:t>This figure shows the number of letters of formal notice addressed to each Member State under Article 258 TFEU for missing or partial notifications of national transposition measures i</w:t>
      </w:r>
      <w:r>
        <w:rPr>
          <w:rFonts w:ascii="Arial" w:hAnsi="Arial" w:cs="Arial"/>
          <w:noProof/>
          <w:sz w:val="20"/>
        </w:rPr>
        <w:t xml:space="preserve">n 2017. This figure is already included in the total number of new infringement cases initiated against the Member State in 2017, so it should </w:t>
      </w:r>
      <w:r>
        <w:rPr>
          <w:rFonts w:ascii="Arial" w:hAnsi="Arial" w:cs="Arial"/>
          <w:i/>
          <w:noProof/>
          <w:sz w:val="20"/>
        </w:rPr>
        <w:t>not</w:t>
      </w:r>
      <w:r>
        <w:rPr>
          <w:rFonts w:ascii="Arial" w:hAnsi="Arial" w:cs="Arial"/>
          <w:noProof/>
          <w:sz w:val="20"/>
        </w:rPr>
        <w:t xml:space="preserve"> be added to the figure shown in the first chart of the general statistics section.</w:t>
      </w:r>
    </w:p>
    <w:p w:rsidR="003B06F5" w:rsidRDefault="00AD7FF7">
      <w:pPr>
        <w:rPr>
          <w:rFonts w:ascii="Arial" w:hAnsi="Arial" w:cs="Arial"/>
          <w:noProof/>
          <w:sz w:val="20"/>
        </w:rPr>
      </w:pPr>
      <w:r>
        <w:rPr>
          <w:rFonts w:ascii="Arial" w:hAnsi="Arial" w:cs="Arial"/>
          <w:noProof/>
          <w:sz w:val="20"/>
        </w:rPr>
        <w:t>Please note that not all o</w:t>
      </w:r>
      <w:r>
        <w:rPr>
          <w:rFonts w:ascii="Arial" w:hAnsi="Arial" w:cs="Arial"/>
          <w:noProof/>
          <w:sz w:val="20"/>
        </w:rPr>
        <w:t>f these new infringement cases for late transposition were necessarily still open on 31 December 2017. For example, if the Commission opened a late transposition infringement procedure in March 2017 by sending a letter of formal notice, this would be added</w:t>
      </w:r>
      <w:r>
        <w:rPr>
          <w:rFonts w:ascii="Arial" w:hAnsi="Arial" w:cs="Arial"/>
          <w:noProof/>
          <w:sz w:val="20"/>
        </w:rPr>
        <w:t xml:space="preserve"> to the new infringement cases even if the Commission closed the case in October 2017 as a result of the Member State notifying complete transposition.</w:t>
      </w:r>
    </w:p>
    <w:p w:rsidR="003B06F5" w:rsidRDefault="00AD7FF7">
      <w:pPr>
        <w:rPr>
          <w:rFonts w:ascii="Arial" w:hAnsi="Arial" w:cs="Arial"/>
          <w:b/>
          <w:noProof/>
          <w:color w:val="002060"/>
          <w:sz w:val="20"/>
          <w:lang w:eastAsia="zh-CN"/>
        </w:rPr>
      </w:pPr>
      <w:r>
        <w:rPr>
          <w:rFonts w:ascii="Arial" w:hAnsi="Arial" w:cs="Arial"/>
          <w:b/>
          <w:noProof/>
          <w:color w:val="002060"/>
          <w:sz w:val="20"/>
          <w:lang w:eastAsia="zh-CN"/>
        </w:rPr>
        <w:t>Fifth chart: New late transposition infringement cases opened in 2017: main policy areas</w:t>
      </w:r>
    </w:p>
    <w:p w:rsidR="003B06F5" w:rsidRDefault="00AD7FF7">
      <w:pPr>
        <w:rPr>
          <w:rFonts w:ascii="Arial" w:hAnsi="Arial" w:cs="Arial"/>
          <w:noProof/>
          <w:sz w:val="20"/>
        </w:rPr>
      </w:pPr>
      <w:r>
        <w:rPr>
          <w:rFonts w:ascii="Arial" w:hAnsi="Arial" w:cs="Arial"/>
          <w:noProof/>
          <w:sz w:val="20"/>
        </w:rPr>
        <w:t xml:space="preserve">This shows the </w:t>
      </w:r>
      <w:r>
        <w:rPr>
          <w:rFonts w:ascii="Arial" w:hAnsi="Arial" w:cs="Arial"/>
          <w:noProof/>
          <w:sz w:val="20"/>
        </w:rPr>
        <w:t>main policy areas in which the procedures for late transposition were launched in 2017.</w:t>
      </w:r>
    </w:p>
    <w:p w:rsidR="003B06F5" w:rsidRDefault="003B06F5">
      <w:pPr>
        <w:rPr>
          <w:noProof/>
        </w:rPr>
      </w:pPr>
    </w:p>
    <w:sectPr w:rsidR="003B06F5">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284"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F5" w:rsidRDefault="00AD7FF7">
      <w:pPr>
        <w:spacing w:after="0"/>
      </w:pPr>
      <w:r>
        <w:separator/>
      </w:r>
    </w:p>
  </w:endnote>
  <w:endnote w:type="continuationSeparator" w:id="0">
    <w:p w:rsidR="003B06F5" w:rsidRDefault="00AD7FF7">
      <w:pPr>
        <w:spacing w:after="0"/>
      </w:pPr>
      <w:r>
        <w:continuationSeparator/>
      </w:r>
    </w:p>
  </w:endnote>
  <w:endnote w:type="continuationNotice" w:id="1">
    <w:p w:rsidR="003B06F5" w:rsidRDefault="003B0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FooterCoverPage"/>
      <w:rPr>
        <w:rFonts w:ascii="Arial" w:hAnsi="Arial" w:cs="Arial"/>
        <w:b/>
        <w:sz w:val="48"/>
      </w:rPr>
    </w:pPr>
    <w:r w:rsidRPr="00AD7FF7">
      <w:rPr>
        <w:rFonts w:ascii="Arial" w:hAnsi="Arial" w:cs="Arial"/>
        <w:b/>
        <w:sz w:val="48"/>
      </w:rPr>
      <w:t>EN</w:t>
    </w:r>
    <w:r w:rsidRPr="00AD7FF7">
      <w:rPr>
        <w:rFonts w:ascii="Arial" w:hAnsi="Arial" w:cs="Arial"/>
        <w:b/>
        <w:sz w:val="48"/>
      </w:rPr>
      <w:tab/>
    </w:r>
    <w:r w:rsidRPr="00AD7FF7">
      <w:rPr>
        <w:rFonts w:ascii="Arial" w:hAnsi="Arial" w:cs="Arial"/>
        <w:b/>
        <w:sz w:val="48"/>
      </w:rPr>
      <w:tab/>
    </w:r>
    <w:r w:rsidRPr="00AD7FF7">
      <w:tab/>
    </w:r>
    <w:r w:rsidRPr="00AD7FF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B06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AD7FF7">
    <w:pPr>
      <w:pStyle w:val="Footer"/>
      <w:jc w:val="center"/>
    </w:pPr>
    <w:r>
      <w:fldChar w:fldCharType="begin"/>
    </w:r>
    <w:r>
      <w:instrText xml:space="preserve"> PAGE   \* MERGEFORMAT </w:instrText>
    </w:r>
    <w:r>
      <w:fldChar w:fldCharType="separate"/>
    </w:r>
    <w:r>
      <w:rPr>
        <w:noProof/>
      </w:rPr>
      <w:t>1</w:t>
    </w:r>
    <w:r>
      <w:fldChar w:fldCharType="end"/>
    </w:r>
  </w:p>
  <w:p w:rsidR="003B06F5" w:rsidRDefault="003B06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B0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F5" w:rsidRDefault="00AD7FF7">
      <w:pPr>
        <w:spacing w:after="0"/>
      </w:pPr>
      <w:r>
        <w:separator/>
      </w:r>
    </w:p>
  </w:footnote>
  <w:footnote w:type="continuationSeparator" w:id="0">
    <w:p w:rsidR="003B06F5" w:rsidRDefault="00AD7FF7">
      <w:pPr>
        <w:spacing w:after="0"/>
      </w:pPr>
      <w:r>
        <w:continuationSeparator/>
      </w:r>
    </w:p>
  </w:footnote>
  <w:footnote w:type="continuationNotice" w:id="1">
    <w:p w:rsidR="003B06F5" w:rsidRDefault="003B06F5">
      <w:pPr>
        <w:spacing w:after="0"/>
      </w:pPr>
    </w:p>
  </w:footnote>
  <w:footnote w:id="2">
    <w:p w:rsidR="003B06F5" w:rsidRDefault="00AD7FF7">
      <w:pPr>
        <w:pStyle w:val="FootnoteText"/>
      </w:pPr>
      <w:r>
        <w:rPr>
          <w:rStyle w:val="FootnoteReference"/>
        </w:rPr>
        <w:footnoteRef/>
      </w:r>
      <w:r>
        <w:t xml:space="preserve"> </w:t>
      </w:r>
      <w:r>
        <w:tab/>
      </w:r>
      <w:hyperlink r:id="rId1" w:history="1">
        <w:r>
          <w:rPr>
            <w:rStyle w:val="Hyperlink"/>
          </w:rPr>
          <w:t>IP/15/4988</w:t>
        </w:r>
      </w:hyperlink>
      <w:r>
        <w:t>.</w:t>
      </w:r>
    </w:p>
  </w:footnote>
  <w:footnote w:id="3">
    <w:p w:rsidR="003B06F5" w:rsidRDefault="00AD7FF7">
      <w:pPr>
        <w:pStyle w:val="FootnoteText"/>
      </w:pPr>
      <w:r>
        <w:rPr>
          <w:rStyle w:val="FootnoteReference"/>
        </w:rPr>
        <w:footnoteRef/>
      </w:r>
      <w:r>
        <w:t xml:space="preserve"> </w:t>
      </w:r>
      <w:r>
        <w:tab/>
      </w:r>
      <w:hyperlink r:id="rId2" w:history="1">
        <w:r>
          <w:rPr>
            <w:rStyle w:val="Hyperlink"/>
          </w:rPr>
          <w:t>COM(2017)142</w:t>
        </w:r>
      </w:hyperlink>
      <w:r>
        <w:t>.</w:t>
      </w:r>
    </w:p>
  </w:footnote>
  <w:footnote w:id="4">
    <w:p w:rsidR="003B06F5" w:rsidRDefault="00AD7FF7">
      <w:pPr>
        <w:pStyle w:val="FootnoteText"/>
      </w:pPr>
      <w:r>
        <w:rPr>
          <w:rStyle w:val="FootnoteReference"/>
        </w:rPr>
        <w:footnoteRef/>
      </w:r>
      <w:r>
        <w:t xml:space="preserve"> </w:t>
      </w:r>
      <w:r>
        <w:tab/>
        <w:t>The policy is contained in (1) a Joint Political Dec</w:t>
      </w:r>
      <w:r>
        <w:t>laration of 28 September 2011 between the Commission and the Member States (</w:t>
      </w:r>
      <w:hyperlink r:id="rId3" w:history="1">
        <w:r>
          <w:rPr>
            <w:rStyle w:val="Hyperlink"/>
          </w:rPr>
          <w:t>OJ 2011/C 369/02</w:t>
        </w:r>
      </w:hyperlink>
      <w:r>
        <w:t>) and (2) a Joint Political Declaration of 27 October 2011 between the European</w:t>
      </w:r>
      <w:r>
        <w:t xml:space="preserve"> Parliament, the Council and the Commission (</w:t>
      </w:r>
      <w:hyperlink r:id="rId4" w:history="1">
        <w:r>
          <w:rPr>
            <w:rStyle w:val="Hyperlink"/>
          </w:rPr>
          <w:t>OJ 2011/C 369/03</w:t>
        </w:r>
      </w:hyperlink>
      <w:r>
        <w:t>).</w:t>
      </w:r>
    </w:p>
  </w:footnote>
  <w:footnote w:id="5">
    <w:p w:rsidR="003B06F5" w:rsidRDefault="00AD7FF7">
      <w:pPr>
        <w:pStyle w:val="FootnoteText"/>
      </w:pPr>
      <w:r>
        <w:rPr>
          <w:rStyle w:val="FootnoteReference"/>
        </w:rPr>
        <w:footnoteRef/>
      </w:r>
      <w:r>
        <w:t xml:space="preserve"> </w:t>
      </w:r>
      <w:r>
        <w:tab/>
        <w:t>The standard recital in such directives reads as follows: Member States ‘undertake to accompany the noti</w:t>
      </w:r>
      <w:r>
        <w:t>fication of transposition measures with one or more explanatory documents, which can take the form of correlation tables or other documents serving the same purpose’. The Commission will have ‘to justify on a case by case basis, when submitting the relevan</w:t>
      </w:r>
      <w:r>
        <w:t>t proposals, the need for, and the proportionality of, providing such documents’.</w:t>
      </w:r>
    </w:p>
  </w:footnote>
  <w:footnote w:id="6">
    <w:p w:rsidR="003B06F5" w:rsidRDefault="00AD7FF7">
      <w:pPr>
        <w:pStyle w:val="FootnoteText"/>
      </w:pPr>
      <w:r>
        <w:rPr>
          <w:rStyle w:val="FootnoteReference"/>
        </w:rPr>
        <w:footnoteRef/>
      </w:r>
      <w:r>
        <w:t xml:space="preserve"> </w:t>
      </w:r>
      <w:r>
        <w:tab/>
        <w:t>The report takes into account the explanatory documents submitted for these directives between 1 January and 31 December 2017.</w:t>
      </w:r>
    </w:p>
  </w:footnote>
  <w:footnote w:id="7">
    <w:p w:rsidR="003B06F5" w:rsidRDefault="00AD7FF7">
      <w:pPr>
        <w:pStyle w:val="FootnoteText"/>
      </w:pPr>
      <w:r>
        <w:rPr>
          <w:rStyle w:val="FootnoteReference"/>
        </w:rPr>
        <w:footnoteRef/>
      </w:r>
      <w:r>
        <w:t xml:space="preserve"> </w:t>
      </w:r>
      <w:r>
        <w:tab/>
      </w:r>
      <w:hyperlink r:id="rId5" w:history="1">
        <w:r>
          <w:rPr>
            <w:rStyle w:val="Hyperlink"/>
          </w:rPr>
          <w:t>Directive 2014/52/EU</w:t>
        </w:r>
      </w:hyperlink>
      <w:r>
        <w:t>.</w:t>
      </w:r>
    </w:p>
  </w:footnote>
  <w:footnote w:id="8">
    <w:p w:rsidR="003B06F5" w:rsidRDefault="00AD7FF7">
      <w:pPr>
        <w:pStyle w:val="FootnoteText"/>
      </w:pPr>
      <w:r>
        <w:rPr>
          <w:rStyle w:val="FootnoteReference"/>
        </w:rPr>
        <w:footnoteRef/>
      </w:r>
      <w:r>
        <w:t xml:space="preserve"> </w:t>
      </w:r>
      <w:r>
        <w:tab/>
      </w:r>
      <w:hyperlink r:id="rId6" w:history="1">
        <w:r>
          <w:rPr>
            <w:rStyle w:val="Hyperlink"/>
          </w:rPr>
          <w:t>Directive 2015/2193/EU</w:t>
        </w:r>
      </w:hyperlink>
      <w:r>
        <w:t>.</w:t>
      </w:r>
    </w:p>
  </w:footnote>
  <w:footnote w:id="9">
    <w:p w:rsidR="003B06F5" w:rsidRDefault="00AD7FF7">
      <w:pPr>
        <w:pStyle w:val="FootnoteText"/>
      </w:pPr>
      <w:r>
        <w:rPr>
          <w:rStyle w:val="FootnoteReference"/>
        </w:rPr>
        <w:footnoteRef/>
      </w:r>
      <w:r>
        <w:t xml:space="preserve"> </w:t>
      </w:r>
      <w:r>
        <w:tab/>
      </w:r>
      <w:hyperlink r:id="rId7" w:history="1">
        <w:r>
          <w:rPr>
            <w:rStyle w:val="Hyperlink"/>
          </w:rPr>
          <w:t>Directive 2016/2284/EU</w:t>
        </w:r>
      </w:hyperlink>
      <w:r>
        <w:t>.</w:t>
      </w:r>
    </w:p>
  </w:footnote>
  <w:footnote w:id="10">
    <w:p w:rsidR="003B06F5" w:rsidRDefault="00AD7FF7">
      <w:pPr>
        <w:pStyle w:val="FootnoteText"/>
      </w:pPr>
      <w:r>
        <w:rPr>
          <w:rStyle w:val="FootnoteReference"/>
        </w:rPr>
        <w:footnoteRef/>
      </w:r>
      <w:r>
        <w:t xml:space="preserve"> </w:t>
      </w:r>
      <w:r>
        <w:tab/>
      </w:r>
      <w:hyperlink r:id="rId8" w:history="1">
        <w:r>
          <w:rPr>
            <w:rStyle w:val="Hyperlink"/>
          </w:rPr>
          <w:t>Directive 2014/87/Euratom</w:t>
        </w:r>
      </w:hyperlink>
      <w:r>
        <w:t>.</w:t>
      </w:r>
    </w:p>
  </w:footnote>
  <w:footnote w:id="11">
    <w:p w:rsidR="003B06F5" w:rsidRDefault="00AD7FF7">
      <w:pPr>
        <w:pStyle w:val="FootnoteText"/>
      </w:pPr>
      <w:r>
        <w:rPr>
          <w:rStyle w:val="FootnoteReference"/>
        </w:rPr>
        <w:footnoteRef/>
      </w:r>
      <w:r>
        <w:t xml:space="preserve"> </w:t>
      </w:r>
      <w:r>
        <w:tab/>
      </w:r>
      <w:hyperlink r:id="rId9" w:history="1">
        <w:r>
          <w:rPr>
            <w:rStyle w:val="Hyperlink"/>
          </w:rPr>
          <w:t>Directive 2015/1513/EU</w:t>
        </w:r>
      </w:hyperlink>
      <w:r>
        <w:t>.</w:t>
      </w:r>
    </w:p>
  </w:footnote>
  <w:footnote w:id="12">
    <w:p w:rsidR="003B06F5" w:rsidRDefault="00AD7FF7">
      <w:pPr>
        <w:pStyle w:val="FootnoteText"/>
      </w:pPr>
      <w:r>
        <w:rPr>
          <w:rStyle w:val="FootnoteReference"/>
        </w:rPr>
        <w:footnoteRef/>
      </w:r>
      <w:r>
        <w:t xml:space="preserve"> </w:t>
      </w:r>
      <w:r>
        <w:tab/>
      </w:r>
      <w:hyperlink r:id="rId10" w:history="1">
        <w:r>
          <w:rPr>
            <w:rStyle w:val="Hyperlink"/>
          </w:rPr>
          <w:t>Directive 2014/65/EU</w:t>
        </w:r>
      </w:hyperlink>
      <w:r>
        <w:t>.</w:t>
      </w:r>
    </w:p>
  </w:footnote>
  <w:footnote w:id="13">
    <w:p w:rsidR="003B06F5" w:rsidRDefault="00AD7FF7">
      <w:pPr>
        <w:pStyle w:val="FootnoteText"/>
      </w:pPr>
      <w:r>
        <w:rPr>
          <w:rStyle w:val="FootnoteReference"/>
        </w:rPr>
        <w:footnoteRef/>
      </w:r>
      <w:r>
        <w:t xml:space="preserve"> </w:t>
      </w:r>
      <w:r>
        <w:tab/>
      </w:r>
      <w:hyperlink r:id="rId11" w:history="1">
        <w:r>
          <w:rPr>
            <w:rStyle w:val="Hyperlink"/>
          </w:rPr>
          <w:t>Directive 2017/593/EU</w:t>
        </w:r>
      </w:hyperlink>
      <w:r>
        <w:t>.</w:t>
      </w:r>
    </w:p>
  </w:footnote>
  <w:footnote w:id="14">
    <w:p w:rsidR="003B06F5" w:rsidRDefault="00AD7FF7">
      <w:pPr>
        <w:pStyle w:val="FootnoteText"/>
      </w:pPr>
      <w:r>
        <w:rPr>
          <w:rStyle w:val="FootnoteReference"/>
        </w:rPr>
        <w:footnoteRef/>
      </w:r>
      <w:r>
        <w:t xml:space="preserve"> </w:t>
      </w:r>
      <w:r>
        <w:tab/>
      </w:r>
      <w:hyperlink r:id="rId12" w:history="1">
        <w:r>
          <w:rPr>
            <w:rStyle w:val="Hyperlink"/>
          </w:rPr>
          <w:t>Directive 2014/41/EU</w:t>
        </w:r>
      </w:hyperlink>
      <w:r>
        <w:t>.</w:t>
      </w:r>
    </w:p>
  </w:footnote>
  <w:footnote w:id="15">
    <w:p w:rsidR="003B06F5" w:rsidRDefault="00AD7FF7">
      <w:pPr>
        <w:pStyle w:val="FootnoteText"/>
      </w:pPr>
      <w:r>
        <w:rPr>
          <w:rStyle w:val="FootnoteReference"/>
        </w:rPr>
        <w:footnoteRef/>
      </w:r>
      <w:r>
        <w:t xml:space="preserve"> </w:t>
      </w:r>
      <w:r>
        <w:tab/>
      </w:r>
      <w:hyperlink r:id="rId13" w:history="1">
        <w:r>
          <w:rPr>
            <w:rStyle w:val="Hyperlink"/>
          </w:rPr>
          <w:t>Directive 2015/849/EU</w:t>
        </w:r>
      </w:hyperlink>
      <w:r>
        <w:t>.</w:t>
      </w:r>
    </w:p>
  </w:footnote>
  <w:footnote w:id="16">
    <w:p w:rsidR="003B06F5" w:rsidRDefault="00AD7FF7">
      <w:pPr>
        <w:pStyle w:val="FootnoteText"/>
      </w:pPr>
      <w:r>
        <w:rPr>
          <w:rStyle w:val="FootnoteReference"/>
        </w:rPr>
        <w:footnoteRef/>
      </w:r>
      <w:r>
        <w:t xml:space="preserve"> </w:t>
      </w:r>
      <w:r>
        <w:tab/>
      </w:r>
      <w:hyperlink r:id="rId14" w:history="1">
        <w:r>
          <w:rPr>
            <w:rStyle w:val="Hyperlink"/>
          </w:rPr>
          <w:t>Directive 2015/653/EU</w:t>
        </w:r>
      </w:hyperlink>
      <w:r>
        <w:t>.</w:t>
      </w:r>
    </w:p>
  </w:footnote>
  <w:footnote w:id="17">
    <w:p w:rsidR="003B06F5" w:rsidRDefault="00AD7FF7">
      <w:pPr>
        <w:pStyle w:val="FootnoteText"/>
      </w:pPr>
      <w:r>
        <w:rPr>
          <w:rStyle w:val="FootnoteReference"/>
        </w:rPr>
        <w:footnoteRef/>
      </w:r>
      <w:r>
        <w:t xml:space="preserve"> </w:t>
      </w:r>
      <w:r>
        <w:tab/>
      </w:r>
      <w:hyperlink r:id="rId15" w:history="1">
        <w:r>
          <w:rPr>
            <w:rStyle w:val="Hyperlink"/>
          </w:rPr>
          <w:t>Directive 2017/433/EU</w:t>
        </w:r>
      </w:hyperlink>
      <w:r>
        <w:t>.</w:t>
      </w:r>
    </w:p>
  </w:footnote>
  <w:footnote w:id="18">
    <w:p w:rsidR="003B06F5" w:rsidRDefault="00AD7FF7">
      <w:pPr>
        <w:pStyle w:val="FootnoteText"/>
      </w:pPr>
      <w:r>
        <w:rPr>
          <w:rStyle w:val="FootnoteReference"/>
        </w:rPr>
        <w:footnoteRef/>
      </w:r>
      <w:r>
        <w:t xml:space="preserve"> </w:t>
      </w:r>
      <w:r>
        <w:tab/>
        <w:t>Pursuant to the Communication ‘EU law: Better results through better application’ (</w:t>
      </w:r>
      <w:hyperlink r:id="rId16" w:history="1">
        <w:r>
          <w:rPr>
            <w:rStyle w:val="Hyperlink"/>
          </w:rPr>
          <w:t>C(2016)8600</w:t>
        </w:r>
      </w:hyperlink>
      <w:r>
        <w:t>), the Commission will launch infringement procedures without relying on EU Pilot, unless recourse to this mechanism is seen as useful in a given case.</w:t>
      </w:r>
    </w:p>
  </w:footnote>
  <w:footnote w:id="19">
    <w:p w:rsidR="003B06F5" w:rsidRDefault="00AD7FF7">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rPr>
        <w:tab/>
      </w:r>
      <w:r>
        <w:t>T</w:t>
      </w:r>
      <w:r>
        <w:t>he number of complaints open at end-2017 (d) is calculated by adding together the number of complaint files open at end-2016 (a) and of new complaints opened in 2017 (b), then subtracting the number of complaints handled during 2017 (c) (a+b-c=d).</w:t>
      </w:r>
    </w:p>
  </w:footnote>
  <w:footnote w:id="20">
    <w:p w:rsidR="003B06F5" w:rsidRDefault="00AD7FF7">
      <w:pPr>
        <w:pStyle w:val="FootnoteText"/>
      </w:pPr>
      <w:r>
        <w:rPr>
          <w:rStyle w:val="FootnoteReference"/>
        </w:rPr>
        <w:footnoteRef/>
      </w:r>
      <w:r>
        <w:t xml:space="preserve"> </w:t>
      </w:r>
      <w:r>
        <w:tab/>
        <w:t>Accor</w:t>
      </w:r>
      <w:r>
        <w:t xml:space="preserve">ding to conditions set out in point 3 of the Annex on administrative procedures for the handling of relations with the complainant regarding the application of European Union law to the Communication </w:t>
      </w:r>
      <w:r>
        <w:rPr>
          <w:i/>
        </w:rPr>
        <w:t>EU law: Better results through better application</w:t>
      </w:r>
      <w:r>
        <w:t xml:space="preserve"> (</w:t>
      </w:r>
      <w:hyperlink r:id="rId17" w:history="1">
        <w:r>
          <w:rPr>
            <w:rStyle w:val="Hyperlink"/>
          </w:rPr>
          <w:t>C(2016)8600</w:t>
        </w:r>
      </w:hyperlink>
      <w:r>
        <w:t>).</w:t>
      </w:r>
    </w:p>
  </w:footnote>
  <w:footnote w:id="21">
    <w:p w:rsidR="003B06F5" w:rsidRDefault="00AD7FF7">
      <w:pPr>
        <w:pStyle w:val="FootnoteText"/>
      </w:pPr>
      <w:r>
        <w:rPr>
          <w:rStyle w:val="FootnoteReference"/>
        </w:rPr>
        <w:footnoteRef/>
      </w:r>
      <w:r>
        <w:t xml:space="preserve"> </w:t>
      </w:r>
      <w:r>
        <w:tab/>
      </w:r>
      <w:hyperlink r:id="rId18" w:history="1">
        <w:r>
          <w:rPr>
            <w:rStyle w:val="Hyperlink"/>
          </w:rPr>
          <w:t>Directive 2008/98/EC</w:t>
        </w:r>
      </w:hyperlink>
      <w:r>
        <w:t>.</w:t>
      </w:r>
    </w:p>
  </w:footnote>
  <w:footnote w:id="22">
    <w:p w:rsidR="003B06F5" w:rsidRDefault="00AD7FF7">
      <w:pPr>
        <w:pStyle w:val="FootnoteText"/>
        <w:rPr>
          <w:strike/>
        </w:rPr>
      </w:pPr>
      <w:r>
        <w:rPr>
          <w:rStyle w:val="FootnoteReference"/>
          <w:rFonts w:ascii="Verdana" w:hAnsi="Verdana"/>
        </w:rPr>
        <w:footnoteRef/>
      </w:r>
      <w:r>
        <w:rPr>
          <w:rFonts w:ascii="Verdana" w:hAnsi="Verdana"/>
        </w:rPr>
        <w:t xml:space="preserve"> </w:t>
      </w:r>
      <w:r>
        <w:rPr>
          <w:rFonts w:ascii="Verdana" w:hAnsi="Verdana"/>
        </w:rPr>
        <w:tab/>
      </w:r>
      <w:r>
        <w:t>The number of EU Pilot files open at end-2017 (d) is calculated by adding together the numbers of files open at end-2016 (a) and of new files opened in 2017 (b), then subtracting the number of files handled during 2017 (c) (a+b-c=d</w:t>
      </w:r>
      <w:r>
        <w:t>).</w:t>
      </w:r>
    </w:p>
  </w:footnote>
  <w:footnote w:id="23">
    <w:p w:rsidR="003B06F5" w:rsidRDefault="00AD7FF7">
      <w:pPr>
        <w:pStyle w:val="FootnoteText"/>
      </w:pPr>
      <w:r>
        <w:rPr>
          <w:rStyle w:val="FootnoteReference"/>
        </w:rPr>
        <w:footnoteRef/>
      </w:r>
      <w:r>
        <w:t xml:space="preserve"> </w:t>
      </w:r>
      <w:r>
        <w:tab/>
        <w:t>Includes three letters of formal notice under Article 260 TFEU.</w:t>
      </w:r>
    </w:p>
  </w:footnote>
  <w:footnote w:id="24">
    <w:p w:rsidR="003B06F5" w:rsidRDefault="00AD7FF7">
      <w:pPr>
        <w:pStyle w:val="FootnoteText"/>
      </w:pPr>
      <w:r>
        <w:rPr>
          <w:rStyle w:val="FootnoteReference"/>
        </w:rPr>
        <w:footnoteRef/>
      </w:r>
      <w:r>
        <w:t xml:space="preserve"> </w:t>
      </w:r>
      <w:r>
        <w:tab/>
        <w:t xml:space="preserve">Commission v Spain, </w:t>
      </w:r>
      <w:hyperlink r:id="rId19" w:history="1">
        <w:r>
          <w:rPr>
            <w:rStyle w:val="Hyperlink"/>
          </w:rPr>
          <w:t>C-388/16</w:t>
        </w:r>
      </w:hyperlink>
      <w:r>
        <w:t xml:space="preserve"> (lump sum payment of EUR 3 million).</w:t>
      </w:r>
    </w:p>
  </w:footnote>
  <w:footnote w:id="25">
    <w:p w:rsidR="003B06F5" w:rsidRDefault="00AD7FF7">
      <w:pPr>
        <w:pStyle w:val="FootnoteText"/>
      </w:pPr>
      <w:r>
        <w:rPr>
          <w:rStyle w:val="FootnoteReference"/>
        </w:rPr>
        <w:footnoteRef/>
      </w:r>
      <w:r>
        <w:t xml:space="preserve"> </w:t>
      </w:r>
      <w:r>
        <w:tab/>
        <w:t xml:space="preserve">Corrigendum: The </w:t>
      </w:r>
      <w:r>
        <w:t>2016 Annual Report stated that 868 cases were open at end-2016. This clerical error has been corrected to reflect the actual number of open late transposition cases: 874 cases open at end-2016.</w:t>
      </w:r>
    </w:p>
  </w:footnote>
  <w:footnote w:id="26">
    <w:p w:rsidR="003B06F5" w:rsidRDefault="00AD7FF7">
      <w:pPr>
        <w:pStyle w:val="FootnoteText"/>
        <w:rPr>
          <w:lang w:val="fr-BE"/>
        </w:rPr>
      </w:pPr>
      <w:r>
        <w:rPr>
          <w:rStyle w:val="FootnoteReference"/>
        </w:rPr>
        <w:footnoteRef/>
      </w:r>
      <w:r>
        <w:rPr>
          <w:lang w:val="fr-BE"/>
        </w:rPr>
        <w:t xml:space="preserve"> </w:t>
      </w:r>
      <w:r>
        <w:rPr>
          <w:lang w:val="fr-BE"/>
        </w:rPr>
        <w:tab/>
      </w:r>
      <w:hyperlink r:id="rId20" w:history="1">
        <w:r>
          <w:rPr>
            <w:rStyle w:val="Hyperlink"/>
            <w:lang w:val="fr-BE"/>
          </w:rPr>
          <w:t>Directive 2015/652/EU</w:t>
        </w:r>
      </w:hyperlink>
      <w:r>
        <w:rPr>
          <w:lang w:val="fr-BE"/>
        </w:rPr>
        <w:t>.</w:t>
      </w:r>
    </w:p>
  </w:footnote>
  <w:footnote w:id="27">
    <w:p w:rsidR="003B06F5" w:rsidRDefault="00AD7FF7">
      <w:pPr>
        <w:pStyle w:val="FootnoteText"/>
        <w:rPr>
          <w:lang w:val="fr-BE"/>
        </w:rPr>
      </w:pPr>
      <w:r>
        <w:rPr>
          <w:rStyle w:val="FootnoteReference"/>
        </w:rPr>
        <w:footnoteRef/>
      </w:r>
      <w:r>
        <w:rPr>
          <w:lang w:val="fr-BE"/>
        </w:rPr>
        <w:t xml:space="preserve"> </w:t>
      </w:r>
      <w:r>
        <w:rPr>
          <w:lang w:val="fr-BE"/>
        </w:rPr>
        <w:tab/>
      </w:r>
      <w:hyperlink r:id="rId21" w:history="1">
        <w:r>
          <w:rPr>
            <w:rStyle w:val="Hyperlink"/>
            <w:lang w:val="fr-BE"/>
          </w:rPr>
          <w:t>Directive 2014/94/EU</w:t>
        </w:r>
      </w:hyperlink>
      <w:r>
        <w:rPr>
          <w:lang w:val="fr-BE"/>
        </w:rPr>
        <w:t>.</w:t>
      </w:r>
    </w:p>
  </w:footnote>
  <w:footnote w:id="28">
    <w:p w:rsidR="003B06F5" w:rsidRDefault="00AD7FF7">
      <w:pPr>
        <w:pStyle w:val="FootnoteText"/>
        <w:rPr>
          <w:lang w:val="fr-BE"/>
        </w:rPr>
      </w:pPr>
      <w:r>
        <w:rPr>
          <w:rStyle w:val="FootnoteReference"/>
        </w:rPr>
        <w:footnoteRef/>
      </w:r>
      <w:r>
        <w:rPr>
          <w:lang w:val="fr-BE"/>
        </w:rPr>
        <w:t xml:space="preserve"> </w:t>
      </w:r>
      <w:r>
        <w:rPr>
          <w:lang w:val="fr-BE"/>
        </w:rPr>
        <w:tab/>
      </w:r>
      <w:hyperlink r:id="rId22" w:history="1">
        <w:r>
          <w:rPr>
            <w:rStyle w:val="Hyperlink"/>
            <w:lang w:val="fr-BE"/>
          </w:rPr>
          <w:t>Directive 2014/104/EU</w:t>
        </w:r>
      </w:hyperlink>
      <w:r>
        <w:rPr>
          <w:lang w:val="fr-BE"/>
        </w:rPr>
        <w:t>.</w:t>
      </w:r>
    </w:p>
  </w:footnote>
  <w:footnote w:id="29">
    <w:p w:rsidR="003B06F5" w:rsidRDefault="00AD7FF7">
      <w:pPr>
        <w:pStyle w:val="FootnoteText"/>
        <w:rPr>
          <w:b/>
        </w:rPr>
      </w:pPr>
      <w:r>
        <w:rPr>
          <w:rStyle w:val="FootnoteReference"/>
        </w:rPr>
        <w:footnoteRef/>
      </w:r>
      <w:r>
        <w:rPr>
          <w:lang w:val="fr-BE"/>
        </w:rPr>
        <w:t xml:space="preserve"> </w:t>
      </w:r>
      <w:r>
        <w:rPr>
          <w:lang w:val="fr-BE"/>
        </w:rPr>
        <w:tab/>
        <w:t xml:space="preserve">Commission v Belgium, </w:t>
      </w:r>
      <w:hyperlink r:id="rId23" w:history="1">
        <w:r>
          <w:rPr>
            <w:rStyle w:val="Hyperlink"/>
            <w:lang w:val="fr-BE"/>
          </w:rPr>
          <w:t>C-543/17</w:t>
        </w:r>
      </w:hyperlink>
      <w:r>
        <w:rPr>
          <w:lang w:val="fr-BE"/>
        </w:rPr>
        <w:t xml:space="preserve">. </w:t>
      </w:r>
      <w:r>
        <w:t xml:space="preserve">The Commission referred Belgium to the Court for failing to fully implement the Directive on measures to reduce the </w:t>
      </w:r>
      <w:r>
        <w:t xml:space="preserve">cost of deploying high-speed electronic communications networks. It proposed a daily penalty of EUR 54 639.36. In a second case (Commission v Belgium, </w:t>
      </w:r>
      <w:hyperlink r:id="rId24" w:history="1">
        <w:r>
          <w:rPr>
            <w:rStyle w:val="Hyperlink"/>
          </w:rPr>
          <w:t>C-564/17</w:t>
        </w:r>
      </w:hyperlink>
      <w:r>
        <w:t>), the Commission referred Belgium to the Court for faili</w:t>
      </w:r>
      <w:r>
        <w:t>ng to fully implement the Single Permit Directive. It proposed a daily penalty of EUR 70 828.80.</w:t>
      </w:r>
    </w:p>
  </w:footnote>
  <w:footnote w:id="30">
    <w:p w:rsidR="003B06F5" w:rsidRDefault="00AD7FF7">
      <w:pPr>
        <w:pStyle w:val="FootnoteText"/>
      </w:pPr>
      <w:r>
        <w:rPr>
          <w:rStyle w:val="FootnoteReference"/>
        </w:rPr>
        <w:footnoteRef/>
      </w:r>
      <w:r>
        <w:t xml:space="preserve"> </w:t>
      </w:r>
      <w:r>
        <w:tab/>
        <w:t xml:space="preserve">Commission v Croatia, </w:t>
      </w:r>
      <w:hyperlink r:id="rId25" w:history="1">
        <w:r>
          <w:rPr>
            <w:rStyle w:val="Hyperlink"/>
          </w:rPr>
          <w:t>C-381/17</w:t>
        </w:r>
      </w:hyperlink>
      <w:r>
        <w:t xml:space="preserve">. The Commission referred Croatia to the Court for failing to fully implement the Mortgage Credit Directive. It proposed a daily penalty of EUR 9 865.40. In a second case (Commission v Croatia, </w:t>
      </w:r>
      <w:hyperlink r:id="rId26" w:history="1">
        <w:r>
          <w:rPr>
            <w:rStyle w:val="Hyperlink"/>
          </w:rPr>
          <w:t>C-415/17</w:t>
        </w:r>
      </w:hyperlink>
      <w:r>
        <w:t>), the Commission referred Croatia to the Court for failing to fully implement the Directive on statutory audits of annual accounts and consolidated accounts. It proposed a daily penalty of EUR 9 275.20.</w:t>
      </w:r>
    </w:p>
  </w:footnote>
  <w:footnote w:id="31">
    <w:p w:rsidR="003B06F5" w:rsidRDefault="00AD7FF7">
      <w:pPr>
        <w:pStyle w:val="FootnoteText"/>
      </w:pPr>
      <w:r>
        <w:rPr>
          <w:rStyle w:val="FootnoteReference"/>
        </w:rPr>
        <w:footnoteRef/>
      </w:r>
      <w:r>
        <w:t xml:space="preserve"> </w:t>
      </w:r>
      <w:r>
        <w:tab/>
        <w:t>Commission v Slov</w:t>
      </w:r>
      <w:r>
        <w:t xml:space="preserve">akia, </w:t>
      </w:r>
      <w:hyperlink r:id="rId27" w:history="1">
        <w:r>
          <w:rPr>
            <w:rStyle w:val="Hyperlink"/>
          </w:rPr>
          <w:t>C-605/17</w:t>
        </w:r>
      </w:hyperlink>
      <w:r>
        <w:t xml:space="preserve">. The Commission referred Slovakia to the Court for failing to fully implement the Directive on measures to reduce the cost of deploying high-speed electronic communications networks. It proposed a </w:t>
      </w:r>
      <w:r>
        <w:t>daily penalty of EUR 10 036.80.</w:t>
      </w:r>
    </w:p>
  </w:footnote>
  <w:footnote w:id="32">
    <w:p w:rsidR="003B06F5" w:rsidRDefault="00AD7FF7">
      <w:pPr>
        <w:pStyle w:val="FootnoteText"/>
      </w:pPr>
      <w:r>
        <w:rPr>
          <w:rStyle w:val="FootnoteReference"/>
        </w:rPr>
        <w:footnoteRef/>
      </w:r>
      <w:r>
        <w:t xml:space="preserve"> </w:t>
      </w:r>
      <w:r>
        <w:tab/>
        <w:t xml:space="preserve">Commission v Slovenia, </w:t>
      </w:r>
      <w:hyperlink r:id="rId28" w:history="1">
        <w:r>
          <w:rPr>
            <w:rStyle w:val="Hyperlink"/>
          </w:rPr>
          <w:t>C-594/17</w:t>
        </w:r>
      </w:hyperlink>
      <w:r>
        <w:t>. The Commission referred Slovenia to the Court for failing to fully implement Council Directive on requirements for budgetary frameworks of the Membe</w:t>
      </w:r>
      <w:r>
        <w:t>r States. It proposed a daily penalty of EUR 7 099.20.</w:t>
      </w:r>
    </w:p>
  </w:footnote>
  <w:footnote w:id="33">
    <w:p w:rsidR="003B06F5" w:rsidRDefault="00AD7FF7">
      <w:pPr>
        <w:pStyle w:val="FootnoteText"/>
      </w:pPr>
      <w:r>
        <w:rPr>
          <w:rStyle w:val="FootnoteReference"/>
        </w:rPr>
        <w:footnoteRef/>
      </w:r>
      <w:r>
        <w:t xml:space="preserve"> </w:t>
      </w:r>
      <w:r>
        <w:tab/>
        <w:t xml:space="preserve">Commission v Spain, </w:t>
      </w:r>
      <w:hyperlink r:id="rId29" w:history="1">
        <w:r>
          <w:rPr>
            <w:rStyle w:val="Hyperlink"/>
          </w:rPr>
          <w:t>C-569/17</w:t>
        </w:r>
      </w:hyperlink>
      <w:r>
        <w:t>. The Commission referred Spain to the Court for failing to fully implement the Mortgage Credit Directive. It proposed a daily pen</w:t>
      </w:r>
      <w:r>
        <w:t>alty of EUR 105 991.60.</w:t>
      </w:r>
    </w:p>
  </w:footnote>
  <w:footnote w:id="34">
    <w:p w:rsidR="003B06F5" w:rsidRDefault="00AD7FF7">
      <w:pPr>
        <w:pStyle w:val="FootnoteText"/>
      </w:pPr>
      <w:r>
        <w:rPr>
          <w:rStyle w:val="FootnoteReference"/>
        </w:rPr>
        <w:footnoteRef/>
      </w:r>
      <w:r>
        <w:t xml:space="preserve"> </w:t>
      </w:r>
      <w:r>
        <w:tab/>
      </w:r>
      <w:hyperlink r:id="rId30" w:history="1">
        <w:r>
          <w:rPr>
            <w:rStyle w:val="Hyperlink"/>
          </w:rPr>
          <w:t>Directive 2012/34/EU.</w:t>
        </w:r>
      </w:hyperlink>
    </w:p>
  </w:footnote>
  <w:footnote w:id="35">
    <w:p w:rsidR="003B06F5" w:rsidRDefault="00AD7FF7">
      <w:pPr>
        <w:pStyle w:val="FootnoteText"/>
      </w:pPr>
      <w:r>
        <w:rPr>
          <w:rStyle w:val="FootnoteReference"/>
        </w:rPr>
        <w:footnoteRef/>
      </w:r>
      <w:r>
        <w:t xml:space="preserve"> </w:t>
      </w:r>
      <w:r>
        <w:tab/>
      </w:r>
      <w:hyperlink r:id="rId31" w:history="1">
        <w:r>
          <w:rPr>
            <w:rStyle w:val="Hyperlink"/>
          </w:rPr>
          <w:t>Directive 2014/59/EU</w:t>
        </w:r>
      </w:hyperlink>
      <w:r>
        <w:t>.</w:t>
      </w:r>
    </w:p>
  </w:footnote>
  <w:footnote w:id="36">
    <w:p w:rsidR="003B06F5" w:rsidRDefault="00AD7FF7">
      <w:pPr>
        <w:pStyle w:val="FootnoteText"/>
      </w:pPr>
      <w:r>
        <w:rPr>
          <w:rStyle w:val="FootnoteReference"/>
        </w:rPr>
        <w:footnoteRef/>
      </w:r>
      <w:r>
        <w:t xml:space="preserve"> </w:t>
      </w:r>
      <w:r>
        <w:tab/>
      </w:r>
      <w:hyperlink r:id="rId32" w:history="1">
        <w:r>
          <w:rPr>
            <w:rStyle w:val="Hyperlink"/>
          </w:rPr>
          <w:t>Directive 2014/49/EU</w:t>
        </w:r>
      </w:hyperlink>
      <w:r>
        <w:t>.</w:t>
      </w:r>
    </w:p>
  </w:footnote>
  <w:footnote w:id="37">
    <w:p w:rsidR="003B06F5" w:rsidRDefault="00AD7FF7">
      <w:pPr>
        <w:pStyle w:val="FootnoteText"/>
      </w:pPr>
      <w:r>
        <w:rPr>
          <w:rStyle w:val="FootnoteReference"/>
        </w:rPr>
        <w:footnoteRef/>
      </w:r>
      <w:r>
        <w:t xml:space="preserve"> </w:t>
      </w:r>
      <w:r>
        <w:tab/>
      </w:r>
      <w:hyperlink r:id="rId33" w:history="1">
        <w:r>
          <w:rPr>
            <w:rStyle w:val="Hyperlink"/>
          </w:rPr>
          <w:t>Di</w:t>
        </w:r>
        <w:r>
          <w:rPr>
            <w:rStyle w:val="Hyperlink"/>
          </w:rPr>
          <w:t>rective 2014/67/EU</w:t>
        </w:r>
      </w:hyperlink>
      <w:r>
        <w:t>.</w:t>
      </w:r>
    </w:p>
  </w:footnote>
  <w:footnote w:id="38">
    <w:p w:rsidR="003B06F5" w:rsidRDefault="00AD7FF7">
      <w:pPr>
        <w:pStyle w:val="FootnoteText"/>
      </w:pPr>
      <w:r>
        <w:rPr>
          <w:rStyle w:val="FootnoteReference"/>
        </w:rPr>
        <w:footnoteRef/>
      </w:r>
      <w:r>
        <w:t xml:space="preserve"> </w:t>
      </w:r>
      <w:r>
        <w:tab/>
      </w:r>
      <w:hyperlink r:id="rId34" w:history="1">
        <w:r>
          <w:rPr>
            <w:rStyle w:val="Hyperlink"/>
          </w:rPr>
          <w:t>Directive 2014/61/EU</w:t>
        </w:r>
      </w:hyperlink>
      <w:r>
        <w:t>.</w:t>
      </w:r>
    </w:p>
  </w:footnote>
  <w:footnote w:id="39">
    <w:p w:rsidR="003B06F5" w:rsidRDefault="00AD7FF7">
      <w:pPr>
        <w:pStyle w:val="FootnoteText"/>
      </w:pPr>
      <w:r>
        <w:rPr>
          <w:rStyle w:val="FootnoteReference"/>
        </w:rPr>
        <w:footnoteRef/>
      </w:r>
      <w:r>
        <w:t xml:space="preserve"> </w:t>
      </w:r>
      <w:r>
        <w:tab/>
        <w:t xml:space="preserve">The data on policy areas referred to in the main report and in the sections on the Member States is based </w:t>
      </w:r>
      <w:r>
        <w:t>on information provided by the European Commission’s directorates-general. The policy areas are referred to as follows: agriculture and rural development; budget; climate action; communication networks, content and technology; competition; education and cu</w:t>
      </w:r>
      <w:r>
        <w:t>lture; economic and financial affairs; financial stability and Capital Markets Union; neighbourhood and enlargement negotiations; employment; energy; environment; migration and home affairs; justice and consumers; maritime affairs and fisheries; internal m</w:t>
      </w:r>
      <w:r>
        <w:t>arket, industry, entrepreneurship and SMEs; mobility and transport; regional policy; health and food safety; taxation and customs; trade.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7" w:rsidRPr="00AD7FF7" w:rsidRDefault="00AD7FF7" w:rsidP="00AD7F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B06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AD7FF7">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4610735</wp:posOffset>
              </wp:positionH>
              <wp:positionV relativeFrom="paragraph">
                <wp:posOffset>317500</wp:posOffset>
              </wp:positionV>
              <wp:extent cx="1835150" cy="2190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25ABFE" id="Rectangle 25" o:spid="_x0000_s1026" style="position:absolute;margin-left:363.05pt;margin-top:25pt;width:144.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" fillcolor="#004194" stroked="f" strokeweight="2pt">
              <v:path arrowok="t"/>
            </v:rec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309245</wp:posOffset>
              </wp:positionV>
              <wp:extent cx="1803400" cy="219075"/>
              <wp:effectExtent l="0" t="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581DD9" id="Rectangle 26" o:spid="_x0000_s1026" style="position:absolute;margin-left:-71.9pt;margin-top:24.35pt;width:142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" fillcolor="#004194" stroked="f" strokeweight="2pt">
              <v:path arrowok="t"/>
            </v:rect>
          </w:pict>
        </mc:Fallback>
      </mc:AlternateContent>
    </w:r>
  </w:p>
  <w:p w:rsidR="003B06F5" w:rsidRDefault="00AD7FF7">
    <w:pPr>
      <w:tabs>
        <w:tab w:val="left" w:pos="4111"/>
      </w:tabs>
      <w:spacing w:after="0"/>
      <w:jc w:val="center"/>
      <w:rPr>
        <w:rFonts w:ascii="Arial" w:hAnsi="Arial" w:cs="Arial"/>
        <w:color w:val="004194"/>
        <w:sz w:val="20"/>
      </w:rPr>
    </w:pPr>
    <w:r>
      <w:rPr>
        <w:rFonts w:ascii="Arial" w:hAnsi="Arial" w:cs="Arial"/>
        <w:color w:val="004194"/>
        <w:sz w:val="20"/>
      </w:rPr>
      <w:t>Monitoring the application of European Union law</w:t>
    </w:r>
    <w:r>
      <w:rPr>
        <w:rFonts w:ascii="Arial" w:hAnsi="Arial" w:cs="Arial"/>
        <w:color w:val="004194"/>
        <w:sz w:val="20"/>
      </w:rPr>
      <w:br/>
      <w:t>2017 Annual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F5" w:rsidRDefault="003B0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52792A"/>
    <w:multiLevelType w:val="hybridMultilevel"/>
    <w:tmpl w:val="22EC2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0B01BAD"/>
    <w:multiLevelType w:val="hybridMultilevel"/>
    <w:tmpl w:val="02AE21D2"/>
    <w:lvl w:ilvl="0" w:tplc="7A7A0B32">
      <w:numFmt w:val="bullet"/>
      <w:lvlText w:val="•"/>
      <w:lvlJc w:val="left"/>
      <w:pPr>
        <w:ind w:left="6" w:hanging="360"/>
      </w:pPr>
      <w:rPr>
        <w:rFonts w:ascii="Calibri" w:eastAsia="Calibri" w:hAnsi="Calibri" w:cs="Times New Roman"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19741A"/>
    <w:multiLevelType w:val="hybridMultilevel"/>
    <w:tmpl w:val="94A64C5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9">
    <w:nsid w:val="53BE6649"/>
    <w:multiLevelType w:val="hybridMultilevel"/>
    <w:tmpl w:val="848E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BD96137"/>
    <w:multiLevelType w:val="hybridMultilevel"/>
    <w:tmpl w:val="9414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A994604"/>
    <w:multiLevelType w:val="hybridMultilevel"/>
    <w:tmpl w:val="AD22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531E9F"/>
    <w:multiLevelType w:val="hybridMultilevel"/>
    <w:tmpl w:val="DC98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8387B"/>
    <w:multiLevelType w:val="hybridMultilevel"/>
    <w:tmpl w:val="5BDCA02C"/>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FC46B4"/>
    <w:multiLevelType w:val="hybridMultilevel"/>
    <w:tmpl w:val="691E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nsid w:val="75325674"/>
    <w:multiLevelType w:val="hybridMultilevel"/>
    <w:tmpl w:val="C370438A"/>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9674C5"/>
    <w:multiLevelType w:val="multilevel"/>
    <w:tmpl w:val="4836C768"/>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5"/>
  </w:num>
  <w:num w:numId="8">
    <w:abstractNumId w:val="27"/>
  </w:num>
  <w:num w:numId="9">
    <w:abstractNumId w:val="11"/>
  </w:num>
  <w:num w:numId="10">
    <w:abstractNumId w:val="24"/>
  </w:num>
  <w:num w:numId="11">
    <w:abstractNumId w:val="22"/>
  </w:num>
  <w:num w:numId="12">
    <w:abstractNumId w:val="16"/>
  </w:num>
  <w:num w:numId="13">
    <w:abstractNumId w:val="20"/>
  </w:num>
  <w:num w:numId="14">
    <w:abstractNumId w:val="6"/>
  </w:num>
  <w:num w:numId="15">
    <w:abstractNumId w:val="12"/>
  </w:num>
  <w:num w:numId="16">
    <w:abstractNumId w:val="4"/>
  </w:num>
  <w:num w:numId="17">
    <w:abstractNumId w:val="8"/>
  </w:num>
  <w:num w:numId="18">
    <w:abstractNumId w:val="28"/>
  </w:num>
  <w:num w:numId="19">
    <w:abstractNumId w:val="17"/>
  </w:num>
  <w:num w:numId="20">
    <w:abstractNumId w:val="2"/>
  </w:num>
  <w:num w:numId="21">
    <w:abstractNumId w:val="18"/>
  </w:num>
  <w:num w:numId="22">
    <w:abstractNumId w:val="3"/>
  </w:num>
  <w:num w:numId="23">
    <w:abstractNumId w:val="23"/>
  </w:num>
  <w:num w:numId="24">
    <w:abstractNumId w:val="30"/>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9"/>
  </w:num>
  <w:num w:numId="31">
    <w:abstractNumId w:val="31"/>
  </w:num>
  <w:num w:numId="32">
    <w:abstractNumId w:val="26"/>
  </w:num>
  <w:num w:numId="33">
    <w:abstractNumId w:val="10"/>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1"/>
  </w:num>
  <w:num w:numId="38">
    <w:abstractNumId w:val="19"/>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9E0D676-94BC-4306-88EC-1148AAF514E9"/>
    <w:docVar w:name="LW_COVERPAGE_TYPE" w:val="1"/>
    <w:docVar w:name="LW_CROSSREFERENCE" w:val="{COM(2018) 540 final}_x000d__x000a_{SWD(2018) 378 final}_x000d__x000a_{SWD(2018) 379 final}"/>
    <w:docVar w:name="LW_DocType" w:val="NORMAL"/>
    <w:docVar w:name="LW_EMISSION" w:val="12.7.2018"/>
    <w:docVar w:name="LW_EMISSION_ISODATE" w:val="2018-07-12"/>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Monitoring the application of European Union law_x000b_2017 Annual Report"/>
    <w:docVar w:name="LW_PART_NBR" w:val="1"/>
    <w:docVar w:name="LW_PART_NBR_TOTAL" w:val="1"/>
    <w:docVar w:name="LW_REF.INST.NEW" w:val="SWD"/>
    <w:docVar w:name="LW_REF.INST.NEW_ADOPTED" w:val="final"/>
    <w:docVar w:name="LW_REF.INST.NEW_TEXT" w:val="(2018)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art I: General Statistical Overview"/>
    <w:docVar w:name="LW_TYPE.DOC.CP" w:val="COMMISSION STAFF WORKING DOCUMENT"/>
    <w:docVar w:name="LW_TYPEACTEPRINCIPAL.CP" w:val="REPORT FROM THE COMMISSION"/>
  </w:docVars>
  <w:rsids>
    <w:rsidRoot w:val="003B06F5"/>
    <w:rsid w:val="003B06F5"/>
    <w:rsid w:val="00AD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jc w:val="both"/>
    </w:pPr>
    <w:rPr>
      <w:rFonts w:ascii="Times New Roman" w:eastAsia="Times New Roman" w:hAnsi="Times New Roman"/>
      <w:sz w:val="24"/>
      <w:lang w:eastAsia="en-US"/>
    </w:rPr>
  </w:style>
  <w:style w:type="paragraph" w:styleId="Heading1">
    <w:name w:val="heading 1"/>
    <w:basedOn w:val="Normal"/>
    <w:next w:val="Text1"/>
    <w:link w:val="Heading1Char"/>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i/>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uiPriority w:val="99"/>
    <w:qFormat/>
    <w:pPr>
      <w:spacing w:after="0"/>
      <w:ind w:left="357" w:hanging="357"/>
    </w:pPr>
    <w:rPr>
      <w:rFonts w:ascii="Arial" w:hAnsi="Arial" w:cs="Arial"/>
      <w:sz w:val="18"/>
      <w:szCs w:val="18"/>
    </w:rPr>
  </w:style>
  <w:style w:type="character" w:customStyle="1" w:styleId="FootnoteTextChar">
    <w:name w:val="Footnote Text Char"/>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Calibri" w:hAnsi="Calibri"/>
      <w:b/>
      <w:bCs/>
      <w:sz w:val="20"/>
    </w:rPr>
  </w:style>
  <w:style w:type="paragraph" w:styleId="TOC2">
    <w:name w:val="toc 2"/>
    <w:basedOn w:val="Normal"/>
    <w:next w:val="Normal"/>
    <w:uiPriority w:val="39"/>
    <w:pPr>
      <w:spacing w:before="120" w:after="0"/>
      <w:ind w:left="240"/>
      <w:jc w:val="left"/>
    </w:pPr>
    <w:rPr>
      <w:rFonts w:ascii="Calibri" w:hAnsi="Calibri"/>
      <w:i/>
      <w:iCs/>
      <w:sz w:val="20"/>
    </w:rPr>
  </w:style>
  <w:style w:type="paragraph" w:styleId="TOC3">
    <w:name w:val="toc 3"/>
    <w:basedOn w:val="Normal"/>
    <w:next w:val="Normal"/>
    <w:uiPriority w:val="39"/>
    <w:pPr>
      <w:spacing w:after="0"/>
      <w:ind w:left="480"/>
      <w:jc w:val="left"/>
    </w:pPr>
    <w:rPr>
      <w:rFonts w:ascii="Calibri" w:hAnsi="Calibri"/>
      <w:sz w:val="20"/>
    </w:rPr>
  </w:style>
  <w:style w:type="paragraph" w:styleId="TOC4">
    <w:name w:val="toc 4"/>
    <w:basedOn w:val="Normal"/>
    <w:next w:val="Normal"/>
    <w:semiHidden/>
    <w:pPr>
      <w:spacing w:after="0"/>
      <w:ind w:left="720"/>
      <w:jc w:val="left"/>
    </w:pPr>
    <w:rPr>
      <w:rFonts w:ascii="Calibri" w:hAnsi="Calibri"/>
      <w:sz w:val="20"/>
    </w:rPr>
  </w:style>
  <w:style w:type="paragraph" w:styleId="TOC5">
    <w:name w:val="toc 5"/>
    <w:basedOn w:val="Normal"/>
    <w:next w:val="Normal"/>
    <w:semiHidden/>
    <w:pPr>
      <w:spacing w:after="0"/>
      <w:ind w:left="960"/>
      <w:jc w:val="left"/>
    </w:pPr>
    <w:rPr>
      <w:rFonts w:ascii="Calibri" w:hAnsi="Calibri"/>
      <w:sz w:val="20"/>
    </w:rPr>
  </w:style>
  <w:style w:type="paragraph" w:styleId="TOC6">
    <w:name w:val="toc 6"/>
    <w:basedOn w:val="Normal"/>
    <w:next w:val="Normal"/>
    <w:autoRedefine/>
    <w:semiHidden/>
    <w:pPr>
      <w:spacing w:after="0"/>
      <w:ind w:left="1200"/>
      <w:jc w:val="left"/>
    </w:pPr>
    <w:rPr>
      <w:rFonts w:ascii="Calibri" w:hAnsi="Calibri"/>
      <w:sz w:val="20"/>
    </w:rPr>
  </w:style>
  <w:style w:type="paragraph" w:styleId="TOC7">
    <w:name w:val="toc 7"/>
    <w:basedOn w:val="Normal"/>
    <w:next w:val="Normal"/>
    <w:autoRedefine/>
    <w:semiHidden/>
    <w:pPr>
      <w:spacing w:after="0"/>
      <w:ind w:left="1440"/>
      <w:jc w:val="left"/>
    </w:pPr>
    <w:rPr>
      <w:rFonts w:ascii="Calibri" w:hAnsi="Calibri"/>
      <w:sz w:val="20"/>
    </w:rPr>
  </w:style>
  <w:style w:type="paragraph" w:styleId="TOC8">
    <w:name w:val="toc 8"/>
    <w:basedOn w:val="Normal"/>
    <w:next w:val="Normal"/>
    <w:autoRedefine/>
    <w:semiHidden/>
    <w:pPr>
      <w:spacing w:after="0"/>
      <w:ind w:left="1680"/>
      <w:jc w:val="left"/>
    </w:pPr>
    <w:rPr>
      <w:rFonts w:ascii="Calibri" w:hAnsi="Calibri"/>
      <w:sz w:val="20"/>
    </w:rPr>
  </w:style>
  <w:style w:type="paragraph" w:styleId="TOC9">
    <w:name w:val="toc 9"/>
    <w:basedOn w:val="Normal"/>
    <w:next w:val="Normal"/>
    <w:autoRedefine/>
    <w:semiHidden/>
    <w:pPr>
      <w:spacing w:after="0"/>
      <w:ind w:left="1920"/>
      <w:jc w:val="left"/>
    </w:pPr>
    <w:rPr>
      <w:rFonts w:ascii="Calibri" w:hAnsi="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cs="Times New Roman"/>
      <w:sz w:val="18"/>
      <w:szCs w:val="20"/>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eastAsia="Times New Roman" w:hAnsi="Verdana" w:cs="Times New Roman"/>
      <w:sz w:val="18"/>
      <w:szCs w:val="20"/>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0"/>
    <w:pPr>
      <w:ind w:left="0"/>
    </w:pPr>
    <w:rPr>
      <w:b/>
      <w:i w:val="0"/>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rPr>
  </w:style>
  <w:style w:type="character" w:customStyle="1" w:styleId="kop3Char">
    <w:name w:val="kop 3 Char"/>
    <w:link w:val="kop3"/>
    <w:uiPriority w:val="1"/>
    <w:rPr>
      <w:rFonts w:ascii="Arial" w:eastAsia="Times New Roman" w:hAnsi="Arial" w:cs="Times New Roman"/>
      <w:bCs/>
      <w:color w:val="4F81BD"/>
      <w:sz w:val="24"/>
      <w:szCs w:val="20"/>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rFonts w:ascii="Times New Roman" w:eastAsia="Times New Roman" w:hAnsi="Times New Roman"/>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szCs w:val="20"/>
      <w:lang w:val="nl-NL"/>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nl-NL"/>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eastAsia="Times New Roman" w:hAnsi="Arial" w:cs="Arial"/>
      <w:b/>
      <w:i/>
      <w:color w:val="95B3D7"/>
      <w:sz w:val="24"/>
      <w:szCs w:val="20"/>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sz w:val="24"/>
      <w:lang w:eastAsia="en-US"/>
    </w:rPr>
  </w:style>
  <w:style w:type="paragraph" w:customStyle="1" w:styleId="Title1">
    <w:name w:val="Title1"/>
    <w:basedOn w:val="Normal"/>
    <w:next w:val="Normal"/>
    <w:link w:val="TITLEChar0"/>
    <w:autoRedefine/>
    <w:uiPriority w:val="1"/>
    <w:unhideWhenUsed/>
    <w:pPr>
      <w:keepNext/>
      <w:keepLines/>
      <w:outlineLvl w:val="1"/>
    </w:pPr>
    <w:rPr>
      <w:rFonts w:ascii="Arial" w:eastAsia="MS Gothic" w:hAnsi="Arial" w:cs="Arial"/>
      <w:caps/>
      <w:color w:val="4F81BD"/>
      <w:kern w:val="20"/>
      <w:sz w:val="28"/>
    </w:rPr>
  </w:style>
  <w:style w:type="character" w:customStyle="1" w:styleId="TITLEChar0">
    <w:name w:val="TITLE Char"/>
    <w:link w:val="Title1"/>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rFonts w:ascii="Times New Roman" w:eastAsia="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rFonts w:ascii="Times New Roman" w:eastAsia="Times New Roman" w:hAnsi="Times New Roman"/>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jc w:val="both"/>
    </w:pPr>
    <w:rPr>
      <w:rFonts w:ascii="Times New Roman" w:eastAsia="Times New Roman" w:hAnsi="Times New Roman"/>
      <w:sz w:val="24"/>
      <w:lang w:eastAsia="en-US"/>
    </w:rPr>
  </w:style>
  <w:style w:type="paragraph" w:styleId="Heading1">
    <w:name w:val="heading 1"/>
    <w:basedOn w:val="Normal"/>
    <w:next w:val="Text1"/>
    <w:link w:val="Heading1Char"/>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i/>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uiPriority w:val="99"/>
    <w:qFormat/>
    <w:pPr>
      <w:spacing w:after="0"/>
      <w:ind w:left="357" w:hanging="357"/>
    </w:pPr>
    <w:rPr>
      <w:rFonts w:ascii="Arial" w:hAnsi="Arial" w:cs="Arial"/>
      <w:sz w:val="18"/>
      <w:szCs w:val="18"/>
    </w:rPr>
  </w:style>
  <w:style w:type="character" w:customStyle="1" w:styleId="FootnoteTextChar">
    <w:name w:val="Footnote Text Char"/>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Calibri" w:hAnsi="Calibri"/>
      <w:b/>
      <w:bCs/>
      <w:sz w:val="20"/>
    </w:rPr>
  </w:style>
  <w:style w:type="paragraph" w:styleId="TOC2">
    <w:name w:val="toc 2"/>
    <w:basedOn w:val="Normal"/>
    <w:next w:val="Normal"/>
    <w:uiPriority w:val="39"/>
    <w:pPr>
      <w:spacing w:before="120" w:after="0"/>
      <w:ind w:left="240"/>
      <w:jc w:val="left"/>
    </w:pPr>
    <w:rPr>
      <w:rFonts w:ascii="Calibri" w:hAnsi="Calibri"/>
      <w:i/>
      <w:iCs/>
      <w:sz w:val="20"/>
    </w:rPr>
  </w:style>
  <w:style w:type="paragraph" w:styleId="TOC3">
    <w:name w:val="toc 3"/>
    <w:basedOn w:val="Normal"/>
    <w:next w:val="Normal"/>
    <w:uiPriority w:val="39"/>
    <w:pPr>
      <w:spacing w:after="0"/>
      <w:ind w:left="480"/>
      <w:jc w:val="left"/>
    </w:pPr>
    <w:rPr>
      <w:rFonts w:ascii="Calibri" w:hAnsi="Calibri"/>
      <w:sz w:val="20"/>
    </w:rPr>
  </w:style>
  <w:style w:type="paragraph" w:styleId="TOC4">
    <w:name w:val="toc 4"/>
    <w:basedOn w:val="Normal"/>
    <w:next w:val="Normal"/>
    <w:semiHidden/>
    <w:pPr>
      <w:spacing w:after="0"/>
      <w:ind w:left="720"/>
      <w:jc w:val="left"/>
    </w:pPr>
    <w:rPr>
      <w:rFonts w:ascii="Calibri" w:hAnsi="Calibri"/>
      <w:sz w:val="20"/>
    </w:rPr>
  </w:style>
  <w:style w:type="paragraph" w:styleId="TOC5">
    <w:name w:val="toc 5"/>
    <w:basedOn w:val="Normal"/>
    <w:next w:val="Normal"/>
    <w:semiHidden/>
    <w:pPr>
      <w:spacing w:after="0"/>
      <w:ind w:left="960"/>
      <w:jc w:val="left"/>
    </w:pPr>
    <w:rPr>
      <w:rFonts w:ascii="Calibri" w:hAnsi="Calibri"/>
      <w:sz w:val="20"/>
    </w:rPr>
  </w:style>
  <w:style w:type="paragraph" w:styleId="TOC6">
    <w:name w:val="toc 6"/>
    <w:basedOn w:val="Normal"/>
    <w:next w:val="Normal"/>
    <w:autoRedefine/>
    <w:semiHidden/>
    <w:pPr>
      <w:spacing w:after="0"/>
      <w:ind w:left="1200"/>
      <w:jc w:val="left"/>
    </w:pPr>
    <w:rPr>
      <w:rFonts w:ascii="Calibri" w:hAnsi="Calibri"/>
      <w:sz w:val="20"/>
    </w:rPr>
  </w:style>
  <w:style w:type="paragraph" w:styleId="TOC7">
    <w:name w:val="toc 7"/>
    <w:basedOn w:val="Normal"/>
    <w:next w:val="Normal"/>
    <w:autoRedefine/>
    <w:semiHidden/>
    <w:pPr>
      <w:spacing w:after="0"/>
      <w:ind w:left="1440"/>
      <w:jc w:val="left"/>
    </w:pPr>
    <w:rPr>
      <w:rFonts w:ascii="Calibri" w:hAnsi="Calibri"/>
      <w:sz w:val="20"/>
    </w:rPr>
  </w:style>
  <w:style w:type="paragraph" w:styleId="TOC8">
    <w:name w:val="toc 8"/>
    <w:basedOn w:val="Normal"/>
    <w:next w:val="Normal"/>
    <w:autoRedefine/>
    <w:semiHidden/>
    <w:pPr>
      <w:spacing w:after="0"/>
      <w:ind w:left="1680"/>
      <w:jc w:val="left"/>
    </w:pPr>
    <w:rPr>
      <w:rFonts w:ascii="Calibri" w:hAnsi="Calibri"/>
      <w:sz w:val="20"/>
    </w:rPr>
  </w:style>
  <w:style w:type="paragraph" w:styleId="TOC9">
    <w:name w:val="toc 9"/>
    <w:basedOn w:val="Normal"/>
    <w:next w:val="Normal"/>
    <w:autoRedefine/>
    <w:semiHidden/>
    <w:pPr>
      <w:spacing w:after="0"/>
      <w:ind w:left="1920"/>
      <w:jc w:val="left"/>
    </w:pPr>
    <w:rPr>
      <w:rFonts w:ascii="Calibri" w:hAnsi="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cs="Times New Roman"/>
      <w:sz w:val="18"/>
      <w:szCs w:val="20"/>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eastAsia="Times New Roman" w:hAnsi="Verdana" w:cs="Times New Roman"/>
      <w:sz w:val="18"/>
      <w:szCs w:val="20"/>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0"/>
    <w:pPr>
      <w:ind w:left="0"/>
    </w:pPr>
    <w:rPr>
      <w:b/>
      <w:i w:val="0"/>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rPr>
  </w:style>
  <w:style w:type="character" w:customStyle="1" w:styleId="kop3Char">
    <w:name w:val="kop 3 Char"/>
    <w:link w:val="kop3"/>
    <w:uiPriority w:val="1"/>
    <w:rPr>
      <w:rFonts w:ascii="Arial" w:eastAsia="Times New Roman" w:hAnsi="Arial" w:cs="Times New Roman"/>
      <w:bCs/>
      <w:color w:val="4F81BD"/>
      <w:sz w:val="24"/>
      <w:szCs w:val="20"/>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rFonts w:ascii="Times New Roman" w:eastAsia="Times New Roman" w:hAnsi="Times New Roman"/>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szCs w:val="20"/>
      <w:lang w:val="nl-NL"/>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nl-NL"/>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eastAsia="Times New Roman" w:hAnsi="Arial" w:cs="Arial"/>
      <w:b/>
      <w:i/>
      <w:color w:val="95B3D7"/>
      <w:sz w:val="24"/>
      <w:szCs w:val="20"/>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sz w:val="24"/>
      <w:lang w:eastAsia="en-US"/>
    </w:rPr>
  </w:style>
  <w:style w:type="paragraph" w:customStyle="1" w:styleId="Title1">
    <w:name w:val="Title1"/>
    <w:basedOn w:val="Normal"/>
    <w:next w:val="Normal"/>
    <w:link w:val="TITLEChar0"/>
    <w:autoRedefine/>
    <w:uiPriority w:val="1"/>
    <w:unhideWhenUsed/>
    <w:pPr>
      <w:keepNext/>
      <w:keepLines/>
      <w:outlineLvl w:val="1"/>
    </w:pPr>
    <w:rPr>
      <w:rFonts w:ascii="Arial" w:eastAsia="MS Gothic" w:hAnsi="Arial" w:cs="Arial"/>
      <w:caps/>
      <w:color w:val="4F81BD"/>
      <w:kern w:val="20"/>
      <w:sz w:val="28"/>
    </w:rPr>
  </w:style>
  <w:style w:type="character" w:customStyle="1" w:styleId="TITLEChar0">
    <w:name w:val="TITLE Char"/>
    <w:link w:val="Title1"/>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rFonts w:ascii="Times New Roman" w:eastAsia="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rFonts w:ascii="Times New Roman" w:eastAsia="Times New Roman" w:hAnsi="Times New Roman"/>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26">
      <w:bodyDiv w:val="1"/>
      <w:marLeft w:val="0"/>
      <w:marRight w:val="0"/>
      <w:marTop w:val="0"/>
      <w:marBottom w:val="0"/>
      <w:divBdr>
        <w:top w:val="none" w:sz="0" w:space="0" w:color="auto"/>
        <w:left w:val="none" w:sz="0" w:space="0" w:color="auto"/>
        <w:bottom w:val="none" w:sz="0" w:space="0" w:color="auto"/>
        <w:right w:val="none" w:sz="0" w:space="0" w:color="auto"/>
      </w:divBdr>
    </w:div>
    <w:div w:id="7656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5.xml"/><Relationship Id="rId39" Type="http://schemas.openxmlformats.org/officeDocument/2006/relationships/hyperlink" Target="http://eur-lex.europa.eu/legal-content/EN/TXT/?uri=OJ:C:2011:012:TOC"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chart" Target="charts/chart13.xml"/><Relationship Id="rId42" Type="http://schemas.openxmlformats.org/officeDocument/2006/relationships/footer" Target="footer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hyperlink" Target="http://eur-lex.europa.eu/legal-content/EN/TXT/PDF/?uri=CELEX:32015L0652&amp;from=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atwork/applying-eu-law/infringements-proceedings/infringement_decisions/?lang_code=en" TargetMode="External"/><Relationship Id="rId29" Type="http://schemas.openxmlformats.org/officeDocument/2006/relationships/chart" Target="charts/chart8.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eur-lex.europa.eu/legal-content/EN/TXT/?uri=uriserv%3AOJ.C_.2017.018.01.0010.01.ENG&amp;toc=OJ%3AC%3A2017%3A018%3ATOC" TargetMode="Externa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footnotes" Target="footnotes.xml"/><Relationship Id="rId19" Type="http://schemas.openxmlformats.org/officeDocument/2006/relationships/hyperlink" Target="http://eur-lex.europa.eu/legal-content/EN/TXT/?qid=1458663251852&amp;uri=CELEX:52012DC0154" TargetMode="External"/><Relationship Id="rId31" Type="http://schemas.openxmlformats.org/officeDocument/2006/relationships/chart" Target="charts/chart10.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21193166876&amp;uri=CELEX:32014L0087" TargetMode="External"/><Relationship Id="rId13" Type="http://schemas.openxmlformats.org/officeDocument/2006/relationships/hyperlink" Target="http://eur-lex.europa.eu/legal-content/EN/TXT/?qid=1521194560241&amp;uri=CELEX:32015L0849" TargetMode="External"/><Relationship Id="rId18" Type="http://schemas.openxmlformats.org/officeDocument/2006/relationships/hyperlink" Target="http://eur-lex.europa.eu/legal-content/EN/TXT/?qid=1521195100682&amp;uri=CELEX:32008L0098" TargetMode="External"/><Relationship Id="rId26" Type="http://schemas.openxmlformats.org/officeDocument/2006/relationships/hyperlink" Target="http://curia.europa.eu/juris/liste.jsf?pro=&amp;nat=or&amp;oqp=&amp;dates=&amp;lg=&amp;language=en&amp;jur=C%2CT%2CF&amp;cit=none%252CC%252CCJ%252CR%252C2008E%252C%252C%252C%252C%252C%252C%252C%252C%252C%252Ctrue%252Cfalse%252Cfalse&amp;num=C-415%252F17&amp;td=%3BALL&amp;pcs=Oor&amp;avg=&amp;page=1&amp;mat=or&amp;jge=&amp;for=&amp;cid=314432" TargetMode="External"/><Relationship Id="rId3" Type="http://schemas.openxmlformats.org/officeDocument/2006/relationships/hyperlink" Target="http://eur-lex.europa.eu/legal-content/EN/TXT/?uri=OJ:C:2011:369:TOC" TargetMode="External"/><Relationship Id="rId21" Type="http://schemas.openxmlformats.org/officeDocument/2006/relationships/hyperlink" Target="http://eur-lex.europa.eu/legal-content/EN/TXT/?qid=1521196017855&amp;uri=CELEX:32014L0094" TargetMode="External"/><Relationship Id="rId34" Type="http://schemas.openxmlformats.org/officeDocument/2006/relationships/hyperlink" Target="http://eur-lex.europa.eu/legal-content/EN/TXT/?qid=1521196312471&amp;uri=CELEX:32014L0061" TargetMode="External"/><Relationship Id="rId7" Type="http://schemas.openxmlformats.org/officeDocument/2006/relationships/hyperlink" Target="http://eur-lex.europa.eu/legal-content/EN/TXT/?qid=1521193094280&amp;uri=CELEX:32016L2284" TargetMode="External"/><Relationship Id="rId12" Type="http://schemas.openxmlformats.org/officeDocument/2006/relationships/hyperlink" Target="http://eur-lex.europa.eu/legal-content/EN/TXT/?qid=1521194458021&amp;uri=CELEX:32014L0041" TargetMode="External"/><Relationship Id="rId17" Type="http://schemas.openxmlformats.org/officeDocument/2006/relationships/hyperlink" Target="http://eur-lex.europa.eu/legal-content/EN/TXT/?uri=uriserv%3AOJ.C_.2017.018.01.0010.01.ENG&amp;toc=OJ%3AC%3A2017%3A018%3ATOC" TargetMode="External"/><Relationship Id="rId25" Type="http://schemas.openxmlformats.org/officeDocument/2006/relationships/hyperlink" Target="http://curia.europa.eu/juris/liste.jsf?pro=&amp;nat=or&amp;oqp=&amp;dates=&amp;lg=&amp;language=en&amp;jur=C%2CT%2CF&amp;cit=none%252CC%252CCJ%252CR%252C2008E%252C%252C%252C%252C%252C%252C%252C%252C%252C%252Ctrue%252Cfalse%252Cfalse&amp;num=C-381%252F17&amp;td=%3BALL&amp;pcs=Oor&amp;avg=&amp;page=1&amp;mat=or&amp;jge=&amp;for=&amp;cid=314432" TargetMode="External"/><Relationship Id="rId33" Type="http://schemas.openxmlformats.org/officeDocument/2006/relationships/hyperlink" Target="http://eur-lex.europa.eu/legal-content/EN/TXT/?qid=1521196274438&amp;uri=CELEX:32014L0067" TargetMode="External"/><Relationship Id="rId2" Type="http://schemas.openxmlformats.org/officeDocument/2006/relationships/hyperlink" Target="http://eur-lex.europa.eu/legal-content/EN/TXT/?qid=1521192653200&amp;uri=CELEX:52017PC0142" TargetMode="External"/><Relationship Id="rId16" Type="http://schemas.openxmlformats.org/officeDocument/2006/relationships/hyperlink" Target="http://eur-lex.europa.eu/legal-content/EN/TXT/?uri=uriserv%3AOJ.C_.2017.018.01.0010.01.ENG&amp;toc=OJ%3AC%3A2017%3A018%3ATOC" TargetMode="External"/><Relationship Id="rId20" Type="http://schemas.openxmlformats.org/officeDocument/2006/relationships/hyperlink" Target="http://eur-lex.europa.eu/legal-content/EN/TXT/?qid=1521195918400&amp;uri=CELEX:32015L0652" TargetMode="External"/><Relationship Id="rId29" Type="http://schemas.openxmlformats.org/officeDocument/2006/relationships/hyperlink" Target="http://curia.europa.eu/juris/liste.jsf?pro=&amp;nat=or&amp;oqp=&amp;dates=&amp;lg=&amp;language=en&amp;jur=C%2CT%2CF&amp;cit=none%252CC%252CCJ%252CR%252C2008E%252C%252C%252C%252C%252C%252C%252C%252C%252C%252Ctrue%252Cfalse%252Cfalse&amp;num=C-569%252F17&amp;td=%3BALL&amp;pcs=Oor&amp;avg=&amp;page=1&amp;mat=or&amp;jge=&amp;for=&amp;cid=314432" TargetMode="External"/><Relationship Id="rId1" Type="http://schemas.openxmlformats.org/officeDocument/2006/relationships/hyperlink" Target="http://europa.eu/rapid/press-release_IP-15-4988_en.htm" TargetMode="External"/><Relationship Id="rId6" Type="http://schemas.openxmlformats.org/officeDocument/2006/relationships/hyperlink" Target="http://eur-lex.europa.eu/legal-content/EN/TXT/?qid=1521193055530&amp;uri=CELEX:32015L2193" TargetMode="External"/><Relationship Id="rId11" Type="http://schemas.openxmlformats.org/officeDocument/2006/relationships/hyperlink" Target="http://eur-lex.europa.eu/legal-content/EN/TXT/?qid=1521194410513&amp;uri=CELEX:32017L0593" TargetMode="External"/><Relationship Id="rId24" Type="http://schemas.openxmlformats.org/officeDocument/2006/relationships/hyperlink" Target="http://curia.europa.eu/juris/liste.jsf?pro=&amp;nat=or&amp;oqp=&amp;dates=&amp;lg=&amp;language=en&amp;jur=C%2CT%2CF&amp;cit=none%252CC%252CCJ%252CR%252C2008E%252C%252C%252C%252C%252C%252C%252C%252C%252C%252Ctrue%252Cfalse%252Cfalse&amp;num=C-564%252F17&amp;td=%3BALL&amp;pcs=Oor&amp;avg=&amp;page=1&amp;mat=or&amp;jge=&amp;for=&amp;cid=314432" TargetMode="External"/><Relationship Id="rId32" Type="http://schemas.openxmlformats.org/officeDocument/2006/relationships/hyperlink" Target="http://eur-lex.europa.eu/legal-content/EN/TXT/?qid=1521196235240&amp;uri=CELEX:32014L0049" TargetMode="External"/><Relationship Id="rId5" Type="http://schemas.openxmlformats.org/officeDocument/2006/relationships/hyperlink" Target="http://eur-lex.europa.eu/legal-content/EN/TXT/?qid=1521192708840&amp;uri=CELEX:32014L0052" TargetMode="External"/><Relationship Id="rId15" Type="http://schemas.openxmlformats.org/officeDocument/2006/relationships/hyperlink" Target="http://eur-lex.europa.eu/legal-content/EN/TXT/?qid=1521194922394&amp;uri=CELEX:32017L0433" TargetMode="External"/><Relationship Id="rId23" Type="http://schemas.openxmlformats.org/officeDocument/2006/relationships/hyperlink" Target="http://curia.europa.eu/juris/liste.jsf?pro=&amp;nat=or&amp;oqp=&amp;dates=&amp;lg=&amp;language=en&amp;jur=C%2CT%2CF&amp;cit=none%252CC%252CCJ%252CR%252C2008E%252C%252C%252C%252C%252C%252C%252C%252C%252C%252Ctrue%252Cfalse%252Cfalse&amp;num=C-543%252F17&amp;td=%3BALL&amp;pcs=Oor&amp;avg=&amp;page=1&amp;mat=or&amp;jge=&amp;for=&amp;cid=314432" TargetMode="External"/><Relationship Id="rId28" Type="http://schemas.openxmlformats.org/officeDocument/2006/relationships/hyperlink" Target="http://curia.europa.eu/juris/liste.jsf?pro=&amp;nat=or&amp;oqp=&amp;dates=&amp;lg=&amp;language=en&amp;jur=C%2CT%2CF&amp;cit=none%252CC%252CCJ%252CR%252C2008E%252C%252C%252C%252C%252C%252C%252C%252C%252C%252Ctrue%252Cfalse%252Cfalse&amp;num=C-594%252F17&amp;td=%3BALL&amp;pcs=Oor&amp;avg=&amp;page=1&amp;mat=or&amp;jge=&amp;for=&amp;cid=314432" TargetMode="External"/><Relationship Id="rId10" Type="http://schemas.openxmlformats.org/officeDocument/2006/relationships/hyperlink" Target="http://eur-lex.europa.eu/legal-content/EN/TXT/?qid=1521194237551&amp;uri=CELEX:32014L0065" TargetMode="External"/><Relationship Id="rId19" Type="http://schemas.openxmlformats.org/officeDocument/2006/relationships/hyperlink" Target="http://curia.europa.eu/juris/liste.jsf?language=en&amp;jur=C,T,F&amp;num=C-388/16&amp;td=ALL" TargetMode="External"/><Relationship Id="rId31" Type="http://schemas.openxmlformats.org/officeDocument/2006/relationships/hyperlink" Target="http://eur-lex.europa.eu/legal-content/EN/TXT/?qid=1521196198021&amp;uri=CELEX:32014L0059" TargetMode="External"/><Relationship Id="rId4" Type="http://schemas.openxmlformats.org/officeDocument/2006/relationships/hyperlink" Target="http://eur-lex.europa.eu/legal-content/EN/TXT/?uri=OJ:C:2011:369:TOC" TargetMode="External"/><Relationship Id="rId9" Type="http://schemas.openxmlformats.org/officeDocument/2006/relationships/hyperlink" Target="http://eur-lex.europa.eu/legal-content/EN/TXT/?qid=1521193258918&amp;uri=CELEX:32015L1513" TargetMode="External"/><Relationship Id="rId14" Type="http://schemas.openxmlformats.org/officeDocument/2006/relationships/hyperlink" Target="http://eur-lex.europa.eu/legal-content/EN/TXT/?qid=1521194908296&amp;uri=CELEX:32015L0653" TargetMode="External"/><Relationship Id="rId22" Type="http://schemas.openxmlformats.org/officeDocument/2006/relationships/hyperlink" Target="http://eur-lex.europa.eu/legal-content/EN/TXT/?qid=1521196059654&amp;uri=CELEX:32014L0104" TargetMode="External"/><Relationship Id="rId27" Type="http://schemas.openxmlformats.org/officeDocument/2006/relationships/hyperlink" Target="http://curia.europa.eu/juris/liste.jsf?pro=&amp;nat=or&amp;oqp=&amp;dates=&amp;lg=&amp;language=en&amp;jur=C%2CT%2CF&amp;cit=none%252CC%252CCJ%252CR%252C2008E%252C%252C%252C%252C%252C%252C%252C%252C%252C%252Ctrue%252Cfalse%252Cfalse&amp;num=C-605%252F17&amp;td=%3BALL&amp;pcs=Oor&amp;avg=&amp;page=1&amp;mat=or&amp;jge=&amp;for=&amp;cid=314432" TargetMode="External"/><Relationship Id="rId30" Type="http://schemas.openxmlformats.org/officeDocument/2006/relationships/hyperlink" Target="http://eur-lex.europa.eu/legal-content/EN/TXT/?qid=1521196144575&amp;uri=CELEX:32012L003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7"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7" b="0">
                <a:solidFill>
                  <a:srgbClr val="002060"/>
                </a:solidFill>
                <a:latin typeface="Arial" panose="020B0604020202020204" pitchFamily="34" charset="0"/>
                <a:cs typeface="Arial" panose="020B0604020202020204" pitchFamily="34" charset="0"/>
              </a:rPr>
              <a:t>Number of complaints (2013-2017)</a:t>
            </a:r>
          </a:p>
        </c:rich>
      </c:tx>
      <c:layout>
        <c:manualLayout>
          <c:xMode val="edge"/>
          <c:yMode val="edge"/>
          <c:x val="0.2314698349539048"/>
          <c:y val="2.3809310276938951E-2"/>
        </c:manualLayout>
      </c:layout>
      <c:overlay val="0"/>
    </c:title>
    <c:autoTitleDeleted val="0"/>
    <c:plotArea>
      <c:layout/>
      <c:lineChart>
        <c:grouping val="standard"/>
        <c:varyColors val="0"/>
        <c:ser>
          <c:idx val="0"/>
          <c:order val="0"/>
          <c:tx>
            <c:strRef>
              <c:f>Blad1!$B$2</c:f>
              <c:strCache>
                <c:ptCount val="1"/>
                <c:pt idx="0">
                  <c:v>Number of complaints (2013-2017)</c:v>
                </c:pt>
              </c:strCache>
            </c:strRef>
          </c:tx>
          <c:spPr>
            <a:effectLst>
              <a:outerShdw blurRad="40000" dist="23000" dir="5400000" rotWithShape="0">
                <a:srgbClr val="000000">
                  <a:alpha val="35000"/>
                </a:srgbClr>
              </a:outerShdw>
            </a:effectLst>
          </c:spPr>
          <c:dLbls>
            <c:dLbl>
              <c:idx val="0"/>
              <c:layout>
                <c:manualLayout>
                  <c:x val="-6.1309390873275631E-2"/>
                  <c:y val="6.5533021411230269E-2"/>
                </c:manualLayout>
              </c:layout>
              <c:tx>
                <c:rich>
                  <a:bodyPr/>
                  <a:lstStyle/>
                  <a:p>
                    <a:r>
                      <a:rPr lang="en-US"/>
                      <a:t>3 505</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FE9-48CD-84E2-9424E35F4995}"/>
                </c:ext>
              </c:extLst>
            </c:dLbl>
            <c:dLbl>
              <c:idx val="1"/>
              <c:layout>
                <c:manualLayout>
                  <c:x val="-5.8596881617108666E-2"/>
                  <c:y val="-6.2461986093074483E-2"/>
                </c:manualLayout>
              </c:layout>
              <c:tx>
                <c:rich>
                  <a:bodyPr/>
                  <a:lstStyle/>
                  <a:p>
                    <a:r>
                      <a:rPr lang="en-US"/>
                      <a:t>3 715</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FE9-48CD-84E2-9424E35F4995}"/>
                </c:ext>
              </c:extLst>
            </c:dLbl>
            <c:dLbl>
              <c:idx val="2"/>
              <c:layout>
                <c:manualLayout>
                  <c:x val="-5.5684089474853066E-2"/>
                  <c:y val="5.8769911068005755E-2"/>
                </c:manualLayout>
              </c:layout>
              <c:tx>
                <c:rich>
                  <a:bodyPr/>
                  <a:lstStyle/>
                  <a:p>
                    <a:r>
                      <a:rPr lang="en-US"/>
                      <a:t>3 450</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FE9-48CD-84E2-9424E35F4995}"/>
                </c:ext>
              </c:extLst>
            </c:dLbl>
            <c:dLbl>
              <c:idx val="3"/>
              <c:layout>
                <c:manualLayout>
                  <c:x val="-5.609263237515584E-2"/>
                  <c:y val="-4.157406341952561E-2"/>
                </c:manualLayout>
              </c:layout>
              <c:tx>
                <c:rich>
                  <a:bodyPr/>
                  <a:lstStyle/>
                  <a:p>
                    <a:r>
                      <a:rPr lang="en-US"/>
                      <a:t>3 783</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FE9-48CD-84E2-9424E35F4995}"/>
                </c:ext>
              </c:extLst>
            </c:dLbl>
            <c:dLbl>
              <c:idx val="4"/>
              <c:layout>
                <c:manualLayout>
                  <c:x val="-5.0028675247048661E-2"/>
                  <c:y val="-5.14403949954595E-2"/>
                </c:manualLayout>
              </c:layout>
              <c:tx>
                <c:rich>
                  <a:bodyPr/>
                  <a:lstStyle/>
                  <a:p>
                    <a:r>
                      <a:rPr lang="en-US"/>
                      <a:t>3 786</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FE9-48CD-84E2-9424E35F4995}"/>
                </c:ext>
              </c:extLst>
            </c:dLbl>
            <c:spPr>
              <a:noFill/>
              <a:ln w="25332">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2013</c:v>
                </c:pt>
                <c:pt idx="1">
                  <c:v>2014</c:v>
                </c:pt>
                <c:pt idx="2">
                  <c:v>2015</c:v>
                </c:pt>
                <c:pt idx="3">
                  <c:v>2016</c:v>
                </c:pt>
                <c:pt idx="4">
                  <c:v>2017</c:v>
                </c:pt>
              </c:numCache>
            </c:numRef>
          </c:cat>
          <c:val>
            <c:numRef>
              <c:f>Blad1!$B$3:$B$7</c:f>
              <c:numCache>
                <c:formatCode>General</c:formatCode>
                <c:ptCount val="5"/>
                <c:pt idx="0">
                  <c:v>3505</c:v>
                </c:pt>
                <c:pt idx="1">
                  <c:v>3715</c:v>
                </c:pt>
                <c:pt idx="2">
                  <c:v>3450</c:v>
                </c:pt>
                <c:pt idx="3">
                  <c:v>3783</c:v>
                </c:pt>
                <c:pt idx="4">
                  <c:v>3786</c:v>
                </c:pt>
              </c:numCache>
            </c:numRef>
          </c:val>
          <c:smooth val="0"/>
          <c:extLst xmlns:c16r2="http://schemas.microsoft.com/office/drawing/2015/06/chart">
            <c:ext xmlns:c16="http://schemas.microsoft.com/office/drawing/2014/chart" uri="{C3380CC4-5D6E-409C-BE32-E72D297353CC}">
              <c16:uniqueId val="{00000005-6FE9-48CD-84E2-9424E35F4995}"/>
            </c:ext>
          </c:extLst>
        </c:ser>
        <c:dLbls>
          <c:showLegendKey val="0"/>
          <c:showVal val="0"/>
          <c:showCatName val="0"/>
          <c:showSerName val="0"/>
          <c:showPercent val="0"/>
          <c:showBubbleSize val="0"/>
        </c:dLbls>
        <c:marker val="1"/>
        <c:smooth val="0"/>
        <c:axId val="116628480"/>
        <c:axId val="117278976"/>
      </c:lineChart>
      <c:catAx>
        <c:axId val="116628480"/>
        <c:scaling>
          <c:orientation val="minMax"/>
        </c:scaling>
        <c:delete val="0"/>
        <c:axPos val="b"/>
        <c:numFmt formatCode="General" sourceLinked="1"/>
        <c:majorTickMark val="none"/>
        <c:minorTickMark val="none"/>
        <c:tickLblPos val="nextTo"/>
        <c:spPr>
          <a:noFill/>
          <a:ln w="12666"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17278976"/>
        <c:crosses val="autoZero"/>
        <c:auto val="1"/>
        <c:lblAlgn val="ctr"/>
        <c:lblOffset val="100"/>
        <c:noMultiLvlLbl val="0"/>
      </c:catAx>
      <c:valAx>
        <c:axId val="117278976"/>
        <c:scaling>
          <c:orientation val="minMax"/>
          <c:min val="3000"/>
        </c:scaling>
        <c:delete val="1"/>
        <c:axPos val="l"/>
        <c:majorGridlines>
          <c:spPr>
            <a:ln w="9499" cap="flat" cmpd="sng" algn="ctr">
              <a:solidFill>
                <a:schemeClr val="tx1">
                  <a:lumMod val="15000"/>
                  <a:lumOff val="85000"/>
                </a:schemeClr>
              </a:solidFill>
              <a:round/>
            </a:ln>
            <a:effectLst/>
          </c:spPr>
        </c:majorGridlines>
        <c:numFmt formatCode="General" sourceLinked="1"/>
        <c:majorTickMark val="out"/>
        <c:minorTickMark val="none"/>
        <c:tickLblPos val="nextTo"/>
        <c:crossAx val="116628480"/>
        <c:crosses val="autoZero"/>
        <c:crossBetween val="between"/>
      </c:valAx>
      <c:spPr>
        <a:noFill/>
        <a:ln w="25347">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on 31 December 2017</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stacked"/>
        <c:varyColors val="0"/>
        <c:ser>
          <c:idx val="0"/>
          <c:order val="0"/>
          <c:tx>
            <c:strRef>
              <c:f>Sheet1!$B$1</c:f>
              <c:strCache>
                <c:ptCount val="1"/>
                <c:pt idx="0">
                  <c:v>Late transposition infringements</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spPr>
              <a:noFill/>
              <a:ln w="25398">
                <a:noFill/>
              </a:ln>
            </c:spPr>
            <c:txPr>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Sheet1!$A$2:$A$29</c:f>
              <c:strCache>
                <c:ptCount val="28"/>
                <c:pt idx="0">
                  <c:v>DK</c:v>
                </c:pt>
                <c:pt idx="1">
                  <c:v>EE</c:v>
                </c:pt>
                <c:pt idx="2">
                  <c:v>MT</c:v>
                </c:pt>
                <c:pt idx="3">
                  <c:v>LT</c:v>
                </c:pt>
                <c:pt idx="4">
                  <c:v>LV</c:v>
                </c:pt>
                <c:pt idx="5">
                  <c:v>NL</c:v>
                </c:pt>
                <c:pt idx="6">
                  <c:v>FI</c:v>
                </c:pt>
                <c:pt idx="7">
                  <c:v>LU</c:v>
                </c:pt>
                <c:pt idx="8">
                  <c:v>HU</c:v>
                </c:pt>
                <c:pt idx="9">
                  <c:v>SE</c:v>
                </c:pt>
                <c:pt idx="10">
                  <c:v>SK</c:v>
                </c:pt>
                <c:pt idx="11">
                  <c:v>UK</c:v>
                </c:pt>
                <c:pt idx="12">
                  <c:v>SI</c:v>
                </c:pt>
                <c:pt idx="13">
                  <c:v>BG</c:v>
                </c:pt>
                <c:pt idx="14">
                  <c:v>HR</c:v>
                </c:pt>
                <c:pt idx="15">
                  <c:v>IE</c:v>
                </c:pt>
                <c:pt idx="16">
                  <c:v>RO</c:v>
                </c:pt>
                <c:pt idx="17">
                  <c:v>CY</c:v>
                </c:pt>
                <c:pt idx="18">
                  <c:v>AT</c:v>
                </c:pt>
                <c:pt idx="19">
                  <c:v>IT</c:v>
                </c:pt>
                <c:pt idx="20">
                  <c:v>FR</c:v>
                </c:pt>
                <c:pt idx="21">
                  <c:v>PL</c:v>
                </c:pt>
                <c:pt idx="22">
                  <c:v>CZ</c:v>
                </c:pt>
                <c:pt idx="23">
                  <c:v>DE</c:v>
                </c:pt>
                <c:pt idx="24">
                  <c:v>EL</c:v>
                </c:pt>
                <c:pt idx="25">
                  <c:v>BE</c:v>
                </c:pt>
                <c:pt idx="26">
                  <c:v>PT</c:v>
                </c:pt>
                <c:pt idx="27">
                  <c:v>ES</c:v>
                </c:pt>
              </c:strCache>
            </c:strRef>
          </c:cat>
          <c:val>
            <c:numRef>
              <c:f>Sheet1!$B$2:$B$29</c:f>
              <c:numCache>
                <c:formatCode>General</c:formatCode>
                <c:ptCount val="28"/>
                <c:pt idx="0">
                  <c:v>14</c:v>
                </c:pt>
                <c:pt idx="1">
                  <c:v>27</c:v>
                </c:pt>
                <c:pt idx="2">
                  <c:v>23</c:v>
                </c:pt>
                <c:pt idx="3">
                  <c:v>23</c:v>
                </c:pt>
                <c:pt idx="4">
                  <c:v>28</c:v>
                </c:pt>
                <c:pt idx="5">
                  <c:v>19</c:v>
                </c:pt>
                <c:pt idx="6">
                  <c:v>30</c:v>
                </c:pt>
                <c:pt idx="7">
                  <c:v>35</c:v>
                </c:pt>
                <c:pt idx="8">
                  <c:v>15</c:v>
                </c:pt>
                <c:pt idx="9">
                  <c:v>26</c:v>
                </c:pt>
                <c:pt idx="10">
                  <c:v>19</c:v>
                </c:pt>
                <c:pt idx="11">
                  <c:v>21</c:v>
                </c:pt>
                <c:pt idx="12">
                  <c:v>33</c:v>
                </c:pt>
                <c:pt idx="13">
                  <c:v>34</c:v>
                </c:pt>
                <c:pt idx="14">
                  <c:v>34</c:v>
                </c:pt>
                <c:pt idx="15">
                  <c:v>28</c:v>
                </c:pt>
                <c:pt idx="16">
                  <c:v>34</c:v>
                </c:pt>
                <c:pt idx="17">
                  <c:v>42</c:v>
                </c:pt>
                <c:pt idx="18">
                  <c:v>32</c:v>
                </c:pt>
                <c:pt idx="19">
                  <c:v>9</c:v>
                </c:pt>
                <c:pt idx="20">
                  <c:v>26</c:v>
                </c:pt>
                <c:pt idx="21">
                  <c:v>39</c:v>
                </c:pt>
                <c:pt idx="22">
                  <c:v>40</c:v>
                </c:pt>
                <c:pt idx="23">
                  <c:v>25</c:v>
                </c:pt>
                <c:pt idx="24">
                  <c:v>33</c:v>
                </c:pt>
                <c:pt idx="25">
                  <c:v>46</c:v>
                </c:pt>
                <c:pt idx="26">
                  <c:v>41</c:v>
                </c:pt>
                <c:pt idx="27">
                  <c:v>32</c:v>
                </c:pt>
              </c:numCache>
            </c:numRef>
          </c:val>
          <c:extLst xmlns:c16r2="http://schemas.microsoft.com/office/drawing/2015/06/chart">
            <c:ext xmlns:c16="http://schemas.microsoft.com/office/drawing/2014/chart" uri="{C3380CC4-5D6E-409C-BE32-E72D297353CC}">
              <c16:uniqueId val="{00000000-DC67-4D4C-9C79-BA77BA48B57A}"/>
            </c:ext>
          </c:extLst>
        </c:ser>
        <c:ser>
          <c:idx val="1"/>
          <c:order val="1"/>
          <c:tx>
            <c:strRef>
              <c:f>Sheet1!$C$1</c:f>
              <c:strCache>
                <c:ptCount val="1"/>
                <c:pt idx="0">
                  <c:v>Infringements for incorrect transposition and/or bad application of EU laws</c:v>
                </c:pt>
              </c:strCache>
            </c:strRef>
          </c:tx>
          <c:spPr>
            <a:solidFill>
              <a:srgbClr val="0070C0"/>
            </a:solidFill>
            <a:scene3d>
              <a:camera prst="orthographicFront"/>
              <a:lightRig rig="threePt" dir="t"/>
            </a:scene3d>
            <a:sp3d prstMaterial="matte">
              <a:bevelT w="31750" h="12700" prst="artDeco"/>
              <a:contourClr>
                <a:srgbClr val="000000"/>
              </a:contourClr>
            </a:sp3d>
          </c:spPr>
          <c:invertIfNegative val="0"/>
          <c:cat>
            <c:strRef>
              <c:f>Sheet1!$A$2:$A$29</c:f>
              <c:strCache>
                <c:ptCount val="28"/>
                <c:pt idx="0">
                  <c:v>DK</c:v>
                </c:pt>
                <c:pt idx="1">
                  <c:v>EE</c:v>
                </c:pt>
                <c:pt idx="2">
                  <c:v>MT</c:v>
                </c:pt>
                <c:pt idx="3">
                  <c:v>LT</c:v>
                </c:pt>
                <c:pt idx="4">
                  <c:v>LV</c:v>
                </c:pt>
                <c:pt idx="5">
                  <c:v>NL</c:v>
                </c:pt>
                <c:pt idx="6">
                  <c:v>FI</c:v>
                </c:pt>
                <c:pt idx="7">
                  <c:v>LU</c:v>
                </c:pt>
                <c:pt idx="8">
                  <c:v>HU</c:v>
                </c:pt>
                <c:pt idx="9">
                  <c:v>SE</c:v>
                </c:pt>
                <c:pt idx="10">
                  <c:v>SK</c:v>
                </c:pt>
                <c:pt idx="11">
                  <c:v>UK</c:v>
                </c:pt>
                <c:pt idx="12">
                  <c:v>SI</c:v>
                </c:pt>
                <c:pt idx="13">
                  <c:v>BG</c:v>
                </c:pt>
                <c:pt idx="14">
                  <c:v>HR</c:v>
                </c:pt>
                <c:pt idx="15">
                  <c:v>IE</c:v>
                </c:pt>
                <c:pt idx="16">
                  <c:v>RO</c:v>
                </c:pt>
                <c:pt idx="17">
                  <c:v>CY</c:v>
                </c:pt>
                <c:pt idx="18">
                  <c:v>AT</c:v>
                </c:pt>
                <c:pt idx="19">
                  <c:v>IT</c:v>
                </c:pt>
                <c:pt idx="20">
                  <c:v>FR</c:v>
                </c:pt>
                <c:pt idx="21">
                  <c:v>PL</c:v>
                </c:pt>
                <c:pt idx="22">
                  <c:v>CZ</c:v>
                </c:pt>
                <c:pt idx="23">
                  <c:v>DE</c:v>
                </c:pt>
                <c:pt idx="24">
                  <c:v>EL</c:v>
                </c:pt>
                <c:pt idx="25">
                  <c:v>BE</c:v>
                </c:pt>
                <c:pt idx="26">
                  <c:v>PT</c:v>
                </c:pt>
                <c:pt idx="27">
                  <c:v>ES</c:v>
                </c:pt>
              </c:strCache>
            </c:strRef>
          </c:cat>
          <c:val>
            <c:numRef>
              <c:f>Sheet1!$C$2:$C$29</c:f>
              <c:numCache>
                <c:formatCode>General</c:formatCode>
                <c:ptCount val="28"/>
                <c:pt idx="0">
                  <c:v>14</c:v>
                </c:pt>
                <c:pt idx="1">
                  <c:v>6</c:v>
                </c:pt>
                <c:pt idx="2">
                  <c:v>10</c:v>
                </c:pt>
                <c:pt idx="3">
                  <c:v>11</c:v>
                </c:pt>
                <c:pt idx="4">
                  <c:v>7</c:v>
                </c:pt>
                <c:pt idx="5">
                  <c:v>21</c:v>
                </c:pt>
                <c:pt idx="6">
                  <c:v>11</c:v>
                </c:pt>
                <c:pt idx="7">
                  <c:v>9</c:v>
                </c:pt>
                <c:pt idx="8">
                  <c:v>33</c:v>
                </c:pt>
                <c:pt idx="9">
                  <c:v>22</c:v>
                </c:pt>
                <c:pt idx="10">
                  <c:v>29</c:v>
                </c:pt>
                <c:pt idx="11">
                  <c:v>28</c:v>
                </c:pt>
                <c:pt idx="12">
                  <c:v>18</c:v>
                </c:pt>
                <c:pt idx="13">
                  <c:v>19</c:v>
                </c:pt>
                <c:pt idx="14">
                  <c:v>22</c:v>
                </c:pt>
                <c:pt idx="15">
                  <c:v>28</c:v>
                </c:pt>
                <c:pt idx="16">
                  <c:v>24</c:v>
                </c:pt>
                <c:pt idx="17">
                  <c:v>19</c:v>
                </c:pt>
                <c:pt idx="18">
                  <c:v>30</c:v>
                </c:pt>
                <c:pt idx="19">
                  <c:v>53</c:v>
                </c:pt>
                <c:pt idx="20">
                  <c:v>39</c:v>
                </c:pt>
                <c:pt idx="21">
                  <c:v>31</c:v>
                </c:pt>
                <c:pt idx="22">
                  <c:v>33</c:v>
                </c:pt>
                <c:pt idx="23">
                  <c:v>49</c:v>
                </c:pt>
                <c:pt idx="24">
                  <c:v>45</c:v>
                </c:pt>
                <c:pt idx="25">
                  <c:v>35</c:v>
                </c:pt>
                <c:pt idx="26">
                  <c:v>44</c:v>
                </c:pt>
                <c:pt idx="27">
                  <c:v>61</c:v>
                </c:pt>
              </c:numCache>
            </c:numRef>
          </c:val>
          <c:extLst xmlns:c16r2="http://schemas.microsoft.com/office/drawing/2015/06/chart">
            <c:ext xmlns:c16="http://schemas.microsoft.com/office/drawing/2014/chart" uri="{C3380CC4-5D6E-409C-BE32-E72D297353CC}">
              <c16:uniqueId val="{00000001-DC67-4D4C-9C79-BA77BA48B57A}"/>
            </c:ext>
          </c:extLst>
        </c:ser>
        <c:ser>
          <c:idx val="2"/>
          <c:order val="2"/>
          <c:tx>
            <c:strRef>
              <c:f>Sheet1!$D$1</c:f>
              <c:strCache>
                <c:ptCount val="1"/>
                <c:pt idx="0">
                  <c:v>Top figures: Total number of infringements</c:v>
                </c:pt>
              </c:strCache>
            </c:strRef>
          </c:tx>
          <c:spPr>
            <a:noFill/>
          </c:spPr>
          <c:invertIfNegative val="0"/>
          <c:dLbls>
            <c:spPr>
              <a:noFill/>
              <a:ln w="25398">
                <a:noFill/>
              </a:ln>
            </c:spPr>
            <c:txPr>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Sheet1!$A$2:$A$29</c:f>
              <c:strCache>
                <c:ptCount val="28"/>
                <c:pt idx="0">
                  <c:v>DK</c:v>
                </c:pt>
                <c:pt idx="1">
                  <c:v>EE</c:v>
                </c:pt>
                <c:pt idx="2">
                  <c:v>MT</c:v>
                </c:pt>
                <c:pt idx="3">
                  <c:v>LT</c:v>
                </c:pt>
                <c:pt idx="4">
                  <c:v>LV</c:v>
                </c:pt>
                <c:pt idx="5">
                  <c:v>NL</c:v>
                </c:pt>
                <c:pt idx="6">
                  <c:v>FI</c:v>
                </c:pt>
                <c:pt idx="7">
                  <c:v>LU</c:v>
                </c:pt>
                <c:pt idx="8">
                  <c:v>HU</c:v>
                </c:pt>
                <c:pt idx="9">
                  <c:v>SE</c:v>
                </c:pt>
                <c:pt idx="10">
                  <c:v>SK</c:v>
                </c:pt>
                <c:pt idx="11">
                  <c:v>UK</c:v>
                </c:pt>
                <c:pt idx="12">
                  <c:v>SI</c:v>
                </c:pt>
                <c:pt idx="13">
                  <c:v>BG</c:v>
                </c:pt>
                <c:pt idx="14">
                  <c:v>HR</c:v>
                </c:pt>
                <c:pt idx="15">
                  <c:v>IE</c:v>
                </c:pt>
                <c:pt idx="16">
                  <c:v>RO</c:v>
                </c:pt>
                <c:pt idx="17">
                  <c:v>CY</c:v>
                </c:pt>
                <c:pt idx="18">
                  <c:v>AT</c:v>
                </c:pt>
                <c:pt idx="19">
                  <c:v>IT</c:v>
                </c:pt>
                <c:pt idx="20">
                  <c:v>FR</c:v>
                </c:pt>
                <c:pt idx="21">
                  <c:v>PL</c:v>
                </c:pt>
                <c:pt idx="22">
                  <c:v>CZ</c:v>
                </c:pt>
                <c:pt idx="23">
                  <c:v>DE</c:v>
                </c:pt>
                <c:pt idx="24">
                  <c:v>EL</c:v>
                </c:pt>
                <c:pt idx="25">
                  <c:v>BE</c:v>
                </c:pt>
                <c:pt idx="26">
                  <c:v>PT</c:v>
                </c:pt>
                <c:pt idx="27">
                  <c:v>ES</c:v>
                </c:pt>
              </c:strCache>
            </c:strRef>
          </c:cat>
          <c:val>
            <c:numRef>
              <c:f>Sheet1!$D$2:$D$29</c:f>
              <c:numCache>
                <c:formatCode>General</c:formatCode>
                <c:ptCount val="28"/>
                <c:pt idx="0">
                  <c:v>28</c:v>
                </c:pt>
                <c:pt idx="1">
                  <c:v>33</c:v>
                </c:pt>
                <c:pt idx="2">
                  <c:v>33</c:v>
                </c:pt>
                <c:pt idx="3">
                  <c:v>34</c:v>
                </c:pt>
                <c:pt idx="4">
                  <c:v>35</c:v>
                </c:pt>
                <c:pt idx="5">
                  <c:v>40</c:v>
                </c:pt>
                <c:pt idx="6">
                  <c:v>41</c:v>
                </c:pt>
                <c:pt idx="7">
                  <c:v>44</c:v>
                </c:pt>
                <c:pt idx="8">
                  <c:v>48</c:v>
                </c:pt>
                <c:pt idx="9">
                  <c:v>48</c:v>
                </c:pt>
                <c:pt idx="10">
                  <c:v>48</c:v>
                </c:pt>
                <c:pt idx="11">
                  <c:v>49</c:v>
                </c:pt>
                <c:pt idx="12">
                  <c:v>51</c:v>
                </c:pt>
                <c:pt idx="13">
                  <c:v>53</c:v>
                </c:pt>
                <c:pt idx="14">
                  <c:v>56</c:v>
                </c:pt>
                <c:pt idx="15">
                  <c:v>56</c:v>
                </c:pt>
                <c:pt idx="16">
                  <c:v>58</c:v>
                </c:pt>
                <c:pt idx="17">
                  <c:v>61</c:v>
                </c:pt>
                <c:pt idx="18">
                  <c:v>62</c:v>
                </c:pt>
                <c:pt idx="19">
                  <c:v>62</c:v>
                </c:pt>
                <c:pt idx="20">
                  <c:v>65</c:v>
                </c:pt>
                <c:pt idx="21">
                  <c:v>70</c:v>
                </c:pt>
                <c:pt idx="22">
                  <c:v>73</c:v>
                </c:pt>
                <c:pt idx="23">
                  <c:v>74</c:v>
                </c:pt>
                <c:pt idx="24">
                  <c:v>78</c:v>
                </c:pt>
                <c:pt idx="25">
                  <c:v>81</c:v>
                </c:pt>
                <c:pt idx="26">
                  <c:v>85</c:v>
                </c:pt>
                <c:pt idx="27">
                  <c:v>93</c:v>
                </c:pt>
              </c:numCache>
            </c:numRef>
          </c:val>
          <c:extLst xmlns:c16r2="http://schemas.microsoft.com/office/drawing/2015/06/chart">
            <c:ext xmlns:c16="http://schemas.microsoft.com/office/drawing/2014/chart" uri="{C3380CC4-5D6E-409C-BE32-E72D297353CC}">
              <c16:uniqueId val="{00000002-DC67-4D4C-9C79-BA77BA48B57A}"/>
            </c:ext>
          </c:extLst>
        </c:ser>
        <c:dLbls>
          <c:showLegendKey val="0"/>
          <c:showVal val="0"/>
          <c:showCatName val="0"/>
          <c:showSerName val="0"/>
          <c:showPercent val="0"/>
          <c:showBubbleSize val="0"/>
        </c:dLbls>
        <c:gapWidth val="75"/>
        <c:overlap val="100"/>
        <c:axId val="413358720"/>
        <c:axId val="473412352"/>
      </c:barChart>
      <c:catAx>
        <c:axId val="413358720"/>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473412352"/>
        <c:crosses val="autoZero"/>
        <c:auto val="1"/>
        <c:lblAlgn val="ctr"/>
        <c:lblOffset val="100"/>
        <c:noMultiLvlLbl val="0"/>
      </c:catAx>
      <c:valAx>
        <c:axId val="473412352"/>
        <c:scaling>
          <c:orientation val="minMax"/>
          <c:max val="10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413358720"/>
        <c:crosses val="autoZero"/>
        <c:crossBetween val="between"/>
        <c:majorUnit val="10"/>
        <c:minorUnit val="5"/>
      </c:valAx>
    </c:plotArea>
    <c:legend>
      <c:legendPos val="b"/>
      <c:overlay val="0"/>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6"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6"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at end-2017: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5492087574419053"/>
          <c:y val="1.7647412394061427E-3"/>
        </c:manualLayout>
      </c:layout>
      <c:overlay val="0"/>
      <c:spPr>
        <a:noFill/>
        <a:ln w="25315">
          <a:noFill/>
        </a:ln>
      </c:spPr>
    </c:title>
    <c:autoTitleDeleted val="0"/>
    <c:plotArea>
      <c:layout>
        <c:manualLayout>
          <c:layoutTarget val="inner"/>
          <c:xMode val="edge"/>
          <c:yMode val="edge"/>
          <c:x val="0.22168635564036929"/>
          <c:y val="0.17097529699770031"/>
          <c:w val="0.59124746353581925"/>
          <c:h val="0.73731308485497182"/>
        </c:manualLayout>
      </c:layout>
      <c:pieChart>
        <c:varyColors val="1"/>
        <c:ser>
          <c:idx val="0"/>
          <c:order val="0"/>
          <c:tx>
            <c:strRef>
              <c:f>Blad1!$B$1</c:f>
              <c:strCache>
                <c:ptCount val="1"/>
                <c:pt idx="0">
                  <c:v>xxx open infringement cases in 2016</c:v>
                </c:pt>
              </c:strCache>
            </c:strRef>
          </c:tx>
          <c:spPr>
            <a:scene3d>
              <a:camera prst="orthographicFront"/>
              <a:lightRig rig="threePt" dir="t"/>
            </a:scene3d>
            <a:sp3d>
              <a:bevelT w="63500" h="25400"/>
            </a:sp3d>
          </c:spPr>
          <c:dPt>
            <c:idx val="0"/>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9D27-44DC-90E8-1A4ECF6B6548}"/>
              </c:ext>
            </c:extLst>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9D27-44DC-90E8-1A4ECF6B6548}"/>
              </c:ext>
            </c:extLst>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9D27-44DC-90E8-1A4ECF6B6548}"/>
              </c:ext>
            </c:extLst>
          </c:dPt>
          <c:dPt>
            <c:idx val="3"/>
            <c:bubble3D val="0"/>
            <c:spPr>
              <a:solidFill>
                <a:srgbClr val="000099"/>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9D27-44DC-90E8-1A4ECF6B6548}"/>
              </c:ext>
            </c:extLst>
          </c:dPt>
          <c:dPt>
            <c:idx val="4"/>
            <c:bubble3D val="0"/>
            <c:spPr>
              <a:solidFill>
                <a:srgbClr val="37ACDE"/>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9D27-44DC-90E8-1A4ECF6B6548}"/>
              </c:ext>
            </c:extLst>
          </c:dPt>
          <c:dPt>
            <c:idx val="5"/>
            <c:bubble3D val="0"/>
            <c:spPr>
              <a:solidFill>
                <a:srgbClr val="99663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9D27-44DC-90E8-1A4ECF6B6548}"/>
              </c:ext>
            </c:extLst>
          </c:dPt>
          <c:dPt>
            <c:idx val="6"/>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D-9D27-44DC-90E8-1A4ECF6B6548}"/>
              </c:ext>
            </c:extLst>
          </c:dPt>
          <c:dPt>
            <c:idx val="7"/>
            <c:bubble3D val="0"/>
            <c:spPr>
              <a:solidFill>
                <a:srgbClr val="E7511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F-9D27-44DC-90E8-1A4ECF6B6548}"/>
              </c:ext>
            </c:extLst>
          </c:dPt>
          <c:dPt>
            <c:idx val="8"/>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1-9D27-44DC-90E8-1A4ECF6B6548}"/>
              </c:ext>
            </c:extLst>
          </c:dPt>
          <c:dPt>
            <c:idx val="9"/>
            <c:bubble3D val="0"/>
            <c:spPr>
              <a:solidFill>
                <a:srgbClr val="FFD617"/>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3-9D27-44DC-90E8-1A4ECF6B6548}"/>
              </c:ext>
            </c:extLst>
          </c:dPt>
          <c:dPt>
            <c:idx val="10"/>
            <c:bubble3D val="0"/>
            <c:spPr>
              <a:solidFill>
                <a:srgbClr val="95C15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5-9D27-44DC-90E8-1A4ECF6B6548}"/>
              </c:ext>
            </c:extLst>
          </c:dPt>
          <c:dPt>
            <c:idx val="11"/>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7-9D27-44DC-90E8-1A4ECF6B6548}"/>
              </c:ext>
            </c:extLst>
          </c:dPt>
          <c:dLbls>
            <c:dLbl>
              <c:idx val="0"/>
              <c:layout>
                <c:manualLayout>
                  <c:x val="-7.1307992975698179E-3"/>
                  <c:y val="-2.3431204851636612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D27-44DC-90E8-1A4ECF6B6548}"/>
                </c:ext>
              </c:extLst>
            </c:dLbl>
            <c:dLbl>
              <c:idx val="1"/>
              <c:layout>
                <c:manualLayout>
                  <c:x val="-5.5487452557638928E-2"/>
                  <c:y val="-6.089285966722741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D27-44DC-90E8-1A4ECF6B6548}"/>
                </c:ext>
              </c:extLst>
            </c:dLbl>
            <c:dLbl>
              <c:idx val="2"/>
              <c:layout>
                <c:manualLayout>
                  <c:x val="0"/>
                  <c:y val="-0.10788791661365489"/>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D27-44DC-90E8-1A4ECF6B6548}"/>
                </c:ext>
              </c:extLst>
            </c:dLbl>
            <c:dLbl>
              <c:idx val="3"/>
              <c:layout>
                <c:manualLayout>
                  <c:x val="3.1226986914405484E-2"/>
                  <c:y val="5.9844404548174742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D27-44DC-90E8-1A4ECF6B6548}"/>
                </c:ext>
              </c:extLst>
            </c:dLbl>
            <c:dLbl>
              <c:idx val="4"/>
              <c:layout>
                <c:manualLayout>
                  <c:x val="3.8386676485583186E-2"/>
                  <c:y val="7.6289835404326706E-4"/>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D27-44DC-90E8-1A4ECF6B6548}"/>
                </c:ext>
              </c:extLst>
            </c:dLbl>
            <c:dLbl>
              <c:idx val="5"/>
              <c:layout>
                <c:manualLayout>
                  <c:x val="-6.4614701939236019E-2"/>
                  <c:y val="-2.5374969959993782E-4"/>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D27-44DC-90E8-1A4ECF6B6548}"/>
                </c:ext>
              </c:extLst>
            </c:dLbl>
            <c:dLbl>
              <c:idx val="6"/>
              <c:layout>
                <c:manualLayout>
                  <c:x val="-4.7894220057025247E-2"/>
                  <c:y val="-1.4270770013712379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9D27-44DC-90E8-1A4ECF6B6548}"/>
                </c:ext>
              </c:extLst>
            </c:dLbl>
            <c:dLbl>
              <c:idx val="7"/>
              <c:layout>
                <c:manualLayout>
                  <c:x val="-2.4747446137577248E-3"/>
                  <c:y val="-4.195469731454125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9D27-44DC-90E8-1A4ECF6B6548}"/>
                </c:ext>
              </c:extLst>
            </c:dLbl>
            <c:dLbl>
              <c:idx val="8"/>
              <c:layout>
                <c:manualLayout>
                  <c:x val="-1.1639947884212316E-2"/>
                  <c:y val="2.591168473779197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9D27-44DC-90E8-1A4ECF6B6548}"/>
                </c:ext>
              </c:extLst>
            </c:dLbl>
            <c:dLbl>
              <c:idx val="9"/>
              <c:layout>
                <c:manualLayout>
                  <c:x val="0"/>
                  <c:y val="3.415136393408633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9D27-44DC-90E8-1A4ECF6B6548}"/>
                </c:ext>
              </c:extLst>
            </c:dLbl>
            <c:dLbl>
              <c:idx val="10"/>
              <c:layout>
                <c:manualLayout>
                  <c:x val="-5.8347023168866478E-4"/>
                  <c:y val="6.775753120626527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9D27-44DC-90E8-1A4ECF6B6548}"/>
                </c:ext>
              </c:extLst>
            </c:dLbl>
            <c:dLbl>
              <c:idx val="11"/>
              <c:layout>
                <c:manualLayout>
                  <c:x val="2.8776978417266189E-2"/>
                  <c:y val="6.9128297921467172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9D27-44DC-90E8-1A4ECF6B6548}"/>
                </c:ext>
              </c:extLst>
            </c:dLbl>
            <c:spPr>
              <a:noFill/>
              <a:ln w="25315">
                <a:noFill/>
              </a:ln>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Blad1!$A$3:$A$14</c:f>
              <c:strCache>
                <c:ptCount val="12"/>
                <c:pt idx="0">
                  <c:v>Environment</c:v>
                </c:pt>
                <c:pt idx="1">
                  <c:v>Mobility and transport</c:v>
                </c:pt>
                <c:pt idx="2">
                  <c:v>Financial stability, financial services and Capital Markets Union</c:v>
                </c:pt>
                <c:pt idx="3">
                  <c:v>Internal market, industry, entrepreneurship and SMEs</c:v>
                </c:pt>
                <c:pt idx="4">
                  <c:v>Migration and home affairs</c:v>
                </c:pt>
                <c:pt idx="5">
                  <c:v>Justice and consumers</c:v>
                </c:pt>
                <c:pt idx="6">
                  <c:v>Taxation and customs</c:v>
                </c:pt>
                <c:pt idx="7">
                  <c:v>Energy</c:v>
                </c:pt>
                <c:pt idx="8">
                  <c:v>Health and food safety</c:v>
                </c:pt>
                <c:pt idx="9">
                  <c:v>Employment</c:v>
                </c:pt>
                <c:pt idx="10">
                  <c:v>Communication networks</c:v>
                </c:pt>
                <c:pt idx="11">
                  <c:v>Other</c:v>
                </c:pt>
              </c:strCache>
            </c:strRef>
          </c:cat>
          <c:val>
            <c:numRef>
              <c:f>Blad1!$B$3:$B$14</c:f>
              <c:numCache>
                <c:formatCode>General</c:formatCode>
                <c:ptCount val="12"/>
                <c:pt idx="0">
                  <c:v>307</c:v>
                </c:pt>
                <c:pt idx="1">
                  <c:v>248</c:v>
                </c:pt>
                <c:pt idx="2">
                  <c:v>226</c:v>
                </c:pt>
                <c:pt idx="3">
                  <c:v>158</c:v>
                </c:pt>
                <c:pt idx="4">
                  <c:v>129</c:v>
                </c:pt>
                <c:pt idx="5">
                  <c:v>125</c:v>
                </c:pt>
                <c:pt idx="6">
                  <c:v>90</c:v>
                </c:pt>
                <c:pt idx="7">
                  <c:v>54</c:v>
                </c:pt>
                <c:pt idx="8">
                  <c:v>47</c:v>
                </c:pt>
                <c:pt idx="9">
                  <c:v>46</c:v>
                </c:pt>
                <c:pt idx="10">
                  <c:v>42</c:v>
                </c:pt>
                <c:pt idx="11">
                  <c:v>87</c:v>
                </c:pt>
              </c:numCache>
            </c:numRef>
          </c:val>
          <c:extLst xmlns:c16r2="http://schemas.microsoft.com/office/drawing/2015/06/chart">
            <c:ext xmlns:c16="http://schemas.microsoft.com/office/drawing/2014/chart" uri="{C3380CC4-5D6E-409C-BE32-E72D297353CC}">
              <c16:uniqueId val="{00000018-9D27-44DC-90E8-1A4ECF6B6548}"/>
            </c:ext>
          </c:extLst>
        </c:ser>
        <c:dLbls>
          <c:showLegendKey val="0"/>
          <c:showVal val="0"/>
          <c:showCatName val="0"/>
          <c:showSerName val="0"/>
          <c:showPercent val="0"/>
          <c:showBubbleSize val="0"/>
          <c:showLeaderLines val="0"/>
        </c:dLbls>
        <c:firstSliceAng val="110"/>
      </c:pieChart>
      <c:spPr>
        <a:noFill/>
        <a:ln w="25332">
          <a:noFill/>
        </a:ln>
      </c:spPr>
    </c:plotArea>
    <c:plotVisOnly val="1"/>
    <c:dispBlanksAs val="gap"/>
    <c:showDLblsOverMax val="0"/>
  </c:chart>
  <c:spPr>
    <a:solidFill>
      <a:schemeClr val="bg1"/>
    </a:solidFill>
    <a:ln w="949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18 Court Judgments </a:t>
            </a:r>
            <a:r>
              <a:rPr lang="en-GB" sz="1100" b="0" i="0" u="none" strike="noStrike" baseline="0">
                <a:effectLst/>
                <a:latin typeface="Arial" panose="020B0604020202020204" pitchFamily="34" charset="0"/>
                <a:cs typeface="Arial" panose="020B0604020202020204" pitchFamily="34" charset="0"/>
              </a:rPr>
              <a:t>of Justice under Articles 258 and 260(2) TFEU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 2017</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stacked"/>
        <c:varyColors val="0"/>
        <c:ser>
          <c:idx val="0"/>
          <c:order val="0"/>
          <c:tx>
            <c:strRef>
              <c:f>Sheet1!$B$1</c:f>
              <c:strCache>
                <c:ptCount val="1"/>
                <c:pt idx="0">
                  <c:v>Total number of judgements</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spPr>
              <a:noFill/>
              <a:ln w="25398">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Sheet1!$A$2:$A$11</c:f>
              <c:strCache>
                <c:ptCount val="10"/>
                <c:pt idx="0">
                  <c:v>Germany</c:v>
                </c:pt>
                <c:pt idx="1">
                  <c:v>Greece</c:v>
                </c:pt>
                <c:pt idx="2">
                  <c:v>Spain</c:v>
                </c:pt>
                <c:pt idx="3">
                  <c:v>Portugal</c:v>
                </c:pt>
                <c:pt idx="4">
                  <c:v>Bulgaria</c:v>
                </c:pt>
                <c:pt idx="5">
                  <c:v>Hungary</c:v>
                </c:pt>
                <c:pt idx="6">
                  <c:v>Irlande</c:v>
                </c:pt>
                <c:pt idx="7">
                  <c:v>Luxembourg</c:v>
                </c:pt>
                <c:pt idx="8">
                  <c:v>United Kingdom</c:v>
                </c:pt>
                <c:pt idx="9">
                  <c:v>Slovenia</c:v>
                </c:pt>
              </c:strCache>
            </c:strRef>
          </c:cat>
          <c:val>
            <c:numRef>
              <c:f>Sheet1!$B$2:$B$11</c:f>
              <c:numCache>
                <c:formatCode>General</c:formatCode>
                <c:ptCount val="10"/>
                <c:pt idx="0">
                  <c:v>4</c:v>
                </c:pt>
                <c:pt idx="1">
                  <c:v>4</c:v>
                </c:pt>
                <c:pt idx="2">
                  <c:v>2</c:v>
                </c:pt>
                <c:pt idx="3">
                  <c:v>2</c:v>
                </c:pt>
                <c:pt idx="4">
                  <c:v>1</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0-A915-4E05-B1F1-17BBA3C72D68}"/>
            </c:ext>
          </c:extLst>
        </c:ser>
        <c:ser>
          <c:idx val="1"/>
          <c:order val="1"/>
          <c:tx>
            <c:strRef>
              <c:f>Sheet1!$C$1</c:f>
              <c:strCache>
                <c:ptCount val="1"/>
                <c:pt idx="0">
                  <c:v>Top figures: Judgements in favour of the Commission</c:v>
                </c:pt>
              </c:strCache>
            </c:strRef>
          </c:tx>
          <c:spPr>
            <a:noFill/>
            <a:scene3d>
              <a:camera prst="orthographicFront"/>
              <a:lightRig rig="threePt" dir="t"/>
            </a:scene3d>
            <a:sp3d prstMaterial="matte">
              <a:bevelT w="31750" h="12700" prst="artDeco"/>
              <a:contourClr>
                <a:srgbClr val="000000"/>
              </a:contourClr>
            </a:sp3d>
          </c:spPr>
          <c:invertIfNegative val="0"/>
          <c:dLbls>
            <c:spPr>
              <a:noFill/>
              <a:ln w="25398">
                <a:noFill/>
              </a:ln>
            </c:spPr>
            <c:txPr>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Sheet1!$A$2:$A$11</c:f>
              <c:strCache>
                <c:ptCount val="10"/>
                <c:pt idx="0">
                  <c:v>Germany</c:v>
                </c:pt>
                <c:pt idx="1">
                  <c:v>Greece</c:v>
                </c:pt>
                <c:pt idx="2">
                  <c:v>Spain</c:v>
                </c:pt>
                <c:pt idx="3">
                  <c:v>Portugal</c:v>
                </c:pt>
                <c:pt idx="4">
                  <c:v>Bulgaria</c:v>
                </c:pt>
                <c:pt idx="5">
                  <c:v>Hungary</c:v>
                </c:pt>
                <c:pt idx="6">
                  <c:v>Irlande</c:v>
                </c:pt>
                <c:pt idx="7">
                  <c:v>Luxembourg</c:v>
                </c:pt>
                <c:pt idx="8">
                  <c:v>United Kingdom</c:v>
                </c:pt>
                <c:pt idx="9">
                  <c:v>Slovenia</c:v>
                </c:pt>
              </c:strCache>
            </c:strRef>
          </c:cat>
          <c:val>
            <c:numRef>
              <c:f>Sheet1!$C$2:$C$11</c:f>
              <c:numCache>
                <c:formatCode>General</c:formatCode>
                <c:ptCount val="10"/>
                <c:pt idx="0">
                  <c:v>4</c:v>
                </c:pt>
                <c:pt idx="1">
                  <c:v>4</c:v>
                </c:pt>
                <c:pt idx="2">
                  <c:v>2</c:v>
                </c:pt>
                <c:pt idx="3">
                  <c:v>2</c:v>
                </c:pt>
                <c:pt idx="4">
                  <c:v>1</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1-A915-4E05-B1F1-17BBA3C72D68}"/>
            </c:ext>
          </c:extLst>
        </c:ser>
        <c:dLbls>
          <c:showLegendKey val="0"/>
          <c:showVal val="0"/>
          <c:showCatName val="0"/>
          <c:showSerName val="0"/>
          <c:showPercent val="0"/>
          <c:showBubbleSize val="0"/>
        </c:dLbls>
        <c:gapWidth val="75"/>
        <c:overlap val="100"/>
        <c:axId val="723676544"/>
        <c:axId val="723679872"/>
      </c:barChart>
      <c:catAx>
        <c:axId val="723676544"/>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23679872"/>
        <c:crosses val="autoZero"/>
        <c:auto val="1"/>
        <c:lblAlgn val="ctr"/>
        <c:lblOffset val="100"/>
        <c:noMultiLvlLbl val="0"/>
      </c:catAx>
      <c:valAx>
        <c:axId val="723679872"/>
        <c:scaling>
          <c:orientation val="minMax"/>
          <c:max val="5"/>
          <c:min val="0"/>
        </c:scaling>
        <c:delete val="1"/>
        <c:axPos val="l"/>
        <c:majorGridlines>
          <c:spPr>
            <a:ln>
              <a:solidFill>
                <a:sysClr val="windowText" lastClr="000000">
                  <a:lumMod val="15000"/>
                  <a:lumOff val="85000"/>
                </a:sysClr>
              </a:solidFill>
            </a:ln>
          </c:spPr>
        </c:majorGridlines>
        <c:numFmt formatCode="General" sourceLinked="1"/>
        <c:majorTickMark val="none"/>
        <c:minorTickMark val="none"/>
        <c:tickLblPos val="nextTo"/>
        <c:crossAx val="723676544"/>
        <c:crosses val="autoZero"/>
        <c:crossBetween val="between"/>
        <c:majorUnit val="10"/>
        <c:minorUnit val="5"/>
      </c:valAx>
    </c:plotArea>
    <c:legend>
      <c:legendPos val="b"/>
      <c:overlay val="0"/>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Directives</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and late transposition infringement cases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3748268174020617E-2"/>
          <c:y val="0.17858573427450491"/>
          <c:w val="0.95531860473431041"/>
          <c:h val="0.54590994069992127"/>
        </c:manualLayout>
      </c:layout>
      <c:barChart>
        <c:barDir val="col"/>
        <c:grouping val="clustered"/>
        <c:varyColors val="0"/>
        <c:ser>
          <c:idx val="0"/>
          <c:order val="0"/>
          <c:tx>
            <c:strRef>
              <c:f>Blad1!$B$2</c:f>
              <c:strCache>
                <c:ptCount val="1"/>
                <c:pt idx="0">
                  <c:v>Number of directives with transposition deadline in a given year</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tx>
                <c:rich>
                  <a:bodyPr/>
                  <a:lstStyle/>
                  <a:p>
                    <a:r>
                      <a:rPr lang="en-US"/>
                      <a:t>70</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8C9-4805-B6F9-F154C9413B9F}"/>
                </c:ext>
              </c:extLst>
            </c:dLbl>
            <c:dLbl>
              <c:idx val="4"/>
              <c:tx>
                <c:rich>
                  <a:bodyPr/>
                  <a:lstStyle/>
                  <a:p>
                    <a:r>
                      <a:rPr lang="en-US">
                        <a:solidFill>
                          <a:srgbClr val="0070C0"/>
                        </a:solidFill>
                      </a:rPr>
                      <a:t>36</a:t>
                    </a:r>
                    <a:endParaRPr lang="en-US"/>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8C9-4805-B6F9-F154C9413B9F}"/>
                </c:ext>
              </c:extLst>
            </c:dLbl>
            <c:dLbl>
              <c:idx val="5"/>
              <c:tx>
                <c:rich>
                  <a:bodyPr/>
                  <a:lstStyle/>
                  <a:p>
                    <a:r>
                      <a:rPr lang="en-US"/>
                      <a:t>36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8C9-4805-B6F9-F154C9413B9F}"/>
                </c:ext>
              </c:extLst>
            </c:dLbl>
            <c:spPr>
              <a:noFill/>
              <a:ln w="25398">
                <a:noFill/>
              </a:ln>
            </c:spPr>
            <c:txPr>
              <a:bodyPr rot="0" spcFirstLastPara="1" vertOverflow="ellipsis" vert="horz" wrap="square" lIns="38100" tIns="19050" rIns="38100" bIns="19050" anchor="ctr" anchorCtr="1">
                <a:spAutoFit/>
              </a:bodyPr>
              <a:lstStyle/>
              <a:p>
                <a:pPr>
                  <a:defRPr sz="899"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2013</c:v>
                </c:pt>
                <c:pt idx="1">
                  <c:v>2014</c:v>
                </c:pt>
                <c:pt idx="2">
                  <c:v>2015</c:v>
                </c:pt>
                <c:pt idx="3">
                  <c:v>2016</c:v>
                </c:pt>
                <c:pt idx="4">
                  <c:v>2017</c:v>
                </c:pt>
              </c:numCache>
            </c:numRef>
          </c:cat>
          <c:val>
            <c:numRef>
              <c:f>Blad1!$B$3:$B$7</c:f>
              <c:numCache>
                <c:formatCode>General</c:formatCode>
                <c:ptCount val="5"/>
                <c:pt idx="0">
                  <c:v>74</c:v>
                </c:pt>
                <c:pt idx="1">
                  <c:v>67</c:v>
                </c:pt>
                <c:pt idx="2">
                  <c:v>56</c:v>
                </c:pt>
                <c:pt idx="3">
                  <c:v>70</c:v>
                </c:pt>
                <c:pt idx="4">
                  <c:v>36</c:v>
                </c:pt>
              </c:numCache>
            </c:numRef>
          </c:val>
          <c:extLst xmlns:c16r2="http://schemas.microsoft.com/office/drawing/2015/06/chart">
            <c:ext xmlns:c16="http://schemas.microsoft.com/office/drawing/2014/chart" uri="{C3380CC4-5D6E-409C-BE32-E72D297353CC}">
              <c16:uniqueId val="{00000003-18C9-4805-B6F9-F154C9413B9F}"/>
            </c:ext>
          </c:extLst>
        </c:ser>
        <c:ser>
          <c:idx val="1"/>
          <c:order val="1"/>
          <c:tx>
            <c:strRef>
              <c:f>Blad1!$C$2</c:f>
              <c:strCache>
                <c:ptCount val="1"/>
                <c:pt idx="0">
                  <c:v>New late transposition infringements</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98">
                <a:noFill/>
              </a:ln>
            </c:spPr>
            <c:txPr>
              <a:bodyPr wrap="square" lIns="38100" tIns="19050" rIns="38100" bIns="19050" anchor="ctr">
                <a:spAutoFit/>
              </a:bodyPr>
              <a:lstStyle/>
              <a:p>
                <a:pPr>
                  <a:defRPr sz="899">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2013</c:v>
                </c:pt>
                <c:pt idx="1">
                  <c:v>2014</c:v>
                </c:pt>
                <c:pt idx="2">
                  <c:v>2015</c:v>
                </c:pt>
                <c:pt idx="3">
                  <c:v>2016</c:v>
                </c:pt>
                <c:pt idx="4">
                  <c:v>2017</c:v>
                </c:pt>
              </c:numCache>
            </c:numRef>
          </c:cat>
          <c:val>
            <c:numRef>
              <c:f>Blad1!$C$3:$C$7</c:f>
              <c:numCache>
                <c:formatCode>General</c:formatCode>
                <c:ptCount val="5"/>
                <c:pt idx="0">
                  <c:v>478</c:v>
                </c:pt>
                <c:pt idx="1">
                  <c:v>585</c:v>
                </c:pt>
                <c:pt idx="2">
                  <c:v>543</c:v>
                </c:pt>
                <c:pt idx="3">
                  <c:v>847</c:v>
                </c:pt>
                <c:pt idx="4">
                  <c:v>558</c:v>
                </c:pt>
              </c:numCache>
            </c:numRef>
          </c:val>
          <c:extLst xmlns:c16r2="http://schemas.microsoft.com/office/drawing/2015/06/chart">
            <c:ext xmlns:c16="http://schemas.microsoft.com/office/drawing/2014/chart" uri="{C3380CC4-5D6E-409C-BE32-E72D297353CC}">
              <c16:uniqueId val="{00000004-18C9-4805-B6F9-F154C9413B9F}"/>
            </c:ext>
          </c:extLst>
        </c:ser>
        <c:dLbls>
          <c:showLegendKey val="0"/>
          <c:showVal val="0"/>
          <c:showCatName val="0"/>
          <c:showSerName val="0"/>
          <c:showPercent val="0"/>
          <c:showBubbleSize val="0"/>
        </c:dLbls>
        <c:gapWidth val="100"/>
        <c:overlap val="-24"/>
        <c:axId val="735026176"/>
        <c:axId val="736262400"/>
      </c:barChart>
      <c:catAx>
        <c:axId val="735026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36262400"/>
        <c:crosses val="autoZero"/>
        <c:auto val="1"/>
        <c:lblAlgn val="ctr"/>
        <c:lblOffset val="100"/>
        <c:noMultiLvlLbl val="0"/>
      </c:catAx>
      <c:valAx>
        <c:axId val="736262400"/>
        <c:scaling>
          <c:orientation val="minMax"/>
          <c:max val="1200"/>
        </c:scaling>
        <c:delete val="1"/>
        <c:axPos val="l"/>
        <c:majorGridlines>
          <c:spPr>
            <a:ln w="9524" cap="flat" cmpd="sng" algn="ctr">
              <a:solidFill>
                <a:schemeClr val="tx1">
                  <a:lumMod val="15000"/>
                  <a:lumOff val="85000"/>
                </a:schemeClr>
              </a:solidFill>
              <a:round/>
            </a:ln>
            <a:effectLst/>
          </c:spPr>
        </c:majorGridlines>
        <c:numFmt formatCode="General" sourceLinked="1"/>
        <c:majorTickMark val="out"/>
        <c:minorTickMark val="none"/>
        <c:tickLblPos val="nextTo"/>
        <c:crossAx val="735026176"/>
        <c:crosses val="autoZero"/>
        <c:crossBetween val="between"/>
        <c:majorUnit val="300"/>
      </c:valAx>
      <c:spPr>
        <a:noFill/>
        <a:ln w="25409">
          <a:noFill/>
        </a:ln>
      </c:spPr>
    </c:plotArea>
    <c:legend>
      <c:legendPos val="b"/>
      <c:overlay val="0"/>
      <c:txPr>
        <a:bodyPr/>
        <a:lstStyle/>
        <a:p>
          <a:pPr>
            <a:defRPr sz="899"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latin typeface="Arial" panose="020B0604020202020204" pitchFamily="34" charset="0"/>
                <a:ea typeface="Verdana" panose="020B0604030504040204" pitchFamily="34" charset="0"/>
                <a:cs typeface="Arial" panose="020B0604020202020204" pitchFamily="34" charset="0"/>
              </a:rPr>
              <a:t>Late</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transposition infringement cases open on 31 December 2017</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782608695652174E-2"/>
          <c:y val="0.16813263525305411"/>
          <c:w val="0.94897282702591934"/>
          <c:h val="0.74625614853067856"/>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3">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IT</c:v>
                </c:pt>
                <c:pt idx="1">
                  <c:v>DK</c:v>
                </c:pt>
                <c:pt idx="2">
                  <c:v>HU</c:v>
                </c:pt>
                <c:pt idx="3">
                  <c:v>NL</c:v>
                </c:pt>
                <c:pt idx="4">
                  <c:v>SK</c:v>
                </c:pt>
                <c:pt idx="5">
                  <c:v>UK</c:v>
                </c:pt>
                <c:pt idx="6">
                  <c:v>LT</c:v>
                </c:pt>
                <c:pt idx="7">
                  <c:v>MT</c:v>
                </c:pt>
                <c:pt idx="8">
                  <c:v>DE</c:v>
                </c:pt>
                <c:pt idx="9">
                  <c:v>FR</c:v>
                </c:pt>
                <c:pt idx="10">
                  <c:v>SE</c:v>
                </c:pt>
                <c:pt idx="11">
                  <c:v>EE</c:v>
                </c:pt>
                <c:pt idx="12">
                  <c:v>IE</c:v>
                </c:pt>
                <c:pt idx="13">
                  <c:v>LV</c:v>
                </c:pt>
                <c:pt idx="14">
                  <c:v>FI</c:v>
                </c:pt>
                <c:pt idx="15">
                  <c:v>AT</c:v>
                </c:pt>
                <c:pt idx="16">
                  <c:v>ES</c:v>
                </c:pt>
                <c:pt idx="17">
                  <c:v>EL</c:v>
                </c:pt>
                <c:pt idx="18">
                  <c:v>SI</c:v>
                </c:pt>
                <c:pt idx="19">
                  <c:v>BG</c:v>
                </c:pt>
                <c:pt idx="20">
                  <c:v>HR</c:v>
                </c:pt>
                <c:pt idx="21">
                  <c:v>RO</c:v>
                </c:pt>
                <c:pt idx="22">
                  <c:v>LU</c:v>
                </c:pt>
                <c:pt idx="23">
                  <c:v>PL</c:v>
                </c:pt>
                <c:pt idx="24">
                  <c:v>CZ</c:v>
                </c:pt>
                <c:pt idx="25">
                  <c:v>PT</c:v>
                </c:pt>
                <c:pt idx="26">
                  <c:v>CY</c:v>
                </c:pt>
                <c:pt idx="27">
                  <c:v>BE</c:v>
                </c:pt>
              </c:strCache>
            </c:strRef>
          </c:cat>
          <c:val>
            <c:numRef>
              <c:f>Blad1!$B$3:$B$30</c:f>
              <c:numCache>
                <c:formatCode>General</c:formatCode>
                <c:ptCount val="28"/>
                <c:pt idx="0">
                  <c:v>9</c:v>
                </c:pt>
                <c:pt idx="1">
                  <c:v>14</c:v>
                </c:pt>
                <c:pt idx="2">
                  <c:v>15</c:v>
                </c:pt>
                <c:pt idx="3">
                  <c:v>19</c:v>
                </c:pt>
                <c:pt idx="4">
                  <c:v>19</c:v>
                </c:pt>
                <c:pt idx="5">
                  <c:v>21</c:v>
                </c:pt>
                <c:pt idx="6">
                  <c:v>23</c:v>
                </c:pt>
                <c:pt idx="7">
                  <c:v>23</c:v>
                </c:pt>
                <c:pt idx="8">
                  <c:v>25</c:v>
                </c:pt>
                <c:pt idx="9">
                  <c:v>26</c:v>
                </c:pt>
                <c:pt idx="10">
                  <c:v>26</c:v>
                </c:pt>
                <c:pt idx="11">
                  <c:v>27</c:v>
                </c:pt>
                <c:pt idx="12">
                  <c:v>28</c:v>
                </c:pt>
                <c:pt idx="13">
                  <c:v>28</c:v>
                </c:pt>
                <c:pt idx="14">
                  <c:v>30</c:v>
                </c:pt>
                <c:pt idx="15">
                  <c:v>32</c:v>
                </c:pt>
                <c:pt idx="16">
                  <c:v>32</c:v>
                </c:pt>
                <c:pt idx="17">
                  <c:v>33</c:v>
                </c:pt>
                <c:pt idx="18">
                  <c:v>33</c:v>
                </c:pt>
                <c:pt idx="19">
                  <c:v>34</c:v>
                </c:pt>
                <c:pt idx="20">
                  <c:v>34</c:v>
                </c:pt>
                <c:pt idx="21">
                  <c:v>34</c:v>
                </c:pt>
                <c:pt idx="22">
                  <c:v>35</c:v>
                </c:pt>
                <c:pt idx="23">
                  <c:v>39</c:v>
                </c:pt>
                <c:pt idx="24">
                  <c:v>40</c:v>
                </c:pt>
                <c:pt idx="25">
                  <c:v>41</c:v>
                </c:pt>
                <c:pt idx="26">
                  <c:v>42</c:v>
                </c:pt>
                <c:pt idx="27">
                  <c:v>46</c:v>
                </c:pt>
              </c:numCache>
            </c:numRef>
          </c:val>
          <c:extLst xmlns:c16r2="http://schemas.microsoft.com/office/drawing/2015/06/chart">
            <c:ext xmlns:c16="http://schemas.microsoft.com/office/drawing/2014/chart" uri="{C3380CC4-5D6E-409C-BE32-E72D297353CC}">
              <c16:uniqueId val="{00000000-5ED8-401E-B967-2B1726E4E65D}"/>
            </c:ext>
          </c:extLst>
        </c:ser>
        <c:dLbls>
          <c:showLegendKey val="0"/>
          <c:showVal val="0"/>
          <c:showCatName val="0"/>
          <c:showSerName val="0"/>
          <c:showPercent val="0"/>
          <c:showBubbleSize val="0"/>
        </c:dLbls>
        <c:gapWidth val="75"/>
        <c:overlap val="-25"/>
        <c:axId val="116343552"/>
        <c:axId val="116345088"/>
      </c:barChart>
      <c:catAx>
        <c:axId val="116343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16345088"/>
        <c:crosses val="autoZero"/>
        <c:auto val="1"/>
        <c:lblAlgn val="ctr"/>
        <c:lblOffset val="100"/>
        <c:noMultiLvlLbl val="0"/>
      </c:catAx>
      <c:valAx>
        <c:axId val="116345088"/>
        <c:scaling>
          <c:orientation val="minMax"/>
        </c:scaling>
        <c:delete val="1"/>
        <c:axPos val="l"/>
        <c:majorGridlines>
          <c:spPr>
            <a:ln>
              <a:solidFill>
                <a:srgbClr val="D9D9D9"/>
              </a:solidFill>
            </a:ln>
          </c:spPr>
        </c:majorGridlines>
        <c:numFmt formatCode="General" sourceLinked="1"/>
        <c:majorTickMark val="out"/>
        <c:minorTickMark val="none"/>
        <c:tickLblPos val="nextTo"/>
        <c:crossAx val="11634355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a:solidFill>
                  <a:srgbClr val="002060"/>
                </a:solidFill>
                <a:latin typeface="Arial" panose="020B0604020202020204" pitchFamily="34" charset="0"/>
                <a:ea typeface="Verdana" panose="020B0604030504040204" pitchFamily="34" charset="0"/>
                <a:cs typeface="Arial" panose="020B0604020202020204" pitchFamily="34" charset="0"/>
              </a:rPr>
              <a:t>New</a:t>
            </a: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en-US" sz="1099" b="0">
                <a:solidFill>
                  <a:srgbClr val="002060"/>
                </a:solidFill>
                <a:latin typeface="Arial" panose="020B0604020202020204" pitchFamily="34" charset="0"/>
                <a:ea typeface="Verdana" panose="020B0604030504040204" pitchFamily="34" charset="0"/>
                <a:cs typeface="Arial" panose="020B0604020202020204" pitchFamily="34" charset="0"/>
              </a:rPr>
              <a:t>late transposition</a:t>
            </a: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 infringement cases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1"/>
    </c:title>
    <c:autoTitleDeleted val="0"/>
    <c:plotArea>
      <c:layout>
        <c:manualLayout>
          <c:layoutTarget val="inner"/>
          <c:xMode val="edge"/>
          <c:yMode val="edge"/>
          <c:x val="4.5119552022919757E-2"/>
          <c:y val="0.11073491731044981"/>
          <c:w val="0.91760407553222512"/>
          <c:h val="0.80730689913760778"/>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IT</c:v>
                </c:pt>
                <c:pt idx="1">
                  <c:v>NL</c:v>
                </c:pt>
                <c:pt idx="2">
                  <c:v>LT</c:v>
                </c:pt>
                <c:pt idx="3">
                  <c:v>HU</c:v>
                </c:pt>
                <c:pt idx="4">
                  <c:v>SK</c:v>
                </c:pt>
                <c:pt idx="5">
                  <c:v>DK</c:v>
                </c:pt>
                <c:pt idx="6">
                  <c:v>FR</c:v>
                </c:pt>
                <c:pt idx="7">
                  <c:v>EE</c:v>
                </c:pt>
                <c:pt idx="8">
                  <c:v>ES</c:v>
                </c:pt>
                <c:pt idx="9">
                  <c:v>MT</c:v>
                </c:pt>
                <c:pt idx="10">
                  <c:v>SE</c:v>
                </c:pt>
                <c:pt idx="11">
                  <c:v>DE</c:v>
                </c:pt>
                <c:pt idx="12">
                  <c:v>LV</c:v>
                </c:pt>
                <c:pt idx="13">
                  <c:v>RO</c:v>
                </c:pt>
                <c:pt idx="14">
                  <c:v>SI</c:v>
                </c:pt>
                <c:pt idx="15">
                  <c:v>IE</c:v>
                </c:pt>
                <c:pt idx="16">
                  <c:v>PL</c:v>
                </c:pt>
                <c:pt idx="17">
                  <c:v>AT</c:v>
                </c:pt>
                <c:pt idx="18">
                  <c:v>EL</c:v>
                </c:pt>
                <c:pt idx="19">
                  <c:v>LU</c:v>
                </c:pt>
                <c:pt idx="20">
                  <c:v>BE</c:v>
                </c:pt>
                <c:pt idx="21">
                  <c:v>CZ</c:v>
                </c:pt>
                <c:pt idx="22">
                  <c:v>FI</c:v>
                </c:pt>
                <c:pt idx="23">
                  <c:v>BG</c:v>
                </c:pt>
                <c:pt idx="24">
                  <c:v>HR</c:v>
                </c:pt>
                <c:pt idx="25">
                  <c:v>UK</c:v>
                </c:pt>
                <c:pt idx="26">
                  <c:v>CY</c:v>
                </c:pt>
                <c:pt idx="27">
                  <c:v>PT</c:v>
                </c:pt>
              </c:strCache>
            </c:strRef>
          </c:cat>
          <c:val>
            <c:numRef>
              <c:f>Blad1!$B$3:$B$30</c:f>
              <c:numCache>
                <c:formatCode>General</c:formatCode>
                <c:ptCount val="28"/>
                <c:pt idx="0">
                  <c:v>7</c:v>
                </c:pt>
                <c:pt idx="1">
                  <c:v>9</c:v>
                </c:pt>
                <c:pt idx="2">
                  <c:v>11</c:v>
                </c:pt>
                <c:pt idx="3">
                  <c:v>13</c:v>
                </c:pt>
                <c:pt idx="4">
                  <c:v>14</c:v>
                </c:pt>
                <c:pt idx="5">
                  <c:v>15</c:v>
                </c:pt>
                <c:pt idx="6">
                  <c:v>15</c:v>
                </c:pt>
                <c:pt idx="7">
                  <c:v>16</c:v>
                </c:pt>
                <c:pt idx="8">
                  <c:v>16</c:v>
                </c:pt>
                <c:pt idx="9">
                  <c:v>16</c:v>
                </c:pt>
                <c:pt idx="10">
                  <c:v>16</c:v>
                </c:pt>
                <c:pt idx="11">
                  <c:v>19</c:v>
                </c:pt>
                <c:pt idx="12">
                  <c:v>19</c:v>
                </c:pt>
                <c:pt idx="13">
                  <c:v>19</c:v>
                </c:pt>
                <c:pt idx="14">
                  <c:v>20</c:v>
                </c:pt>
                <c:pt idx="15">
                  <c:v>21</c:v>
                </c:pt>
                <c:pt idx="16">
                  <c:v>21</c:v>
                </c:pt>
                <c:pt idx="17">
                  <c:v>22</c:v>
                </c:pt>
                <c:pt idx="18">
                  <c:v>22</c:v>
                </c:pt>
                <c:pt idx="19">
                  <c:v>22</c:v>
                </c:pt>
                <c:pt idx="20">
                  <c:v>23</c:v>
                </c:pt>
                <c:pt idx="21">
                  <c:v>25</c:v>
                </c:pt>
                <c:pt idx="22">
                  <c:v>25</c:v>
                </c:pt>
                <c:pt idx="23">
                  <c:v>26</c:v>
                </c:pt>
                <c:pt idx="24">
                  <c:v>26</c:v>
                </c:pt>
                <c:pt idx="25">
                  <c:v>29</c:v>
                </c:pt>
                <c:pt idx="26">
                  <c:v>35</c:v>
                </c:pt>
                <c:pt idx="27">
                  <c:v>36</c:v>
                </c:pt>
              </c:numCache>
            </c:numRef>
          </c:val>
          <c:extLst xmlns:c16r2="http://schemas.microsoft.com/office/drawing/2015/06/chart">
            <c:ext xmlns:c16="http://schemas.microsoft.com/office/drawing/2014/chart" uri="{C3380CC4-5D6E-409C-BE32-E72D297353CC}">
              <c16:uniqueId val="{00000000-E076-4B59-9E1D-4961119D9B36}"/>
            </c:ext>
          </c:extLst>
        </c:ser>
        <c:dLbls>
          <c:showLegendKey val="0"/>
          <c:showVal val="0"/>
          <c:showCatName val="0"/>
          <c:showSerName val="0"/>
          <c:showPercent val="0"/>
          <c:showBubbleSize val="0"/>
        </c:dLbls>
        <c:gapWidth val="100"/>
        <c:overlap val="-24"/>
        <c:axId val="130517632"/>
        <c:axId val="130527616"/>
      </c:barChart>
      <c:catAx>
        <c:axId val="130517632"/>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30527616"/>
        <c:crosses val="autoZero"/>
        <c:auto val="1"/>
        <c:lblAlgn val="ctr"/>
        <c:lblOffset val="100"/>
        <c:noMultiLvlLbl val="0"/>
      </c:catAx>
      <c:valAx>
        <c:axId val="130527616"/>
        <c:scaling>
          <c:orientation val="minMax"/>
        </c:scaling>
        <c:delete val="1"/>
        <c:axPos val="l"/>
        <c:majorGridlines>
          <c:spPr>
            <a:ln w="9518" cap="flat" cmpd="sng" algn="ctr">
              <a:solidFill>
                <a:schemeClr val="tx1">
                  <a:lumMod val="15000"/>
                  <a:lumOff val="85000"/>
                </a:schemeClr>
              </a:solidFill>
              <a:round/>
            </a:ln>
            <a:effectLst/>
          </c:spPr>
        </c:majorGridlines>
        <c:numFmt formatCode="General" sourceLinked="1"/>
        <c:majorTickMark val="out"/>
        <c:minorTickMark val="none"/>
        <c:tickLblPos val="nextTo"/>
        <c:crossAx val="130517632"/>
        <c:crosses val="autoZero"/>
        <c:crossBetween val="between"/>
      </c:valAx>
      <c:spPr>
        <a:noFill/>
        <a:ln w="25391">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New</a:t>
            </a:r>
            <a:r>
              <a:rPr lang="en-US"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late transposition infringement cases opened in 2017: main policy areas</a:t>
            </a:r>
            <a:endParaRPr lang="en-GB" sz="1100" b="0">
              <a:solidFill>
                <a:srgbClr val="002060"/>
              </a:solidFill>
              <a:effectLst/>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437192407862145"/>
          <c:y val="2.7993635510587082E-2"/>
        </c:manualLayout>
      </c:layout>
      <c:overlay val="0"/>
      <c:spPr>
        <a:noFill/>
        <a:ln w="25398">
          <a:noFill/>
        </a:ln>
      </c:spPr>
    </c:title>
    <c:autoTitleDeleted val="0"/>
    <c:plotArea>
      <c:layout/>
      <c:pieChart>
        <c:varyColors val="1"/>
        <c:ser>
          <c:idx val="0"/>
          <c:order val="0"/>
          <c:tx>
            <c:strRef>
              <c:f>Blad1!$B$1</c:f>
              <c:strCache>
                <c:ptCount val="1"/>
                <c:pt idx="0">
                  <c:v>xxx late transposition cases in 2017</c:v>
                </c:pt>
              </c:strCache>
            </c:strRef>
          </c:tx>
          <c:spPr>
            <a:ln>
              <a:noFill/>
            </a:ln>
            <a:effectLst/>
            <a:scene3d>
              <a:camera prst="orthographicFront"/>
              <a:lightRig rig="threePt" dir="t"/>
            </a:scene3d>
            <a:sp3d>
              <a:bevelT w="63500" h="25400"/>
            </a:sp3d>
          </c:spPr>
          <c:dPt>
            <c:idx val="0"/>
            <c:bubble3D val="0"/>
            <c:spPr>
              <a:solidFill>
                <a:srgbClr val="FF9900"/>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BF0B-42F9-9C5E-B01AE040B5A5}"/>
              </c:ext>
            </c:extLst>
          </c:dPt>
          <c:dPt>
            <c:idx val="1"/>
            <c:bubble3D val="0"/>
            <c:spPr>
              <a:solidFill>
                <a:srgbClr val="00A676"/>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BF0B-42F9-9C5E-B01AE040B5A5}"/>
              </c:ext>
            </c:extLst>
          </c:dPt>
          <c:dPt>
            <c:idx val="2"/>
            <c:bubble3D val="0"/>
            <c:spPr>
              <a:solidFill>
                <a:srgbClr val="7030A0"/>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BF0B-42F9-9C5E-B01AE040B5A5}"/>
              </c:ext>
            </c:extLst>
          </c:dPt>
          <c:dPt>
            <c:idx val="3"/>
            <c:bubble3D val="0"/>
            <c:spPr>
              <a:solidFill>
                <a:srgbClr val="FF7DFF"/>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BF0B-42F9-9C5E-B01AE040B5A5}"/>
              </c:ext>
            </c:extLst>
          </c:dPt>
          <c:dPt>
            <c:idx val="4"/>
            <c:bubble3D val="0"/>
            <c:spPr>
              <a:solidFill>
                <a:srgbClr val="996633"/>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BF0B-42F9-9C5E-B01AE040B5A5}"/>
              </c:ext>
            </c:extLst>
          </c:dPt>
          <c:dPt>
            <c:idx val="5"/>
            <c:bubble3D val="0"/>
            <c:spPr>
              <a:solidFill>
                <a:srgbClr val="808AA4"/>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BF0B-42F9-9C5E-B01AE040B5A5}"/>
              </c:ext>
            </c:extLst>
          </c:dPt>
          <c:dLbls>
            <c:dLbl>
              <c:idx val="0"/>
              <c:layout>
                <c:manualLayout>
                  <c:x val="-3.1732010033190941E-2"/>
                  <c:y val="0.1072057460971268"/>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F0B-42F9-9C5E-B01AE040B5A5}"/>
                </c:ext>
              </c:extLst>
            </c:dLbl>
            <c:dLbl>
              <c:idx val="1"/>
              <c:layout>
                <c:manualLayout>
                  <c:x val="5.5152103608462101E-3"/>
                  <c:y val="3.093059023827741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F0B-42F9-9C5E-B01AE040B5A5}"/>
                </c:ext>
              </c:extLst>
            </c:dLbl>
            <c:dLbl>
              <c:idx val="2"/>
              <c:layout>
                <c:manualLayout>
                  <c:x val="0.10013421166529675"/>
                  <c:y val="0.12303385637946336"/>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F0B-42F9-9C5E-B01AE040B5A5}"/>
                </c:ext>
              </c:extLst>
            </c:dLbl>
            <c:dLbl>
              <c:idx val="3"/>
              <c:layout>
                <c:manualLayout>
                  <c:x val="8.3195349446674692E-3"/>
                  <c:y val="0.1183893829818035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F0B-42F9-9C5E-B01AE040B5A5}"/>
                </c:ext>
              </c:extLst>
            </c:dLbl>
            <c:dLbl>
              <c:idx val="4"/>
              <c:layout>
                <c:manualLayout>
                  <c:x val="1.6518358805754424E-3"/>
                  <c:y val="6.044455773963506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F0B-42F9-9C5E-B01AE040B5A5}"/>
                </c:ext>
              </c:extLst>
            </c:dLbl>
            <c:dLbl>
              <c:idx val="5"/>
              <c:layout>
                <c:manualLayout>
                  <c:x val="-5.3669396849070879E-3"/>
                  <c:y val="-2.808454634482480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F0B-42F9-9C5E-B01AE040B5A5}"/>
                </c:ext>
              </c:extLst>
            </c:dLbl>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Blad1!$A$3:$A$8</c:f>
              <c:strCache>
                <c:ptCount val="6"/>
                <c:pt idx="0">
                  <c:v>Mobility and transport</c:v>
                </c:pt>
                <c:pt idx="1">
                  <c:v>Environment</c:v>
                </c:pt>
                <c:pt idx="2">
                  <c:v>Financial stability, financial services and Capital Markets Union</c:v>
                </c:pt>
                <c:pt idx="3">
                  <c:v>Health and food safety</c:v>
                </c:pt>
                <c:pt idx="4">
                  <c:v>Justice and consumers</c:v>
                </c:pt>
                <c:pt idx="5">
                  <c:v>Other </c:v>
                </c:pt>
              </c:strCache>
            </c:strRef>
          </c:cat>
          <c:val>
            <c:numRef>
              <c:f>Blad1!$B$3:$B$8</c:f>
              <c:numCache>
                <c:formatCode>General</c:formatCode>
                <c:ptCount val="6"/>
                <c:pt idx="0">
                  <c:v>129</c:v>
                </c:pt>
                <c:pt idx="1">
                  <c:v>113</c:v>
                </c:pt>
                <c:pt idx="2">
                  <c:v>84</c:v>
                </c:pt>
                <c:pt idx="3">
                  <c:v>62</c:v>
                </c:pt>
                <c:pt idx="4">
                  <c:v>41</c:v>
                </c:pt>
                <c:pt idx="5">
                  <c:v>129</c:v>
                </c:pt>
              </c:numCache>
            </c:numRef>
          </c:val>
          <c:extLst xmlns:c16r2="http://schemas.microsoft.com/office/drawing/2015/06/chart">
            <c:ext xmlns:c16="http://schemas.microsoft.com/office/drawing/2014/chart" uri="{C3380CC4-5D6E-409C-BE32-E72D297353CC}">
              <c16:uniqueId val="{0000000C-BF0B-42F9-9C5E-B01AE040B5A5}"/>
            </c:ext>
          </c:extLst>
        </c:ser>
        <c:dLbls>
          <c:showLegendKey val="0"/>
          <c:showVal val="0"/>
          <c:showCatName val="0"/>
          <c:showSerName val="0"/>
          <c:showPercent val="0"/>
          <c:showBubbleSize val="0"/>
          <c:showLeaderLines val="0"/>
        </c:dLbls>
        <c:firstSliceAng val="187"/>
      </c:pieChart>
      <c:spPr>
        <a:noFill/>
        <a:ln w="25409">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9" b="0" i="0" baseline="0">
                <a:solidFill>
                  <a:srgbClr val="002060"/>
                </a:solidFill>
                <a:latin typeface="Arial" panose="020B0604020202020204" pitchFamily="34" charset="0"/>
                <a:cs typeface="Arial" panose="020B0604020202020204" pitchFamily="34" charset="0"/>
              </a:rPr>
              <a:t>New complaints registered in 2017: main policy areas</a:t>
            </a:r>
            <a:endParaRPr lang="en-GB" sz="1100" b="0" i="0">
              <a:solidFill>
                <a:srgbClr val="002060"/>
              </a:solidFill>
              <a:latin typeface="Arial" panose="020B0604020202020204" pitchFamily="34" charset="0"/>
              <a:cs typeface="Arial" panose="020B0604020202020204" pitchFamily="34" charset="0"/>
            </a:endParaRPr>
          </a:p>
        </c:rich>
      </c:tx>
      <c:layout>
        <c:manualLayout>
          <c:xMode val="edge"/>
          <c:yMode val="edge"/>
          <c:x val="0.17324496211200821"/>
          <c:y val="2.2547772632819728E-2"/>
        </c:manualLayout>
      </c:layout>
      <c:overlay val="0"/>
      <c:spPr>
        <a:noFill/>
        <a:ln w="25372">
          <a:noFill/>
        </a:ln>
      </c:spPr>
    </c:title>
    <c:autoTitleDeleted val="0"/>
    <c:plotArea>
      <c:layout/>
      <c:pieChart>
        <c:varyColors val="1"/>
        <c:ser>
          <c:idx val="0"/>
          <c:order val="0"/>
          <c:tx>
            <c:strRef>
              <c:f>Blad1!$B$1</c:f>
              <c:strCache>
                <c:ptCount val="1"/>
                <c:pt idx="0">
                  <c:v>3786 complaints in 2017</c:v>
                </c:pt>
              </c:strCache>
            </c:strRef>
          </c:tx>
          <c:spPr>
            <a:solidFill>
              <a:schemeClr val="accent1"/>
            </a:solidFill>
            <a:scene3d>
              <a:camera prst="orthographicFront"/>
              <a:lightRig rig="threePt" dir="t"/>
            </a:scene3d>
            <a:sp3d>
              <a:bevelT w="63500" h="25400"/>
            </a:sp3d>
          </c:spPr>
          <c:dPt>
            <c:idx val="0"/>
            <c:bubble3D val="0"/>
            <c:spPr>
              <a:solidFill>
                <a:schemeClr val="accent1"/>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5A5F-4DA8-A58B-54446561C806}"/>
              </c:ext>
            </c:extLst>
          </c:dPt>
          <c:dPt>
            <c:idx val="1"/>
            <c:bubble3D val="0"/>
            <c:spPr>
              <a:solidFill>
                <a:srgbClr val="996633"/>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5A5F-4DA8-A58B-54446561C806}"/>
              </c:ext>
            </c:extLst>
          </c:dPt>
          <c:dPt>
            <c:idx val="2"/>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5A5F-4DA8-A58B-54446561C806}"/>
              </c:ext>
            </c:extLst>
          </c:dPt>
          <c:dPt>
            <c:idx val="3"/>
            <c:bubble3D val="0"/>
            <c:spPr>
              <a:solidFill>
                <a:srgbClr val="FFD617"/>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5A5F-4DA8-A58B-54446561C806}"/>
              </c:ext>
            </c:extLst>
          </c:dPt>
          <c:dPt>
            <c:idx val="4"/>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5A5F-4DA8-A58B-54446561C806}"/>
              </c:ext>
            </c:extLst>
          </c:dPt>
          <c:dPt>
            <c:idx val="5"/>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5A5F-4DA8-A58B-54446561C806}"/>
              </c:ext>
            </c:extLst>
          </c:dPt>
          <c:dPt>
            <c:idx val="6"/>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D-5A5F-4DA8-A58B-54446561C806}"/>
              </c:ext>
            </c:extLst>
          </c:dPt>
          <c:dPt>
            <c:idx val="7"/>
            <c:bubble3D val="0"/>
            <c:spPr>
              <a:solidFill>
                <a:srgbClr val="FF99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F-5A5F-4DA8-A58B-54446561C806}"/>
              </c:ext>
            </c:extLst>
          </c:dPt>
          <c:dPt>
            <c:idx val="8"/>
            <c:bubble3D val="0"/>
            <c:spPr>
              <a:solidFill>
                <a:srgbClr val="7030A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1-5A5F-4DA8-A58B-54446561C806}"/>
              </c:ext>
            </c:extLst>
          </c:dPt>
          <c:dPt>
            <c:idx val="9"/>
            <c:bubble3D val="0"/>
            <c:spPr>
              <a:solidFill>
                <a:srgbClr val="37ACDE"/>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3-5A5F-4DA8-A58B-54446561C806}"/>
              </c:ext>
            </c:extLst>
          </c:dPt>
          <c:dPt>
            <c:idx val="10"/>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5-5A5F-4DA8-A58B-54446561C806}"/>
              </c:ext>
            </c:extLst>
          </c:dPt>
          <c:dPt>
            <c:idx val="11"/>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7-5A5F-4DA8-A58B-54446561C806}"/>
              </c:ext>
            </c:extLst>
          </c:dPt>
          <c:dPt>
            <c:idx val="12"/>
            <c:bubble3D val="0"/>
            <c:spPr>
              <a:solidFill>
                <a:srgbClr val="000099"/>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9-5A5F-4DA8-A58B-54446561C806}"/>
              </c:ext>
            </c:extLst>
          </c:dPt>
          <c:dPt>
            <c:idx val="13"/>
            <c:bubble3D val="0"/>
            <c:spPr>
              <a:solidFill>
                <a:srgbClr val="E75113"/>
              </a:solidFill>
              <a:ln>
                <a:solidFill>
                  <a:srgbClr val="4F81BD"/>
                </a:solidFill>
              </a:ln>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B-5A5F-4DA8-A58B-54446561C806}"/>
              </c:ext>
            </c:extLst>
          </c:dPt>
          <c:dPt>
            <c:idx val="14"/>
            <c:bubble3D val="0"/>
            <c:spPr>
              <a:solidFill>
                <a:srgbClr val="FF99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D-5A5F-4DA8-A58B-54446561C806}"/>
              </c:ext>
            </c:extLst>
          </c:dPt>
          <c:dPt>
            <c:idx val="15"/>
            <c:bubble3D val="0"/>
            <c:spPr>
              <a:solidFill>
                <a:srgbClr val="37ACE8"/>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F-5A5F-4DA8-A58B-54446561C806}"/>
              </c:ext>
            </c:extLst>
          </c:dPt>
          <c:dPt>
            <c:idx val="16"/>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21-5A5F-4DA8-A58B-54446561C806}"/>
              </c:ext>
            </c:extLst>
          </c:dPt>
          <c:dPt>
            <c:idx val="17"/>
            <c:bubble3D val="0"/>
            <c:extLst xmlns:c16r2="http://schemas.microsoft.com/office/drawing/2015/06/chart">
              <c:ext xmlns:c16="http://schemas.microsoft.com/office/drawing/2014/chart" uri="{C3380CC4-5D6E-409C-BE32-E72D297353CC}">
                <c16:uniqueId val="{00000022-5A5F-4DA8-A58B-54446561C806}"/>
              </c:ext>
            </c:extLst>
          </c:dPt>
          <c:dPt>
            <c:idx val="18"/>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24-5A5F-4DA8-A58B-54446561C806}"/>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5F-4DA8-A58B-54446561C806}"/>
                </c:ext>
              </c:extLst>
            </c:dLbl>
            <c:dLbl>
              <c:idx val="1"/>
              <c:layout>
                <c:manualLayout>
                  <c:x val="-0.16376730666546338"/>
                  <c:y val="-4.340608294369393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A5F-4DA8-A58B-54446561C806}"/>
                </c:ext>
              </c:extLst>
            </c:dLbl>
            <c:dLbl>
              <c:idx val="2"/>
              <c:layout>
                <c:manualLayout>
                  <c:x val="-8.5172107784521091E-3"/>
                  <c:y val="-5.8266955025205985E-2"/>
                </c:manualLayout>
              </c:layout>
              <c:spPr>
                <a:noFill/>
                <a:ln w="25372">
                  <a:noFill/>
                </a:ln>
              </c:spPr>
              <c:txPr>
                <a:bodyPr rot="0" spcFirstLastPara="1" vertOverflow="ellipsis" vert="horz" wrap="square" lIns="38100" tIns="19050" rIns="38100" bIns="19050" anchor="ctr" anchorCtr="1">
                  <a:spAutoFit/>
                </a:bodyPr>
                <a:lstStyle/>
                <a:p>
                  <a:pPr>
                    <a:defRPr sz="84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A5F-4DA8-A58B-54446561C806}"/>
                </c:ext>
              </c:extLst>
            </c:dLbl>
            <c:dLbl>
              <c:idx val="3"/>
              <c:layout>
                <c:manualLayout>
                  <c:x val="1.3343335664703804E-2"/>
                  <c:y val="2.1948247764967482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A5F-4DA8-A58B-54446561C806}"/>
                </c:ext>
              </c:extLst>
            </c:dLbl>
            <c:dLbl>
              <c:idx val="4"/>
              <c:layout>
                <c:manualLayout>
                  <c:x val="-8.5959885386819479E-2"/>
                  <c:y val="8.0408626387852386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A5F-4DA8-A58B-54446561C806}"/>
                </c:ext>
              </c:extLst>
            </c:dLbl>
            <c:dLbl>
              <c:idx val="5"/>
              <c:layout>
                <c:manualLayout>
                  <c:x val="-0.10778828147914175"/>
                  <c:y val="-3.8138825324179927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5A5F-4DA8-A58B-54446561C806}"/>
                </c:ext>
              </c:extLst>
            </c:dLbl>
            <c:dLbl>
              <c:idx val="6"/>
              <c:layout>
                <c:manualLayout>
                  <c:x val="-5.2531229083470493E-2"/>
                  <c:y val="-4.565101509313269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5A5F-4DA8-A58B-54446561C806}"/>
                </c:ext>
              </c:extLst>
            </c:dLbl>
            <c:dLbl>
              <c:idx val="7"/>
              <c:layout>
                <c:manualLayout>
                  <c:x val="-7.1633237822349575E-3"/>
                  <c:y val="-6.18853977875589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5A5F-4DA8-A58B-54446561C806}"/>
                </c:ext>
              </c:extLst>
            </c:dLbl>
            <c:dLbl>
              <c:idx val="8"/>
              <c:layout>
                <c:manualLayout>
                  <c:x val="-7.1633237822349575E-3"/>
                  <c:y val="-4.4167593170776284E-5"/>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5A5F-4DA8-A58B-54446561C806}"/>
                </c:ext>
              </c:extLst>
            </c:dLbl>
            <c:dLbl>
              <c:idx val="9"/>
              <c:layout>
                <c:manualLayout>
                  <c:x val="3.0830494325745097E-3"/>
                  <c:y val="6.125080593165699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5A5F-4DA8-A58B-54446561C806}"/>
                </c:ext>
              </c:extLst>
            </c:dLbl>
            <c:dLbl>
              <c:idx val="10"/>
              <c:layout>
                <c:manualLayout>
                  <c:x val="1.1866111650083942E-2"/>
                  <c:y val="5.0259674987435084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5A5F-4DA8-A58B-54446561C806}"/>
                </c:ext>
              </c:extLst>
            </c:dLbl>
            <c:dLbl>
              <c:idx val="11"/>
              <c:layout>
                <c:manualLayout>
                  <c:x val="1.6202460723928135E-2"/>
                  <c:y val="-3.011468344019860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A5F-4DA8-A58B-54446561C806}"/>
                </c:ext>
              </c:extLst>
            </c:dLbl>
            <c:dLbl>
              <c:idx val="12"/>
              <c:layout>
                <c:manualLayout>
                  <c:x val="-3.8204393505253106E-2"/>
                  <c:y val="7.924677321513300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5A5F-4DA8-A58B-54446561C806}"/>
                </c:ext>
              </c:extLst>
            </c:dLbl>
            <c:dLbl>
              <c:idx val="13"/>
              <c:layout>
                <c:manualLayout>
                  <c:x val="-7.2153869370706988E-2"/>
                  <c:y val="4.143931432213868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5A5F-4DA8-A58B-54446561C806}"/>
                </c:ext>
              </c:extLst>
            </c:dLbl>
            <c:dLbl>
              <c:idx val="14"/>
              <c:layout>
                <c:manualLayout>
                  <c:x val="-3.9296189337364264E-2"/>
                  <c:y val="9.277732933286626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5A5F-4DA8-A58B-54446561C806}"/>
                </c:ext>
              </c:extLst>
            </c:dLbl>
            <c:dLbl>
              <c:idx val="15"/>
              <c:layout>
                <c:manualLayout>
                  <c:x val="-0.15411862915416374"/>
                  <c:y val="8.474821933525233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5A5F-4DA8-A58B-54446561C806}"/>
                </c:ext>
              </c:extLst>
            </c:dLbl>
            <c:dLbl>
              <c:idx val="16"/>
              <c:layout>
                <c:manualLayout>
                  <c:x val="0.12989023757417142"/>
                  <c:y val="2.6307639978271576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5A5F-4DA8-A58B-54446561C806}"/>
                </c:ext>
              </c:extLst>
            </c:dLbl>
            <c:dLbl>
              <c:idx val="17"/>
              <c:layout>
                <c:manualLayout>
                  <c:x val="5.3543683114109307E-2"/>
                  <c:y val="-0.14026358407326744"/>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5A5F-4DA8-A58B-54446561C806}"/>
                </c:ext>
              </c:extLst>
            </c:dLbl>
            <c:dLbl>
              <c:idx val="18"/>
              <c:layout>
                <c:manualLayout>
                  <c:x val="-3.9035790296986526E-2"/>
                  <c:y val="-0.24816272965879266"/>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5A5F-4DA8-A58B-54446561C806}"/>
                </c:ext>
              </c:extLst>
            </c:dLbl>
            <c:spPr>
              <a:noFill/>
              <a:ln w="25372">
                <a:noFill/>
              </a:ln>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Blad1!$A$2:$A$12</c:f>
              <c:strCache>
                <c:ptCount val="11"/>
                <c:pt idx="0">
                  <c:v>Sector</c:v>
                </c:pt>
                <c:pt idx="1">
                  <c:v>Justice and consumers</c:v>
                </c:pt>
                <c:pt idx="2">
                  <c:v>Environment</c:v>
                </c:pt>
                <c:pt idx="3">
                  <c:v>Employment</c:v>
                </c:pt>
                <c:pt idx="4">
                  <c:v>Internal market, industry, entrepreneurship and SMEs</c:v>
                </c:pt>
                <c:pt idx="5">
                  <c:v>Taxation and customs</c:v>
                </c:pt>
                <c:pt idx="6">
                  <c:v>Health and food safety</c:v>
                </c:pt>
                <c:pt idx="7">
                  <c:v>Mobility and transport</c:v>
                </c:pt>
                <c:pt idx="8">
                  <c:v>Financial stability, financial services and Capital Markets Union</c:v>
                </c:pt>
                <c:pt idx="9">
                  <c:v>Migration and home affairs</c:v>
                </c:pt>
                <c:pt idx="10">
                  <c:v>Others</c:v>
                </c:pt>
              </c:strCache>
            </c:strRef>
          </c:cat>
          <c:val>
            <c:numRef>
              <c:f>Blad1!$B$2:$B$12</c:f>
              <c:numCache>
                <c:formatCode>General</c:formatCode>
                <c:ptCount val="11"/>
                <c:pt idx="0">
                  <c:v>0</c:v>
                </c:pt>
                <c:pt idx="1">
                  <c:v>864</c:v>
                </c:pt>
                <c:pt idx="2">
                  <c:v>518</c:v>
                </c:pt>
                <c:pt idx="3">
                  <c:v>484</c:v>
                </c:pt>
                <c:pt idx="4">
                  <c:v>476</c:v>
                </c:pt>
                <c:pt idx="5">
                  <c:v>308</c:v>
                </c:pt>
                <c:pt idx="6">
                  <c:v>198</c:v>
                </c:pt>
                <c:pt idx="7">
                  <c:v>173</c:v>
                </c:pt>
                <c:pt idx="8">
                  <c:v>155</c:v>
                </c:pt>
                <c:pt idx="9">
                  <c:v>100</c:v>
                </c:pt>
                <c:pt idx="10">
                  <c:v>510</c:v>
                </c:pt>
              </c:numCache>
            </c:numRef>
          </c:val>
          <c:extLst xmlns:c16r2="http://schemas.microsoft.com/office/drawing/2015/06/chart">
            <c:ext xmlns:c16="http://schemas.microsoft.com/office/drawing/2014/chart" uri="{C3380CC4-5D6E-409C-BE32-E72D297353CC}">
              <c16:uniqueId val="{00000025-5A5F-4DA8-A58B-54446561C806}"/>
            </c:ext>
          </c:extLst>
        </c:ser>
        <c:dLbls>
          <c:showLegendKey val="0"/>
          <c:showVal val="0"/>
          <c:showCatName val="0"/>
          <c:showSerName val="0"/>
          <c:showPercent val="0"/>
          <c:showBubbleSize val="0"/>
          <c:showLeaderLines val="0"/>
        </c:dLbls>
        <c:firstSliceAng val="148"/>
      </c:pieChart>
      <c:spPr>
        <a:noFill/>
        <a:ln w="25375">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Arial" panose="020B0604020202020204" pitchFamily="34" charset="0"/>
                <a:ea typeface="Verdana" panose="020B0604030504040204" pitchFamily="34" charset="0"/>
                <a:cs typeface="Arial" panose="020B0604020202020204" pitchFamily="34" charset="0"/>
              </a:defRPr>
            </a:pPr>
            <a:r>
              <a:rPr lang="en-GB" sz="1098" b="0">
                <a:solidFill>
                  <a:srgbClr val="002060"/>
                </a:solidFill>
                <a:latin typeface="Arial" panose="020B0604020202020204" pitchFamily="34" charset="0"/>
                <a:cs typeface="Arial" panose="020B0604020202020204" pitchFamily="34" charset="0"/>
              </a:rPr>
              <a:t>Number of EU Pilot files (2013-2017)</a:t>
            </a:r>
          </a:p>
        </c:rich>
      </c:tx>
      <c:overlay val="0"/>
    </c:title>
    <c:autoTitleDeleted val="0"/>
    <c:plotArea>
      <c:layout>
        <c:manualLayout>
          <c:layoutTarget val="inner"/>
          <c:xMode val="edge"/>
          <c:yMode val="edge"/>
          <c:x val="2.5351463470845818E-2"/>
          <c:y val="0.13549114977057131"/>
          <c:w val="0.94930243673101966"/>
          <c:h val="0.74703741203444163"/>
        </c:manualLayout>
      </c:layout>
      <c:lineChart>
        <c:grouping val="standard"/>
        <c:varyColors val="0"/>
        <c:ser>
          <c:idx val="0"/>
          <c:order val="0"/>
          <c:tx>
            <c:strRef>
              <c:f>Blad1!$B$2</c:f>
              <c:strCache>
                <c:ptCount val="1"/>
                <c:pt idx="0">
                  <c:v>Number of EU Pilot files (2013-2017)</c:v>
                </c:pt>
              </c:strCache>
            </c:strRef>
          </c:tx>
          <c:spPr>
            <a:effectLst>
              <a:outerShdw blurRad="40000" dist="23000" dir="5400000" rotWithShape="0">
                <a:srgbClr val="000000">
                  <a:alpha val="35000"/>
                </a:srgbClr>
              </a:outerShdw>
            </a:effectLst>
          </c:spPr>
          <c:dLbls>
            <c:dLbl>
              <c:idx val="0"/>
              <c:layout>
                <c:manualLayout>
                  <c:x val="-6.8011062456787286E-2"/>
                  <c:y val="5.583169890469316E-2"/>
                </c:manualLayout>
              </c:layout>
              <c:tx>
                <c:rich>
                  <a:bodyPr/>
                  <a:lstStyle/>
                  <a:p>
                    <a:r>
                      <a:rPr lang="en-US"/>
                      <a:t>1 502</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D07-4BC8-8820-D512CF78D56E}"/>
                </c:ext>
              </c:extLst>
            </c:dLbl>
            <c:dLbl>
              <c:idx val="1"/>
              <c:layout>
                <c:manualLayout>
                  <c:x val="-7.2395577194934058E-2"/>
                  <c:y val="5.6759632584276173E-2"/>
                </c:manualLayout>
              </c:layout>
              <c:tx>
                <c:rich>
                  <a:bodyPr/>
                  <a:lstStyle/>
                  <a:p>
                    <a:r>
                      <a:rPr lang="en-US"/>
                      <a:t>1 208</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D07-4BC8-8820-D512CF78D56E}"/>
                </c:ext>
              </c:extLst>
            </c:dLbl>
            <c:dLbl>
              <c:idx val="2"/>
              <c:layout>
                <c:manualLayout>
                  <c:x val="-5.3302582117542588E-2"/>
                  <c:y val="8.788275908283825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D07-4BC8-8820-D512CF78D56E}"/>
                </c:ext>
              </c:extLst>
            </c:dLbl>
            <c:dLbl>
              <c:idx val="4"/>
              <c:layout>
                <c:manualLayout>
                  <c:x val="-3.934884666266221E-2"/>
                  <c:y val="4.604314891610061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D07-4BC8-8820-D512CF78D56E}"/>
                </c:ext>
              </c:extLst>
            </c:dLbl>
            <c:spPr>
              <a:noFill/>
              <a:ln w="25379">
                <a:noFill/>
              </a:ln>
            </c:spPr>
            <c:txPr>
              <a:bodyPr/>
              <a:lstStyle/>
              <a:p>
                <a:pPr>
                  <a:defRPr sz="899">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2013</c:v>
                </c:pt>
                <c:pt idx="1">
                  <c:v>2014</c:v>
                </c:pt>
                <c:pt idx="2">
                  <c:v>2015</c:v>
                </c:pt>
                <c:pt idx="3">
                  <c:v>2016</c:v>
                </c:pt>
                <c:pt idx="4">
                  <c:v>2017</c:v>
                </c:pt>
              </c:numCache>
            </c:numRef>
          </c:cat>
          <c:val>
            <c:numRef>
              <c:f>Blad1!$B$3:$B$7</c:f>
              <c:numCache>
                <c:formatCode>General</c:formatCode>
                <c:ptCount val="5"/>
                <c:pt idx="0">
                  <c:v>1502</c:v>
                </c:pt>
                <c:pt idx="1">
                  <c:v>1208</c:v>
                </c:pt>
                <c:pt idx="2">
                  <c:v>881</c:v>
                </c:pt>
                <c:pt idx="3">
                  <c:v>790</c:v>
                </c:pt>
                <c:pt idx="4">
                  <c:v>178</c:v>
                </c:pt>
              </c:numCache>
            </c:numRef>
          </c:val>
          <c:smooth val="0"/>
          <c:extLst xmlns:c16r2="http://schemas.microsoft.com/office/drawing/2015/06/chart">
            <c:ext xmlns:c16="http://schemas.microsoft.com/office/drawing/2014/chart" uri="{C3380CC4-5D6E-409C-BE32-E72D297353CC}">
              <c16:uniqueId val="{00000004-3D07-4BC8-8820-D512CF78D56E}"/>
            </c:ext>
          </c:extLst>
        </c:ser>
        <c:dLbls>
          <c:showLegendKey val="0"/>
          <c:showVal val="0"/>
          <c:showCatName val="0"/>
          <c:showSerName val="0"/>
          <c:showPercent val="0"/>
          <c:showBubbleSize val="0"/>
        </c:dLbls>
        <c:marker val="1"/>
        <c:smooth val="0"/>
        <c:axId val="342485248"/>
        <c:axId val="348103424"/>
      </c:lineChart>
      <c:catAx>
        <c:axId val="342485248"/>
        <c:scaling>
          <c:orientation val="minMax"/>
        </c:scaling>
        <c:delete val="0"/>
        <c:axPos val="b"/>
        <c:numFmt formatCode="General" sourceLinked="1"/>
        <c:majorTickMark val="none"/>
        <c:minorTickMark val="none"/>
        <c:tickLblPos val="nextTo"/>
        <c:spPr>
          <a:noFill/>
          <a:ln w="1267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348103424"/>
        <c:crosses val="autoZero"/>
        <c:auto val="1"/>
        <c:lblAlgn val="ctr"/>
        <c:lblOffset val="100"/>
        <c:noMultiLvlLbl val="0"/>
      </c:catAx>
      <c:valAx>
        <c:axId val="348103424"/>
        <c:scaling>
          <c:orientation val="minMax"/>
          <c:min val="50"/>
        </c:scaling>
        <c:delete val="1"/>
        <c:axPos val="l"/>
        <c:majorGridlines>
          <c:spPr>
            <a:ln w="9509" cap="flat" cmpd="sng" algn="ctr">
              <a:solidFill>
                <a:schemeClr val="tx1">
                  <a:lumMod val="15000"/>
                  <a:lumOff val="85000"/>
                </a:schemeClr>
              </a:solidFill>
              <a:round/>
            </a:ln>
            <a:effectLst/>
          </c:spPr>
        </c:majorGridlines>
        <c:numFmt formatCode="General" sourceLinked="1"/>
        <c:majorTickMark val="out"/>
        <c:minorTickMark val="none"/>
        <c:tickLblPos val="none"/>
        <c:crossAx val="342485248"/>
        <c:crosses val="autoZero"/>
        <c:crossBetween val="between"/>
      </c:valAx>
      <c:spPr>
        <a:noFill/>
        <a:ln w="25379">
          <a:noFill/>
        </a:ln>
      </c:spPr>
    </c:plotArea>
    <c:plotVisOnly val="1"/>
    <c:dispBlanksAs val="gap"/>
    <c:showDLblsOverMax val="0"/>
  </c:chart>
  <c:spPr>
    <a:solidFill>
      <a:schemeClr val="bg1"/>
    </a:solidFill>
    <a:ln w="950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mn-lt"/>
                <a:ea typeface="+mn-ea"/>
                <a:cs typeface="+mn-cs"/>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EU Pilot files opened in 2017: main policy areas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spPr>
        <a:noFill/>
        <a:ln w="25378">
          <a:noFill/>
        </a:ln>
      </c:spPr>
    </c:title>
    <c:autoTitleDeleted val="0"/>
    <c:plotArea>
      <c:layout/>
      <c:pieChart>
        <c:varyColors val="1"/>
        <c:ser>
          <c:idx val="0"/>
          <c:order val="0"/>
          <c:tx>
            <c:strRef>
              <c:f>Blad1!$B$1</c:f>
              <c:strCache>
                <c:ptCount val="1"/>
                <c:pt idx="0">
                  <c:v>XXX EU Pilot files opened in 2017</c:v>
                </c:pt>
              </c:strCache>
            </c:strRef>
          </c:tx>
          <c:spPr>
            <a:solidFill>
              <a:schemeClr val="accent1"/>
            </a:solidFill>
            <a:scene3d>
              <a:camera prst="orthographicFront"/>
              <a:lightRig rig="threePt" dir="t"/>
            </a:scene3d>
            <a:sp3d>
              <a:bevelT w="63500" h="25400"/>
            </a:sp3d>
          </c:spPr>
          <c:dPt>
            <c:idx val="0"/>
            <c:bubble3D val="0"/>
            <c:spPr>
              <a:solidFill>
                <a:schemeClr val="accent1"/>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E18B-492E-B2A6-3960BECE7F05}"/>
              </c:ext>
            </c:extLst>
          </c:dPt>
          <c:dPt>
            <c:idx val="1"/>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E18B-492E-B2A6-3960BECE7F05}"/>
              </c:ext>
            </c:extLst>
          </c:dPt>
          <c:dPt>
            <c:idx val="2"/>
            <c:bubble3D val="0"/>
            <c:spPr>
              <a:solidFill>
                <a:srgbClr val="E75113"/>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E18B-492E-B2A6-3960BECE7F05}"/>
              </c:ext>
            </c:extLst>
          </c:dPt>
          <c:dPt>
            <c:idx val="3"/>
            <c:bubble3D val="0"/>
            <c:spPr>
              <a:solidFill>
                <a:srgbClr val="95C154"/>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E18B-492E-B2A6-3960BECE7F05}"/>
              </c:ext>
            </c:extLst>
          </c:dPt>
          <c:dPt>
            <c:idx val="4"/>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E18B-492E-B2A6-3960BECE7F05}"/>
              </c:ext>
            </c:extLst>
          </c:dPt>
          <c:dPt>
            <c:idx val="5"/>
            <c:bubble3D val="0"/>
            <c:spPr>
              <a:solidFill>
                <a:srgbClr val="000099"/>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E18B-492E-B2A6-3960BECE7F05}"/>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8B-492E-B2A6-3960BECE7F05}"/>
                </c:ext>
              </c:extLst>
            </c:dLbl>
            <c:dLbl>
              <c:idx val="1"/>
              <c:layout>
                <c:manualLayout>
                  <c:x val="-5.205289548344029E-2"/>
                  <c:y val="-0.39755774278215217"/>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18B-492E-B2A6-3960BECE7F05}"/>
                </c:ext>
              </c:extLst>
            </c:dLbl>
            <c:dLbl>
              <c:idx val="2"/>
              <c:layout>
                <c:manualLayout>
                  <c:x val="-7.5948978198534384E-2"/>
                  <c:y val="2.927132545931758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E18B-492E-B2A6-3960BECE7F05}"/>
                </c:ext>
              </c:extLst>
            </c:dLbl>
            <c:dLbl>
              <c:idx val="3"/>
              <c:layout>
                <c:manualLayout>
                  <c:x val="-2.9864177021224948E-2"/>
                  <c:y val="-5.371555118110236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E18B-492E-B2A6-3960BECE7F05}"/>
                </c:ext>
              </c:extLst>
            </c:dLbl>
            <c:dLbl>
              <c:idx val="4"/>
              <c:layout>
                <c:manualLayout>
                  <c:x val="9.1924203116228974E-3"/>
                  <c:y val="-0.1209580052493438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E18B-492E-B2A6-3960BECE7F05}"/>
                </c:ext>
              </c:extLst>
            </c:dLbl>
            <c:dLbl>
              <c:idx val="5"/>
              <c:layout>
                <c:manualLayout>
                  <c:x val="2.81496062992126E-2"/>
                  <c:y val="-9.0879265091863522E-5"/>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E18B-492E-B2A6-3960BECE7F05}"/>
                </c:ext>
              </c:extLst>
            </c:dLbl>
            <c:dLbl>
              <c:idx val="6"/>
              <c:layout>
                <c:manualLayout>
                  <c:x val="-0.13075811175776941"/>
                  <c:y val="-4.497485961442389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18B-492E-B2A6-3960BECE7F05}"/>
                </c:ext>
              </c:extLst>
            </c:dLbl>
            <c:spPr>
              <a:noFill/>
              <a:ln w="25378">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Blad1!$A$2:$A$7</c:f>
              <c:strCache>
                <c:ptCount val="6"/>
                <c:pt idx="0">
                  <c:v>Sector</c:v>
                </c:pt>
                <c:pt idx="1">
                  <c:v>Environment</c:v>
                </c:pt>
                <c:pt idx="2">
                  <c:v>Energy</c:v>
                </c:pt>
                <c:pt idx="3">
                  <c:v>Climate action</c:v>
                </c:pt>
                <c:pt idx="4">
                  <c:v>Taxation and customs</c:v>
                </c:pt>
                <c:pt idx="5">
                  <c:v>Internal market, industry, entrepreneurship and SMEs</c:v>
                </c:pt>
              </c:strCache>
            </c:strRef>
          </c:cat>
          <c:val>
            <c:numRef>
              <c:f>Blad1!$B$2:$B$7</c:f>
              <c:numCache>
                <c:formatCode>General</c:formatCode>
                <c:ptCount val="6"/>
                <c:pt idx="0">
                  <c:v>0</c:v>
                </c:pt>
                <c:pt idx="1">
                  <c:v>63</c:v>
                </c:pt>
                <c:pt idx="2">
                  <c:v>33</c:v>
                </c:pt>
                <c:pt idx="3">
                  <c:v>24</c:v>
                </c:pt>
                <c:pt idx="4">
                  <c:v>18</c:v>
                </c:pt>
                <c:pt idx="5">
                  <c:v>9</c:v>
                </c:pt>
              </c:numCache>
            </c:numRef>
          </c:val>
          <c:extLst xmlns:c16r2="http://schemas.microsoft.com/office/drawing/2015/06/chart">
            <c:ext xmlns:c16="http://schemas.microsoft.com/office/drawing/2014/chart" uri="{C3380CC4-5D6E-409C-BE32-E72D297353CC}">
              <c16:uniqueId val="{0000000D-E18B-492E-B2A6-3960BECE7F05}"/>
            </c:ext>
          </c:extLst>
        </c:ser>
        <c:dLbls>
          <c:showLegendKey val="0"/>
          <c:showVal val="0"/>
          <c:showCatName val="0"/>
          <c:showSerName val="0"/>
          <c:showPercent val="0"/>
          <c:showBubbleSize val="0"/>
          <c:showLeaderLines val="0"/>
        </c:dLbls>
        <c:firstSliceAng val="156"/>
      </c:pieChart>
      <c:spPr>
        <a:noFill/>
        <a:ln w="25392">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EU Pilot files:</a:t>
            </a:r>
            <a:r>
              <a:rPr lang="en-GB"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 EU average resolution rate</a:t>
            </a:r>
            <a:r>
              <a:rPr lang="en-GB" sz="1100" b="0" i="0" u="none" strike="noStrike" baseline="0">
                <a:solidFill>
                  <a:srgbClr val="002060"/>
                </a:solidFill>
                <a:effectLst/>
                <a:latin typeface="Arial" panose="020B0604020202020204" pitchFamily="34" charset="0"/>
                <a:cs typeface="Arial" panose="020B0604020202020204" pitchFamily="34" charset="0"/>
              </a:rPr>
              <a:t> </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(2013-2017)</a:t>
            </a:r>
          </a:p>
        </c:rich>
      </c:tx>
      <c:overlay val="0"/>
    </c:title>
    <c:autoTitleDeleted val="0"/>
    <c:plotArea>
      <c:layout>
        <c:manualLayout>
          <c:layoutTarget val="inner"/>
          <c:xMode val="edge"/>
          <c:yMode val="edge"/>
          <c:x val="2.4458847988259754E-2"/>
          <c:y val="0.18108707709373267"/>
          <c:w val="0.94623655913978499"/>
          <c:h val="0.6975083056478405"/>
        </c:manualLayout>
      </c:layout>
      <c:lineChart>
        <c:grouping val="standard"/>
        <c:varyColors val="0"/>
        <c:ser>
          <c:idx val="0"/>
          <c:order val="0"/>
          <c:tx>
            <c:strRef>
              <c:f>Blad1!$B$2</c:f>
              <c:strCache>
                <c:ptCount val="1"/>
                <c:pt idx="0">
                  <c:v>Percentage</c:v>
                </c:pt>
              </c:strCache>
            </c:strRef>
          </c:tx>
          <c:spPr>
            <a:ln>
              <a:solidFill>
                <a:srgbClr val="0070C0"/>
              </a:solidFill>
            </a:ln>
            <a:effectLst>
              <a:outerShdw blurRad="40000" dist="23000" dir="5400000" rotWithShape="0">
                <a:srgbClr val="000000">
                  <a:alpha val="35000"/>
                </a:srgbClr>
              </a:outerShdw>
            </a:effectLst>
          </c:spPr>
          <c:marker>
            <c:spPr>
              <a:solidFill>
                <a:srgbClr val="0070C0"/>
              </a:solidFill>
              <a:ln>
                <a:solidFill>
                  <a:srgbClr val="0070C0"/>
                </a:solidFill>
              </a:ln>
            </c:spPr>
          </c:marker>
          <c:dLbls>
            <c:dLbl>
              <c:idx val="0"/>
              <c:layout>
                <c:manualLayout>
                  <c:x val="-4.9328292745917879E-2"/>
                  <c:y val="6.451637064738870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ABB-4054-A863-419DC595C861}"/>
                </c:ext>
              </c:extLst>
            </c:dLbl>
            <c:dLbl>
              <c:idx val="1"/>
              <c:layout>
                <c:manualLayout>
                  <c:x val="-5.0282004223156318E-2"/>
                  <c:y val="7.3966244725738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ABB-4054-A863-419DC595C861}"/>
                </c:ext>
              </c:extLst>
            </c:dLbl>
            <c:dLbl>
              <c:idx val="2"/>
              <c:layout>
                <c:manualLayout>
                  <c:x val="-4.9070611923784688E-2"/>
                  <c:y val="6.394897393233499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ABB-4054-A863-419DC595C861}"/>
                </c:ext>
              </c:extLst>
            </c:dLbl>
            <c:dLbl>
              <c:idx val="3"/>
              <c:layout>
                <c:manualLayout>
                  <c:x val="-4.9070573226804706E-2"/>
                  <c:y val="7.5078260566266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AFC-4E43-90D0-B1A5CA3314B2}"/>
                </c:ext>
              </c:extLst>
            </c:dLbl>
            <c:spPr>
              <a:noFill/>
              <a:ln w="2537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2013</c:v>
                </c:pt>
                <c:pt idx="1">
                  <c:v>2014</c:v>
                </c:pt>
                <c:pt idx="2">
                  <c:v>2015</c:v>
                </c:pt>
                <c:pt idx="3">
                  <c:v>2016</c:v>
                </c:pt>
                <c:pt idx="4">
                  <c:v>2017</c:v>
                </c:pt>
              </c:numCache>
            </c:numRef>
          </c:cat>
          <c:val>
            <c:numRef>
              <c:f>Blad1!$B$3:$B$7</c:f>
              <c:numCache>
                <c:formatCode>0%</c:formatCode>
                <c:ptCount val="5"/>
                <c:pt idx="0">
                  <c:v>0.7</c:v>
                </c:pt>
                <c:pt idx="1">
                  <c:v>0.75</c:v>
                </c:pt>
                <c:pt idx="2">
                  <c:v>0.75</c:v>
                </c:pt>
                <c:pt idx="3">
                  <c:v>0.72</c:v>
                </c:pt>
                <c:pt idx="4">
                  <c:v>0.77</c:v>
                </c:pt>
              </c:numCache>
            </c:numRef>
          </c:val>
          <c:smooth val="0"/>
          <c:extLst xmlns:c16r2="http://schemas.microsoft.com/office/drawing/2015/06/chart">
            <c:ext xmlns:c16="http://schemas.microsoft.com/office/drawing/2014/chart" uri="{C3380CC4-5D6E-409C-BE32-E72D297353CC}">
              <c16:uniqueId val="{00000002-EABB-4054-A863-419DC595C861}"/>
            </c:ext>
          </c:extLst>
        </c:ser>
        <c:dLbls>
          <c:showLegendKey val="0"/>
          <c:showVal val="0"/>
          <c:showCatName val="0"/>
          <c:showSerName val="0"/>
          <c:showPercent val="0"/>
          <c:showBubbleSize val="0"/>
        </c:dLbls>
        <c:marker val="1"/>
        <c:smooth val="0"/>
        <c:axId val="365647360"/>
        <c:axId val="365649280"/>
      </c:lineChart>
      <c:catAx>
        <c:axId val="365647360"/>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365649280"/>
        <c:crosses val="autoZero"/>
        <c:auto val="1"/>
        <c:lblAlgn val="ctr"/>
        <c:lblOffset val="100"/>
        <c:noMultiLvlLbl val="0"/>
      </c:catAx>
      <c:valAx>
        <c:axId val="365649280"/>
        <c:scaling>
          <c:orientation val="minMax"/>
          <c:max val="0.8"/>
          <c:min val="0.55000000000000004"/>
        </c:scaling>
        <c:delete val="1"/>
        <c:axPos val="l"/>
        <c:majorGridlines>
          <c:spPr>
            <a:ln w="9518" cap="flat" cmpd="sng" algn="ctr">
              <a:solidFill>
                <a:schemeClr val="tx1">
                  <a:lumMod val="15000"/>
                  <a:lumOff val="85000"/>
                </a:schemeClr>
              </a:solidFill>
              <a:round/>
            </a:ln>
            <a:effectLst/>
          </c:spPr>
        </c:majorGridlines>
        <c:numFmt formatCode="0%" sourceLinked="1"/>
        <c:majorTickMark val="out"/>
        <c:minorTickMark val="none"/>
        <c:tickLblPos val="nextTo"/>
        <c:crossAx val="365647360"/>
        <c:crosses val="autoZero"/>
        <c:crossBetween val="between"/>
        <c:majorUnit val="0.1"/>
      </c:valAx>
      <c:spPr>
        <a:noFill/>
        <a:ln w="25372">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at </a:t>
            </a:r>
          </a:p>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31 December 2017</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D8C-4B0A-83C7-132A967E6237}"/>
                </c:ext>
              </c:extLst>
            </c:dLbl>
            <c:dLbl>
              <c:idx val="2"/>
              <c:layout>
                <c:manualLayout>
                  <c:x val="1.1009357273100418E-17"/>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D8C-4B0A-83C7-132A967E6237}"/>
                </c:ext>
              </c:extLst>
            </c:dLbl>
            <c:dLbl>
              <c:idx val="3"/>
              <c:layout>
                <c:manualLayout>
                  <c:x val="0"/>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D8C-4B0A-83C7-132A967E6237}"/>
                </c:ext>
              </c:extLst>
            </c:dLbl>
            <c:dLbl>
              <c:idx val="6"/>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D8C-4B0A-83C7-132A967E6237}"/>
                </c:ext>
              </c:extLst>
            </c:dLbl>
            <c:dLbl>
              <c:idx val="7"/>
              <c:layout>
                <c:manualLayout>
                  <c:x val="-2.402069335447658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4D8C-4B0A-83C7-132A967E6237}"/>
                </c:ext>
              </c:extLst>
            </c:dLbl>
            <c:dLbl>
              <c:idx val="10"/>
              <c:layout>
                <c:manualLayout>
                  <c:x val="4.4037429092401671E-17"/>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D8C-4B0A-83C7-132A967E6237}"/>
                </c:ext>
              </c:extLst>
            </c:dLbl>
            <c:dLbl>
              <c:idx val="13"/>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4D8C-4B0A-83C7-132A967E6237}"/>
                </c:ext>
              </c:extLst>
            </c:dLbl>
            <c:dLbl>
              <c:idx val="17"/>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D8C-4B0A-83C7-132A967E6237}"/>
                </c:ext>
              </c:extLst>
            </c:dLbl>
            <c:dLbl>
              <c:idx val="19"/>
              <c:layout>
                <c:manualLayout>
                  <c:x val="-8.8074858184803343E-17"/>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4D8C-4B0A-83C7-132A967E6237}"/>
                </c:ext>
              </c:extLst>
            </c:dLbl>
            <c:dLbl>
              <c:idx val="20"/>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D8C-4B0A-83C7-132A967E6237}"/>
                </c:ext>
              </c:extLst>
            </c:dLbl>
            <c:dLbl>
              <c:idx val="22"/>
              <c:layout>
                <c:manualLayout>
                  <c:x val="-2.4020693354476585E-3"/>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4D8C-4B0A-83C7-132A967E6237}"/>
                </c:ext>
              </c:extLst>
            </c:dLbl>
            <c:dLbl>
              <c:idx val="23"/>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D8C-4B0A-83C7-132A967E6237}"/>
                </c:ext>
              </c:extLst>
            </c:dLbl>
            <c:dLbl>
              <c:idx val="24"/>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4D8C-4B0A-83C7-132A967E6237}"/>
                </c:ext>
              </c:extLst>
            </c:dLbl>
            <c:spPr>
              <a:noFill/>
              <a:ln w="25399">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IT</c:v>
                </c:pt>
                <c:pt idx="1">
                  <c:v>NL</c:v>
                </c:pt>
                <c:pt idx="2">
                  <c:v>LT</c:v>
                </c:pt>
                <c:pt idx="3">
                  <c:v>EE</c:v>
                </c:pt>
                <c:pt idx="4">
                  <c:v>DK</c:v>
                </c:pt>
                <c:pt idx="5">
                  <c:v>SE</c:v>
                </c:pt>
                <c:pt idx="6">
                  <c:v>MT</c:v>
                </c:pt>
                <c:pt idx="7">
                  <c:v>FR</c:v>
                </c:pt>
                <c:pt idx="8">
                  <c:v>SK</c:v>
                </c:pt>
                <c:pt idx="9">
                  <c:v>LV</c:v>
                </c:pt>
                <c:pt idx="10">
                  <c:v>DE</c:v>
                </c:pt>
                <c:pt idx="11">
                  <c:v>HU</c:v>
                </c:pt>
                <c:pt idx="12">
                  <c:v>LU</c:v>
                </c:pt>
                <c:pt idx="13">
                  <c:v>FI</c:v>
                </c:pt>
                <c:pt idx="14">
                  <c:v>PL</c:v>
                </c:pt>
                <c:pt idx="15">
                  <c:v>ES</c:v>
                </c:pt>
                <c:pt idx="16">
                  <c:v>AT</c:v>
                </c:pt>
                <c:pt idx="17">
                  <c:v>BG</c:v>
                </c:pt>
                <c:pt idx="18">
                  <c:v>IE</c:v>
                </c:pt>
                <c:pt idx="19">
                  <c:v>RO</c:v>
                </c:pt>
                <c:pt idx="20">
                  <c:v>SI</c:v>
                </c:pt>
                <c:pt idx="21">
                  <c:v>BE</c:v>
                </c:pt>
                <c:pt idx="22">
                  <c:v>EL</c:v>
                </c:pt>
                <c:pt idx="23">
                  <c:v>CZ</c:v>
                </c:pt>
                <c:pt idx="24">
                  <c:v>UK</c:v>
                </c:pt>
                <c:pt idx="25">
                  <c:v>HR</c:v>
                </c:pt>
                <c:pt idx="26">
                  <c:v>CY</c:v>
                </c:pt>
                <c:pt idx="27">
                  <c:v>PT</c:v>
                </c:pt>
              </c:strCache>
            </c:strRef>
          </c:cat>
          <c:val>
            <c:numRef>
              <c:f>Blad1!$B$3:$B$30</c:f>
              <c:numCache>
                <c:formatCode>General</c:formatCode>
                <c:ptCount val="28"/>
                <c:pt idx="0">
                  <c:v>12</c:v>
                </c:pt>
                <c:pt idx="1">
                  <c:v>13</c:v>
                </c:pt>
                <c:pt idx="2">
                  <c:v>14</c:v>
                </c:pt>
                <c:pt idx="3">
                  <c:v>17</c:v>
                </c:pt>
                <c:pt idx="4">
                  <c:v>19</c:v>
                </c:pt>
                <c:pt idx="5">
                  <c:v>19</c:v>
                </c:pt>
                <c:pt idx="6">
                  <c:v>20</c:v>
                </c:pt>
                <c:pt idx="7">
                  <c:v>21</c:v>
                </c:pt>
                <c:pt idx="8">
                  <c:v>21</c:v>
                </c:pt>
                <c:pt idx="9">
                  <c:v>22</c:v>
                </c:pt>
                <c:pt idx="10">
                  <c:v>23</c:v>
                </c:pt>
                <c:pt idx="11">
                  <c:v>24</c:v>
                </c:pt>
                <c:pt idx="12">
                  <c:v>24</c:v>
                </c:pt>
                <c:pt idx="13">
                  <c:v>26</c:v>
                </c:pt>
                <c:pt idx="14">
                  <c:v>26</c:v>
                </c:pt>
                <c:pt idx="15">
                  <c:v>27</c:v>
                </c:pt>
                <c:pt idx="16">
                  <c:v>28</c:v>
                </c:pt>
                <c:pt idx="17">
                  <c:v>29</c:v>
                </c:pt>
                <c:pt idx="18">
                  <c:v>29</c:v>
                </c:pt>
                <c:pt idx="19">
                  <c:v>29</c:v>
                </c:pt>
                <c:pt idx="20">
                  <c:v>29</c:v>
                </c:pt>
                <c:pt idx="21">
                  <c:v>30</c:v>
                </c:pt>
                <c:pt idx="22">
                  <c:v>30</c:v>
                </c:pt>
                <c:pt idx="23">
                  <c:v>32</c:v>
                </c:pt>
                <c:pt idx="24">
                  <c:v>32</c:v>
                </c:pt>
                <c:pt idx="25">
                  <c:v>33</c:v>
                </c:pt>
                <c:pt idx="26">
                  <c:v>41</c:v>
                </c:pt>
                <c:pt idx="27">
                  <c:v>46</c:v>
                </c:pt>
              </c:numCache>
            </c:numRef>
          </c:val>
          <c:extLst xmlns:c16r2="http://schemas.microsoft.com/office/drawing/2015/06/chart">
            <c:ext xmlns:c16="http://schemas.microsoft.com/office/drawing/2014/chart" uri="{C3380CC4-5D6E-409C-BE32-E72D297353CC}">
              <c16:uniqueId val="{0000000D-4D8C-4B0A-83C7-132A967E6237}"/>
            </c:ext>
          </c:extLst>
        </c:ser>
        <c:dLbls>
          <c:showLegendKey val="0"/>
          <c:showVal val="0"/>
          <c:showCatName val="0"/>
          <c:showSerName val="0"/>
          <c:showPercent val="0"/>
          <c:showBubbleSize val="0"/>
        </c:dLbls>
        <c:gapWidth val="75"/>
        <c:overlap val="-25"/>
        <c:axId val="381534592"/>
        <c:axId val="381536512"/>
      </c:barChart>
      <c:catAx>
        <c:axId val="381534592"/>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381536512"/>
        <c:crosses val="autoZero"/>
        <c:auto val="1"/>
        <c:lblAlgn val="ctr"/>
        <c:lblOffset val="100"/>
        <c:noMultiLvlLbl val="0"/>
      </c:catAx>
      <c:valAx>
        <c:axId val="381536512"/>
        <c:scaling>
          <c:orientation val="minMax"/>
          <c:min val="10"/>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381534592"/>
        <c:crosses val="autoZero"/>
        <c:crossBetween val="between"/>
      </c:valAx>
      <c:spPr>
        <a:noFill/>
        <a:ln w="2539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8"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8"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opened in 2017: main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670040330324564"/>
          <c:y val="2.9617208463467208E-2"/>
        </c:manualLayout>
      </c:layout>
      <c:overlay val="0"/>
      <c:spPr>
        <a:noFill/>
        <a:ln w="25349">
          <a:noFill/>
        </a:ln>
      </c:spPr>
    </c:title>
    <c:autoTitleDeleted val="0"/>
    <c:plotArea>
      <c:layout>
        <c:manualLayout>
          <c:layoutTarget val="inner"/>
          <c:xMode val="edge"/>
          <c:yMode val="edge"/>
          <c:x val="0.30577238996204609"/>
          <c:y val="0.23151310262802305"/>
          <c:w val="0.37518046783305464"/>
          <c:h val="0.67704607687942919"/>
        </c:manualLayout>
      </c:layout>
      <c:pieChart>
        <c:varyColors val="1"/>
        <c:ser>
          <c:idx val="0"/>
          <c:order val="0"/>
          <c:tx>
            <c:strRef>
              <c:f>Blad1!$B$1</c:f>
              <c:strCache>
                <c:ptCount val="1"/>
                <c:pt idx="0">
                  <c:v>xxx newly opened infringement cases in 2016</c:v>
                </c:pt>
              </c:strCache>
            </c:strRef>
          </c:tx>
          <c:spPr>
            <a:scene3d>
              <a:camera prst="orthographicFront"/>
              <a:lightRig rig="threePt" dir="t"/>
            </a:scene3d>
            <a:sp3d>
              <a:bevelT w="63500" h="25400"/>
            </a:sp3d>
          </c:spPr>
          <c:dPt>
            <c:idx val="0"/>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4EB8-4AFE-ACF6-750CD4C9F71C}"/>
              </c:ext>
            </c:extLst>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4EB8-4AFE-ACF6-750CD4C9F71C}"/>
              </c:ext>
            </c:extLst>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4EB8-4AFE-ACF6-750CD4C9F71C}"/>
              </c:ext>
            </c:extLst>
          </c:dPt>
          <c:dPt>
            <c:idx val="3"/>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4EB8-4AFE-ACF6-750CD4C9F71C}"/>
              </c:ext>
            </c:extLst>
          </c:dPt>
          <c:dPt>
            <c:idx val="4"/>
            <c:bubble3D val="0"/>
            <c:spPr>
              <a:solidFill>
                <a:srgbClr val="99663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4EB8-4AFE-ACF6-750CD4C9F71C}"/>
              </c:ext>
            </c:extLst>
          </c:dPt>
          <c:dPt>
            <c:idx val="5"/>
            <c:bubble3D val="0"/>
            <c:spPr>
              <a:solidFill>
                <a:srgbClr val="000099"/>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4EB8-4AFE-ACF6-750CD4C9F71C}"/>
              </c:ext>
            </c:extLst>
          </c:dPt>
          <c:dPt>
            <c:idx val="6"/>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C-4EB8-4AFE-ACF6-750CD4C9F71C}"/>
              </c:ext>
            </c:extLst>
          </c:dPt>
          <c:dLbls>
            <c:dLbl>
              <c:idx val="0"/>
              <c:layout>
                <c:manualLayout>
                  <c:x val="-0.14915387375139258"/>
                  <c:y val="-2.365536561815783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EB8-4AFE-ACF6-750CD4C9F71C}"/>
                </c:ext>
              </c:extLst>
            </c:dLbl>
            <c:dLbl>
              <c:idx val="1"/>
              <c:layout>
                <c:manualLayout>
                  <c:x val="-2.3452482108801149E-2"/>
                  <c:y val="-3.1179878421933008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EB8-4AFE-ACF6-750CD4C9F71C}"/>
                </c:ext>
              </c:extLst>
            </c:dLbl>
            <c:dLbl>
              <c:idx val="2"/>
              <c:layout>
                <c:manualLayout>
                  <c:x val="5.1649389150097242E-3"/>
                  <c:y val="9.046074551561883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EB8-4AFE-ACF6-750CD4C9F71C}"/>
                </c:ext>
              </c:extLst>
            </c:dLbl>
            <c:dLbl>
              <c:idx val="3"/>
              <c:layout>
                <c:manualLayout>
                  <c:x val="9.1731339337978437E-4"/>
                  <c:y val="2.4383610079828106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EB8-4AFE-ACF6-750CD4C9F71C}"/>
                </c:ext>
              </c:extLst>
            </c:dLbl>
            <c:dLbl>
              <c:idx val="4"/>
              <c:layout>
                <c:manualLayout>
                  <c:x val="-1.4445892105213467E-2"/>
                  <c:y val="5.18134715025906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EB8-4AFE-ACF6-750CD4C9F71C}"/>
                </c:ext>
              </c:extLst>
            </c:dLbl>
            <c:dLbl>
              <c:idx val="5"/>
              <c:layout>
                <c:manualLayout>
                  <c:x val="7.1940557789988485E-3"/>
                  <c:y val="0.1943005181347150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EB8-4AFE-ACF6-750CD4C9F71C}"/>
                </c:ext>
              </c:extLst>
            </c:dLbl>
            <c:dLbl>
              <c:idx val="6"/>
              <c:layout>
                <c:manualLayout>
                  <c:x val="-7.1944334296342458E-3"/>
                  <c:y val="6.9084628670120898E-2"/>
                </c:manualLayout>
              </c:layout>
              <c:dLblPos val="bestFit"/>
              <c:showLegendKey val="1"/>
              <c:showVal val="1"/>
              <c:showCatName val="1"/>
              <c:showSerName val="0"/>
              <c:showPercent val="0"/>
              <c:showBubbleSize val="0"/>
              <c:separator>
</c:separator>
            </c:dLbl>
            <c:spPr>
              <a:noFill/>
              <a:ln w="25349">
                <a:noFill/>
              </a:ln>
            </c:spPr>
            <c:txPr>
              <a:bodyPr rot="0" spcFirstLastPara="1" vertOverflow="ellipsis" vert="horz" wrap="square" lIns="38100" tIns="19050" rIns="38100" bIns="19050" anchor="ctr" anchorCtr="1">
                <a:spAutoFit/>
              </a:bodyPr>
              <a:lstStyle/>
              <a:p>
                <a:pPr>
                  <a:defRPr sz="848"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Blad1!$A$2:$A$8</c:f>
              <c:strCache>
                <c:ptCount val="7"/>
                <c:pt idx="0">
                  <c:v>Environment</c:v>
                </c:pt>
                <c:pt idx="1">
                  <c:v>Mobility and Transport</c:v>
                </c:pt>
                <c:pt idx="2">
                  <c:v>Financial stability, financial services and Capital Markets Union</c:v>
                </c:pt>
                <c:pt idx="3">
                  <c:v>Health and food safety</c:v>
                </c:pt>
                <c:pt idx="4">
                  <c:v>Justice and consumers</c:v>
                </c:pt>
                <c:pt idx="5">
                  <c:v>Internal market, industry, entrepreneurship and SMEs</c:v>
                </c:pt>
                <c:pt idx="6">
                  <c:v>Other</c:v>
                </c:pt>
              </c:strCache>
            </c:strRef>
          </c:cat>
          <c:val>
            <c:numRef>
              <c:f>Blad1!$B$2:$B$8</c:f>
              <c:numCache>
                <c:formatCode>General</c:formatCode>
                <c:ptCount val="7"/>
                <c:pt idx="0">
                  <c:v>173</c:v>
                </c:pt>
                <c:pt idx="1">
                  <c:v>155</c:v>
                </c:pt>
                <c:pt idx="2">
                  <c:v>84</c:v>
                </c:pt>
                <c:pt idx="3">
                  <c:v>62</c:v>
                </c:pt>
                <c:pt idx="4">
                  <c:v>48</c:v>
                </c:pt>
                <c:pt idx="5">
                  <c:v>29</c:v>
                </c:pt>
                <c:pt idx="6" formatCode="0">
                  <c:v>165</c:v>
                </c:pt>
              </c:numCache>
            </c:numRef>
          </c:val>
          <c:extLst xmlns:c16r2="http://schemas.microsoft.com/office/drawing/2015/06/chart">
            <c:ext xmlns:c16="http://schemas.microsoft.com/office/drawing/2014/chart" uri="{C3380CC4-5D6E-409C-BE32-E72D297353CC}">
              <c16:uniqueId val="{0000000D-4EB8-4AFE-ACF6-750CD4C9F71C}"/>
            </c:ext>
          </c:extLst>
        </c:ser>
        <c:dLbls>
          <c:showLegendKey val="0"/>
          <c:showVal val="0"/>
          <c:showCatName val="0"/>
          <c:showSerName val="0"/>
          <c:showPercent val="0"/>
          <c:showBubbleSize val="0"/>
          <c:showLeaderLines val="0"/>
        </c:dLbls>
        <c:firstSliceAng val="142"/>
      </c:pieChart>
      <c:spPr>
        <a:noFill/>
        <a:ln w="25351">
          <a:noFill/>
        </a:ln>
      </c:spPr>
    </c:plotArea>
    <c:plotVisOnly val="1"/>
    <c:dispBlanksAs val="gap"/>
    <c:showDLblsOverMax val="0"/>
  </c:chart>
  <c:spPr>
    <a:solidFill>
      <a:schemeClr val="bg1"/>
    </a:solidFill>
    <a:ln w="950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9">
                <a:effectLst/>
                <a:latin typeface="Arial" panose="020B0604020202020204" pitchFamily="34" charset="0"/>
                <a:cs typeface="Arial" panose="020B0604020202020204" pitchFamily="34" charset="0"/>
              </a:rPr>
              <a:t>Reasoned opinions sent to Member States in 2017</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98">
                <a:noFill/>
              </a:ln>
            </c:spPr>
            <c:txPr>
              <a:bodyPr/>
              <a:lstStyle/>
              <a:p>
                <a:pPr>
                  <a:defRPr sz="799">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LT</c:v>
                </c:pt>
                <c:pt idx="1">
                  <c:v>SK</c:v>
                </c:pt>
                <c:pt idx="2">
                  <c:v>DK</c:v>
                </c:pt>
                <c:pt idx="3">
                  <c:v>SE</c:v>
                </c:pt>
                <c:pt idx="4">
                  <c:v>EE</c:v>
                </c:pt>
                <c:pt idx="5">
                  <c:v>FR</c:v>
                </c:pt>
                <c:pt idx="6">
                  <c:v>LU</c:v>
                </c:pt>
                <c:pt idx="7">
                  <c:v>SI</c:v>
                </c:pt>
                <c:pt idx="8">
                  <c:v>BG</c:v>
                </c:pt>
                <c:pt idx="9">
                  <c:v>DE</c:v>
                </c:pt>
                <c:pt idx="10">
                  <c:v>LV</c:v>
                </c:pt>
                <c:pt idx="11">
                  <c:v>MT</c:v>
                </c:pt>
                <c:pt idx="12">
                  <c:v>NL</c:v>
                </c:pt>
                <c:pt idx="13">
                  <c:v>UK</c:v>
                </c:pt>
                <c:pt idx="14">
                  <c:v>AT</c:v>
                </c:pt>
                <c:pt idx="15">
                  <c:v>FI</c:v>
                </c:pt>
                <c:pt idx="16">
                  <c:v>EL</c:v>
                </c:pt>
                <c:pt idx="17">
                  <c:v>HU</c:v>
                </c:pt>
                <c:pt idx="18">
                  <c:v>IE</c:v>
                </c:pt>
                <c:pt idx="19">
                  <c:v>CZ</c:v>
                </c:pt>
                <c:pt idx="20">
                  <c:v>HR</c:v>
                </c:pt>
                <c:pt idx="21">
                  <c:v>ES</c:v>
                </c:pt>
                <c:pt idx="22">
                  <c:v>IT</c:v>
                </c:pt>
                <c:pt idx="23">
                  <c:v>PL</c:v>
                </c:pt>
                <c:pt idx="24">
                  <c:v>BE</c:v>
                </c:pt>
                <c:pt idx="25">
                  <c:v>RO</c:v>
                </c:pt>
                <c:pt idx="26">
                  <c:v>PT</c:v>
                </c:pt>
                <c:pt idx="27">
                  <c:v>CY</c:v>
                </c:pt>
              </c:strCache>
            </c:strRef>
          </c:cat>
          <c:val>
            <c:numRef>
              <c:f>Blad1!$B$3:$B$30</c:f>
              <c:numCache>
                <c:formatCode>General</c:formatCode>
                <c:ptCount val="28"/>
                <c:pt idx="0">
                  <c:v>2</c:v>
                </c:pt>
                <c:pt idx="1">
                  <c:v>2</c:v>
                </c:pt>
                <c:pt idx="2">
                  <c:v>3</c:v>
                </c:pt>
                <c:pt idx="3">
                  <c:v>4</c:v>
                </c:pt>
                <c:pt idx="4">
                  <c:v>5</c:v>
                </c:pt>
                <c:pt idx="5">
                  <c:v>6</c:v>
                </c:pt>
                <c:pt idx="6">
                  <c:v>6</c:v>
                </c:pt>
                <c:pt idx="7">
                  <c:v>6</c:v>
                </c:pt>
                <c:pt idx="8">
                  <c:v>7</c:v>
                </c:pt>
                <c:pt idx="9">
                  <c:v>7</c:v>
                </c:pt>
                <c:pt idx="10">
                  <c:v>7</c:v>
                </c:pt>
                <c:pt idx="11">
                  <c:v>7</c:v>
                </c:pt>
                <c:pt idx="12">
                  <c:v>7</c:v>
                </c:pt>
                <c:pt idx="13">
                  <c:v>7</c:v>
                </c:pt>
                <c:pt idx="14">
                  <c:v>9</c:v>
                </c:pt>
                <c:pt idx="15">
                  <c:v>9</c:v>
                </c:pt>
                <c:pt idx="16">
                  <c:v>11</c:v>
                </c:pt>
                <c:pt idx="17">
                  <c:v>12</c:v>
                </c:pt>
                <c:pt idx="18">
                  <c:v>12</c:v>
                </c:pt>
                <c:pt idx="19">
                  <c:v>13</c:v>
                </c:pt>
                <c:pt idx="20">
                  <c:v>13</c:v>
                </c:pt>
                <c:pt idx="21">
                  <c:v>15</c:v>
                </c:pt>
                <c:pt idx="22">
                  <c:v>15</c:v>
                </c:pt>
                <c:pt idx="23">
                  <c:v>16</c:v>
                </c:pt>
                <c:pt idx="24">
                  <c:v>17</c:v>
                </c:pt>
                <c:pt idx="25">
                  <c:v>17</c:v>
                </c:pt>
                <c:pt idx="26">
                  <c:v>19</c:v>
                </c:pt>
                <c:pt idx="27">
                  <c:v>21</c:v>
                </c:pt>
              </c:numCache>
            </c:numRef>
          </c:val>
          <c:extLst xmlns:c16r2="http://schemas.microsoft.com/office/drawing/2015/06/chart">
            <c:ext xmlns:c16="http://schemas.microsoft.com/office/drawing/2014/chart" uri="{C3380CC4-5D6E-409C-BE32-E72D297353CC}">
              <c16:uniqueId val="{00000000-80C5-47CA-A3D2-4E5FD2AB721C}"/>
            </c:ext>
          </c:extLst>
        </c:ser>
        <c:dLbls>
          <c:showLegendKey val="0"/>
          <c:showVal val="0"/>
          <c:showCatName val="0"/>
          <c:showSerName val="0"/>
          <c:showPercent val="0"/>
          <c:showBubbleSize val="0"/>
        </c:dLbls>
        <c:gapWidth val="75"/>
        <c:overlap val="-25"/>
        <c:axId val="404620416"/>
        <c:axId val="404622336"/>
      </c:barChart>
      <c:catAx>
        <c:axId val="404620416"/>
        <c:scaling>
          <c:orientation val="minMax"/>
        </c:scaling>
        <c:delete val="0"/>
        <c:axPos val="b"/>
        <c:numFmt formatCode="General" sourceLinked="1"/>
        <c:majorTickMark val="none"/>
        <c:minorTickMark val="none"/>
        <c:tickLblPos val="nextTo"/>
        <c:spPr>
          <a:noFill/>
          <a:ln w="1268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404622336"/>
        <c:crosses val="autoZero"/>
        <c:auto val="1"/>
        <c:lblAlgn val="ctr"/>
        <c:lblOffset val="100"/>
        <c:noMultiLvlLbl val="0"/>
      </c:catAx>
      <c:valAx>
        <c:axId val="404622336"/>
        <c:scaling>
          <c:orientation val="minMax"/>
        </c:scaling>
        <c:delete val="1"/>
        <c:axPos val="l"/>
        <c:majorGridlines>
          <c:spPr>
            <a:ln w="9514" cap="flat" cmpd="sng" algn="ctr">
              <a:solidFill>
                <a:schemeClr val="tx1">
                  <a:lumMod val="15000"/>
                  <a:lumOff val="85000"/>
                </a:schemeClr>
              </a:solidFill>
              <a:round/>
            </a:ln>
            <a:effectLst/>
          </c:spPr>
        </c:majorGridlines>
        <c:numFmt formatCode="General" sourceLinked="1"/>
        <c:majorTickMark val="out"/>
        <c:minorTickMark val="none"/>
        <c:tickLblPos val="nextTo"/>
        <c:crossAx val="404620416"/>
        <c:crosses val="autoZero"/>
        <c:crossBetween val="between"/>
      </c:valAx>
      <c:spPr>
        <a:noFill/>
        <a:ln w="25398">
          <a:noFill/>
        </a:ln>
      </c:spPr>
    </c:plotArea>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8" b="0" baseline="0">
                <a:solidFill>
                  <a:srgbClr val="002060"/>
                </a:solidFill>
                <a:latin typeface="Arial" panose="020B0604020202020204" pitchFamily="34" charset="0"/>
                <a:cs typeface="Arial" panose="020B0604020202020204" pitchFamily="34" charset="0"/>
              </a:rPr>
              <a:t>Infringement cases open at year-end </a:t>
            </a:r>
            <a:r>
              <a:rPr lang="en-GB" sz="1098" b="0">
                <a:solidFill>
                  <a:srgbClr val="002060"/>
                </a:solidFill>
                <a:latin typeface="Arial" panose="020B0604020202020204" pitchFamily="34" charset="0"/>
                <a:cs typeface="Arial" panose="020B0604020202020204" pitchFamily="34" charset="0"/>
              </a:rPr>
              <a:t>(2013-2017)</a:t>
            </a:r>
          </a:p>
        </c:rich>
      </c:tx>
      <c:layout>
        <c:manualLayout>
          <c:xMode val="edge"/>
          <c:yMode val="edge"/>
          <c:x val="0.18054370476417719"/>
          <c:y val="2.3809692802484194E-2"/>
        </c:manualLayout>
      </c:layout>
      <c:overlay val="0"/>
    </c:title>
    <c:autoTitleDeleted val="0"/>
    <c:plotArea>
      <c:layout>
        <c:manualLayout>
          <c:layoutTarget val="inner"/>
          <c:xMode val="edge"/>
          <c:yMode val="edge"/>
          <c:x val="5.8121854991056057E-2"/>
          <c:y val="0.14191764923959735"/>
          <c:w val="0.88688283756197139"/>
          <c:h val="0.7497423634929069"/>
        </c:manualLayout>
      </c:layout>
      <c:lineChart>
        <c:grouping val="standard"/>
        <c:varyColors val="0"/>
        <c:ser>
          <c:idx val="0"/>
          <c:order val="0"/>
          <c:tx>
            <c:strRef>
              <c:f>Blad1!$B$2</c:f>
              <c:strCache>
                <c:ptCount val="1"/>
                <c:pt idx="0">
                  <c:v>Open infringement cases (2013-2017)</c:v>
                </c:pt>
              </c:strCache>
            </c:strRef>
          </c:tx>
          <c:spPr>
            <a:effectLst>
              <a:outerShdw blurRad="40000" dist="23000" dir="5400000" rotWithShape="0">
                <a:srgbClr val="000000">
                  <a:alpha val="35000"/>
                </a:srgbClr>
              </a:outerShdw>
            </a:effectLst>
          </c:spPr>
          <c:dLbls>
            <c:dLbl>
              <c:idx val="0"/>
              <c:layout>
                <c:manualLayout>
                  <c:x val="-5.814521323293767E-2"/>
                  <c:y val="5.120501793158503E-2"/>
                </c:manualLayout>
              </c:layout>
              <c:tx>
                <c:rich>
                  <a:bodyPr/>
                  <a:lstStyle/>
                  <a:p>
                    <a:r>
                      <a:rPr lang="en-US"/>
                      <a:t>1 300</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36A-4888-A600-1E9418FAABF0}"/>
                </c:ext>
              </c:extLst>
            </c:dLbl>
            <c:dLbl>
              <c:idx val="1"/>
              <c:layout>
                <c:manualLayout>
                  <c:x val="-5.0593824475986565E-2"/>
                  <c:y val="6.2864616747166799E-2"/>
                </c:manualLayout>
              </c:layout>
              <c:tx>
                <c:rich>
                  <a:bodyPr/>
                  <a:lstStyle/>
                  <a:p>
                    <a:r>
                      <a:rPr lang="en-US"/>
                      <a:t>1 347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36A-4888-A600-1E9418FAABF0}"/>
                </c:ext>
              </c:extLst>
            </c:dLbl>
            <c:dLbl>
              <c:idx val="2"/>
              <c:tx>
                <c:rich>
                  <a:bodyPr/>
                  <a:lstStyle/>
                  <a:p>
                    <a:r>
                      <a:rPr lang="en-US"/>
                      <a:t>1 368</a:t>
                    </a:r>
                  </a:p>
                </c:rich>
              </c:tx>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36A-4888-A600-1E9418FAABF0}"/>
                </c:ext>
              </c:extLst>
            </c:dLbl>
            <c:dLbl>
              <c:idx val="3"/>
              <c:layout>
                <c:manualLayout>
                  <c:x val="-5.5672404297340758E-2"/>
                  <c:y val="-4.9539794260963735E-2"/>
                </c:manualLayout>
              </c:layout>
              <c:tx>
                <c:rich>
                  <a:bodyPr/>
                  <a:lstStyle/>
                  <a:p>
                    <a:r>
                      <a:rPr lang="en-US"/>
                      <a:t>1 657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36A-4888-A600-1E9418FAABF0}"/>
                </c:ext>
              </c:extLst>
            </c:dLbl>
            <c:dLbl>
              <c:idx val="4"/>
              <c:layout>
                <c:manualLayout>
                  <c:x val="-3.3625265392781413E-2"/>
                  <c:y val="-6.5892944163738504E-2"/>
                </c:manualLayout>
              </c:layout>
              <c:tx>
                <c:rich>
                  <a:bodyPr/>
                  <a:lstStyle/>
                  <a:p>
                    <a:r>
                      <a:rPr lang="en-US"/>
                      <a:t>1 559</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36A-4888-A600-1E9418FAABF0}"/>
                </c:ext>
              </c:extLst>
            </c:dLbl>
            <c:spPr>
              <a:noFill/>
              <a:ln w="25338">
                <a:noFill/>
              </a:ln>
            </c:spPr>
            <c:txPr>
              <a:bodyPr rot="0" spcFirstLastPara="1" vertOverflow="ellipsis" vert="horz" wrap="square" lIns="38100" tIns="19050" rIns="38100" bIns="19050" anchor="ctr" anchorCtr="1">
                <a:spAutoFit/>
              </a:bodyPr>
              <a:lstStyle/>
              <a:p>
                <a:pPr>
                  <a:defRPr sz="798"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2013</c:v>
                </c:pt>
                <c:pt idx="1">
                  <c:v>2014</c:v>
                </c:pt>
                <c:pt idx="2">
                  <c:v>2015</c:v>
                </c:pt>
                <c:pt idx="3">
                  <c:v>2016</c:v>
                </c:pt>
                <c:pt idx="4">
                  <c:v>2017</c:v>
                </c:pt>
              </c:numCache>
            </c:numRef>
          </c:cat>
          <c:val>
            <c:numRef>
              <c:f>Blad1!$B$3:$B$7</c:f>
              <c:numCache>
                <c:formatCode>General</c:formatCode>
                <c:ptCount val="5"/>
                <c:pt idx="0">
                  <c:v>1300</c:v>
                </c:pt>
                <c:pt idx="1">
                  <c:v>1347</c:v>
                </c:pt>
                <c:pt idx="2">
                  <c:v>1368</c:v>
                </c:pt>
                <c:pt idx="3">
                  <c:v>1657</c:v>
                </c:pt>
                <c:pt idx="4">
                  <c:v>1559</c:v>
                </c:pt>
              </c:numCache>
            </c:numRef>
          </c:val>
          <c:smooth val="0"/>
          <c:extLst xmlns:c16r2="http://schemas.microsoft.com/office/drawing/2015/06/chart">
            <c:ext xmlns:c16="http://schemas.microsoft.com/office/drawing/2014/chart" uri="{C3380CC4-5D6E-409C-BE32-E72D297353CC}">
              <c16:uniqueId val="{00000005-636A-4888-A600-1E9418FAABF0}"/>
            </c:ext>
          </c:extLst>
        </c:ser>
        <c:dLbls>
          <c:showLegendKey val="0"/>
          <c:showVal val="0"/>
          <c:showCatName val="0"/>
          <c:showSerName val="0"/>
          <c:showPercent val="0"/>
          <c:showBubbleSize val="0"/>
        </c:dLbls>
        <c:marker val="1"/>
        <c:smooth val="0"/>
        <c:axId val="406874752"/>
        <c:axId val="406999424"/>
      </c:lineChart>
      <c:catAx>
        <c:axId val="406874752"/>
        <c:scaling>
          <c:orientation val="minMax"/>
        </c:scaling>
        <c:delete val="0"/>
        <c:axPos val="b"/>
        <c:numFmt formatCode="General" sourceLinked="1"/>
        <c:majorTickMark val="none"/>
        <c:minorTickMark val="none"/>
        <c:tickLblPos val="nextTo"/>
        <c:spPr>
          <a:noFill/>
          <a:ln w="12669" cap="flat" cmpd="sng" algn="ctr">
            <a:solidFill>
              <a:schemeClr val="tx1">
                <a:lumMod val="15000"/>
                <a:lumOff val="85000"/>
              </a:schemeClr>
            </a:solidFill>
            <a:round/>
          </a:ln>
          <a:effectLst/>
        </c:spPr>
        <c:txPr>
          <a:bodyPr rot="-60000000" spcFirstLastPara="1" vertOverflow="ellipsis" vert="horz" wrap="square" anchor="ctr" anchorCtr="1"/>
          <a:lstStyle/>
          <a:p>
            <a:pPr>
              <a:defRPr sz="798"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406999424"/>
        <c:crosses val="autoZero"/>
        <c:auto val="1"/>
        <c:lblAlgn val="ctr"/>
        <c:lblOffset val="100"/>
        <c:noMultiLvlLbl val="0"/>
      </c:catAx>
      <c:valAx>
        <c:axId val="406999424"/>
        <c:scaling>
          <c:orientation val="minMax"/>
          <c:min val="1000"/>
        </c:scaling>
        <c:delete val="1"/>
        <c:axPos val="l"/>
        <c:majorGridlines>
          <c:spPr>
            <a:ln w="9501" cap="flat" cmpd="sng" algn="ctr">
              <a:solidFill>
                <a:schemeClr val="tx1">
                  <a:lumMod val="15000"/>
                  <a:lumOff val="85000"/>
                </a:schemeClr>
              </a:solidFill>
              <a:round/>
            </a:ln>
            <a:effectLst/>
          </c:spPr>
        </c:majorGridlines>
        <c:numFmt formatCode="General" sourceLinked="1"/>
        <c:majorTickMark val="out"/>
        <c:minorTickMark val="none"/>
        <c:tickLblPos val="nextTo"/>
        <c:crossAx val="406874752"/>
        <c:crosses val="autoZero"/>
        <c:crossBetween val="between"/>
      </c:valAx>
      <c:spPr>
        <a:noFill/>
        <a:ln w="25323">
          <a:noFill/>
        </a:ln>
      </c:spPr>
    </c:plotArea>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b625dcb4e6da45aea454c11ff38d33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899E-2D3B-4F92-BB8B-07EE811C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BEBD78-8380-4FFD-B77E-DB9400D5405D}">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67684A1-F71B-425B-8651-F5A0EE492BA5}">
  <ds:schemaRefs>
    <ds:schemaRef ds:uri="http://schemas.microsoft.com/sharepoint/v3/contenttype/forms"/>
  </ds:schemaRefs>
</ds:datastoreItem>
</file>

<file path=customXml/itemProps4.xml><?xml version="1.0" encoding="utf-8"?>
<ds:datastoreItem xmlns:ds="http://schemas.openxmlformats.org/officeDocument/2006/customXml" ds:itemID="{494F9F54-7D2C-4DA1-93E3-DB3076B3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5103</Words>
  <Characters>27151</Characters>
  <Application>Microsoft Office Word</Application>
  <DocSecurity>0</DocSecurity>
  <Lines>532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31976</CharactersWithSpaces>
  <SharedDoc>false</SharedDoc>
  <HLinks>
    <vt:vector size="162" baseType="variant">
      <vt:variant>
        <vt:i4>1376274</vt:i4>
      </vt:variant>
      <vt:variant>
        <vt:i4>180</vt:i4>
      </vt:variant>
      <vt:variant>
        <vt:i4>0</vt:i4>
      </vt:variant>
      <vt:variant>
        <vt:i4>5</vt:i4>
      </vt:variant>
      <vt:variant>
        <vt:lpwstr>http://eur-lex.europa.eu/legal-content/EN/TXT/?uri=OJ:C:2011:012:TOC</vt:lpwstr>
      </vt:variant>
      <vt:variant>
        <vt:lpwstr/>
      </vt:variant>
      <vt:variant>
        <vt:i4>3997749</vt:i4>
      </vt:variant>
      <vt:variant>
        <vt:i4>177</vt:i4>
      </vt:variant>
      <vt:variant>
        <vt:i4>0</vt:i4>
      </vt:variant>
      <vt:variant>
        <vt:i4>5</vt:i4>
      </vt:variant>
      <vt:variant>
        <vt:lpwstr>http://eur-lex.europa.eu/legal-content/EN/TXT/PDF/?uri=CELEX:32015L0652&amp;from=EN</vt:lpwstr>
      </vt:variant>
      <vt:variant>
        <vt:lpwstr/>
      </vt:variant>
      <vt:variant>
        <vt:i4>3342359</vt:i4>
      </vt:variant>
      <vt:variant>
        <vt:i4>135</vt:i4>
      </vt:variant>
      <vt:variant>
        <vt:i4>0</vt:i4>
      </vt:variant>
      <vt:variant>
        <vt:i4>5</vt:i4>
      </vt:variant>
      <vt:variant>
        <vt:lpwstr>http://eur-lex.europa.eu/legal-content/EN/TXT/?uri=uriserv%3AOJ.C_.2017.018.01.0010.01.ENG&amp;toc=OJ%3AC%3A2017%3A018%3ATOC</vt:lpwstr>
      </vt:variant>
      <vt:variant>
        <vt:lpwstr/>
      </vt:variant>
      <vt:variant>
        <vt:i4>6094874</vt:i4>
      </vt:variant>
      <vt:variant>
        <vt:i4>126</vt:i4>
      </vt:variant>
      <vt:variant>
        <vt:i4>0</vt:i4>
      </vt:variant>
      <vt:variant>
        <vt:i4>5</vt:i4>
      </vt:variant>
      <vt:variant>
        <vt:lpwstr>http://ec.europa.eu/atwork/applying-eu-law/infringements-proceedings/infringement_decisions/?lang_code=en</vt:lpwstr>
      </vt:variant>
      <vt:variant>
        <vt:lpwstr/>
      </vt:variant>
      <vt:variant>
        <vt:i4>6488160</vt:i4>
      </vt:variant>
      <vt:variant>
        <vt:i4>123</vt:i4>
      </vt:variant>
      <vt:variant>
        <vt:i4>0</vt:i4>
      </vt:variant>
      <vt:variant>
        <vt:i4>5</vt:i4>
      </vt:variant>
      <vt:variant>
        <vt:lpwstr>http://eur-lex.europa.eu/legal-content/EN/TXT/?qid=1458663251852&amp;uri=CELEX:52012DC0154</vt:lpwstr>
      </vt:variant>
      <vt:variant>
        <vt:lpwstr/>
      </vt:variant>
      <vt:variant>
        <vt:i4>1114168</vt:i4>
      </vt:variant>
      <vt:variant>
        <vt:i4>116</vt:i4>
      </vt:variant>
      <vt:variant>
        <vt:i4>0</vt:i4>
      </vt:variant>
      <vt:variant>
        <vt:i4>5</vt:i4>
      </vt:variant>
      <vt:variant>
        <vt:lpwstr/>
      </vt:variant>
      <vt:variant>
        <vt:lpwstr>_Toc507580233</vt:lpwstr>
      </vt:variant>
      <vt:variant>
        <vt:i4>1114168</vt:i4>
      </vt:variant>
      <vt:variant>
        <vt:i4>110</vt:i4>
      </vt:variant>
      <vt:variant>
        <vt:i4>0</vt:i4>
      </vt:variant>
      <vt:variant>
        <vt:i4>5</vt:i4>
      </vt:variant>
      <vt:variant>
        <vt:lpwstr/>
      </vt:variant>
      <vt:variant>
        <vt:lpwstr>_Toc507580232</vt:lpwstr>
      </vt:variant>
      <vt:variant>
        <vt:i4>1114168</vt:i4>
      </vt:variant>
      <vt:variant>
        <vt:i4>104</vt:i4>
      </vt:variant>
      <vt:variant>
        <vt:i4>0</vt:i4>
      </vt:variant>
      <vt:variant>
        <vt:i4>5</vt:i4>
      </vt:variant>
      <vt:variant>
        <vt:lpwstr/>
      </vt:variant>
      <vt:variant>
        <vt:lpwstr>_Toc507580231</vt:lpwstr>
      </vt:variant>
      <vt:variant>
        <vt:i4>1114168</vt:i4>
      </vt:variant>
      <vt:variant>
        <vt:i4>98</vt:i4>
      </vt:variant>
      <vt:variant>
        <vt:i4>0</vt:i4>
      </vt:variant>
      <vt:variant>
        <vt:i4>5</vt:i4>
      </vt:variant>
      <vt:variant>
        <vt:lpwstr/>
      </vt:variant>
      <vt:variant>
        <vt:lpwstr>_Toc507580230</vt:lpwstr>
      </vt:variant>
      <vt:variant>
        <vt:i4>1048632</vt:i4>
      </vt:variant>
      <vt:variant>
        <vt:i4>92</vt:i4>
      </vt:variant>
      <vt:variant>
        <vt:i4>0</vt:i4>
      </vt:variant>
      <vt:variant>
        <vt:i4>5</vt:i4>
      </vt:variant>
      <vt:variant>
        <vt:lpwstr/>
      </vt:variant>
      <vt:variant>
        <vt:lpwstr>_Toc507580229</vt:lpwstr>
      </vt:variant>
      <vt:variant>
        <vt:i4>1048632</vt:i4>
      </vt:variant>
      <vt:variant>
        <vt:i4>86</vt:i4>
      </vt:variant>
      <vt:variant>
        <vt:i4>0</vt:i4>
      </vt:variant>
      <vt:variant>
        <vt:i4>5</vt:i4>
      </vt:variant>
      <vt:variant>
        <vt:lpwstr/>
      </vt:variant>
      <vt:variant>
        <vt:lpwstr>_Toc507580228</vt:lpwstr>
      </vt:variant>
      <vt:variant>
        <vt:i4>1048632</vt:i4>
      </vt:variant>
      <vt:variant>
        <vt:i4>80</vt:i4>
      </vt:variant>
      <vt:variant>
        <vt:i4>0</vt:i4>
      </vt:variant>
      <vt:variant>
        <vt:i4>5</vt:i4>
      </vt:variant>
      <vt:variant>
        <vt:lpwstr/>
      </vt:variant>
      <vt:variant>
        <vt:lpwstr>_Toc507580227</vt:lpwstr>
      </vt:variant>
      <vt:variant>
        <vt:i4>1048632</vt:i4>
      </vt:variant>
      <vt:variant>
        <vt:i4>74</vt:i4>
      </vt:variant>
      <vt:variant>
        <vt:i4>0</vt:i4>
      </vt:variant>
      <vt:variant>
        <vt:i4>5</vt:i4>
      </vt:variant>
      <vt:variant>
        <vt:lpwstr/>
      </vt:variant>
      <vt:variant>
        <vt:lpwstr>_Toc507580226</vt:lpwstr>
      </vt:variant>
      <vt:variant>
        <vt:i4>1048632</vt:i4>
      </vt:variant>
      <vt:variant>
        <vt:i4>68</vt:i4>
      </vt:variant>
      <vt:variant>
        <vt:i4>0</vt:i4>
      </vt:variant>
      <vt:variant>
        <vt:i4>5</vt:i4>
      </vt:variant>
      <vt:variant>
        <vt:lpwstr/>
      </vt:variant>
      <vt:variant>
        <vt:lpwstr>_Toc507580225</vt:lpwstr>
      </vt:variant>
      <vt:variant>
        <vt:i4>1048632</vt:i4>
      </vt:variant>
      <vt:variant>
        <vt:i4>62</vt:i4>
      </vt:variant>
      <vt:variant>
        <vt:i4>0</vt:i4>
      </vt:variant>
      <vt:variant>
        <vt:i4>5</vt:i4>
      </vt:variant>
      <vt:variant>
        <vt:lpwstr/>
      </vt:variant>
      <vt:variant>
        <vt:lpwstr>_Toc507580224</vt:lpwstr>
      </vt:variant>
      <vt:variant>
        <vt:i4>1048632</vt:i4>
      </vt:variant>
      <vt:variant>
        <vt:i4>56</vt:i4>
      </vt:variant>
      <vt:variant>
        <vt:i4>0</vt:i4>
      </vt:variant>
      <vt:variant>
        <vt:i4>5</vt:i4>
      </vt:variant>
      <vt:variant>
        <vt:lpwstr/>
      </vt:variant>
      <vt:variant>
        <vt:lpwstr>_Toc507580223</vt:lpwstr>
      </vt:variant>
      <vt:variant>
        <vt:i4>1048632</vt:i4>
      </vt:variant>
      <vt:variant>
        <vt:i4>50</vt:i4>
      </vt:variant>
      <vt:variant>
        <vt:i4>0</vt:i4>
      </vt:variant>
      <vt:variant>
        <vt:i4>5</vt:i4>
      </vt:variant>
      <vt:variant>
        <vt:lpwstr/>
      </vt:variant>
      <vt:variant>
        <vt:lpwstr>_Toc507580222</vt:lpwstr>
      </vt:variant>
      <vt:variant>
        <vt:i4>1048632</vt:i4>
      </vt:variant>
      <vt:variant>
        <vt:i4>44</vt:i4>
      </vt:variant>
      <vt:variant>
        <vt:i4>0</vt:i4>
      </vt:variant>
      <vt:variant>
        <vt:i4>5</vt:i4>
      </vt:variant>
      <vt:variant>
        <vt:lpwstr/>
      </vt:variant>
      <vt:variant>
        <vt:lpwstr>_Toc507580221</vt:lpwstr>
      </vt:variant>
      <vt:variant>
        <vt:i4>1048632</vt:i4>
      </vt:variant>
      <vt:variant>
        <vt:i4>38</vt:i4>
      </vt:variant>
      <vt:variant>
        <vt:i4>0</vt:i4>
      </vt:variant>
      <vt:variant>
        <vt:i4>5</vt:i4>
      </vt:variant>
      <vt:variant>
        <vt:lpwstr/>
      </vt:variant>
      <vt:variant>
        <vt:lpwstr>_Toc507580220</vt:lpwstr>
      </vt:variant>
      <vt:variant>
        <vt:i4>1245240</vt:i4>
      </vt:variant>
      <vt:variant>
        <vt:i4>32</vt:i4>
      </vt:variant>
      <vt:variant>
        <vt:i4>0</vt:i4>
      </vt:variant>
      <vt:variant>
        <vt:i4>5</vt:i4>
      </vt:variant>
      <vt:variant>
        <vt:lpwstr/>
      </vt:variant>
      <vt:variant>
        <vt:lpwstr>_Toc507580219</vt:lpwstr>
      </vt:variant>
      <vt:variant>
        <vt:i4>1245240</vt:i4>
      </vt:variant>
      <vt:variant>
        <vt:i4>26</vt:i4>
      </vt:variant>
      <vt:variant>
        <vt:i4>0</vt:i4>
      </vt:variant>
      <vt:variant>
        <vt:i4>5</vt:i4>
      </vt:variant>
      <vt:variant>
        <vt:lpwstr/>
      </vt:variant>
      <vt:variant>
        <vt:lpwstr>_Toc507580218</vt:lpwstr>
      </vt:variant>
      <vt:variant>
        <vt:i4>1245240</vt:i4>
      </vt:variant>
      <vt:variant>
        <vt:i4>20</vt:i4>
      </vt:variant>
      <vt:variant>
        <vt:i4>0</vt:i4>
      </vt:variant>
      <vt:variant>
        <vt:i4>5</vt:i4>
      </vt:variant>
      <vt:variant>
        <vt:lpwstr/>
      </vt:variant>
      <vt:variant>
        <vt:lpwstr>_Toc507580217</vt:lpwstr>
      </vt:variant>
      <vt:variant>
        <vt:i4>1245240</vt:i4>
      </vt:variant>
      <vt:variant>
        <vt:i4>14</vt:i4>
      </vt:variant>
      <vt:variant>
        <vt:i4>0</vt:i4>
      </vt:variant>
      <vt:variant>
        <vt:i4>5</vt:i4>
      </vt:variant>
      <vt:variant>
        <vt:lpwstr/>
      </vt:variant>
      <vt:variant>
        <vt:lpwstr>_Toc507580216</vt:lpwstr>
      </vt:variant>
      <vt:variant>
        <vt:i4>1245240</vt:i4>
      </vt:variant>
      <vt:variant>
        <vt:i4>8</vt:i4>
      </vt:variant>
      <vt:variant>
        <vt:i4>0</vt:i4>
      </vt:variant>
      <vt:variant>
        <vt:i4>5</vt:i4>
      </vt:variant>
      <vt:variant>
        <vt:lpwstr/>
      </vt:variant>
      <vt:variant>
        <vt:lpwstr>_Toc507580215</vt:lpwstr>
      </vt:variant>
      <vt:variant>
        <vt:i4>1245240</vt:i4>
      </vt:variant>
      <vt:variant>
        <vt:i4>2</vt:i4>
      </vt:variant>
      <vt:variant>
        <vt:i4>0</vt:i4>
      </vt:variant>
      <vt:variant>
        <vt:i4>5</vt:i4>
      </vt:variant>
      <vt:variant>
        <vt:lpwstr/>
      </vt:variant>
      <vt:variant>
        <vt:lpwstr>_Toc507580214</vt:lpwstr>
      </vt:variant>
      <vt:variant>
        <vt:i4>1900565</vt:i4>
      </vt:variant>
      <vt:variant>
        <vt:i4>3</vt:i4>
      </vt:variant>
      <vt:variant>
        <vt:i4>0</vt:i4>
      </vt:variant>
      <vt:variant>
        <vt:i4>5</vt:i4>
      </vt:variant>
      <vt:variant>
        <vt:lpwstr>http://eur-lex.europa.eu/legal-content/EN/TXT/?uri=OJ:C:2011:369:TOC</vt:lpwstr>
      </vt:variant>
      <vt:variant>
        <vt:lpwstr/>
      </vt:variant>
      <vt:variant>
        <vt:i4>1900565</vt:i4>
      </vt:variant>
      <vt:variant>
        <vt:i4>0</vt:i4>
      </vt:variant>
      <vt:variant>
        <vt:i4>0</vt:i4>
      </vt:variant>
      <vt:variant>
        <vt:i4>5</vt:i4>
      </vt:variant>
      <vt:variant>
        <vt:lpwstr>http://eur-lex.europa.eu/legal-content/EN/TXT/?uri=OJ:C:2011:369:TOC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34</cp:revision>
  <cp:lastPrinted>2018-02-28T10:22:00Z</cp:lastPrinted>
  <dcterms:created xsi:type="dcterms:W3CDTF">2018-03-27T14:21:00Z</dcterms:created>
  <dcterms:modified xsi:type="dcterms:W3CDTF">2018-07-09T16:50:00Z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0x010100429F0726229EA944A351C92A661F0C83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